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Strategic and responsible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ImpactCartographyStrategic and responsible Strategic and responsible Deployment of the "One Econocom" 2028 strategic plan "One Econocom," our strategic plan launched in November 2023 press release, will guide our path and our actions for the next five years. Its built around the fundamental principles of unity, cohesion and collective growth and it sets out the measure of our financial and nonfinancial ambitions. These ambitions linked in particular to the agility, usefulness and circularity of our offerings, with circularity as a historical and intrinsic principle of our business model. We listen to the weak signals to determine the strong currents, and we react with agility and determination, offering new products tailored to real needs. Growth isnt just a quest for financial success. Its also the mark of constant innovation and adaptability to the changes and new needs of our customers, who with the popularisation of teleworking are increasingly oriented towards as a service solutions with complex architectures and a strong environmental and societal concern. Our vision as Responsible Digital Entrepreneurs Clients  Strengthening sustainable digital models Commitments for 2028Refurbishing and recycling Econocom forecasts an increase from 0.5M to 1.5M refurbished and recycled assets.Life extension and maintenance through its ProductCare offering, Econocom forecasts an increase from 0.9M to 1.5M assets maintained. x3 1.5M refurbished assets vs 2023 x2 1.5M maintained assets serviced in our repair centers vs 2023 Environ ment  Contributing to a positive impact Commitments for 2028Reach the top 1 by obtaining Ecovadis Platinum certificationcontinue efforts on our SBTi action plan by reducing our carbon footprint by 60 on scopes 1 and 2 reference year 2018 and working with our partners on scope 3 60  carbon footprint scopes 12 vs 2018 85  purchases from SBTIapproved suppliers scope 3 vs 2023 Employees  Committed to being a benchmark employer Commitments for 2028 Comply with international human resources certificationsContinue to improve the gender equality index beyond 90100 for the GroupAn inclusive social model, working with Mission Handicap on the employment of disabled employees  90 100 Gender equality index vs 2023 x2 number of people with disabilities vs 2023 Digital responsibility circular economy Back to map Explore Studies weak signals, strong currents A 360 response In the same pillar Responsible A useful assessment Innovative and ambitious Boldness Good Faith Responsiveness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