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p>
    <w:p>
      <w:pPr>
        <w:spacing w:after="120"/>
      </w:pPr>
    </w:p>
    <w:p>
      <w:pPr>
        <w:spacing w:after="120"/>
      </w:pPr>
    </w:p>
    <w:p>
      <w:pPr>
        <w:spacing w:after="120"/>
      </w:pPr>
    </w:p>
    <w:p>
      <w:pPr>
        <w:pBdr>
          <w:bottom w:val="single" w:color="2E75B6" w:sz="6" w:space="8"/>
        </w:pBdr>
        <w:spacing w:after="100"/>
        <w:jc w:val="center"/>
      </w:pPr>
      <w:r>
        <w:rPr>
          <w:rFonts w:ascii="Arial" w:cs="Arial" w:eastAsia="Arial" w:hAnsi="Arial"/>
          <w:color w:val="666666"/>
          <w:spacing w:val="160"/>
          <w:sz w:val="20"/>
          <w:szCs w:val="20"/>
        </w:rPr>
        <w:t xml:space="preserve">RAPPORT D’ANALYSE STRUCTURELLE</w:t>
      </w:r>
    </w:p>
    <w:p>
      <w:pPr>
        <w:spacing w:after="120"/>
      </w:pPr>
    </w:p>
    <w:p>
      <w:pPr>
        <w:spacing w:after="200"/>
        <w:jc w:val="center"/>
      </w:pPr>
      <w:r>
        <w:rPr>
          <w:rFonts w:ascii="Arial" w:cs="Arial" w:eastAsia="Arial" w:hAnsi="Arial"/>
          <w:b/>
          <w:bCs/>
          <w:color w:val="1F3864"/>
          <w:sz w:val="48"/>
          <w:szCs w:val="48"/>
        </w:rPr>
        <w:t xml:space="preserve">Pourquoi quatre centroïdes convergent</w:t>
      </w:r>
    </w:p>
    <w:p>
      <w:pPr>
        <w:spacing w:after="100"/>
        <w:jc w:val="center"/>
      </w:pPr>
      <w:r>
        <w:rPr>
          <w:rFonts w:ascii="Arial" w:cs="Arial" w:eastAsia="Arial" w:hAnsi="Arial"/>
          <w:color w:val="2E75B6"/>
          <w:sz w:val="32"/>
          <w:szCs w:val="32"/>
        </w:rPr>
        <w:t xml:space="preserve">Juppé • Raffarin • Philippe • Villepin</w:t>
      </w:r>
    </w:p>
    <w:p>
      <w:pPr>
        <w:spacing w:after="80"/>
        <w:jc w:val="center"/>
      </w:pPr>
      <w:r>
        <w:rPr>
          <w:rFonts w:ascii="Arial" w:cs="Arial" w:eastAsia="Arial" w:hAnsi="Arial"/>
          <w:i/>
          <w:iCs/>
          <w:color w:val="666666"/>
          <w:sz w:val="24"/>
          <w:szCs w:val="24"/>
        </w:rPr>
        <w:t xml:space="preserve">Analyse systémique des facteurs de convergence structurelle</w:t>
      </w:r>
    </w:p>
    <w:p>
      <w:pPr>
        <w:spacing w:after="120"/>
      </w:pPr>
    </w:p>
    <w:p>
      <w:pPr>
        <w:spacing w:after="120"/>
      </w:pPr>
    </w:p>
    <w:p>
      <w:pPr>
        <w:spacing w:after="120"/>
      </w:pPr>
    </w:p>
    <w:p>
      <w:pPr>
        <w:spacing w:after="200"/>
        <w:jc w:val="center"/>
      </w:pPr>
      <w:r>
        <w:rPr>
          <w:rFonts w:ascii="Arial" w:cs="Arial" w:eastAsia="Arial" w:hAnsi="Arial"/>
          <w:color w:val="2E75B6"/>
          <w:sz w:val="22"/>
          <w:szCs w:val="22"/>
        </w:rPr>
        <w:t xml:space="preserve">Données sources : jamaisplusedouard-fr.vercel.app</w:t>
      </w:r>
    </w:p>
    <w:p>
      <w:pPr>
        <w:spacing w:after="60"/>
        <w:jc w:val="center"/>
      </w:pPr>
      <w:r>
        <w:rPr>
          <w:rFonts w:ascii="Arial" w:cs="Arial" w:eastAsia="Arial" w:hAnsi="Arial"/>
          <w:color w:val="666666"/>
          <w:sz w:val="20"/>
          <w:szCs w:val="20"/>
        </w:rPr>
        <w:t xml:space="preserve">61 connexions cartographiées • 8 catégories de réseau • 42 événements documentés</w:t>
      </w:r>
    </w:p>
    <w:p>
      <w:pPr>
        <w:spacing w:after="120"/>
      </w:pPr>
    </w:p>
    <w:p>
      <w:pPr>
        <w:spacing w:after="120"/>
      </w:pPr>
    </w:p>
    <w:p>
      <w:pPr>
        <w:spacing w:after="120"/>
      </w:pPr>
    </w:p>
    <w:p>
      <w:pPr>
        <w:spacing w:after="120"/>
      </w:pPr>
    </w:p>
    <w:p>
      <w:pPr>
        <w:spacing w:after="120"/>
      </w:pPr>
    </w:p>
    <w:p>
      <w:pPr>
        <w:pBdr>
          <w:top w:val="single" w:color="2E75B6" w:sz="2" w:space="8"/>
        </w:pBdr>
        <w:spacing w:after="100" w:before="200"/>
        <w:jc w:val="center"/>
      </w:pPr>
      <w:r>
        <w:rPr>
          <w:rFonts w:ascii="Arial" w:cs="Arial" w:eastAsia="Arial" w:hAnsi="Arial"/>
          <w:b/>
          <w:bCs/>
          <w:color w:val="1F3864"/>
          <w:sz w:val="20"/>
          <w:szCs w:val="20"/>
        </w:rPr>
        <w:t xml:space="preserve">DOCUMENT CONFIDENTIEL</w:t>
      </w:r>
    </w:p>
    <w:p>
      <w:pPr>
        <w:spacing w:after="60"/>
        <w:jc w:val="center"/>
      </w:pPr>
      <w:r>
        <w:rPr>
          <w:rFonts w:ascii="Arial" w:cs="Arial" w:eastAsia="Arial" w:hAnsi="Arial"/>
          <w:color w:val="666666"/>
          <w:sz w:val="22"/>
          <w:szCs w:val="22"/>
        </w:rPr>
        <w:t xml:space="preserve">28 mars 2026</w:t>
      </w:r>
    </w:p>
    <w:p>
      <w:pPr>
        <w:sectPr>
          <w:pgSz w:w="11906" w:h="16838" w:orient="portrait"/>
          <w:pgMar w:top="1440" w:right="1440" w:bottom="1440" w:left="1440" w:header="708" w:footer="708" w:gutter="0"/>
          <w:pgNumType/>
          <w:docGrid w:linePitch="360"/>
        </w:sectPr>
      </w:pPr>
    </w:p>
    <w:p>
      <w:pPr>
        <w:pStyle w:val="Heading1"/>
      </w:pPr>
      <w:r>
        <w:t xml:space="preserve">Synthèse exécutive</w:t>
      </w:r>
    </w:p>
    <w:p>
      <w:pPr>
        <w:spacing w:after="200"/>
      </w:pPr>
      <w:r>
        <w:rPr>
          <w:rFonts w:ascii="Arial" w:cs="Arial" w:eastAsia="Arial" w:hAnsi="Arial"/>
          <w:sz w:val="22"/>
          <w:szCs w:val="22"/>
        </w:rPr>
        <w:t xml:space="preserve">Le présent rapport analyse les facteurs structurels qui produisent une convergence de trajectoires entre quatre figures centrales de la politique française : Alain Juppé, Jean-Pierre Raffarin, Édouard Philippe et Dominique de Villepin. Il s’appuie sur les 61 connexions cartographiées par la plateforme jamaisplusedouard.fr (8 agents en ligne, 42 événements documentés, 16 sources vérifiées) et sur les rapports d’analyse précédents.</w:t>
      </w:r>
    </w:p>
    <w:p>
      <w:pPr>
        <w:spacing w:after="200"/>
      </w:pPr>
      <w:r>
        <w:rPr>
          <w:rFonts w:ascii="Arial" w:cs="Arial" w:eastAsia="Arial" w:hAnsi="Arial"/>
          <w:b/>
          <w:bCs/>
          <w:sz w:val="22"/>
          <w:szCs w:val="22"/>
        </w:rPr>
        <w:t xml:space="preserve">Constat principal : </w:t>
      </w:r>
      <w:r>
        <w:rPr>
          <w:rFonts w:ascii="Arial" w:cs="Arial" w:eastAsia="Arial" w:hAnsi="Arial"/>
          <w:sz w:val="22"/>
          <w:szCs w:val="22"/>
        </w:rPr>
        <w:t xml:space="preserve">ces quatre agents ne partagent pas nécessairement les mêmes objectifs — Villepin et Philippe sont des concurrents directs pour 2027. Ce qu’ils partagent, ce sont des conditions structurelles qui produisent des comportements convergents. En termes de systèmes multi-agents, ce sont des agents aux fonctions d’utilité différentes mais évoluant dans le même environnement avec les mêmes contraintes, ce qui génère des trajectoires parallèles.</w:t>
      </w:r>
    </w:p>
    <w:p>
      <w:pPr>
        <w:pStyle w:val="Heading1"/>
      </w:pPr>
      <w:r>
        <w:t xml:space="preserve">Partie I — Les six facteurs de convergence structurelle</w:t>
      </w:r>
    </w:p>
    <w:p>
      <w:pPr>
        <w:pStyle w:val="Heading2"/>
      </w:pPr>
      <w:r>
        <w:t xml:space="preserve">1.1 Le moule institutionnel : Sciences Po → ENA → Conseil d’État / Quai d’Orsay</w:t>
      </w:r>
    </w:p>
    <w:p>
      <w:pPr>
        <w:spacing w:after="200"/>
      </w:pPr>
      <w:r>
        <w:rPr>
          <w:rFonts w:ascii="Arial" w:cs="Arial" w:eastAsia="Arial" w:hAnsi="Arial"/>
          <w:sz w:val="22"/>
          <w:szCs w:val="22"/>
        </w:rPr>
        <w:t xml:space="preserve">Les quatre centroïdes sont passés par le même pipeline de formation des élites françaises. Juppé (ENA, Inspection des Finances), Villepin (ENA Voltaire 1980, Quai d’Orsay), Philippe (Sciences Po 1992, ENA Marc-Bloch 1997, Conseil d’État), Raffarin (Sciences Po, voie politique directe).</w:t>
      </w:r>
    </w:p>
    <w:p>
      <w:pPr>
        <w:spacing w:after="200"/>
      </w:pPr>
      <w:r>
        <w:rPr>
          <w:rFonts w:ascii="Arial" w:cs="Arial" w:eastAsia="Arial" w:hAnsi="Arial"/>
          <w:sz w:val="22"/>
          <w:szCs w:val="22"/>
        </w:rPr>
        <w:t xml:space="preserve">Ce formatage produit un biais commun : la conviction que les problèmes se résolvent par la technocratie, que l’accès au réseau vaut autant que la compétence, et que l’alternance entre public et privé est légitime. C’est le code source partagé.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7"/>
        <w:gridCol w:w="2257"/>
        <w:gridCol w:w="2256"/>
      </w:tblGrid>
      <w:tr>
        <w:tc>
          <w:tcPr>
            <w:tcW w:type="dxa" w:w="2256"/>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Juppé</w:t>
            </w:r>
          </w:p>
        </w:tc>
        <w:tc>
          <w:tcPr>
            <w:tcW w:type="dxa" w:w="2257"/>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Raffarin</w:t>
            </w:r>
          </w:p>
        </w:tc>
        <w:tc>
          <w:tcPr>
            <w:tcW w:type="dxa" w:w="2257"/>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Philippe</w:t>
            </w:r>
          </w:p>
        </w:tc>
        <w:tc>
          <w:tcPr>
            <w:tcW w:type="dxa" w:w="2256"/>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Villepin</w:t>
            </w:r>
          </w:p>
        </w:tc>
      </w:tr>
      <w:tr>
        <w:tc>
          <w:tcPr>
            <w:tcW w:type="dxa" w:w="2256"/>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sz w:val="20"/>
                <w:szCs w:val="20"/>
              </w:rPr>
              <w:t xml:space="preserve">ENA → IGF → RPR → PM → Bordeaux → CC</w:t>
            </w:r>
          </w:p>
        </w:tc>
        <w:tc>
          <w:tcPr>
            <w:tcW w:type="dxa" w:w="2257"/>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sz w:val="20"/>
                <w:szCs w:val="20"/>
              </w:rPr>
              <w:t xml:space="preserve">Sciences Po → Politique → PM → Sénat → Chine</w:t>
            </w:r>
          </w:p>
        </w:tc>
        <w:tc>
          <w:tcPr>
            <w:tcW w:type="dxa" w:w="2257"/>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sz w:val="20"/>
                <w:szCs w:val="20"/>
              </w:rPr>
              <w:t xml:space="preserve">Sciences Po → ENA → CE → Debevoise → Areva → PM → Atos</w:t>
            </w:r>
          </w:p>
        </w:tc>
        <w:tc>
          <w:tcPr>
            <w:tcW w:type="dxa" w:w="2256"/>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sz w:val="20"/>
                <w:szCs w:val="20"/>
              </w:rPr>
              <w:t xml:space="preserve">ENA → Diplo → Élysée → PM → Villepin Int’l → HK</w:t>
            </w:r>
          </w:p>
        </w:tc>
      </w:tr>
    </w:tbl>
    <w:p>
      <w:pPr>
        <w:spacing w:after="120"/>
      </w:pPr>
    </w:p>
    <w:p>
      <w:pPr>
        <w:pStyle w:val="Heading2"/>
      </w:pPr>
      <w:r>
        <w:t xml:space="preserve">1.2 La matrice chiraquienne : l’indépendance française comme doctrine</w:t>
      </w:r>
    </w:p>
    <w:p>
      <w:pPr>
        <w:spacing w:after="200"/>
      </w:pPr>
      <w:r>
        <w:rPr>
          <w:rFonts w:ascii="Arial" w:cs="Arial" w:eastAsia="Arial" w:hAnsi="Arial"/>
          <w:sz w:val="22"/>
          <w:szCs w:val="22"/>
        </w:rPr>
        <w:t xml:space="preserve">Chirac a défini une politique étrangère fondée sur l’autonomie vis-à-vis de Washington, le dialogue privilégié avec Pékin et le monde arabe, et le multilatéralisme. Les quatre héritiers perpétuent cette doctrine par des canaux différents :</w:t>
      </w:r>
    </w:p>
    <w:p>
      <w:pPr>
        <w:pStyle w:val="ListParagraph"/>
        <w:numPr>
          <w:ilvl w:val="0"/>
          <w:numId w:val="2"/>
        </w:numPr>
        <w:spacing w:after="100"/>
      </w:pPr>
      <w:r>
        <w:rPr>
          <w:rFonts w:ascii="Arial" w:cs="Arial" w:eastAsia="Arial" w:hAnsi="Arial"/>
          <w:sz w:val="22"/>
          <w:szCs w:val="22"/>
        </w:rPr>
        <w:t xml:space="preserve">Raffarin : réseau institutionnel chinois (FCF, FPI, Bo’ao, Belt &amp; Road, CGTN)</w:t>
      </w:r>
    </w:p>
    <w:p>
      <w:pPr>
        <w:pStyle w:val="ListParagraph"/>
        <w:numPr>
          <w:ilvl w:val="0"/>
          <w:numId w:val="2"/>
        </w:numPr>
        <w:spacing w:after="100"/>
      </w:pPr>
      <w:r>
        <w:rPr>
          <w:rFonts w:ascii="Arial" w:cs="Arial" w:eastAsia="Arial" w:hAnsi="Arial"/>
          <w:sz w:val="22"/>
          <w:szCs w:val="22"/>
        </w:rPr>
        <w:t xml:space="preserve">Villepin : discours anti-guerre d’Irak à l’ONU (2003), affaires au Moyen-Orient et en Chine</w:t>
      </w:r>
    </w:p>
    <w:p>
      <w:pPr>
        <w:pStyle w:val="ListParagraph"/>
        <w:numPr>
          <w:ilvl w:val="0"/>
          <w:numId w:val="2"/>
        </w:numPr>
        <w:spacing w:after="100"/>
      </w:pPr>
      <w:r>
        <w:rPr>
          <w:rFonts w:ascii="Arial" w:cs="Arial" w:eastAsia="Arial" w:hAnsi="Arial"/>
          <w:sz w:val="22"/>
          <w:szCs w:val="22"/>
        </w:rPr>
        <w:t xml:space="preserve">Philippe : France China Foundation (YL 2013), port du Havre orienté vers l’Asie</w:t>
      </w:r>
    </w:p>
    <w:p>
      <w:pPr>
        <w:pStyle w:val="ListParagraph"/>
        <w:numPr>
          <w:ilvl w:val="0"/>
          <w:numId w:val="2"/>
        </w:numPr>
        <w:spacing w:after="100"/>
      </w:pPr>
      <w:r>
        <w:rPr>
          <w:rFonts w:ascii="Arial" w:cs="Arial" w:eastAsia="Arial" w:hAnsi="Arial"/>
          <w:sz w:val="22"/>
          <w:szCs w:val="22"/>
        </w:rPr>
        <w:t xml:space="preserve">Juppé : French-American Foundation (YL 1982), réseau transatlantique comme complément</w:t>
      </w:r>
    </w:p>
    <w:p>
      <w:pPr>
        <w:spacing w:after="200"/>
      </w:pPr>
      <w:r>
        <w:rPr>
          <w:rFonts w:ascii="Arial" w:cs="Arial" w:eastAsia="Arial" w:hAnsi="Arial"/>
          <w:sz w:val="22"/>
          <w:szCs w:val="22"/>
        </w:rPr>
        <w:t xml:space="preserve">Le chiraquisme est le système d’exploitation commun. La doctrine d’indépendance nationale légitime à la fois les réseaux chinois (Raffarin, Villepin, Philippe) et les réseaux transatlantiques (Juppé, Philippe, Macron), car elle postule que la France doit être présente partout sans dépendance exclusive.</w:t>
      </w:r>
    </w:p>
    <w:p>
      <w:pPr>
        <w:pStyle w:val="Heading2"/>
      </w:pPr>
      <w:r>
        <w:t xml:space="preserve">1.3 Le pantouflage comme modèle économique</w:t>
      </w:r>
    </w:p>
    <w:p>
      <w:pPr>
        <w:spacing w:after="200"/>
      </w:pPr>
      <w:r>
        <w:rPr>
          <w:rFonts w:ascii="Arial" w:cs="Arial" w:eastAsia="Arial" w:hAnsi="Arial"/>
          <w:sz w:val="22"/>
          <w:szCs w:val="22"/>
        </w:rPr>
        <w:t xml:space="preserve">Le schéma récurrent est : haute fonction publique → cabinets ministériels → privé (lobbying/consulting) → retour au pouvoir. Ce circuit aligne les intérêts des quatre centroïdes avec ceux des grandes entreprises françaises à l’international.</w:t>
      </w:r>
    </w:p>
    <w:p>
      <w:pPr>
        <w:spacing w:after="200"/>
      </w:pPr>
      <w:r>
        <w:rPr>
          <w:rFonts w:ascii="Arial" w:cs="Arial" w:eastAsia="Arial" w:hAnsi="Arial"/>
          <w:sz w:val="22"/>
          <w:szCs w:val="22"/>
        </w:rPr>
        <w:t xml:space="preserve">La cartographie du site jamaisplusedouard.fr identifie 12 connexions dans la catégorie « Entreprises &amp; lobbying » : CMA CGM, Atos, Areva, Debevoise &amp; Plimpton, Veolia, COSCO Shipping, et les empires médiatiques (Arnault/LVMH, Bolloré, Drahi/CMA CGM). Ces entreprises ont toutes des intérêts massifs en Chine, au Moyen-Orient ou dans le transport maritime mondial — ce qui explique la convergence géographique des réseaux.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342"/>
        <w:gridCol w:w="2342"/>
        <w:gridCol w:w="2342"/>
      </w:tblGrid>
      <w:tr>
        <w:tc>
          <w:tcPr>
            <w:tcW w:type="dxa" w:w="20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Centroïde</w:t>
            </w:r>
          </w:p>
        </w:tc>
        <w:tc>
          <w:tcPr>
            <w:tcW w:type="dxa" w:w="2342"/>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Employeurs/mandats privés</w:t>
            </w:r>
          </w:p>
        </w:tc>
        <w:tc>
          <w:tcPr>
            <w:tcW w:type="dxa" w:w="2342"/>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Secteurs</w:t>
            </w:r>
          </w:p>
        </w:tc>
        <w:tc>
          <w:tcPr>
            <w:tcW w:type="dxa" w:w="2342"/>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Lien Chine</w:t>
            </w:r>
          </w:p>
        </w:tc>
      </w:tr>
      <w:tr>
        <w:tc>
          <w:tcPr>
            <w:tcW w:type="dxa" w:w="2000"/>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b/>
                <w:bCs/>
                <w:sz w:val="20"/>
                <w:szCs w:val="20"/>
              </w:rPr>
              <w:t xml:space="preserve">Philippe</w:t>
            </w:r>
          </w:p>
        </w:tc>
        <w:tc>
          <w:tcPr>
            <w:tcW w:type="dxa" w:w="2342"/>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sz w:val="20"/>
                <w:szCs w:val="20"/>
              </w:rPr>
              <w:t xml:space="preserve">Debevoise, Areva, Atos</w:t>
            </w:r>
          </w:p>
        </w:tc>
        <w:tc>
          <w:tcPr>
            <w:tcW w:type="dxa" w:w="2342"/>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sz w:val="20"/>
                <w:szCs w:val="20"/>
              </w:rPr>
              <w:t xml:space="preserve">Nucléaire, IT, juridique</w:t>
            </w:r>
          </w:p>
        </w:tc>
        <w:tc>
          <w:tcPr>
            <w:tcW w:type="dxa" w:w="2342"/>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sz w:val="20"/>
                <w:szCs w:val="20"/>
              </w:rPr>
              <w:t xml:space="preserve">FCF, port du Havre/Dalian</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sz w:val="20"/>
                <w:szCs w:val="20"/>
              </w:rPr>
              <w:t xml:space="preserve">Raffarin</w:t>
            </w:r>
          </w:p>
        </w:tc>
        <w:tc>
          <w:tcPr>
            <w:tcW w:type="dxa" w:w="2342"/>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FPI, Plastic Omnium, CEIBS</w:t>
            </w:r>
          </w:p>
        </w:tc>
        <w:tc>
          <w:tcPr>
            <w:tcW w:type="dxa" w:w="2342"/>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Automobile, éducation, conseil</w:t>
            </w:r>
          </w:p>
        </w:tc>
        <w:tc>
          <w:tcPr>
            <w:tcW w:type="dxa" w:w="2342"/>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FCF, Bo’ao, Belt &amp; Road, CGTN</w:t>
            </w:r>
          </w:p>
        </w:tc>
      </w:tr>
      <w:tr>
        <w:tc>
          <w:tcPr>
            <w:tcW w:type="dxa" w:w="2000"/>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b/>
                <w:bCs/>
                <w:sz w:val="20"/>
                <w:szCs w:val="20"/>
              </w:rPr>
              <w:t xml:space="preserve">Villepin</w:t>
            </w:r>
          </w:p>
        </w:tc>
        <w:tc>
          <w:tcPr>
            <w:tcW w:type="dxa" w:w="2342"/>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sz w:val="20"/>
                <w:szCs w:val="20"/>
              </w:rPr>
              <w:t xml:space="preserve">Villepin Int’l, Veolia, Bugshan</w:t>
            </w:r>
          </w:p>
        </w:tc>
        <w:tc>
          <w:tcPr>
            <w:tcW w:type="dxa" w:w="2342"/>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sz w:val="20"/>
                <w:szCs w:val="20"/>
              </w:rPr>
              <w:t xml:space="preserve">Conseil, eau/déchets, intermédiation</w:t>
            </w:r>
          </w:p>
        </w:tc>
        <w:tc>
          <w:tcPr>
            <w:tcW w:type="dxa" w:w="2342"/>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sz w:val="20"/>
                <w:szCs w:val="20"/>
              </w:rPr>
              <w:t xml:space="preserve">IMTA, sociétés HK, conférences</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sz w:val="20"/>
                <w:szCs w:val="20"/>
              </w:rPr>
              <w:t xml:space="preserve">Juppé</w:t>
            </w:r>
          </w:p>
        </w:tc>
        <w:tc>
          <w:tcPr>
            <w:tcW w:type="dxa" w:w="2342"/>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Bordeaux, UMP, Institut Pompidou</w:t>
            </w:r>
          </w:p>
        </w:tc>
        <w:tc>
          <w:tcPr>
            <w:tcW w:type="dxa" w:w="2342"/>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Administration, politique</w:t>
            </w:r>
          </w:p>
        </w:tc>
        <w:tc>
          <w:tcPr>
            <w:tcW w:type="dxa" w:w="2342"/>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Indirect via FCF et Raffarin</w:t>
            </w:r>
          </w:p>
        </w:tc>
      </w:tr>
    </w:tbl>
    <w:p>
      <w:pPr>
        <w:spacing w:after="120"/>
      </w:pPr>
    </w:p>
    <w:p>
      <w:pPr>
        <w:pStyle w:val="Heading2"/>
      </w:pPr>
      <w:r>
        <w:t xml:space="preserve">1.4 Les programmes Young Leaders comme mécanisme de sélection croisée</w:t>
      </w:r>
    </w:p>
    <w:p>
      <w:pPr>
        <w:spacing w:after="200"/>
      </w:pPr>
      <w:r>
        <w:rPr>
          <w:rFonts w:ascii="Arial" w:cs="Arial" w:eastAsia="Arial" w:hAnsi="Arial"/>
          <w:sz w:val="22"/>
          <w:szCs w:val="22"/>
        </w:rPr>
        <w:t xml:space="preserve">La FAF et la FCF fonctionnent comme des systèmes de tri des élites. En termes de systèmes multi-agents, ce sont des « environnements de sélection » qui filtrent les agents selon des critères compatibles avec les intérêts transatlantiques (FAF) ou sino-français (FCF).</w:t>
      </w:r>
    </w:p>
    <w:p>
      <w:pPr>
        <w:spacing w:after="200"/>
      </w:pPr>
      <w:r>
        <w:rPr>
          <w:rFonts w:ascii="Arial" w:cs="Arial" w:eastAsia="Arial" w:hAnsi="Arial"/>
          <w:sz w:val="22"/>
          <w:szCs w:val="22"/>
        </w:rPr>
        <w:t xml:space="preserve">Le site jamaisplusedouard.fr recense 15 connexions Young Leaders FAF et 18 connexions dans le réseau sino-français. La séquence Juppé (YL FAF 1982) → Philippe (YL FAF 2011, YL FCF 2013) → Macron (YL FAF 2012, YL FCF 2013) constitue trois générations de Young Leaders dans une relation de filiation politique aboutissant à la tête de l’État.</w:t>
      </w:r>
    </w:p>
    <w:p>
      <w:pPr>
        <w:spacing w:after="200"/>
      </w:pPr>
      <w:r>
        <w:rPr>
          <w:rFonts w:ascii="Arial" w:cs="Arial" w:eastAsia="Arial" w:hAnsi="Arial"/>
          <w:sz w:val="22"/>
          <w:szCs w:val="22"/>
        </w:rPr>
        <w:t xml:space="preserve">Villepin, absent de ces programmes, compense par un réseau privé qui sert les mêmes fonctions : accès aux décideurs étrangers, intermédiation commerciale, légitimation croisée.</w:t>
      </w:r>
    </w:p>
    <w:p>
      <w:r>
        <w:br w:type="page"/>
      </w:r>
    </w:p>
    <w:p>
      <w:pPr>
        <w:pStyle w:val="Heading2"/>
      </w:pPr>
      <w:r>
        <w:t xml:space="preserve">1.5 La fonction de valorisation du carnet d’adresses</w:t>
      </w:r>
    </w:p>
    <w:p>
      <w:pPr>
        <w:spacing w:after="200"/>
      </w:pPr>
      <w:r>
        <w:rPr>
          <w:rFonts w:ascii="Arial" w:cs="Arial" w:eastAsia="Arial" w:hAnsi="Arial"/>
          <w:sz w:val="22"/>
          <w:szCs w:val="22"/>
        </w:rPr>
        <w:t xml:space="preserve">Chaque étape de carrière (ministère, Matignon, conseil d’administration, consulting) augmente la valeur du carnet d’adresses, qui se monnaie à l’étape suivante. C’est un système à rendements croissants : plus on a accès au pouvoir, plus on peut offrir de l’intermédiation, plus on accumule de capital relationnel.</w:t>
      </w:r>
    </w:p>
    <w:p>
      <w:pPr>
        <w:spacing w:after="200"/>
      </w:pPr>
      <w:r>
        <w:rPr>
          <w:rFonts w:ascii="Arial" w:cs="Arial" w:eastAsia="Arial" w:hAnsi="Arial"/>
          <w:sz w:val="22"/>
          <w:szCs w:val="22"/>
        </w:rPr>
        <w:t xml:space="preserve">Ce mécanisme produit naturellement une convergence vers les mêmes interlocuteurs — chefs d’État étrangers, CAC 40, fonds souverains — parce que ce sont les nœuds les plus valorisants du graphe de réseau. Le site identifie cette dynamique dans les catégories « Réseau sino-français » (18 connexions) et « Entreprises &amp; lobbying » (12 connexions), dont les nœuds sont partagés entre plusieurs centroïdes.</w:t>
      </w:r>
    </w:p>
    <w:p>
      <w:pPr>
        <w:spacing w:after="200"/>
      </w:pPr>
      <w:r>
        <w:rPr>
          <w:rFonts w:ascii="Arial" w:cs="Arial" w:eastAsia="Arial" w:hAnsi="Arial"/>
          <w:b/>
          <w:bCs/>
          <w:color w:val="1F3864"/>
          <w:sz w:val="22"/>
          <w:szCs w:val="22"/>
        </w:rPr>
        <w:t xml:space="preserve">Illustration concrète : </w:t>
      </w:r>
      <w:r>
        <w:rPr>
          <w:rFonts w:ascii="Arial" w:cs="Arial" w:eastAsia="Arial" w:hAnsi="Arial"/>
          <w:sz w:val="22"/>
          <w:szCs w:val="22"/>
        </w:rPr>
        <w:t xml:space="preserve">Raffarin (co-parrain FCF, membre Horizons, représentant spécial Chine) et Ribadeau-Dumas (dircab Philippe, YL FCF 2013, aujourd’hui chez Exor/Stellantis) apparaissent simultanément dans les catégories « Héritage chiraquien », « Réseau sino-français » et « Cabinet Matignon » — trois espaces formellement distincts mais pratiquement imbriqués.</w:t>
      </w:r>
    </w:p>
    <w:p>
      <w:pPr>
        <w:pStyle w:val="Heading2"/>
      </w:pPr>
      <w:r>
        <w:t xml:space="preserve">1.6 L’opacité comme condition nécessaire</w:t>
      </w:r>
    </w:p>
    <w:p>
      <w:pPr>
        <w:spacing w:after="200"/>
      </w:pPr>
      <w:r>
        <w:rPr>
          <w:rFonts w:ascii="Arial" w:cs="Arial" w:eastAsia="Arial" w:hAnsi="Arial"/>
          <w:sz w:val="22"/>
          <w:szCs w:val="22"/>
        </w:rPr>
        <w:t xml:space="preserve">Les quatre réseaux partagent un trait commun : l’opacité structurelle.</w:t>
      </w:r>
    </w:p>
    <w:p>
      <w:pPr>
        <w:pStyle w:val="ListParagraph"/>
        <w:numPr>
          <w:ilvl w:val="0"/>
          <w:numId w:val="2"/>
        </w:numPr>
        <w:spacing w:after="100"/>
      </w:pPr>
      <w:r>
        <w:rPr>
          <w:rFonts w:ascii="Arial" w:cs="Arial" w:eastAsia="Arial" w:hAnsi="Arial"/>
          <w:sz w:val="22"/>
          <w:szCs w:val="22"/>
        </w:rPr>
        <w:t xml:space="preserve">Les séminaires FAF et FCF ne publient pas leurs ordres du jour passés</w:t>
      </w:r>
    </w:p>
    <w:p>
      <w:pPr>
        <w:pStyle w:val="ListParagraph"/>
        <w:numPr>
          <w:ilvl w:val="0"/>
          <w:numId w:val="2"/>
        </w:numPr>
        <w:spacing w:after="100"/>
      </w:pPr>
      <w:r>
        <w:rPr>
          <w:rFonts w:ascii="Arial" w:cs="Arial" w:eastAsia="Arial" w:hAnsi="Arial"/>
          <w:sz w:val="22"/>
          <w:szCs w:val="22"/>
        </w:rPr>
        <w:t xml:space="preserve">Villepin International ne dépose plus ses comptes depuis 2015</w:t>
      </w:r>
    </w:p>
    <w:p>
      <w:pPr>
        <w:pStyle w:val="ListParagraph"/>
        <w:numPr>
          <w:ilvl w:val="0"/>
          <w:numId w:val="2"/>
        </w:numPr>
        <w:spacing w:after="100"/>
      </w:pPr>
      <w:r>
        <w:rPr>
          <w:rFonts w:ascii="Arial" w:cs="Arial" w:eastAsia="Arial" w:hAnsi="Arial"/>
          <w:sz w:val="22"/>
          <w:szCs w:val="22"/>
        </w:rPr>
        <w:t xml:space="preserve">Raffarin a été « sensibilisé » par la DGSI sans suite publique</w:t>
      </w:r>
    </w:p>
    <w:p>
      <w:pPr>
        <w:pStyle w:val="ListParagraph"/>
        <w:numPr>
          <w:ilvl w:val="0"/>
          <w:numId w:val="2"/>
        </w:numPr>
        <w:spacing w:after="100"/>
      </w:pPr>
      <w:r>
        <w:rPr>
          <w:rFonts w:ascii="Arial" w:cs="Arial" w:eastAsia="Arial" w:hAnsi="Arial"/>
          <w:sz w:val="22"/>
          <w:szCs w:val="22"/>
        </w:rPr>
        <w:t xml:space="preserve">Juppé est astreint au secret des délibérations du Conseil constitutionnel</w:t>
      </w:r>
    </w:p>
    <w:p>
      <w:pPr>
        <w:pStyle w:val="ListParagraph"/>
        <w:numPr>
          <w:ilvl w:val="0"/>
          <w:numId w:val="2"/>
        </w:numPr>
        <w:spacing w:after="100"/>
      </w:pPr>
      <w:r>
        <w:rPr>
          <w:rFonts w:ascii="Arial" w:cs="Arial" w:eastAsia="Arial" w:hAnsi="Arial"/>
          <w:sz w:val="22"/>
          <w:szCs w:val="22"/>
        </w:rPr>
        <w:t xml:space="preserve">Le cabinet Philippe à Matignon partageait une dizaine de conseillers avec l’Élysée — un fait inédit</w:t>
      </w:r>
    </w:p>
    <w:p>
      <w:pPr>
        <w:spacing w:after="200"/>
      </w:pPr>
      <w:r>
        <w:rPr>
          <w:rFonts w:ascii="Arial" w:cs="Arial" w:eastAsia="Arial" w:hAnsi="Arial"/>
          <w:sz w:val="22"/>
          <w:szCs w:val="22"/>
        </w:rPr>
        <w:t xml:space="preserve">Cette opacité n’est pas un bug — c’est une feature. La valeur du réseau repose précisément sur le fait que les échanges restent confidentiels. La FAF se définit comme n’étant « ni un think tank, ni un lobby, ni une amicale parlementaire », mais la concentration de ses anciens au sommet de l’État dépasse tout ce que produit toute autre structure comparable.</w:t>
      </w:r>
    </w:p>
    <w:p>
      <w:r>
        <w:br w:type="page"/>
      </w:r>
    </w:p>
    <w:p>
      <w:pPr>
        <w:pStyle w:val="Heading1"/>
      </w:pPr>
      <w:r>
        <w:t xml:space="preserve">Partie II — Modélisation en système multi-agents (MAS)</w:t>
      </w:r>
    </w:p>
    <w:p>
      <w:pPr>
        <w:pStyle w:val="Heading2"/>
      </w:pPr>
      <w:r>
        <w:t xml:space="preserve">2.1 Définition des agents</w:t>
      </w:r>
    </w:p>
    <w:p>
      <w:pPr>
        <w:spacing w:after="200"/>
      </w:pPr>
      <w:r>
        <w:rPr>
          <w:rFonts w:ascii="Arial" w:cs="Arial" w:eastAsia="Arial" w:hAnsi="Arial"/>
          <w:sz w:val="22"/>
          <w:szCs w:val="22"/>
        </w:rPr>
        <w:t xml:space="preserve">En modélisation MAS, chaque centroïde est un agent autonome défini par :</w:t>
      </w:r>
    </w:p>
    <w:p>
      <w:pPr>
        <w:pStyle w:val="ListParagraph"/>
        <w:numPr>
          <w:ilvl w:val="0"/>
          <w:numId w:val="2"/>
        </w:numPr>
        <w:spacing w:after="100"/>
      </w:pPr>
      <w:r>
        <w:rPr>
          <w:rFonts w:ascii="Arial" w:cs="Arial" w:eastAsia="Arial" w:hAnsi="Arial"/>
          <w:sz w:val="22"/>
          <w:szCs w:val="22"/>
        </w:rPr>
        <w:t xml:space="preserve">Un espace d’états : élite républicaine française (ENA, Sciences Po, Conseil d’État, Quai d’Orsay)</w:t>
      </w:r>
    </w:p>
    <w:p>
      <w:pPr>
        <w:pStyle w:val="ListParagraph"/>
        <w:numPr>
          <w:ilvl w:val="0"/>
          <w:numId w:val="2"/>
        </w:numPr>
        <w:spacing w:after="100"/>
      </w:pPr>
      <w:r>
        <w:rPr>
          <w:rFonts w:ascii="Arial" w:cs="Arial" w:eastAsia="Arial" w:hAnsi="Arial"/>
          <w:sz w:val="22"/>
          <w:szCs w:val="22"/>
        </w:rPr>
        <w:t xml:space="preserve">Des contraintes communes : formation ENA, doctrine chiraquienne, logique de pantouflage, programmes Young Leaders</w:t>
      </w:r>
    </w:p>
    <w:p>
      <w:pPr>
        <w:pStyle w:val="ListParagraph"/>
        <w:numPr>
          <w:ilvl w:val="0"/>
          <w:numId w:val="2"/>
        </w:numPr>
        <w:spacing w:after="100"/>
      </w:pPr>
      <w:r>
        <w:rPr>
          <w:rFonts w:ascii="Arial" w:cs="Arial" w:eastAsia="Arial" w:hAnsi="Arial"/>
          <w:sz w:val="22"/>
          <w:szCs w:val="22"/>
        </w:rPr>
        <w:t xml:space="preserve">Une fonction d’utilité partagée : maximisation du capital relationnel et de l’influence</w:t>
      </w:r>
    </w:p>
    <w:p>
      <w:pPr>
        <w:pStyle w:val="ListParagraph"/>
        <w:numPr>
          <w:ilvl w:val="0"/>
          <w:numId w:val="2"/>
        </w:numPr>
        <w:spacing w:after="100"/>
      </w:pPr>
      <w:r>
        <w:rPr>
          <w:rFonts w:ascii="Arial" w:cs="Arial" w:eastAsia="Arial" w:hAnsi="Arial"/>
          <w:sz w:val="22"/>
          <w:szCs w:val="22"/>
        </w:rPr>
        <w:t xml:space="preserve">Des nœuds environnementaux communs : Chine, Golfe, CAC 40, institutions internationales</w:t>
      </w:r>
    </w:p>
    <w:p>
      <w:pPr>
        <w:spacing w:after="200"/>
      </w:pPr>
      <w:r>
        <w:rPr>
          <w:rFonts w:ascii="Arial" w:cs="Arial" w:eastAsia="Arial" w:hAnsi="Arial"/>
          <w:sz w:val="22"/>
          <w:szCs w:val="22"/>
        </w:rPr>
        <w:t xml:space="preserve">La convergence de leurs trajectoires n’est pas le résultat d’une coordination centralisée, mais d’un mécanisme émergent produit par des conditions initiales similaires et des règles de jeu identiques.</w:t>
      </w:r>
    </w:p>
    <w:p>
      <w:pPr>
        <w:pStyle w:val="Heading2"/>
      </w:pPr>
      <w:r>
        <w:t xml:space="preserve">2.2 Matrice d’interaction des agents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6"/>
        <w:gridCol w:w="1805"/>
        <w:gridCol w:w="1805"/>
        <w:gridCol w:w="1805"/>
        <w:gridCol w:w="1805"/>
      </w:tblGrid>
      <w:tr>
        <w:tc>
          <w:tcPr>
            <w:tcW w:type="dxa" w:w="1806"/>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1805"/>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Juppé</w:t>
            </w:r>
          </w:p>
        </w:tc>
        <w:tc>
          <w:tcPr>
            <w:tcW w:type="dxa" w:w="1805"/>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Raffarin</w:t>
            </w:r>
          </w:p>
        </w:tc>
        <w:tc>
          <w:tcPr>
            <w:tcW w:type="dxa" w:w="1805"/>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Philippe</w:t>
            </w:r>
          </w:p>
        </w:tc>
        <w:tc>
          <w:tcPr>
            <w:tcW w:type="dxa" w:w="1805"/>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Villepin</w:t>
            </w:r>
          </w:p>
        </w:tc>
      </w:tr>
      <w:tr>
        <w:tc>
          <w:tcPr>
            <w:tcW w:type="dxa" w:w="1806"/>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b/>
                <w:bCs/>
                <w:sz w:val="20"/>
                <w:szCs w:val="20"/>
              </w:rPr>
              <w:t xml:space="preserve">Juppé</w:t>
            </w:r>
          </w:p>
        </w:tc>
        <w:tc>
          <w:tcPr>
            <w:tcW w:type="dxa" w:w="1805"/>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sz w:val="20"/>
                <w:szCs w:val="20"/>
              </w:rPr>
              <w:t xml:space="preserve">—</w:t>
            </w:r>
          </w:p>
        </w:tc>
        <w:tc>
          <w:tcPr>
            <w:tcW w:type="dxa" w:w="1805"/>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sz w:val="20"/>
                <w:szCs w:val="20"/>
              </w:rPr>
              <w:t xml:space="preserve">Chiraquiens, FCF</w:t>
            </w:r>
          </w:p>
        </w:tc>
        <w:tc>
          <w:tcPr>
            <w:tcW w:type="dxa" w:w="1805"/>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sz w:val="20"/>
                <w:szCs w:val="20"/>
              </w:rPr>
              <w:t xml:space="preserve">Mentor direct, Juppéie → Horizons</w:t>
            </w:r>
          </w:p>
        </w:tc>
        <w:tc>
          <w:tcPr>
            <w:tcW w:type="dxa" w:w="1805"/>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sz w:val="20"/>
                <w:szCs w:val="20"/>
              </w:rPr>
              <w:t xml:space="preserve">Groupe J (1979), pas de lien direct</w:t>
            </w:r>
          </w:p>
        </w:tc>
      </w:tr>
      <w:tr>
        <w:tc>
          <w:tcPr>
            <w:tcW w:type="dxa" w:w="180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sz w:val="20"/>
                <w:szCs w:val="20"/>
              </w:rPr>
              <w:t xml:space="preserve">Raffarin</w:t>
            </w:r>
          </w:p>
        </w:tc>
        <w:tc>
          <w:tcPr>
            <w:tcW w:type="dxa" w:w="180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Chiraquiens, FCF</w:t>
            </w:r>
          </w:p>
        </w:tc>
        <w:tc>
          <w:tcPr>
            <w:tcW w:type="dxa" w:w="180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w:t>
            </w:r>
          </w:p>
        </w:tc>
        <w:tc>
          <w:tcPr>
            <w:tcW w:type="dxa" w:w="180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Membre Horizons, FCF, représentant Chine</w:t>
            </w:r>
          </w:p>
        </w:tc>
        <w:tc>
          <w:tcPr>
            <w:tcW w:type="dxa" w:w="180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Parcours miroir ex-PM en Chine</w:t>
            </w:r>
          </w:p>
        </w:tc>
      </w:tr>
      <w:tr>
        <w:tc>
          <w:tcPr>
            <w:tcW w:type="dxa" w:w="1806"/>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b/>
                <w:bCs/>
                <w:sz w:val="20"/>
                <w:szCs w:val="20"/>
              </w:rPr>
              <w:t xml:space="preserve">Philippe</w:t>
            </w:r>
          </w:p>
        </w:tc>
        <w:tc>
          <w:tcPr>
            <w:tcW w:type="dxa" w:w="1805"/>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sz w:val="20"/>
                <w:szCs w:val="20"/>
              </w:rPr>
              <w:t xml:space="preserve">Mentor, Juppéie</w:t>
            </w:r>
          </w:p>
        </w:tc>
        <w:tc>
          <w:tcPr>
            <w:tcW w:type="dxa" w:w="1805"/>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sz w:val="20"/>
                <w:szCs w:val="20"/>
              </w:rPr>
              <w:t xml:space="preserve">Horizons, FCF</w:t>
            </w:r>
          </w:p>
        </w:tc>
        <w:tc>
          <w:tcPr>
            <w:tcW w:type="dxa" w:w="1805"/>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sz w:val="20"/>
                <w:szCs w:val="20"/>
              </w:rPr>
              <w:t xml:space="preserve">—</w:t>
            </w:r>
          </w:p>
        </w:tc>
        <w:tc>
          <w:tcPr>
            <w:tcW w:type="dxa" w:w="1805"/>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sz w:val="20"/>
                <w:szCs w:val="20"/>
              </w:rPr>
              <w:t xml:space="preserve">AUCUN lien direct documenté</w:t>
            </w:r>
          </w:p>
        </w:tc>
      </w:tr>
      <w:tr>
        <w:tc>
          <w:tcPr>
            <w:tcW w:type="dxa" w:w="180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sz w:val="20"/>
                <w:szCs w:val="20"/>
              </w:rPr>
              <w:t xml:space="preserve">Villepin</w:t>
            </w:r>
          </w:p>
        </w:tc>
        <w:tc>
          <w:tcPr>
            <w:tcW w:type="dxa" w:w="180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Groupe J, pas direct</w:t>
            </w:r>
          </w:p>
        </w:tc>
        <w:tc>
          <w:tcPr>
            <w:tcW w:type="dxa" w:w="180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Miroir chinois</w:t>
            </w:r>
          </w:p>
        </w:tc>
        <w:tc>
          <w:tcPr>
            <w:tcW w:type="dxa" w:w="180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Concurrent 2027</w:t>
            </w:r>
          </w:p>
        </w:tc>
        <w:tc>
          <w:tcPr>
            <w:tcW w:type="dxa" w:w="180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w:t>
            </w:r>
          </w:p>
        </w:tc>
      </w:tr>
    </w:tbl>
    <w:p>
      <w:pPr>
        <w:spacing w:after="120"/>
      </w:pPr>
    </w:p>
    <w:p>
      <w:pPr>
        <w:pStyle w:val="Heading2"/>
      </w:pPr>
      <w:r>
        <w:t xml:space="preserve">2.3 Comportement émergent : convergence sans coordination</w:t>
      </w:r>
    </w:p>
    <w:p>
      <w:pPr>
        <w:spacing w:after="200"/>
      </w:pPr>
      <w:r>
        <w:rPr>
          <w:rFonts w:ascii="Arial" w:cs="Arial" w:eastAsia="Arial" w:hAnsi="Arial"/>
          <w:sz w:val="22"/>
          <w:szCs w:val="22"/>
        </w:rPr>
        <w:t xml:space="preserve">Le constat le plus frappant de la cartographie jamaisplusedouard.fr est l’absence de lien direct entre Philippe et Villepin, alors que leurs trajectoires sont parallèles. Ce phénomène est caractéristique des systèmes émergents : des agents indépendants, soumis aux mêmes contraintes environnementales, produisent des comportements convergents sans coordination explicite.</w:t>
      </w:r>
    </w:p>
    <w:p>
      <w:pPr>
        <w:spacing w:after="200"/>
      </w:pPr>
      <w:r>
        <w:rPr>
          <w:rFonts w:ascii="Arial" w:cs="Arial" w:eastAsia="Arial" w:hAnsi="Arial"/>
          <w:sz w:val="22"/>
          <w:szCs w:val="22"/>
        </w:rPr>
        <w:t xml:space="preserve">Les six facteurs identifiés (moule ENA, matrice chiraquienne, pantouflage, Young Leaders, valorisation du carnet d’adresses, opacité) fonctionnent comme des « attracteurs » dans l’espace d’états. Chaque agent, en optimisant sa propre fonction d’utilité, gravite vers les mêmes nœuds du graphe (Chine, Golfe, CAC 40), sans qu’il soit nécessaire de postuler une conspiration centralisée.</w:t>
      </w:r>
    </w:p>
    <w:p>
      <w:r>
        <w:br w:type="page"/>
      </w:r>
    </w:p>
    <w:p>
      <w:pPr>
        <w:pStyle w:val="Heading1"/>
      </w:pPr>
      <w:r>
        <w:t xml:space="preserve">Partie III — La question centrale : intérêt national ou intérêts privés ?</w:t>
      </w:r>
    </w:p>
    <w:p>
      <w:pPr>
        <w:pStyle w:val="Heading2"/>
      </w:pPr>
      <w:r>
        <w:t xml:space="preserve">3.1 La lecture officielle : diplomatie d’influence</w:t>
      </w:r>
    </w:p>
    <w:p>
      <w:pPr>
        <w:spacing w:after="200"/>
      </w:pPr>
      <w:r>
        <w:rPr>
          <w:rFonts w:ascii="Arial" w:cs="Arial" w:eastAsia="Arial" w:hAnsi="Arial"/>
          <w:sz w:val="22"/>
          <w:szCs w:val="22"/>
        </w:rPr>
        <w:t xml:space="preserve">Selon cette lecture, les réseaux sino-français (FCF, FPI) et transatlantiques (FAF) servent l’intérêt national en créant des canaux de dialogue informels, en ouvrant des marchés aux entreprises françaises, et en formant des « citizen diplomats » capables de compréhension mutuelle. Raffarin, mandaté officiellement par le gouvernement, incarne cette légitimité.</w:t>
      </w:r>
    </w:p>
    <w:p>
      <w:pPr>
        <w:pStyle w:val="Heading2"/>
      </w:pPr>
      <w:r>
        <w:t xml:space="preserve">3.2 La lecture critique : diplomatie d’allégeance</w:t>
      </w:r>
    </w:p>
    <w:p>
      <w:pPr>
        <w:spacing w:after="200"/>
      </w:pPr>
      <w:r>
        <w:rPr>
          <w:rFonts w:ascii="Arial" w:cs="Arial" w:eastAsia="Arial" w:hAnsi="Arial"/>
          <w:sz w:val="22"/>
          <w:szCs w:val="22"/>
        </w:rPr>
        <w:t xml:space="preserve">Selon cette lecture, les mêmes réseaux servent principalement les intérêts privés de leurs membres et de leurs financeurs. Plusieurs éléments étayés par les sources nourrissent cette analyse :</w:t>
      </w:r>
    </w:p>
    <w:p>
      <w:pPr>
        <w:pStyle w:val="ListParagraph"/>
        <w:numPr>
          <w:ilvl w:val="0"/>
          <w:numId w:val="2"/>
        </w:numPr>
        <w:spacing w:after="100"/>
      </w:pPr>
      <w:r>
        <w:rPr>
          <w:rFonts w:ascii="Arial" w:cs="Arial" w:eastAsia="Arial" w:hAnsi="Arial"/>
          <w:sz w:val="22"/>
          <w:szCs w:val="22"/>
        </w:rPr>
        <w:t xml:space="preserve">La DGSI a jugé nécessaire de convoquer Raffarin pour « sensibilisation » — le renseignement intérieur considère donc qu’il existe un risque d’instrumentalisation</w:t>
      </w:r>
    </w:p>
    <w:p>
      <w:pPr>
        <w:pStyle w:val="ListParagraph"/>
        <w:numPr>
          <w:ilvl w:val="0"/>
          <w:numId w:val="2"/>
        </w:numPr>
        <w:spacing w:after="100"/>
      </w:pPr>
      <w:r>
        <w:rPr>
          <w:rFonts w:ascii="Arial" w:cs="Arial" w:eastAsia="Arial" w:hAnsi="Arial"/>
          <w:sz w:val="22"/>
          <w:szCs w:val="22"/>
        </w:rPr>
        <w:t xml:space="preserve">Villepin opère via des sociétés dont les comptes ne sont plus déposés, avec un intermédiaire condamné (Djouhri) et aiderait des entreprises chinoises en concurrence avec des entreprises françaises</w:t>
      </w:r>
    </w:p>
    <w:p>
      <w:pPr>
        <w:pStyle w:val="ListParagraph"/>
        <w:numPr>
          <w:ilvl w:val="0"/>
          <w:numId w:val="2"/>
        </w:numPr>
        <w:spacing w:after="100"/>
      </w:pPr>
      <w:r>
        <w:rPr>
          <w:rFonts w:ascii="Arial" w:cs="Arial" w:eastAsia="Arial" w:hAnsi="Arial"/>
          <w:sz w:val="22"/>
          <w:szCs w:val="22"/>
        </w:rPr>
        <w:t xml:space="preserve">Philippe est devenu administrateur d’Atos (70 000 €/an) quelques mois après avoir imposé le 80 km/h, alors qu’Atos traite les données des radars automatiques</w:t>
      </w:r>
    </w:p>
    <w:p>
      <w:pPr>
        <w:pStyle w:val="ListParagraph"/>
        <w:numPr>
          <w:ilvl w:val="0"/>
          <w:numId w:val="2"/>
        </w:numPr>
        <w:spacing w:after="100"/>
      </w:pPr>
      <w:r>
        <w:rPr>
          <w:rFonts w:ascii="Arial" w:cs="Arial" w:eastAsia="Arial" w:hAnsi="Arial"/>
          <w:sz w:val="22"/>
          <w:szCs w:val="22"/>
        </w:rPr>
        <w:t xml:space="preserve">La FPI de Raffarin est financée par des entreprises qui bénéficient directement de l’accès au marché chinois qu’il facilite</w:t>
      </w:r>
    </w:p>
    <w:p>
      <w:pPr>
        <w:pStyle w:val="ListParagraph"/>
        <w:numPr>
          <w:ilvl w:val="0"/>
          <w:numId w:val="2"/>
        </w:numPr>
        <w:spacing w:after="100"/>
      </w:pPr>
      <w:r>
        <w:rPr>
          <w:rFonts w:ascii="Arial" w:cs="Arial" w:eastAsia="Arial" w:hAnsi="Arial"/>
          <w:sz w:val="22"/>
          <w:szCs w:val="22"/>
        </w:rPr>
        <w:t xml:space="preserve">Libération qualifie les ouvrages de Raffarin publiés en Chine de « diplomatie d’allégeance »</w:t>
      </w:r>
    </w:p>
    <w:p>
      <w:pPr>
        <w:pStyle w:val="Heading2"/>
      </w:pPr>
      <w:r>
        <w:t xml:space="preserve">3.3 La réalité systémique : un gradient, pas une dichotomie</w:t>
      </w:r>
    </w:p>
    <w:p>
      <w:pPr>
        <w:spacing w:after="200"/>
      </w:pPr>
      <w:r>
        <w:rPr>
          <w:rFonts w:ascii="Arial" w:cs="Arial" w:eastAsia="Arial" w:hAnsi="Arial"/>
          <w:sz w:val="22"/>
          <w:szCs w:val="22"/>
        </w:rPr>
        <w:t xml:space="preserve">La réponse la plus honnête est probablement que les deux lectures coexistent. Le système produit simultanément de la diplomatie d’influence (réelle) et de l’enrichissement personnel (documenté). Les frontières entre intérêt national et intérêts privés sont structurellement floues dans un régime de pantouflage. C’est précisément cette ambigüité qui rend le système stable et résilient : chaque acteur peut légitimement revendiquer les deux dimensions.</w:t>
      </w:r>
    </w:p>
    <w:p>
      <w:pPr>
        <w:spacing w:after="200"/>
      </w:pPr>
      <w:r>
        <w:rPr>
          <w:rFonts w:ascii="Arial" w:cs="Arial" w:eastAsia="Arial" w:hAnsi="Arial"/>
          <w:b/>
          <w:bCs/>
          <w:sz w:val="22"/>
          <w:szCs w:val="22"/>
        </w:rPr>
        <w:t xml:space="preserve">La question opérationnelle pour vos agents n’est donc pas « y a-t-il coordination ? » (réponse : pas de preuve), mais « le système produit-il des effets mesurables contraires à l’intérêt public ? »</w:t>
      </w:r>
    </w:p>
    <w:p>
      <w:r>
        <w:br w:type="page"/>
      </w:r>
    </w:p>
    <w:p>
      <w:pPr>
        <w:pStyle w:val="Heading1"/>
      </w:pPr>
      <w:r>
        <w:t xml:space="preserve">Conclusions et recommandations opérationnelles</w:t>
      </w:r>
    </w:p>
    <w:p>
      <w:pPr>
        <w:pStyle w:val="Heading2"/>
      </w:pPr>
      <w:r>
        <w:t xml:space="preserve">Faits établis</w:t>
      </w:r>
    </w:p>
    <w:p>
      <w:pPr>
        <w:pStyle w:val="ListParagraph"/>
        <w:numPr>
          <w:ilvl w:val="0"/>
          <w:numId w:val="3"/>
        </w:numPr>
        <w:spacing w:after="100"/>
      </w:pPr>
      <w:r>
        <w:rPr>
          <w:rFonts w:ascii="Arial" w:cs="Arial" w:eastAsia="Arial" w:hAnsi="Arial"/>
          <w:sz w:val="22"/>
          <w:szCs w:val="22"/>
        </w:rPr>
        <w:t xml:space="preserve">Les quatre centroïdes évoluent dans le même espace d’états (formation ENA/Sciences Po, doctrine chiraquienne, logique de pantouflage) et optimisent la même fonction d’utilité (capital relationnel et influence).</w:t>
      </w:r>
    </w:p>
    <w:p>
      <w:pPr>
        <w:pStyle w:val="ListParagraph"/>
        <w:numPr>
          <w:ilvl w:val="0"/>
          <w:numId w:val="3"/>
        </w:numPr>
        <w:spacing w:after="100"/>
      </w:pPr>
      <w:r>
        <w:rPr>
          <w:rFonts w:ascii="Arial" w:cs="Arial" w:eastAsia="Arial" w:hAnsi="Arial"/>
          <w:sz w:val="22"/>
          <w:szCs w:val="22"/>
        </w:rPr>
        <w:t xml:space="preserve">La convergence géographique vers la Chine s’explique par l’alignement des intérêts des financeurs (L’Oréal, LVMH, Carrefour, Veolia, CMA CGM, Plastic Omnium) avec le premier marché mondial.</w:t>
      </w:r>
    </w:p>
    <w:p>
      <w:pPr>
        <w:pStyle w:val="ListParagraph"/>
        <w:numPr>
          <w:ilvl w:val="0"/>
          <w:numId w:val="3"/>
        </w:numPr>
        <w:spacing w:after="100"/>
      </w:pPr>
      <w:r>
        <w:rPr>
          <w:rFonts w:ascii="Arial" w:cs="Arial" w:eastAsia="Arial" w:hAnsi="Arial"/>
          <w:sz w:val="22"/>
          <w:szCs w:val="22"/>
        </w:rPr>
        <w:t xml:space="preserve">Les programmes Young Leaders (FAF, FCF) fonctionnent comme des mécanismes de sélection croisée qui produisent une convergence de vision chez les agents sélectionnés.</w:t>
      </w:r>
    </w:p>
    <w:p>
      <w:pPr>
        <w:pStyle w:val="ListParagraph"/>
        <w:numPr>
          <w:ilvl w:val="0"/>
          <w:numId w:val="3"/>
        </w:numPr>
        <w:spacing w:after="100"/>
      </w:pPr>
      <w:r>
        <w:rPr>
          <w:rFonts w:ascii="Arial" w:cs="Arial" w:eastAsia="Arial" w:hAnsi="Arial"/>
          <w:sz w:val="22"/>
          <w:szCs w:val="22"/>
        </w:rPr>
        <w:t xml:space="preserve">L’opacité est une propriété constitutive du système, pas un dysfonctionnement : la valeur du réseau repose sur la confidentialité des échanges.</w:t>
      </w:r>
    </w:p>
    <w:p>
      <w:pPr>
        <w:pStyle w:val="ListParagraph"/>
        <w:numPr>
          <w:ilvl w:val="0"/>
          <w:numId w:val="3"/>
        </w:numPr>
        <w:spacing w:after="100"/>
      </w:pPr>
      <w:r>
        <w:rPr>
          <w:rFonts w:ascii="Arial" w:cs="Arial" w:eastAsia="Arial" w:hAnsi="Arial"/>
          <w:sz w:val="22"/>
          <w:szCs w:val="22"/>
        </w:rPr>
        <w:t xml:space="preserve">Aucune coordination centralisée n’est documentée. La convergence est un phénomène émergent produit par des conditions structurelles identiques.</w:t>
      </w:r>
    </w:p>
    <w:p>
      <w:pPr>
        <w:pStyle w:val="Heading2"/>
      </w:pPr>
      <w:r>
        <w:t xml:space="preserve">Axes d’investigation prioritaires</w:t>
      </w:r>
    </w:p>
    <w:p>
      <w:pPr>
        <w:pStyle w:val="ListParagraph"/>
        <w:numPr>
          <w:ilvl w:val="0"/>
          <w:numId w:val="3"/>
        </w:numPr>
        <w:spacing w:after="100"/>
      </w:pPr>
      <w:r>
        <w:rPr>
          <w:rFonts w:ascii="Arial" w:cs="Arial" w:eastAsia="Arial" w:hAnsi="Arial"/>
          <w:sz w:val="22"/>
          <w:szCs w:val="22"/>
        </w:rPr>
        <w:t xml:space="preserve">Cartographier les flux financiers entre la FPI de Raffarin, les entreprises contributrices et les entités chinoises bénéficiaires. Question clé : les 15 000 €/an produisent-ils un ROI mesurable pour les entreprises ?</w:t>
      </w:r>
    </w:p>
    <w:p>
      <w:pPr>
        <w:pStyle w:val="ListParagraph"/>
        <w:numPr>
          <w:ilvl w:val="0"/>
          <w:numId w:val="3"/>
        </w:numPr>
        <w:spacing w:after="100"/>
      </w:pPr>
      <w:r>
        <w:rPr>
          <w:rFonts w:ascii="Arial" w:cs="Arial" w:eastAsia="Arial" w:hAnsi="Arial"/>
          <w:sz w:val="22"/>
          <w:szCs w:val="22"/>
        </w:rPr>
        <w:t xml:space="preserve">Analyser les déclarations HATVP croisées de Philippe, Raffarin et Villepin pour identifier d’éventuels intérêts partagés dans les mêmes secteurs ou entreprises.</w:t>
      </w:r>
    </w:p>
    <w:p>
      <w:pPr>
        <w:pStyle w:val="ListParagraph"/>
        <w:numPr>
          <w:ilvl w:val="0"/>
          <w:numId w:val="3"/>
        </w:numPr>
        <w:spacing w:after="100"/>
      </w:pPr>
      <w:r>
        <w:rPr>
          <w:rFonts w:ascii="Arial" w:cs="Arial" w:eastAsia="Arial" w:hAnsi="Arial"/>
          <w:sz w:val="22"/>
          <w:szCs w:val="22"/>
        </w:rPr>
        <w:t xml:space="preserve">Investiguer le rôle de CMA CGM comme nœud multifonctionnel : armateur, propriétaire de médias (BFM/RMC), lien havrais, lien chinois (COSCO), lien avec Alexis Kohler (Élysée, mis en examen pour conflits d’intérêts maritimes).</w:t>
      </w:r>
    </w:p>
    <w:p>
      <w:pPr>
        <w:pStyle w:val="ListParagraph"/>
        <w:numPr>
          <w:ilvl w:val="0"/>
          <w:numId w:val="3"/>
        </w:numPr>
        <w:spacing w:after="100"/>
      </w:pPr>
      <w:r>
        <w:rPr>
          <w:rFonts w:ascii="Arial" w:cs="Arial" w:eastAsia="Arial" w:hAnsi="Arial"/>
          <w:sz w:val="22"/>
          <w:szCs w:val="22"/>
        </w:rPr>
        <w:t xml:space="preserve">Vérifier si Raffarin et Villepin ont partagé des tribunes en Chine — le co-parrainage FCF de Raffarin crée-t-il des passerelles opérationnelles vers le réseau Villepin ?</w:t>
      </w:r>
    </w:p>
    <w:p>
      <w:pPr>
        <w:pStyle w:val="ListParagraph"/>
        <w:numPr>
          <w:ilvl w:val="0"/>
          <w:numId w:val="3"/>
        </w:numPr>
        <w:spacing w:after="100"/>
      </w:pPr>
      <w:r>
        <w:rPr>
          <w:rFonts w:ascii="Arial" w:cs="Arial" w:eastAsia="Arial" w:hAnsi="Arial"/>
          <w:sz w:val="22"/>
          <w:szCs w:val="22"/>
        </w:rPr>
        <w:t xml:space="preserve">Suivre l’évolution des positions des candidats 2027 sur la Chine : la convergence structurelle se traduit-elle par une convergence programmatique ?</w:t>
      </w:r>
    </w:p>
    <w:p>
      <w:pPr>
        <w:pStyle w:val="ListParagraph"/>
        <w:numPr>
          <w:ilvl w:val="0"/>
          <w:numId w:val="3"/>
        </w:numPr>
        <w:spacing w:after="100"/>
      </w:pPr>
      <w:r>
        <w:rPr>
          <w:rFonts w:ascii="Arial" w:cs="Arial" w:eastAsia="Arial" w:hAnsi="Arial"/>
          <w:sz w:val="22"/>
          <w:szCs w:val="22"/>
        </w:rPr>
        <w:t xml:space="preserve">Monitorer les « bébés Juppé » dans les cabinets ministériels actuels : lesquels ont rejoint Horizons, lesquels sont restés dans l’orbite macroniste ?</w:t>
      </w:r>
    </w:p>
    <w:p>
      <w:r>
        <w:br w:type="page"/>
      </w:r>
    </w:p>
    <w:p>
      <w:pPr>
        <w:pStyle w:val="Heading1"/>
      </w:pPr>
      <w:r>
        <w:t xml:space="preserve">Sources</w:t>
      </w:r>
    </w:p>
    <w:p>
      <w:pPr>
        <w:pStyle w:val="Heading2"/>
      </w:pPr>
      <w:r>
        <w:t xml:space="preserve">Source primaire</w:t>
      </w:r>
    </w:p>
    <w:p>
      <w:pPr>
        <w:pStyle w:val="ListParagraph"/>
        <w:numPr>
          <w:ilvl w:val="0"/>
          <w:numId w:val="2"/>
        </w:numPr>
        <w:spacing w:after="100"/>
      </w:pPr>
      <w:r>
        <w:rPr>
          <w:rFonts w:ascii="Arial" w:cs="Arial" w:eastAsia="Arial" w:hAnsi="Arial"/>
          <w:sz w:val="22"/>
          <w:szCs w:val="22"/>
        </w:rPr>
        <w:t xml:space="preserve">jamaisplusedouard-fr.vercel.app — Plateforme de veille citoyenne : 61 connexions cartographiées, 8 catégories de réseau, 42 événements documentés, 16 sources vérifiées</w:t>
      </w:r>
    </w:p>
    <w:p>
      <w:pPr>
        <w:pStyle w:val="Heading2"/>
      </w:pPr>
      <w:r>
        <w:t xml:space="preserve">Rapports précédents intégrés</w:t>
      </w:r>
    </w:p>
    <w:p>
      <w:pPr>
        <w:pStyle w:val="ListParagraph"/>
        <w:numPr>
          <w:ilvl w:val="0"/>
          <w:numId w:val="2"/>
        </w:numPr>
        <w:spacing w:after="100"/>
      </w:pPr>
      <w:r>
        <w:rPr>
          <w:rFonts w:ascii="Arial" w:cs="Arial" w:eastAsia="Arial" w:hAnsi="Arial"/>
          <w:sz w:val="22"/>
          <w:szCs w:val="22"/>
        </w:rPr>
        <w:t xml:space="preserve">Rapport principal — Philippe &amp; Villepin : cartographie des réseaux croisés (28 mars 2026)</w:t>
      </w:r>
    </w:p>
    <w:p>
      <w:pPr>
        <w:pStyle w:val="ListParagraph"/>
        <w:numPr>
          <w:ilvl w:val="0"/>
          <w:numId w:val="2"/>
        </w:numPr>
        <w:spacing w:after="100"/>
      </w:pPr>
      <w:r>
        <w:rPr>
          <w:rFonts w:ascii="Arial" w:cs="Arial" w:eastAsia="Arial" w:hAnsi="Arial"/>
          <w:sz w:val="22"/>
          <w:szCs w:val="22"/>
        </w:rPr>
        <w:t xml:space="preserve">Rapport complémentaire enrichi — Raffarin, Villepin, Juppé, cercles juppéistes (28 mars 2026)</w:t>
      </w:r>
    </w:p>
    <w:p>
      <w:pPr>
        <w:pStyle w:val="Heading2"/>
      </w:pPr>
      <w:r>
        <w:t xml:space="preserve">Sources journalistiques et investigatives</w:t>
      </w:r>
    </w:p>
    <w:p>
      <w:pPr>
        <w:pStyle w:val="ListParagraph"/>
        <w:numPr>
          <w:ilvl w:val="0"/>
          <w:numId w:val="2"/>
        </w:numPr>
        <w:spacing w:after="100"/>
      </w:pPr>
      <w:r>
        <w:rPr>
          <w:rFonts w:ascii="Arial" w:cs="Arial" w:eastAsia="Arial" w:hAnsi="Arial"/>
          <w:sz w:val="22"/>
          <w:szCs w:val="22"/>
        </w:rPr>
        <w:t xml:space="preserve">Radio France / France Info — enquête cellule investigation sur Villepin (décembre 2025)</w:t>
      </w:r>
    </w:p>
    <w:p>
      <w:pPr>
        <w:pStyle w:val="ListParagraph"/>
        <w:numPr>
          <w:ilvl w:val="0"/>
          <w:numId w:val="2"/>
        </w:numPr>
        <w:spacing w:after="100"/>
      </w:pPr>
      <w:r>
        <w:rPr>
          <w:rFonts w:ascii="Arial" w:cs="Arial" w:eastAsia="Arial" w:hAnsi="Arial"/>
          <w:sz w:val="22"/>
          <w:szCs w:val="22"/>
        </w:rPr>
        <w:t xml:space="preserve">Mediapart — composition du cabinet Philippe, cercle Juppé</w:t>
      </w:r>
    </w:p>
    <w:p>
      <w:pPr>
        <w:pStyle w:val="ListParagraph"/>
        <w:numPr>
          <w:ilvl w:val="0"/>
          <w:numId w:val="2"/>
        </w:numPr>
        <w:spacing w:after="100"/>
      </w:pPr>
      <w:r>
        <w:rPr>
          <w:rFonts w:ascii="Arial" w:cs="Arial" w:eastAsia="Arial" w:hAnsi="Arial"/>
          <w:sz w:val="22"/>
          <w:szCs w:val="22"/>
        </w:rPr>
        <w:t xml:space="preserve">Le JDD / Ifop — héritiers de Chirac (2019), bébés Juppé (2019)</w:t>
      </w:r>
    </w:p>
    <w:p>
      <w:pPr>
        <w:pStyle w:val="ListParagraph"/>
        <w:numPr>
          <w:ilvl w:val="0"/>
          <w:numId w:val="2"/>
        </w:numPr>
        <w:spacing w:after="100"/>
      </w:pPr>
      <w:r>
        <w:rPr>
          <w:rFonts w:ascii="Arial" w:cs="Arial" w:eastAsia="Arial" w:hAnsi="Arial"/>
          <w:sz w:val="22"/>
          <w:szCs w:val="22"/>
        </w:rPr>
        <w:t xml:space="preserve">Causeur — affaires chinoises de Villepin (décembre 2025)</w:t>
      </w:r>
    </w:p>
    <w:p>
      <w:pPr>
        <w:pStyle w:val="ListParagraph"/>
        <w:numPr>
          <w:ilvl w:val="0"/>
          <w:numId w:val="2"/>
        </w:numPr>
        <w:spacing w:after="100"/>
      </w:pPr>
      <w:r>
        <w:rPr>
          <w:rFonts w:ascii="Arial" w:cs="Arial" w:eastAsia="Arial" w:hAnsi="Arial"/>
          <w:sz w:val="22"/>
          <w:szCs w:val="22"/>
        </w:rPr>
        <w:t xml:space="preserve">Polemia — enquête France China Foundation (2020/2024)</w:t>
      </w:r>
    </w:p>
    <w:p>
      <w:pPr>
        <w:pStyle w:val="ListParagraph"/>
        <w:numPr>
          <w:ilvl w:val="0"/>
          <w:numId w:val="2"/>
        </w:numPr>
        <w:spacing w:after="100"/>
      </w:pPr>
      <w:r>
        <w:rPr>
          <w:rFonts w:ascii="Arial" w:cs="Arial" w:eastAsia="Arial" w:hAnsi="Arial"/>
          <w:sz w:val="22"/>
          <w:szCs w:val="22"/>
        </w:rPr>
        <w:t xml:space="preserve">Blast — pantouflage Philippe</w:t>
      </w:r>
    </w:p>
    <w:p>
      <w:pPr>
        <w:pStyle w:val="ListParagraph"/>
        <w:numPr>
          <w:ilvl w:val="0"/>
          <w:numId w:val="2"/>
        </w:numPr>
        <w:spacing w:after="100"/>
      </w:pPr>
      <w:r>
        <w:rPr>
          <w:rFonts w:ascii="Arial" w:cs="Arial" w:eastAsia="Arial" w:hAnsi="Arial"/>
          <w:sz w:val="22"/>
          <w:szCs w:val="22"/>
        </w:rPr>
        <w:t xml:space="preserve">Le Temps — Philippe, l’alter ego de Jupiter (2018)</w:t>
      </w:r>
    </w:p>
    <w:p>
      <w:pPr>
        <w:pStyle w:val="ListParagraph"/>
        <w:numPr>
          <w:ilvl w:val="0"/>
          <w:numId w:val="2"/>
        </w:numPr>
        <w:spacing w:after="100"/>
      </w:pPr>
      <w:r>
        <w:rPr>
          <w:rFonts w:ascii="Arial" w:cs="Arial" w:eastAsia="Arial" w:hAnsi="Arial"/>
          <w:sz w:val="22"/>
          <w:szCs w:val="22"/>
        </w:rPr>
        <w:t xml:space="preserve">Forbes France — liens chinois de Raffarin (2019)</w:t>
      </w:r>
    </w:p>
    <w:p>
      <w:pPr>
        <w:pStyle w:val="ListParagraph"/>
        <w:numPr>
          <w:ilvl w:val="0"/>
          <w:numId w:val="2"/>
        </w:numPr>
        <w:spacing w:after="100"/>
      </w:pPr>
      <w:r>
        <w:rPr>
          <w:rFonts w:ascii="Arial" w:cs="Arial" w:eastAsia="Arial" w:hAnsi="Arial"/>
          <w:sz w:val="22"/>
          <w:szCs w:val="22"/>
        </w:rPr>
        <w:t xml:space="preserve">Intelligence Online — Villepin, business chinois de Raffarin</w:t>
      </w:r>
    </w:p>
    <w:p>
      <w:pPr>
        <w:pStyle w:val="Heading2"/>
      </w:pPr>
      <w:r>
        <w:t xml:space="preserve">Sources institutionnelles</w:t>
      </w:r>
    </w:p>
    <w:p>
      <w:pPr>
        <w:pStyle w:val="ListParagraph"/>
        <w:numPr>
          <w:ilvl w:val="0"/>
          <w:numId w:val="2"/>
        </w:numPr>
        <w:spacing w:after="100"/>
      </w:pPr>
      <w:r>
        <w:rPr>
          <w:rFonts w:ascii="Arial" w:cs="Arial" w:eastAsia="Arial" w:hAnsi="Arial"/>
          <w:sz w:val="22"/>
          <w:szCs w:val="22"/>
        </w:rPr>
        <w:t xml:space="preserve">France China Foundation (francechinafoundation.org)</w:t>
      </w:r>
    </w:p>
    <w:p>
      <w:pPr>
        <w:pStyle w:val="ListParagraph"/>
        <w:numPr>
          <w:ilvl w:val="0"/>
          <w:numId w:val="2"/>
        </w:numPr>
        <w:spacing w:after="100"/>
      </w:pPr>
      <w:r>
        <w:rPr>
          <w:rFonts w:ascii="Arial" w:cs="Arial" w:eastAsia="Arial" w:hAnsi="Arial"/>
          <w:sz w:val="22"/>
          <w:szCs w:val="22"/>
        </w:rPr>
        <w:t xml:space="preserve">French-American Foundation (frenchamerican.org)</w:t>
      </w:r>
    </w:p>
    <w:p>
      <w:pPr>
        <w:pStyle w:val="ListParagraph"/>
        <w:numPr>
          <w:ilvl w:val="0"/>
          <w:numId w:val="2"/>
        </w:numPr>
        <w:spacing w:after="100"/>
      </w:pPr>
      <w:r>
        <w:rPr>
          <w:rFonts w:ascii="Arial" w:cs="Arial" w:eastAsia="Arial" w:hAnsi="Arial"/>
          <w:sz w:val="22"/>
          <w:szCs w:val="22"/>
        </w:rPr>
        <w:t xml:space="preserve">HATVP (hatvp.fr)</w:t>
      </w:r>
    </w:p>
    <w:p>
      <w:pPr>
        <w:pStyle w:val="ListParagraph"/>
        <w:numPr>
          <w:ilvl w:val="0"/>
          <w:numId w:val="2"/>
        </w:numPr>
        <w:spacing w:after="100"/>
      </w:pPr>
      <w:r>
        <w:rPr>
          <w:rFonts w:ascii="Arial" w:cs="Arial" w:eastAsia="Arial" w:hAnsi="Arial"/>
          <w:sz w:val="22"/>
          <w:szCs w:val="22"/>
        </w:rPr>
        <w:t xml:space="preserve">Conseil constitutionnel / Vie-publique.fr</w:t>
      </w:r>
    </w:p>
    <w:p>
      <w:pPr>
        <w:pStyle w:val="ListParagraph"/>
        <w:numPr>
          <w:ilvl w:val="0"/>
          <w:numId w:val="2"/>
        </w:numPr>
        <w:spacing w:after="100"/>
      </w:pPr>
      <w:r>
        <w:rPr>
          <w:rFonts w:ascii="Arial" w:cs="Arial" w:eastAsia="Arial" w:hAnsi="Arial"/>
          <w:sz w:val="22"/>
          <w:szCs w:val="22"/>
        </w:rPr>
        <w:t xml:space="preserve">Gouvernement.fr (info.gouv.fr)</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666666"/>
        <w:sz w:val="16"/>
        <w:szCs w:val="16"/>
      </w:rPr>
      <w:t xml:space="preserve">Confidentiel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pPr>
    <w:r>
      <w:rPr>
        <w:rFonts w:ascii="Arial" w:cs="Arial" w:eastAsia="Arial" w:hAnsi="Arial"/>
        <w:i/>
        <w:iCs/>
        <w:color w:val="666666"/>
        <w:sz w:val="16"/>
        <w:szCs w:val="16"/>
      </w:rPr>
      <w:t xml:space="preserve">Analyse structurelle – Convergence des centroïdes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75B6" w:sz="4" w:space="4"/>
      </w:pBdr>
      <w:spacing w:before="360" w:after="200"/>
      <w:outlineLvl w:val="0"/>
    </w:pPr>
    <w:rPr>
      <w:rFonts w:ascii="Arial" w:cs="Arial" w:eastAsia="Arial" w:hAnsi="Arial"/>
      <w:b/>
      <w:bCs/>
      <w:color w:val="1F3864"/>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2026-03-28T09:43:19.694Z</dcterms:created>
  <dcterms:modified xsi:type="dcterms:W3CDTF">2026-03-28T09:43:19.695Z</dcterms:modified>
</cp:coreProperties>
</file>

<file path=docProps/custom.xml><?xml version="1.0" encoding="utf-8"?>
<Properties xmlns="http://schemas.openxmlformats.org/officeDocument/2006/custom-properties" xmlns:vt="http://schemas.openxmlformats.org/officeDocument/2006/docPropsVTypes"/>
</file>