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3864"/>
          <w:sz w:val="40"/>
          <w:szCs w:val="40"/>
        </w:rPr>
        <w:t xml:space="preserve">RAPPORT D’INVESTIGATION</w:t>
      </w:r>
    </w:p>
    <w:p>
      <w:pPr>
        <w:spacing w:after="400"/>
        <w:jc w:val="center"/>
      </w:pPr>
      <w:r>
        <w:rPr>
          <w:rFonts w:ascii="Arial" w:cs="Arial" w:eastAsia="Arial" w:hAnsi="Arial"/>
          <w:b/>
          <w:bCs/>
          <w:sz w:val="34"/>
          <w:szCs w:val="34"/>
        </w:rPr>
        <w:t xml:space="preserve">Kohler, Saadé, le port du Havre
et le tsunami blanc</w:t>
      </w:r>
    </w:p>
    <w:p>
      <w:pPr>
        <w:spacing w:after="200"/>
        <w:jc w:val="center"/>
      </w:pPr>
      <w:r>
        <w:rPr>
          <w:rFonts w:ascii="Arial" w:cs="Arial" w:eastAsia="Arial" w:hAnsi="Arial"/>
          <w:color w:val="666666"/>
          <w:sz w:val="26"/>
          <w:szCs w:val="26"/>
        </w:rPr>
        <w:t xml:space="preserve">MSC, CMA CGM, narcotrafic portuaire et nexus médiatico-politique</w:t>
      </w:r>
    </w:p>
    <w:p>
      <w:pPr>
        <w:spacing w:after="800"/>
        <w:jc w:val="center"/>
      </w:pPr>
      <w:r>
        <w:rPr>
          <w:rFonts w:ascii="Arial" w:cs="Arial" w:eastAsia="Arial" w:hAnsi="Arial"/>
          <w:color w:val="999999"/>
          <w:sz w:val="22"/>
          <w:szCs w:val="22"/>
        </w:rPr>
        <w:t xml:space="preserve">Projet jamaisplusedouard-fr — Avril 2026</w:t>
      </w:r>
    </w:p>
    <w:p>
      <w:r>
        <w:br w:type="page"/>
      </w:r>
    </w:p>
    <w:p>
      <w:pPr>
        <w:pStyle w:val="Heading1"/>
      </w:pPr>
      <w:r>
        <w:t xml:space="preserve">I. Le conseil de surveillance du GPMH : Philippe et Kohler côte à côte</w:t>
      </w:r>
    </w:p>
    <w:p>
      <w:pPr>
        <w:pStyle w:val="Heading2"/>
      </w:pPr>
      <w:r>
        <w:t xml:space="preserve">1. Le dispositif institutionnel</w:t>
      </w:r>
    </w:p>
    <w:p>
      <w:pPr>
        <w:spacing w:after="120"/>
      </w:pPr>
      <w:r>
        <w:rPr>
          <w:rFonts w:ascii="Arial" w:cs="Arial" w:eastAsia="Arial" w:hAnsi="Arial"/>
          <w:sz w:val="22"/>
          <w:szCs w:val="22"/>
        </w:rPr>
        <w:t xml:space="preserve">Le Grand Port Maritime du Havre (GPMH) est un établissement public à caractère industriel et commercial dont le conseil de surveillance comprend des représentants de l’État (via l’Agence des participations de l’État, APE), des collectivités locales (dont le maire du Havre), des acteurs portuaires et des salariés.</w:t>
      </w:r>
    </w:p>
    <w:p>
      <w:pPr>
        <w:spacing w:after="120"/>
      </w:pPr>
      <w:r>
        <w:rPr>
          <w:rFonts w:ascii="Arial" w:cs="Arial" w:eastAsia="Arial" w:hAnsi="Arial"/>
          <w:sz w:val="22"/>
          <w:szCs w:val="22"/>
        </w:rPr>
        <w:t xml:space="preserve">De 2010 à 2012, deux hommes siègent simultanément au conseil de surveillance : Édouard Philippe, en tant que maire du Havre, et Alexis Kohler, en tant que représentant de l’APE (sous-directeur transports et audiovisuel). C’est cette coexistence qui rend le dossier explosif.</w:t>
      </w:r>
    </w:p>
    <w:p>
      <w:pPr>
        <w:pStyle w:val="Heading2"/>
      </w:pPr>
      <w:r>
        <w:t xml:space="preserve">2. Les votes Kohler en faveur de MSC</w:t>
      </w:r>
    </w:p>
    <w:p>
      <w:pPr>
        <w:spacing w:after="120"/>
      </w:pPr>
      <w:r>
        <w:rPr>
          <w:rFonts w:ascii="Arial" w:cs="Arial" w:eastAsia="Arial" w:hAnsi="Arial"/>
          <w:sz w:val="22"/>
          <w:szCs w:val="22"/>
        </w:rPr>
        <w:t xml:space="preserve">Mediapart révèle en août 2018 (journalistes Martine Orange et Laurent Mauduit) que Kohler a pris la parole et voté en faveur de contrats entre le GPMH et Terminal Normandie MSC (TNMSC), filiale française de l’armateur, lors des séances de septembre 2010 et septembre 2011. TNMSC est un acteur majeur de l’extension de Port 2000. Or la mère d’Alexis Kohler est cousine germaine de Rafaela Aponte, cofondatrice de MSC avec son mari Gianluigi Aponte.</w:t>
      </w:r>
    </w:p>
    <w:p>
      <w:pPr>
        <w:spacing w:after="120"/>
      </w:pPr>
      <w:r>
        <w:rPr>
          <w:rFonts w:ascii="Arial" w:cs="Arial" w:eastAsia="Arial" w:hAnsi="Arial"/>
          <w:sz w:val="22"/>
          <w:szCs w:val="22"/>
        </w:rPr>
        <w:t xml:space="preserve">Les procès-verbaux montrent que Kohler n’a jamais informé les autres membres du conseil de ses liens familiaux avec MSC et ne s’est jamais déporté sur les dossiers MSC. Ce comportement contraste avec celui d’Édouard Philippe qui, lui, se déportait régulièrement pour des conflits d’intérêts de moindre envergure. Mediapart note qu’une « main anonyme » a souligné « Grand Port maritime du Havre » sur la déclaration Kohler à la commission de déontologie en 2014, comme pour attirer l’attention sur ce silence.</w:t>
      </w:r>
    </w:p>
    <w:p>
      <w:pPr>
        <w:pStyle w:val="Heading2"/>
      </w:pPr>
      <w:r>
        <w:t xml:space="preserve">3. Chronologie judiciaire</w:t>
      </w:r>
    </w:p>
    <w:p>
      <w:pPr>
        <w:spacing w:after="120"/>
      </w:pPr>
      <w:r>
        <w:rPr>
          <w:rFonts w:ascii="Arial" w:cs="Arial" w:eastAsia="Arial" w:hAnsi="Arial"/>
          <w:sz w:val="22"/>
          <w:szCs w:val="22"/>
        </w:rPr>
        <w:t xml:space="preserve">Mai 2018 : Mediapart révèle le lien familial Kohler-Aponte. Le PNF ouvre une enquête préliminaire. Août 2018 : Anticor dépose plainte pour prise illégale d’intérêts (votes GPMH). Mars 2019 : troisième plainte Anticor pour faux et usage de faux. Août 2019 : classement sans suite par le PNF. Été 2019 : Mediapart révèle le 23 juin 2020 qu’Emmanuel Macron a personnellement écrit au PNF pour disculper Kohler, au lendemain d’un rapport de police l’accablant. Décembre 2019 : Anticor se porte partie civile. Novembre 2021 : Off-Investigation consacre le premier numéro de sa série documentaire « Emmanuel, un homme d’affaires à l’Élysée » au dossier. 23 septembre 2022 : Kohler est mis en examen pour prise illégale d’intérêts et placé sous le statut de témoin assisté pour trafic d’influence. Il conserve son poste à l’Élysée. Novembre 2024 : la cour d’appel de Paris confirme les poursuites et écarte la prescription. Ses anciens supérieurs à l’APE, Bruno Bézard et Jean-Dominique Comolli, sont également mis en examen pour complicité.</w:t>
      </w:r>
    </w:p>
    <w:p>
      <w:pPr>
        <w:pStyle w:val="Heading2"/>
      </w:pPr>
      <w:r>
        <w:t xml:space="preserve">4. La question Philippe</w:t>
      </w:r>
    </w:p>
    <w:p>
      <w:pPr>
        <w:spacing w:after="120"/>
      </w:pPr>
      <w:r>
        <w:rPr>
          <w:rFonts w:ascii="Arial" w:cs="Arial" w:eastAsia="Arial" w:hAnsi="Arial"/>
          <w:sz w:val="22"/>
          <w:szCs w:val="22"/>
        </w:rPr>
        <w:t xml:space="preserve">Philippe n’est pas mis en cause dans l’affaire Kohler. Cependant, sa présence au même conseil de surveillance pendant la période des votes litigieux pose la question de ce qu’il savait. Si les liens familiaux de Kohler avec MSC étaient inconnus des autres membres du conseil (ce que les PV suggèrent), Philippe ne pouvait les connaître. Mais s’il les connaissait, son silence constituerait un manquement déontologique distinct. Cette question reste ouverte.</w:t>
      </w:r>
    </w:p>
    <w:p>
      <w:r>
        <w:br w:type="page"/>
      </w:r>
    </w:p>
    <w:p>
      <w:pPr>
        <w:pStyle w:val="Heading1"/>
      </w:pPr>
      <w:r>
        <w:t xml:space="preserve">II. CMA CGM, Saadé et le Havre : la convergence d’intérêts</w:t>
      </w:r>
    </w:p>
    <w:p>
      <w:pPr>
        <w:pStyle w:val="Heading2"/>
      </w:pPr>
      <w:r>
        <w:t xml:space="preserve">1. Le poids de CMA CGM au Havre</w:t>
      </w:r>
    </w:p>
    <w:p>
      <w:pPr>
        <w:spacing w:after="120"/>
      </w:pPr>
      <w:r>
        <w:rPr>
          <w:rFonts w:ascii="Arial" w:cs="Arial" w:eastAsia="Arial" w:hAnsi="Arial"/>
          <w:sz w:val="22"/>
          <w:szCs w:val="22"/>
        </w:rPr>
        <w:t xml:space="preserve">CMA CGM (3ème armateur mondial, fondé par Jacques Saadé en 1978, dirigé par Rodolphe Saadé depuis 2017) opère au Havre via la Générale de Manutention Portuaire (GMP), qui exploite un terminal majeur à Port 2000. CMA CGM est membre d’Ocean Alliance avec COSCO (Chine), Evergreen et OOCL depuis 2016 — un accord stratégique qui fait transiter une part massive du trafic conteneurisé mondial par Le Havre.</w:t>
      </w:r>
    </w:p>
    <w:p>
      <w:pPr>
        <w:spacing w:after="120"/>
      </w:pPr>
      <w:r>
        <w:rPr>
          <w:rFonts w:ascii="Arial" w:cs="Arial" w:eastAsia="Arial" w:hAnsi="Arial"/>
          <w:sz w:val="22"/>
          <w:szCs w:val="22"/>
        </w:rPr>
        <w:t xml:space="preserve">Décideurs Magazine confirme que Rodolphe Saadé « connaît depuis longtemps Édouard Philippe, maire du Havre, premier port français ». Philippe a inauguré le siège CEVA Logistics (filiale CMA CGM, rachetée en 2019) en novembre 2019 en tant que Premier ministre — un acte symboliquement fort qui lie l’image du chef du gouvernement à celle de l’armateur.</w:t>
      </w:r>
    </w:p>
    <w:p>
      <w:pPr>
        <w:pStyle w:val="Heading2"/>
      </w:pPr>
      <w:r>
        <w:t xml:space="preserve">2. L’empire médiatique Saadé</w:t>
      </w:r>
    </w:p>
    <w:p>
      <w:pPr>
        <w:spacing w:after="120"/>
      </w:pPr>
      <w:r>
        <w:rPr>
          <w:rFonts w:ascii="Arial" w:cs="Arial" w:eastAsia="Arial" w:hAnsi="Arial"/>
          <w:sz w:val="22"/>
          <w:szCs w:val="22"/>
        </w:rPr>
        <w:t xml:space="preserve">En moins de trois ans, Rodolphe Saadé a bâti un pôle médiatique de premier plan : La Provence et Corse-Matin (81 M€, 2022), La Tribune (2023), Altice Média (BFM TV, RMC, BFM Business, 10 BFM Régions, RMC Sport, 1,55 Md€, mars 2024), Brut (2025), parts dans M6 (10,25 %). C’est le troisième pôle médiatique français après Bolloré et Arnault.</w:t>
      </w:r>
    </w:p>
    <w:p>
      <w:pPr>
        <w:spacing w:after="120"/>
      </w:pPr>
      <w:r>
        <w:rPr>
          <w:rFonts w:ascii="Arial" w:cs="Arial" w:eastAsia="Arial" w:hAnsi="Arial"/>
          <w:sz w:val="22"/>
          <w:szCs w:val="22"/>
        </w:rPr>
        <w:t xml:space="preserve">L’Informé note que le rachat d’Altice Média représentait 14 fois l’Ebitda 2023 — un prix que le vendeur (Drahi) qualifiait en substance de réaliste au motif qu’ « une influence politique, ça n’a pas de prix ». Six mois après, CMA CGM a déjà déprécié 250 millions et le pôle média affiche 296 millions de déficit net en 2024. L’investissement médiatique est donc structurellement déficitaire, ce qui renforce la thèse d’un objectif d’influence plutôt que de rentabilité.</w:t>
      </w:r>
    </w:p>
    <w:p>
      <w:pPr>
        <w:pStyle w:val="Heading2"/>
      </w:pPr>
      <w:r>
        <w:t xml:space="preserve">3. L’ingérence éditoriale documentée</w:t>
      </w:r>
    </w:p>
    <w:p>
      <w:pPr>
        <w:spacing w:after="120"/>
      </w:pPr>
      <w:r>
        <w:rPr>
          <w:rFonts w:ascii="Arial" w:cs="Arial" w:eastAsia="Arial" w:hAnsi="Arial"/>
          <w:sz w:val="22"/>
          <w:szCs w:val="22"/>
        </w:rPr>
        <w:t xml:space="preserve">En mars 2024, Aurélien Viers, directeur de la rédaction de La Provence, est mis à pied après une Une jugée défavorable à Emmanuel Macron. L’incident provoque une grève de plusieurs titres du groupe et génère une défiance durable sur la protection de l’indépendance éditoriale. Malgré la signature d’une charte d’indépendance en juin 2024, l’incident démontre que l’actionnaire est prêt à intervenir lorsque la couverture du pouvoir exécutif ne lui convient pas.</w:t>
      </w:r>
    </w:p>
    <w:p>
      <w:pPr>
        <w:pStyle w:val="Heading2"/>
      </w:pPr>
      <w:r>
        <w:t xml:space="preserve">4. Le triangle Saadé-Philippe-Macron</w:t>
      </w:r>
    </w:p>
    <w:p>
      <w:pPr>
        <w:spacing w:after="120"/>
      </w:pPr>
      <w:r>
        <w:rPr>
          <w:rFonts w:ascii="Arial" w:cs="Arial" w:eastAsia="Arial" w:hAnsi="Arial"/>
          <w:sz w:val="22"/>
          <w:szCs w:val="22"/>
        </w:rPr>
        <w:t xml:space="preserve">L’Élysée a soutenu l’arrivée de CMA CGM au capital d’Air France. Macron a emmené Saadé dans ses bagages lors de voyages officiels en Algérie, aux États-Unis et au Liban. La Haute Autorité pour la transparence de la vie publique (HATVP) avait pointé des « risques déontologiques substantiels » lorsque l’ancien ministre des Transports Jean-Baptiste Djebbari a voulu rejoindre CMA CGM. Le pantouflage est surveillé, mais la relation inverse — un armateur qui investit 1,55 milliard dans des médias susceptibles de favoriser un candidat qui gère son port principal — n’est encadrée par aucune régulation.</w:t>
      </w:r>
    </w:p>
    <w:p>
      <w:r>
        <w:br w:type="page"/>
      </w:r>
    </w:p>
    <w:p>
      <w:pPr>
        <w:pStyle w:val="Heading1"/>
      </w:pPr>
      <w:r>
        <w:t xml:space="preserve">III. Le tsunami blanc : l’explosion du narcotrafic portuaire</w:t>
      </w:r>
    </w:p>
    <w:p>
      <w:pPr>
        <w:pStyle w:val="Heading2"/>
      </w:pPr>
      <w:r>
        <w:t xml:space="preserve">1. Les chiffres de la catastrophe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6"/>
        <w:gridCol w:w="2500"/>
      </w:tblGrid>
      <w:tr>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Année</w:t>
            </w:r>
          </w:p>
        </w:tc>
        <w:tc>
          <w:tcPr>
            <w:tcW w:type="dxa" w:w="2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Saisies Le Havre</w:t>
            </w:r>
          </w:p>
        </w:tc>
        <w:tc>
          <w:tcPr>
            <w:tcW w:type="dxa" w:w="250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Saisies nationales</w:t>
            </w:r>
          </w:p>
        </w:tc>
        <w:tc>
          <w:tcPr>
            <w:tcW w:type="dxa" w:w="2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Évolution</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2019</w:t>
            </w:r>
          </w:p>
        </w:tc>
        <w:tc>
          <w:tcPr>
            <w:tcW w:type="dxa" w:w="2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750 kg</w:t>
            </w:r>
          </w:p>
        </w:tc>
        <w:tc>
          <w:tcPr>
            <w:tcW w:type="dxa" w:w="2506"/>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n/d</w:t>
            </w:r>
          </w:p>
        </w:tc>
        <w:tc>
          <w:tcPr>
            <w:tcW w:type="dxa" w:w="2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 tonnes</w:t>
            </w:r>
          </w:p>
        </w:tc>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13</w:t>
            </w:r>
          </w:p>
        </w:tc>
      </w:tr>
      <w:tr>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2023</w:t>
            </w:r>
          </w:p>
        </w:tc>
        <w:tc>
          <w:tcPr>
            <w:tcW w:type="dxa" w:w="2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5,5 tonnes</w:t>
            </w:r>
          </w:p>
        </w:tc>
        <w:tc>
          <w:tcPr>
            <w:tcW w:type="dxa" w:w="2506"/>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23,2 tonnes</w:t>
            </w:r>
          </w:p>
        </w:tc>
        <w:tc>
          <w:tcPr>
            <w:tcW w:type="dxa" w:w="2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Baisse temporaire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14,3 tonnes</w:t>
            </w:r>
          </w:p>
        </w:tc>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49 tonnes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19 vs 2019, record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Le Havre représente 78 % des saisies portuaires françaises. Si l’on ajoute les saisies en amont (conteneurs interceptés sur des ports étrangers ou aux Antilles à destination du Havre), le total pour 2024 atteint 22 tonnes. Les spécialistes estiment que les saisies ne représentent que 5 à 20 % du trafic réel — soit entre 70 et 280 tonnes de cocaïne transitant annuellement par Le Havre. Les experts parlent d’un « tsunami blanc ».</w:t>
      </w:r>
    </w:p>
    <w:p>
      <w:pPr>
        <w:pStyle w:val="Heading2"/>
      </w:pPr>
      <w:r>
        <w:t xml:space="preserve">2. Le mode opératoire : conteneurs clones et dockers complices</w:t>
      </w:r>
    </w:p>
    <w:p>
      <w:pPr>
        <w:spacing w:after="120"/>
      </w:pPr>
      <w:r>
        <w:rPr>
          <w:rFonts w:ascii="Arial" w:cs="Arial" w:eastAsia="Arial" w:hAnsi="Arial"/>
          <w:sz w:val="22"/>
          <w:szCs w:val="22"/>
        </w:rPr>
        <w:t xml:space="preserve">La saisie du 30 décembre 2024 (2 tonnes) révèle un nouveau mode opératoire : le « conteneur clone ». Un conteneur portant un marquage identique à un conteneur référencé dans la cargaison d’un navire est déposé à l’avance en zone de déchargement. Le conteneur contenant la drogue sort de la zone portuaire sans passer par le scanner. Un docker de 22 ans et un chauffeur routier de 41 ans sont mis en examen. Six autres interpellations suivent en 2025.</w:t>
      </w:r>
    </w:p>
    <w:p>
      <w:pPr>
        <w:spacing w:after="120"/>
      </w:pPr>
      <w:r>
        <w:rPr>
          <w:rFonts w:ascii="Arial" w:cs="Arial" w:eastAsia="Arial" w:hAnsi="Arial"/>
          <w:sz w:val="22"/>
          <w:szCs w:val="22"/>
        </w:rPr>
        <w:t xml:space="preserve">L’implication de dockers est récurrente : en huit ans, la police judiciaire du Havre comptabilise une quinzaine d’enlèvements de dockers, dont un torturé et tué en 2020, et celui d’une femme de docker. En septembre 2024, six hommes dont deux dockers sont interpellés pour avoir fait sortir 64 kg de cocaïne d’un porte-conteneurs. Un réseau démantelé en 2025 opérait entre Le Havre, Rouen, Dunkerque et le Maroc.</w:t>
      </w:r>
    </w:p>
    <w:p>
      <w:pPr>
        <w:pStyle w:val="Heading2"/>
      </w:pPr>
      <w:r>
        <w:t xml:space="preserve">3. La zone portuaire : un trou noir sécuritaire</w:t>
      </w:r>
    </w:p>
    <w:p>
      <w:pPr>
        <w:spacing w:after="120"/>
      </w:pPr>
      <w:r>
        <w:rPr>
          <w:rFonts w:ascii="Arial" w:cs="Arial" w:eastAsia="Arial" w:hAnsi="Arial"/>
          <w:sz w:val="22"/>
          <w:szCs w:val="22"/>
        </w:rPr>
        <w:t xml:space="preserve">La zone portuaire du Havre couvre 10 000 hectares, soit l’équivalent de Paris intra-muros. 8 000 conteneurs y transitent chaque jour. Moins de 5 % sont contrôlés. 350 douaniers travaillent au port. L’OFAST n’y est installé que depuis septembre 2023 (21 agents). Le scanner mobile n’est entré en fonction qu’en janvier 2025. Un policier spécialisé confie : « La drogue part tous les jours et les saisies n’ont que peu de conséquences sur le trafic. » Un magistrat observe que les narcotrafiquants sont capables de donner une partie de leur marchandise pour s’assurer le passage du reste.</w:t>
      </w:r>
    </w:p>
    <w:p>
      <w:pPr>
        <w:pStyle w:val="Heading2"/>
      </w:pPr>
      <w:r>
        <w:t xml:space="preserve">4. La connexion MSC-cocaïne</w:t>
      </w:r>
    </w:p>
    <w:p>
      <w:pPr>
        <w:spacing w:after="120"/>
      </w:pPr>
      <w:r>
        <w:rPr>
          <w:rFonts w:ascii="Arial" w:cs="Arial" w:eastAsia="Arial" w:hAnsi="Arial"/>
          <w:sz w:val="22"/>
          <w:szCs w:val="22"/>
        </w:rPr>
        <w:t xml:space="preserve">Off-Investigation souligne que « plusieurs cargos MSC ont été découverts avec d’importantes quantités de cocaïne », confirmé par une enquête de Bloomberg. Alors que Kohler est mis en examen pour ses liens avec MSC, et que MSC est le deuxième armateur mondial opérant au Havre via TNMSC, la question du lien entre conflits d’intérêts de Kohler et capacité des autorités à contrôler les opérations MSC au port se pose, même si aucune preuve directe n’a été établie à ce jour.</w:t>
      </w:r>
    </w:p>
    <w:p>
      <w:r>
        <w:br w:type="page"/>
      </w:r>
    </w:p>
    <w:p>
      <w:pPr>
        <w:pStyle w:val="Heading1"/>
      </w:pPr>
      <w:r>
        <w:t xml:space="preserve">IV. La réponse de la municipalité Philippe</w:t>
      </w:r>
    </w:p>
    <w:p>
      <w:pPr>
        <w:spacing w:after="120"/>
      </w:pPr>
      <w:r>
        <w:rPr>
          <w:rFonts w:ascii="Arial" w:cs="Arial" w:eastAsia="Arial" w:hAnsi="Arial"/>
          <w:sz w:val="22"/>
          <w:szCs w:val="22"/>
        </w:rPr>
        <w:t xml:space="preserve">Bruno Retailleau s’est rendu au Havre le 13 janvier 2025 pour une réunion de travail sur le narcotrafic, en présence du maire Édouard Philippe. Le ministre a annoncé la création d’une CROSS portuaire (cellule de renseignement opérationnel sur les stupéfiants), l’arrivée de deux analystes supplémentaires et l’entrée en fonction d’un scanner mobile.</w:t>
      </w:r>
    </w:p>
    <w:p>
      <w:pPr>
        <w:spacing w:after="120"/>
      </w:pPr>
      <w:r>
        <w:rPr>
          <w:rFonts w:ascii="Arial" w:cs="Arial" w:eastAsia="Arial" w:hAnsi="Arial"/>
          <w:sz w:val="22"/>
          <w:szCs w:val="22"/>
        </w:rPr>
        <w:t xml:space="preserve">Ces mesures, bien que positives, restent tardives et sous-dimensionnées au regard de l’ampleur du problème. L’OFAST n’a été installé au Havre qu’en septembre 2023, soit cinq ans après l’explosion des saisies. Le scanner mobile est entré en service en janvier 2025, alors que les « conteneurs clones » opèrent depuis des mois. La question de la responsabilité du maire dans la sécurisation de son port, premier de France, est légitime — d’autant que Philippe est à la tête de la ville depuis 2010.</w:t>
      </w:r>
    </w:p>
    <w:p>
      <w:r>
        <w:br w:type="page"/>
      </w:r>
    </w:p>
    <w:p>
      <w:pPr>
        <w:pStyle w:val="Heading1"/>
      </w:pPr>
      <w:r>
        <w:t xml:space="preserve">V. Analyse structurelle : la convergence d’intérêts</w:t>
      </w:r>
    </w:p>
    <w:p>
      <w:pPr>
        <w:pStyle w:val="Heading2"/>
      </w:pPr>
      <w:r>
        <w:t xml:space="preserve">1. Le nexus portuaire</w:t>
      </w:r>
    </w:p>
    <w:p>
      <w:pPr>
        <w:spacing w:after="120"/>
      </w:pPr>
      <w:r>
        <w:rPr>
          <w:rFonts w:ascii="Arial" w:cs="Arial" w:eastAsia="Arial" w:hAnsi="Arial"/>
          <w:sz w:val="22"/>
          <w:szCs w:val="22"/>
        </w:rPr>
        <w:t xml:space="preserve">Le Havre est le premier port français, géré par un maire candidat à la présidentielle. Les deux plus grands armateurs mondiaux qui y opèrent (MSC via TNMSC, CMA CGM via GMP) sont respectivement liés au secrétaire général de l’Élysée (Kohler, lien familial, mis en examen) et au candidat lui-même (Philippe, proximité personnelle avec Saadé). Le troisième armateur mondial (CMA CGM) possède également le principal groupe médiatique d’information en continu de France (BFM TV/RMC).</w:t>
      </w:r>
    </w:p>
    <w:p>
      <w:pPr>
        <w:pStyle w:val="Heading2"/>
      </w:pPr>
      <w:r>
        <w:t xml:space="preserve">2. Le nexus médiatique</w:t>
      </w:r>
    </w:p>
    <w:p>
      <w:pPr>
        <w:spacing w:after="120"/>
      </w:pPr>
      <w:r>
        <w:rPr>
          <w:rFonts w:ascii="Arial" w:cs="Arial" w:eastAsia="Arial" w:hAnsi="Arial"/>
          <w:sz w:val="22"/>
          <w:szCs w:val="22"/>
        </w:rPr>
        <w:t xml:space="preserve">Saadé contrôle désormais BFM TV (première chaîne d’information française), RMC, BFM Business, 10 chaînes BFM Régions, La Provence, Corse-Matin, La Tribune, Brut, et détient des parts dans M6. L’Informé rapporte que le pôle média a enregistré 296 millions de déficit net en 2024. Un investissement structurellement déficitaire dans les médias suggère un objectif d’influence plutôt que de rendement financier — exactement comme le formulait le vendeur : « une influence politique, ça n’a pas de prix ».</w:t>
      </w:r>
    </w:p>
    <w:p>
      <w:pPr>
        <w:spacing w:after="120"/>
      </w:pPr>
      <w:r>
        <w:rPr>
          <w:rFonts w:ascii="Arial" w:cs="Arial" w:eastAsia="Arial" w:hAnsi="Arial"/>
          <w:sz w:val="22"/>
          <w:szCs w:val="22"/>
        </w:rPr>
        <w:t xml:space="preserve">La mise à pied du directeur de La Provence après une Une défavorable à Macron démontre que cette influence peut s’exercer concrètement et rapidement. La question ouverte est de savoir si cette influence s’exercera en faveur de Philippe pendant la campagne 2027, ce qui constituerait un conflit d’intérêts structurel sans précédent : un armateur opérant dans le port d’un candidat utilisant ses médias pour favoriser l’élection de ce même candidat.</w:t>
      </w:r>
    </w:p>
    <w:p>
      <w:pPr>
        <w:pStyle w:val="Heading2"/>
      </w:pPr>
      <w:r>
        <w:t xml:space="preserve">3. Le nexus sécuritaire</w:t>
      </w:r>
    </w:p>
    <w:p>
      <w:pPr>
        <w:spacing w:after="120"/>
      </w:pPr>
      <w:r>
        <w:rPr>
          <w:rFonts w:ascii="Arial" w:cs="Arial" w:eastAsia="Arial" w:hAnsi="Arial"/>
          <w:sz w:val="22"/>
          <w:szCs w:val="22"/>
        </w:rPr>
        <w:t xml:space="preserve">L’explosion du narcotrafic au Havre (×19 en cinq ans) pose la question de la complaisance structurelle. Sans alléguer de complicité directe, plusieurs éléments factuels interrogent : le sous-dimensionnement chronique des contrôles (moins de 5 % des conteneurs), l’installation tardive de l’OFAST (septembre 2023), l’absence de scanner fixe performant, la prolifération des enlèvements de dockers sans réponse structurelle visible pendant des années.</w:t>
      </w:r>
    </w:p>
    <w:p>
      <w:pPr>
        <w:spacing w:after="120"/>
      </w:pPr>
      <w:r>
        <w:rPr>
          <w:rFonts w:ascii="Arial" w:cs="Arial" w:eastAsia="Arial" w:hAnsi="Arial"/>
          <w:sz w:val="22"/>
          <w:szCs w:val="22"/>
        </w:rPr>
        <w:t xml:space="preserve">Le développement portuaire (extension Port 2000, augmentation du trafic conteneurisé) est à la fois une source de richesse économique pour la ville et un vecteur d’exposition au narcotrafic. Le maire, dont la légitimité politique repose en partie sur la prospérité portuaire, se trouve dans une position de conflit d’intérêts structurel entre promotion du port et contrôle de ses dérives.</w:t>
      </w:r>
    </w:p>
    <w:p>
      <w:r>
        <w:br w:type="page"/>
      </w:r>
    </w:p>
    <w:p>
      <w:pPr>
        <w:pStyle w:val="Heading1"/>
      </w:pPr>
      <w:r>
        <w:t xml:space="preserve">VI. Questions ouvertes pour l’investigation</w:t>
      </w:r>
    </w:p>
    <w:p>
      <w:pPr>
        <w:spacing w:after="120"/>
      </w:pPr>
      <w:r>
        <w:rPr>
          <w:rFonts w:ascii="Arial" w:cs="Arial" w:eastAsia="Arial" w:hAnsi="Arial"/>
          <w:sz w:val="22"/>
          <w:szCs w:val="22"/>
        </w:rPr>
        <w:t xml:space="preserve">1. Quelle est l’évolution quantitative de la couverture de Philippe sur BFM TV/RMC depuis le rachat par Saadé (mars 2024) ? Une analyse médiamétrique comparative (avant/après rachat) constituerait une preuve matérielle de biais éditorial.</w:t>
      </w:r>
    </w:p>
    <w:p>
      <w:pPr>
        <w:spacing w:after="120"/>
      </w:pPr>
      <w:r>
        <w:rPr>
          <w:rFonts w:ascii="Arial" w:cs="Arial" w:eastAsia="Arial" w:hAnsi="Arial"/>
          <w:sz w:val="22"/>
          <w:szCs w:val="22"/>
        </w:rPr>
        <w:t xml:space="preserve">2. Quels sont les flux financiers entre CMA CGM et les activités portuaires du Havre ? Conventions d’exploitation de terminaux, redevances, investissements : le montant des intérêts économiques de Saadé au Havre est-il public ?</w:t>
      </w:r>
    </w:p>
    <w:p>
      <w:pPr>
        <w:spacing w:after="120"/>
      </w:pPr>
      <w:r>
        <w:rPr>
          <w:rFonts w:ascii="Arial" w:cs="Arial" w:eastAsia="Arial" w:hAnsi="Arial"/>
          <w:sz w:val="22"/>
          <w:szCs w:val="22"/>
        </w:rPr>
        <w:t xml:space="preserve">3. Philippe a-t-il connaissance des liens familiaux Kohler-Aponte lorsqu’ils siégeaient ensemble au conseil de surveillance du GPMH ? Cette question n’a jamais été publiquement posée.</w:t>
      </w:r>
    </w:p>
    <w:p>
      <w:pPr>
        <w:spacing w:after="120"/>
      </w:pPr>
      <w:r>
        <w:rPr>
          <w:rFonts w:ascii="Arial" w:cs="Arial" w:eastAsia="Arial" w:hAnsi="Arial"/>
          <w:sz w:val="22"/>
          <w:szCs w:val="22"/>
        </w:rPr>
        <w:t xml:space="preserve">4. Quelle est la position officielle de Philippe sur le narcotrafic portuaire depuis 2019 ? A-t-il demandé des moyens supplémentaires avant la visite de Retailleau en janvier 2025 ?</w:t>
      </w:r>
    </w:p>
    <w:p>
      <w:pPr>
        <w:spacing w:after="120"/>
      </w:pPr>
      <w:r>
        <w:rPr>
          <w:rFonts w:ascii="Arial" w:cs="Arial" w:eastAsia="Arial" w:hAnsi="Arial"/>
          <w:sz w:val="22"/>
          <w:szCs w:val="22"/>
        </w:rPr>
        <w:t xml:space="preserve">5. L’alliance COSCO-CMA CGM (Ocean Alliance) fait-elle l’objet d’une surveillance spécifique, compte tenu des liens Philippe-FCF et des enjeux géopolitiques sino-français documentés dans le rapport FCF ?</w:t>
      </w:r>
    </w:p>
    <w:p>
      <w:pPr>
        <w:spacing w:after="120"/>
      </w:pPr>
      <w:r>
        <w:rPr>
          <w:rFonts w:ascii="Arial" w:cs="Arial" w:eastAsia="Arial" w:hAnsi="Arial"/>
          <w:sz w:val="22"/>
          <w:szCs w:val="22"/>
        </w:rPr>
        <w:t xml:space="preserve">6. France Télévisions a déprogrammé un Complément d’enquête prévu sur Kohler. Qui a ordonné cette déprogrammation et pour quels motifs ?</w:t>
      </w:r>
    </w:p>
    <w:p>
      <w:r>
        <w:br w:type="page"/>
      </w:r>
    </w:p>
    <w:p>
      <w:pPr>
        <w:pStyle w:val="Heading1"/>
      </w:pPr>
      <w:r>
        <w:t xml:space="preserve">VII. Sources</w:t>
      </w:r>
    </w:p>
    <w:p>
      <w:pPr>
        <w:spacing w:after="120"/>
      </w:pPr>
      <w:r>
        <w:rPr>
          <w:rFonts w:ascii="Arial" w:cs="Arial" w:eastAsia="Arial" w:hAnsi="Arial"/>
          <w:b/>
          <w:bCs/>
          <w:sz w:val="22"/>
          <w:szCs w:val="22"/>
        </w:rPr>
        <w:t xml:space="preserve">Sources judiciaires et institutionnelles</w:t>
      </w:r>
    </w:p>
    <w:p>
      <w:pPr>
        <w:spacing w:after="120"/>
      </w:pPr>
      <w:r>
        <w:rPr>
          <w:rFonts w:ascii="Arial" w:cs="Arial" w:eastAsia="Arial" w:hAnsi="Arial"/>
          <w:sz w:val="22"/>
          <w:szCs w:val="22"/>
        </w:rPr>
        <w:t xml:space="preserve">Legifrance — Décrets GPMH, statuts du port. HATVP — Déclarations Kohler, avis Djebbari/CMA CGM. Parquet de Paris / JUNALCO — communiqués saisies cocaïne 2024-2025.</w:t>
      </w:r>
    </w:p>
    <w:p>
      <w:pPr>
        <w:spacing w:after="120"/>
      </w:pPr>
      <w:r>
        <w:rPr>
          <w:rFonts w:ascii="Arial" w:cs="Arial" w:eastAsia="Arial" w:hAnsi="Arial"/>
          <w:b/>
          <w:bCs/>
          <w:sz w:val="22"/>
          <w:szCs w:val="22"/>
        </w:rPr>
        <w:t xml:space="preserve">Presse d’investigation</w:t>
      </w:r>
    </w:p>
    <w:p>
      <w:pPr>
        <w:spacing w:after="120"/>
      </w:pPr>
      <w:r>
        <w:rPr>
          <w:rFonts w:ascii="Arial" w:cs="Arial" w:eastAsia="Arial" w:hAnsi="Arial"/>
          <w:sz w:val="22"/>
          <w:szCs w:val="22"/>
        </w:rPr>
        <w:t xml:space="preserve">Mediapart (Martine Orange, Laurent Mauduit) — révélations Kohler-MSC-GPMH 2018. Off-Investigation — série documentaire « Emmanuel, un homme d’affaires à l’Élysée », épisode Kohler. Bloomberg — enquête MSC-cocaïne.</w:t>
      </w:r>
    </w:p>
    <w:p>
      <w:pPr>
        <w:spacing w:after="120"/>
      </w:pPr>
      <w:r>
        <w:rPr>
          <w:rFonts w:ascii="Arial" w:cs="Arial" w:eastAsia="Arial" w:hAnsi="Arial"/>
          <w:b/>
          <w:bCs/>
          <w:sz w:val="22"/>
          <w:szCs w:val="22"/>
        </w:rPr>
        <w:t xml:space="preserve">Presse généraliste</w:t>
      </w:r>
    </w:p>
    <w:p>
      <w:pPr>
        <w:spacing w:after="120"/>
      </w:pPr>
      <w:r>
        <w:rPr>
          <w:rFonts w:ascii="Arial" w:cs="Arial" w:eastAsia="Arial" w:hAnsi="Arial"/>
          <w:sz w:val="22"/>
          <w:szCs w:val="22"/>
        </w:rPr>
        <w:t xml:space="preserve">Europe 1 — « Kohler a voté des contrats MSC au port du Havre ». France 24 — mise en examen Kohler. Décideurs Magazine — relations Saadé-Philippe. L’Informé — pertes CMA Média 2024.</w:t>
      </w:r>
    </w:p>
    <w:p>
      <w:pPr>
        <w:spacing w:after="120"/>
      </w:pPr>
      <w:r>
        <w:rPr>
          <w:rFonts w:ascii="Arial" w:cs="Arial" w:eastAsia="Arial" w:hAnsi="Arial"/>
          <w:b/>
          <w:bCs/>
          <w:sz w:val="22"/>
          <w:szCs w:val="22"/>
        </w:rPr>
        <w:t xml:space="preserve">Données narcotrafic</w:t>
      </w:r>
    </w:p>
    <w:p>
      <w:pPr>
        <w:spacing w:after="120"/>
      </w:pPr>
      <w:r>
        <w:rPr>
          <w:rFonts w:ascii="Arial" w:cs="Arial" w:eastAsia="Arial" w:hAnsi="Arial"/>
          <w:sz w:val="22"/>
          <w:szCs w:val="22"/>
        </w:rPr>
        <w:t xml:space="preserve">Franceinfo / Envoyé spécial — saisies Le Havre 2019-2024, taux de contrôle. France Bleu Normandie — conteneurs clones, enlèvements dockers, réseaux démantelés. Gendarmerie nationale (Gendinfo) — opération 30/12/2024.</w:t>
      </w:r>
    </w:p>
    <w:p>
      <w:pPr>
        <w:spacing w:after="120"/>
      </w:pPr>
      <w:r>
        <w:rPr>
          <w:rFonts w:ascii="Arial" w:cs="Arial" w:eastAsia="Arial" w:hAnsi="Arial"/>
          <w:b/>
          <w:bCs/>
          <w:sz w:val="22"/>
          <w:szCs w:val="22"/>
        </w:rPr>
        <w:t xml:space="preserve">Presse économique et médiatique</w:t>
      </w:r>
    </w:p>
    <w:p>
      <w:pPr>
        <w:spacing w:after="120"/>
      </w:pPr>
      <w:r>
        <w:rPr>
          <w:rFonts w:ascii="Arial" w:cs="Arial" w:eastAsia="Arial" w:hAnsi="Arial"/>
          <w:sz w:val="22"/>
          <w:szCs w:val="22"/>
        </w:rPr>
        <w:t xml:space="preserve">Stratégies — portrait Saadé. Actu-Transport-Logistique — audition Arcom. Wikipédia — articles Rodolphe Saadé, CMA Média, Alexis Kohler.</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2026-04-01T02:24:15.264Z</dcterms:created>
  <dcterms:modified xsi:type="dcterms:W3CDTF">2026-04-01T02:24:15.265Z</dcterms:modified>
</cp:coreProperties>
</file>

<file path=docProps/custom.xml><?xml version="1.0" encoding="utf-8"?>
<Properties xmlns="http://schemas.openxmlformats.org/officeDocument/2006/custom-properties" xmlns:vt="http://schemas.openxmlformats.org/officeDocument/2006/docPropsVTypes"/>
</file>