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COMPLÉMENTAIRE</w:t>
      </w:r>
    </w:p>
    <w:p>
      <w:pPr>
        <w:spacing w:after="120"/>
      </w:pPr>
    </w:p>
    <w:p>
      <w:pPr>
        <w:spacing w:after="200"/>
        <w:jc w:val="center"/>
      </w:pPr>
      <w:r>
        <w:rPr>
          <w:rFonts w:ascii="Arial" w:cs="Arial" w:eastAsia="Arial" w:hAnsi="Arial"/>
          <w:b/>
          <w:bCs/>
          <w:color w:val="1F3864"/>
          <w:sz w:val="44"/>
          <w:szCs w:val="44"/>
        </w:rPr>
        <w:t xml:space="preserve">Bilan fiscal, social et sanitaire</w:t>
      </w:r>
    </w:p>
    <w:p>
      <w:pPr>
        <w:spacing w:after="100"/>
        <w:jc w:val="center"/>
      </w:pPr>
      <w:r>
        <w:rPr>
          <w:rFonts w:ascii="Arial" w:cs="Arial" w:eastAsia="Arial" w:hAnsi="Arial"/>
          <w:color w:val="2E75B6"/>
          <w:sz w:val="32"/>
          <w:szCs w:val="32"/>
        </w:rPr>
        <w:t xml:space="preserve">Les dossiers manquants du mandat Philippe</w:t>
      </w:r>
    </w:p>
    <w:p>
      <w:pPr>
        <w:spacing w:after="80"/>
        <w:jc w:val="center"/>
      </w:pPr>
      <w:r>
        <w:rPr>
          <w:rFonts w:ascii="Arial" w:cs="Arial" w:eastAsia="Arial" w:hAnsi="Arial"/>
          <w:i/>
          <w:iCs/>
          <w:color w:val="666666"/>
          <w:sz w:val="22"/>
          <w:szCs w:val="22"/>
        </w:rPr>
        <w:t xml:space="preserve">CSG • ISF/IFI • Flat tax • Ordonnances travail • Assurance chômage • Obligation vaccinale • Écoles • Impôts de production</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31 mars 2026</w:t>
      </w:r>
    </w:p>
    <w:p>
      <w:pPr>
        <w:jc w:val="center"/>
      </w:pPr>
      <w:r>
        <w:rPr>
          <w:rFonts w:ascii="Arial" w:cs="Arial" w:eastAsia="Arial" w:hAnsi="Arial"/>
          <w:color w:val="666666"/>
          <w:sz w:val="16"/>
          <w:szCs w:val="16"/>
        </w:rPr>
        <w:t xml:space="preserve">Sources : France Stratégie, Sénat, Vie-publique.fr, Légifrance, CNEWS, Europe 1, France 24, IFRAP, Moneyvox</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Ce rapport complémentaire documente huit dossiers supplémentaires du mandat Philippe (2017-2020) référencés dans une infographie virale sur les réseaux sociaux, qui n’étaient pas encore couverts dans notre rapport principal sur les controverses. Ils se divisent en trois blocs : la réforme fiscale du capital (ISF/IFI, flat tax, CSG), la réforme du marché du travail (ordonnances travail, assurance chômage), et les dossiers sanitaires et divers (obligation vaccinale, fermetures d’écoles, impôts de production).</w:t>
      </w:r>
    </w:p>
    <w:p>
      <w:pPr>
        <w:spacing w:after="200"/>
      </w:pPr>
      <w:r>
        <w:rPr>
          <w:rFonts w:ascii="Arial" w:cs="Arial" w:eastAsia="Arial" w:hAnsi="Arial"/>
          <w:b/>
          <w:bCs/>
          <w:color w:val="1F3864"/>
          <w:sz w:val="22"/>
          <w:szCs w:val="22"/>
        </w:rPr>
        <w:t xml:space="preserve">Point de rigueur : </w:t>
      </w:r>
      <w:r>
        <w:rPr>
          <w:rFonts w:ascii="Arial" w:cs="Arial" w:eastAsia="Arial" w:hAnsi="Arial"/>
          <w:sz w:val="22"/>
          <w:szCs w:val="22"/>
        </w:rPr>
        <w:t xml:space="preserve">l’obligation vaccinale des soignants (loi du 5 août 2021) a été votée sous le gouvernement Castex, pas Philippe (parti le 3 juillet 2020). L’infographie la lui attribue à tort. Nous documentons néanmoins ce dossier car Philippe est responsable de la gestion initiale du Covid (confinement, décret Rivotril, « masques inutiles »).</w:t>
      </w:r>
    </w:p>
    <w:p>
      <w:pPr>
        <w:pStyle w:val="Heading1"/>
      </w:pPr>
      <w:r>
        <w:t xml:space="preserve">Bloc I — La réforme fiscale du capital</w:t>
      </w:r>
    </w:p>
    <w:p>
      <w:pPr>
        <w:pStyle w:val="Heading2"/>
      </w:pPr>
      <w:r>
        <w:t xml:space="preserve">Dossier 1 — Hausse de la CSG (+1,7 point)</w:t>
      </w:r>
    </w:p>
    <w:p>
      <w:pPr>
        <w:spacing w:after="200"/>
      </w:pPr>
      <w:r>
        <w:rPr>
          <w:rFonts w:ascii="Arial" w:cs="Arial" w:eastAsia="Arial" w:hAnsi="Arial"/>
          <w:sz w:val="22"/>
          <w:szCs w:val="22"/>
        </w:rPr>
        <w:t xml:space="preserve">Au 1er janvier 2018, la CSG augmente de 1,7 point, générant 22,5 milliards d’euros de recettes annuelles selon le Sénat. En contrepartie, les cotisations salariales maladie et chômage sont supprimées (gain de 14,2 milliards pour les salariés du privé). Bilan net : les salariés du privé sont légèrement gagnants. Mais les retraités ont perdu 3,5 milliards en 2018 (ramené à 1,4 milliard après correctifs en 2019). Les fonctionnaires et indépendants sont également perdants. Selon l’IFRAP, l’État a gagné 1,32 milliard net : un impôt supplémentaire déguisé en « modernisation du financement de la protection sociale ».</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Les retraités sont les grands perdants. La hausse de la CSG est un déclencheur direct de la colère des Gilets jaunes. Les fonctionnaires et indépendants n’ont pas de compensation. La mesure a créé un sentiment d’injustice intergénérationnelle.</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suppression des cotisations salariales augmente le net des salariés du privé. La CSG finance la protection sociale de manière plus large (assiette plus large que les cotisations). Après correctifs, les petites retraites sous 2 000 € sont exonérées.</w:t>
      </w:r>
    </w:p>
    <w:p>
      <w:pPr>
        <w:pStyle w:val="Heading2"/>
      </w:pPr>
      <w:r>
        <w:t xml:space="preserve">Dossier 2 — Suppression de l’ISF → IFI</w:t>
      </w:r>
    </w:p>
    <w:p>
      <w:pPr>
        <w:spacing w:after="200"/>
      </w:pPr>
      <w:r>
        <w:rPr>
          <w:rFonts w:ascii="Arial" w:cs="Arial" w:eastAsia="Arial" w:hAnsi="Arial"/>
          <w:sz w:val="22"/>
          <w:szCs w:val="22"/>
        </w:rPr>
        <w:t xml:space="preserve">Au 1er janvier 2018, l’ISF (impôt de solidarité sur la fortune) est remplacé par l’IFI (impôt sur la fortune immobilière). Seuls les biens immobiliers sont désormais taxés ; les actifs financiers (actions, obligations, assurance-vie) sont exonérés. Le nombre de contribuables passe de 358 000 (ISF 2017) à 133 000 (IFI 2018). Coût pour les finances publiques : 4,5 milliards d’euros/an (l’ISF rapportait 5 milliards, l’IFI seulement 1,3 milliard en 2018). Le rapport final de France Stratégie (octobre 2023) conclut que la réforme n’a pas eu d’effet significatif sur l’investissement dans l’économie.</w:t>
      </w:r>
    </w:p>
    <w:p>
      <w:pPr>
        <w:spacing w:after="200"/>
      </w:pPr>
      <w:r>
        <w:rPr>
          <w:rFonts w:ascii="Arial" w:cs="Arial" w:eastAsia="Arial" w:hAnsi="Arial"/>
          <w:b/>
          <w:bCs/>
          <w:color w:val="1F3864"/>
          <w:sz w:val="22"/>
          <w:szCs w:val="22"/>
        </w:rPr>
        <w:t xml:space="preserve">Connexion BlackRock : </w:t>
      </w:r>
      <w:r>
        <w:rPr>
          <w:rFonts w:ascii="Arial" w:cs="Arial" w:eastAsia="Arial" w:hAnsi="Arial"/>
          <w:sz w:val="22"/>
          <w:szCs w:val="22"/>
        </w:rPr>
        <w:t xml:space="preserve">en exonérant les actifs financiers de l’impôt sur la fortune, la réforme rend la détention d’actions et de fonds (y compris les ETF BlackRock) plus attractive que l’immobilier. C’est exactement l’objectif de BlackRock : détourner l’épargne française de l’immobilier vers les marchés de capitaux.</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Le rapport du Sénat (octobre 2019) note des « effets indésirables » sans impact positif mesurable. France Stratégie (2023) conclut que la réforme n’a pas d’effet significatif sur l’investissement. Les dividendes versés augmentent mais se concentrent sur 0,1 % des foyers les plus aisés. Les yachts, jets privés et voitures de luxe ne sont plus taxés. L’année de la suppression, l’indice de Gini s’est creusé de 0,3 points.</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L’ISF coûtait à la France 143 milliards de capitaux expatriés selon l’IFRAP. Les départs fiscaux ont diminué et les retours ont augmenté (380 retours vs 260 départs/an sous IFI, contre 370 retours vs 950 départs sous ISF). La France est devenue première destination d’investissements industriels étrangers en Europe.</w:t>
      </w:r>
    </w:p>
    <w:p>
      <w:pPr>
        <w:pStyle w:val="Heading2"/>
      </w:pPr>
      <w:r>
        <w:t xml:space="preserve">Dossier 3 — Flat tax (PFU 30 %)</w:t>
      </w:r>
    </w:p>
    <w:p>
      <w:pPr>
        <w:spacing w:after="200"/>
      </w:pPr>
      <w:r>
        <w:rPr>
          <w:rFonts w:ascii="Arial" w:cs="Arial" w:eastAsia="Arial" w:hAnsi="Arial"/>
          <w:sz w:val="22"/>
          <w:szCs w:val="22"/>
        </w:rPr>
        <w:t xml:space="preserve">Simultanément, le prélèvement forfaitaire unique (PFU ou « flat tax ») remplace le barème progressif de l’IR pour les revenus du capital. Taux unique : 30 % (12,8 % IR + 17,2 % prélèvements sociaux). Avant la réforme, les dividendes étaient taxés au taux marginal de l’IR (jusqu’à 45 %). Bercy estimait que l’ISF→IFI + PFU créeraient 50 000 emplois et 0,5 point de PIB à long terme. Le président de la commission des Finances du Sénat, Vincent Éblé, commentait : « Cela fait cher l’emploi ! » (4,5 Mds/an pour 50 000 emplois = 90 000 € par emploi).</w:t>
      </w:r>
    </w:p>
    <w:p>
      <w:pPr>
        <w:spacing w:after="200"/>
      </w:pPr>
      <w:r>
        <w:rPr>
          <w:rFonts w:ascii="Arial" w:cs="Arial" w:eastAsia="Arial" w:hAnsi="Arial"/>
          <w:b/>
          <w:bCs/>
          <w:color w:val="1F3864"/>
          <w:sz w:val="22"/>
          <w:szCs w:val="22"/>
        </w:rPr>
        <w:t xml:space="preserve">Connexion BlackRock : </w:t>
      </w:r>
      <w:r>
        <w:rPr>
          <w:rFonts w:ascii="Arial" w:cs="Arial" w:eastAsia="Arial" w:hAnsi="Arial"/>
          <w:sz w:val="22"/>
          <w:szCs w:val="22"/>
        </w:rPr>
        <w:t xml:space="preserve">la flat tax rend les dividendes et plus-values plus attractifs, ce qui bénéficie directement aux gestionnaires d’actifs comme BlackRock, actionnaire de 18 entreprises du CAC 40. En 2025, Philippe propose 15 % de capitalisation dans les retraites — soit exactement le mécanisme où la flat tax maximise le rendement pour les épargnants orientés vers les marchés.</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flat tax avantage les revenus du capital par rapport aux revenus du travail. Les dividendes versés explosent (+60 % entre 2017 et 2019) mais se concentrent sur les 0,1 % les plus riches. Le coût budgétaire est massif pour un effet marginal sur l’emploi.</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flat tax simplifie la fiscalité et aligne la France sur la moyenne européenne. Elle favorise l’investissement en capital-risque et dans les PME/ETI. Les recettes de PFU ont été supérieures aux prévisions grâce à la hausse des dividendes.</w:t>
      </w:r>
    </w:p>
    <w:p>
      <w:r>
        <w:br w:type="page"/>
      </w:r>
    </w:p>
    <w:p>
      <w:pPr>
        <w:pStyle w:val="Heading1"/>
      </w:pPr>
      <w:r>
        <w:t xml:space="preserve">Bloc II — La réforme du marché du travail</w:t>
      </w:r>
    </w:p>
    <w:p>
      <w:pPr>
        <w:pStyle w:val="Heading2"/>
      </w:pPr>
      <w:r>
        <w:t xml:space="preserve">Dossier 4 — Ordonnances travail (septembre 2017)</w:t>
      </w:r>
    </w:p>
    <w:p>
      <w:pPr>
        <w:spacing w:after="200"/>
      </w:pPr>
      <w:r>
        <w:rPr>
          <w:rFonts w:ascii="Arial" w:cs="Arial" w:eastAsia="Arial" w:hAnsi="Arial"/>
          <w:sz w:val="22"/>
          <w:szCs w:val="22"/>
        </w:rPr>
        <w:t xml:space="preserve">Le 31 août 2017, Philippe et Muriel Pénicaud présentent 5 ordonnances réformant le Code du travail (160 pages), publiées le 23 septembre. Mesures phares : plafonnement des indemnités prud’homales (1 à 20 mois de salaire brut selon l’ancienneté — le « barème Macron »), création de la rupture conventionnelle collective, fusion des instances représentatives du personnel en CSE, inversion de la hiérarchie des normes (primauté de l’accord d’entreprise sur l’accord de branche), réduction du délai de recours aux prud’hommes de 2 ans à 1 an.</w:t>
      </w:r>
    </w:p>
    <w:p>
      <w:pPr>
        <w:spacing w:after="200"/>
      </w:pPr>
      <w:r>
        <w:rPr>
          <w:rFonts w:ascii="Arial" w:cs="Arial" w:eastAsia="Arial" w:hAnsi="Arial"/>
          <w:b/>
          <w:bCs/>
          <w:color w:val="1F3864"/>
          <w:sz w:val="22"/>
          <w:szCs w:val="22"/>
        </w:rPr>
        <w:t xml:space="preserve">Connexion réseau : </w:t>
      </w:r>
      <w:r>
        <w:rPr>
          <w:rFonts w:ascii="Arial" w:cs="Arial" w:eastAsia="Arial" w:hAnsi="Arial"/>
          <w:sz w:val="22"/>
          <w:szCs w:val="22"/>
        </w:rPr>
        <w:t xml:space="preserve">les ordonnances travail s’inscrivent dans la chaîne de dérégulation identifiée dans le rapport Uber Files : Commission Attali (2007, recommandation libéraliser le marché du travail) → Macron ministre (2014-16, deal Uber) → ordonnances Philippe (2017). Marc Ferracci, économiste du travail inspiré par la « flexisécurité », est le théoricien de la réforme. Il est aussi témoin de mariage de Macron ET fils de Pierre Ferracci (membre Commission Attali). Ferracci signe la tribune des 90 pour Philippe en mars 2026.</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Le barème Macron permet aux employeurs de chiffrer à l’avance le coût d’un licenciement abusif, encourageant les licenciements. Plusieurs conseils de prud’hommes ont refusé d’appliquer le barème, jugeant les indemnités « inadaptées » au regard de la Convention 158 de l’OIT. La Cour de cassation a finalement validé le dispositif en 2022.</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prévisibilité du coût du licenciement encourage l’embauche, notamment dans les PME. La rupture conventionnelle collective évite les PSE. Le CSE simplifie le dialogue social. La France a créé des emplois industriels pour la première fois en 10 ans.</w:t>
      </w:r>
    </w:p>
    <w:p>
      <w:pPr>
        <w:pStyle w:val="Heading2"/>
      </w:pPr>
      <w:r>
        <w:t xml:space="preserve">Dossier 5 — Réforme de l’assurance chômage</w:t>
      </w:r>
    </w:p>
    <w:p>
      <w:pPr>
        <w:spacing w:after="200"/>
      </w:pPr>
      <w:r>
        <w:rPr>
          <w:rFonts w:ascii="Arial" w:cs="Arial" w:eastAsia="Arial" w:hAnsi="Arial"/>
          <w:sz w:val="22"/>
          <w:szCs w:val="22"/>
        </w:rPr>
        <w:t xml:space="preserve">L’été 2019, le gouvernement Philippe modifie les modalités de calcul de l’assurance chômage : le salaire journalier de référence est désormais calculé sur l’ensemble de la période de référence (et non plus les seuls jours travaillés), réduisant les allocations pour les travailleurs précaires alternant emploi et chômage. Durée minimale de travail portée de 4 à 6 mois. Dégressivité des allocations pour les hauts revenus. Mais les principales dispositions sont reportées par le Covid et mises en œuvre progressivement sous Castex et Borne.</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réforme pénalise les travailleurs précaires (intérimaires, CDD) qui alternent emploi et chômage. L’Unédic estime que 1,15 million d’allocataires verront leurs droits réduits. La réforme est inspirée par Ferracci, idéologue de la flexisécurité au profit des employeurs.</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réforme vise à réduire le chômage structurel et à inciter au retour à l’emploi durable. La dégressivité pour les hauts revenus est un signal d’équité. La baisse du chômage (9,4 % → 7,1 % entre 2017 et 2019) valide la stratégie.</w:t>
      </w:r>
    </w:p>
    <w:p>
      <w:r>
        <w:br w:type="page"/>
      </w:r>
    </w:p>
    <w:p>
      <w:pPr>
        <w:pStyle w:val="Heading1"/>
      </w:pPr>
      <w:r>
        <w:t xml:space="preserve">Bloc III — Dossiers sanitaires et divers</w:t>
      </w:r>
    </w:p>
    <w:p>
      <w:pPr>
        <w:pStyle w:val="Heading2"/>
      </w:pPr>
      <w:r>
        <w:t xml:space="preserve">Dossier 6 — Obligation vaccinale Covid</w:t>
      </w:r>
    </w:p>
    <w:p>
      <w:pPr>
        <w:spacing w:after="200"/>
      </w:pPr>
      <w:r>
        <w:rPr>
          <w:rFonts w:ascii="Arial" w:cs="Arial" w:eastAsia="Arial" w:hAnsi="Arial"/>
          <w:b/>
          <w:bCs/>
          <w:color w:val="C00000"/>
          <w:sz w:val="22"/>
          <w:szCs w:val="22"/>
        </w:rPr>
        <w:t xml:space="preserve">IMPORTANT — Erreur factuelle de l’infographie : </w:t>
      </w:r>
      <w:r>
        <w:rPr>
          <w:rFonts w:ascii="Arial" w:cs="Arial" w:eastAsia="Arial" w:hAnsi="Arial"/>
          <w:sz w:val="22"/>
          <w:szCs w:val="22"/>
        </w:rPr>
        <w:t xml:space="preserve">l’obligation vaccinale des soignants a été votée le 5 août 2021 (loi n° 2021-1040) sous le gouvernement Castex, pas Philippe (parti le 3 juillet 2020). Philippe ne peut pas se voir imputer cette mesure. Néanmoins, il est responsable de la gestion initiale du Covid : le décret Rivotril (28 mars 2020), le confinement (17 mars 2020), l’affirmation que les masques étaient « inutiles » (13 mars 2020, TF1), et la réouverture des écoles contre l’avis du conseil scientifique (11 mai 2020).</w:t>
      </w:r>
    </w:p>
    <w:p>
      <w:pPr>
        <w:spacing w:after="200"/>
      </w:pPr>
      <w:r>
        <w:rPr>
          <w:rFonts w:ascii="Arial" w:cs="Arial" w:eastAsia="Arial" w:hAnsi="Arial"/>
          <w:sz w:val="22"/>
          <w:szCs w:val="22"/>
        </w:rPr>
        <w:t xml:space="preserve">Sur le fond, l’obligation vaccinale a concerné 2,7 millions de professionnels. Environ 15 000 soignants ont été suspendus (Véran, octobre 2021), dont environ 4 000 étaient encore suspendus en mai 2022. L’obligation a été suspendue par décret le 13 mai 2023, après recommandation de la HAS. Les soignants non vaccinés ont été réintégrés, certains après près de deux ans sans salaire.</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Suspension sans salaire pendant près de deux ans. Perte de droits à l’avancement. En pleine pénurie de soignants, 15 000 suspensions aggravent la crise hospitalière. La sénatrice Jasmin parle de « précarité, chômage et mal-être profond ». Tous les pays européens ont levé les restrictions avant la France.</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L’obligation vaccinale a porté la couverture vaccinale à 99 % dans les hôpitaux (AP-HP). Elle réduit le risque de transmission aux patients vulnérables. Seulement 0,3 % des professionnels sont restés suspendus fin 2021.</w:t>
      </w:r>
    </w:p>
    <w:p>
      <w:pPr>
        <w:pStyle w:val="Heading2"/>
      </w:pPr>
      <w:r>
        <w:t xml:space="preserve">Dossier 7 — Fermetures d’écoles en milieu rural</w:t>
      </w:r>
    </w:p>
    <w:p>
      <w:pPr>
        <w:spacing w:after="200"/>
      </w:pPr>
      <w:r>
        <w:rPr>
          <w:rFonts w:ascii="Arial" w:cs="Arial" w:eastAsia="Arial" w:hAnsi="Arial"/>
          <w:sz w:val="22"/>
          <w:szCs w:val="22"/>
        </w:rPr>
        <w:t xml:space="preserve">Sous le mandat Philippe, la politique de carte scolaire poursuit les fermetures de classes et d’écoles en milieu rural, alimentée par la baisse démographique. Le ministère met en avant le dédoublement des classes de CP et CE1 en REP/REP+ (mesure phare du quinquennat), mais les ruraux vivent les fermetures comme un abandon territorial, d’autant que les 80 km/h et la hausse du carburant aggravent leur isolement. Macron avait promis en 2019, après les Gilets jaunes, qu’il n’y aurait plus de fermeture d’écoles sans accord du maire — promesse inégalement respectée.</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Les fermetures alimentent le sentiment de relégation des territoires ruraux, carburant des Gilets jaunes. L’école est souvent le dernier service public dans un village. La décision vient de Paris, sans concertation réelle avec les élus locaux.</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Le dédoublement des CP/CE1 en REP/REP+ (300 000 élèves concernés) est une mesure de justice sociale. La baisse démographique rend certaines classes non viables. Des conventions ruralité permettent de maintenir des écoles à faible effectif.</w:t>
      </w:r>
    </w:p>
    <w:p>
      <w:pPr>
        <w:pStyle w:val="Heading2"/>
      </w:pPr>
      <w:r>
        <w:t xml:space="preserve">Dossier 8 — Pas de baisse des impôts de production</w:t>
      </w:r>
    </w:p>
    <w:p>
      <w:pPr>
        <w:spacing w:after="200"/>
      </w:pPr>
      <w:r>
        <w:rPr>
          <w:rFonts w:ascii="Arial" w:cs="Arial" w:eastAsia="Arial" w:hAnsi="Arial"/>
          <w:sz w:val="22"/>
          <w:szCs w:val="22"/>
        </w:rPr>
        <w:t xml:space="preserve">Malgré les recommandations répétées de BlackRock, du MEDEF et de la Commission européenne, les impôts de production (C3S, CFE, CVAE) n’ont pas été réduits sous Philippe. La France est la championne européenne des impôts de production (3,5 % du PIB contre 1,5 % en moyenne dans l’UE). La baisse de la CVAE ne sera engagée que sous Castex (2021) puis Attal (2024). Philippe a préféré la suppression de l’ISF et la flat tax — des mesures qui bénéficient aux actionnaires plutôt qu’aux entreprises productrices.</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L’industrie française subit un handicap compétitif majeur par rapport à l’Allemagne et l’Espagne. Les impôts de production pèsent sur l’investissement et l’emploi indépendamment de la rentabilité. Philippe a choisi les actionnaires (ISF, flat tax) contre les usines.</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suppression de l’ISF et la flat tax visent à attirer les capitaux en France pour financer les entreprises. La baisse des impôts de production nécessite des compensations budgétaires que le contexte (Gilets jaunes, Covid) ne permettait pas.</w:t>
      </w:r>
    </w:p>
    <w:p>
      <w:r>
        <w:br w:type="page"/>
      </w:r>
    </w:p>
    <w:p>
      <w:pPr>
        <w:pStyle w:val="Heading1"/>
      </w:pPr>
      <w:r>
        <w:t xml:space="preserve">Tableau synthétique des connexions au réseau</w:t>
      </w:r>
    </w:p>
    <w:p>
      <w:pPr>
        <w:spacing w:after="200"/>
      </w:pPr>
      <w:r>
        <w:rPr>
          <w:rFonts w:ascii="Arial" w:cs="Arial" w:eastAsia="Arial" w:hAnsi="Arial"/>
          <w:sz w:val="22"/>
          <w:szCs w:val="22"/>
        </w:rPr>
        <w:t xml:space="preserve">Chaque dossier peut être relié aux acteurs du réseau Philippe identifiés dans nos rapports précédents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Dossier</w:t>
            </w:r>
          </w:p>
        </w:tc>
        <w:tc>
          <w:tcPr>
            <w:tcW w:type="dxa" w:w="227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Coût/Impact</w:t>
            </w:r>
          </w:p>
        </w:tc>
        <w:tc>
          <w:tcPr>
            <w:tcW w:type="dxa" w:w="227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Connexion réseau</w:t>
            </w:r>
          </w:p>
        </w:tc>
        <w:tc>
          <w:tcPr>
            <w:tcW w:type="dxa" w:w="227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Bénéficiaire</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CSG +1,7pt</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22,5 Mds€ recettes, retraités -3,5 Mds</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Finance protection sociale</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État (+1,32 Md net)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ISF → IFI</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-4,5 Mds€/an recettes fiscales</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BlackRock (actifs financiers exonérés)</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358 000 → 133 000 assujettis</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Flat tax 30 %</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Dividendes +60 % (2017-19)</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BlackRock (CAC 40), Cirelli</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0,1 % les plus riches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Ordonnances travail</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Barème 1-20 mois prud’hommes</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Ferracci (Attali → Macron → Philippe)</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Employeurs (prévisibilité)</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Réforme chômage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1,15M allocataires impactés</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Ferracci (flexisécurité)</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Unédic (moindre dépense)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Obligation vaccinale*</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15 000 soignants suspendus</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*Castex, pas Philippe (erreur)</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Couverture 99 % hôpitaux</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Fermetures écoles</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Démographie + carte scolaire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Comp. dédoublement CP/CE1 REP</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Sentiment abandon rural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Impôts production</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3,5 % PIB (1er UE)</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Non baissés → ISF/flat tax privilégiés</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Actionnaires &gt; industriels</w:t>
            </w:r>
          </w:p>
        </w:tc>
      </w:tr>
    </w:tbl>
    <w:p>
      <w:pPr>
        <w:spacing w:after="120"/>
      </w:pPr>
    </w:p>
    <w:p>
      <w:pPr>
        <w:pStyle w:val="Heading1"/>
      </w:pPr>
      <w:r>
        <w:t xml:space="preserve">Conclusion : la cohérence du bilan</w:t>
      </w:r>
    </w:p>
    <w:p>
      <w:pPr>
        <w:spacing w:after="200"/>
      </w:pPr>
      <w:r>
        <w:rPr>
          <w:rFonts w:ascii="Arial" w:cs="Arial" w:eastAsia="Arial" w:hAnsi="Arial"/>
          <w:sz w:val="22"/>
          <w:szCs w:val="22"/>
        </w:rPr>
        <w:t xml:space="preserve">L’ensemble du bilan fiscal du mandat Philippe dessine une orientation cohérente : alléger la fiscalité du capital (ISF→IFI, flat tax, pas de baisse des impôts de production) tout en alourdissant les prélèvements sur le travail et les retraités (CSG, réforme chômage). Cette orientation est exactement alignée avec les intérêts de BlackRock : détourner l’épargne française vers les marchés financiers.</w:t>
      </w:r>
    </w:p>
    <w:p>
      <w:pPr>
        <w:spacing w:after="200"/>
      </w:pPr>
      <w:r>
        <w:rPr>
          <w:rFonts w:ascii="Arial" w:cs="Arial" w:eastAsia="Arial" w:hAnsi="Arial"/>
          <w:sz w:val="22"/>
          <w:szCs w:val="22"/>
        </w:rPr>
        <w:t xml:space="preserve">Les ordonnances travail et la réforme chômage s’inscrivent dans la chaîne de dérégulation Attali → Macron → Philippe, avec Ferracci comme théoricien commun. Le fait que Ferracci signe la tribune des 90 pour Philippe en mars 2026 confirme la continuité du système.</w:t>
      </w:r>
    </w:p>
    <w:p>
      <w:pPr>
        <w:spacing w:after="200"/>
      </w:pPr>
      <w:r>
        <w:rPr>
          <w:rFonts w:ascii="Arial" w:cs="Arial" w:eastAsia="Arial" w:hAnsi="Arial"/>
          <w:sz w:val="22"/>
          <w:szCs w:val="22"/>
        </w:rPr>
        <w:t xml:space="preserve">En MAS, le bilan Philippe n’est pas une série de décisions isolées — c’est la fonction d’utilité révélée d’un centroïde optimisant dans l’espace d’états défini par BlackRock (capitalisation), CMA CGM (dérégulation portuaire), et le réseau Attali-Ferracci (flexisécurité).</w:t>
      </w:r>
    </w:p>
    <w:p>
      <w:r>
        <w:br w:type="page"/>
      </w:r>
    </w:p>
    <w:p>
      <w:pPr>
        <w:pStyle w:val="Heading1"/>
      </w:pPr>
      <w:r>
        <w:t xml:space="preserve">Sources</w:t>
      </w:r>
    </w:p>
    <w:p>
      <w:pPr>
        <w:pStyle w:val="ListParagraph"/>
        <w:numPr>
          <w:ilvl w:val="0"/>
          <w:numId w:val="2"/>
        </w:numPr>
        <w:spacing w:after="100"/>
      </w:pPr>
      <w:r>
        <w:rPr>
          <w:rFonts w:ascii="Arial" w:cs="Arial" w:eastAsia="Arial" w:hAnsi="Arial"/>
          <w:sz w:val="22"/>
          <w:szCs w:val="22"/>
        </w:rPr>
        <w:t xml:space="preserve">France Stratégie — Comité d’évaluation des réformes de la fiscalité du capital (rapport final, octobre 2023)</w:t>
      </w:r>
    </w:p>
    <w:p>
      <w:pPr>
        <w:pStyle w:val="ListParagraph"/>
        <w:numPr>
          <w:ilvl w:val="0"/>
          <w:numId w:val="2"/>
        </w:numPr>
        <w:spacing w:after="100"/>
      </w:pPr>
      <w:r>
        <w:rPr>
          <w:rFonts w:ascii="Arial" w:cs="Arial" w:eastAsia="Arial" w:hAnsi="Arial"/>
          <w:sz w:val="22"/>
          <w:szCs w:val="22"/>
        </w:rPr>
        <w:t xml:space="preserve">Sénat — « ISF → IFI et PFU : un premier bilan » (rapport Éblé-Montgolfier, octobre 2019)</w:t>
      </w:r>
    </w:p>
    <w:p>
      <w:pPr>
        <w:pStyle w:val="ListParagraph"/>
        <w:numPr>
          <w:ilvl w:val="0"/>
          <w:numId w:val="2"/>
        </w:numPr>
        <w:spacing w:after="100"/>
      </w:pPr>
      <w:r>
        <w:rPr>
          <w:rFonts w:ascii="Arial" w:cs="Arial" w:eastAsia="Arial" w:hAnsi="Arial"/>
          <w:sz w:val="22"/>
          <w:szCs w:val="22"/>
        </w:rPr>
        <w:t xml:space="preserve">Vie-publique.fr — « Suppression de l’ISF, IFI, flat tax : quel bilan ? »</w:t>
      </w:r>
    </w:p>
    <w:p>
      <w:pPr>
        <w:pStyle w:val="ListParagraph"/>
        <w:numPr>
          <w:ilvl w:val="0"/>
          <w:numId w:val="2"/>
        </w:numPr>
        <w:spacing w:after="100"/>
      </w:pPr>
      <w:r>
        <w:rPr>
          <w:rFonts w:ascii="Arial" w:cs="Arial" w:eastAsia="Arial" w:hAnsi="Arial"/>
          <w:sz w:val="22"/>
          <w:szCs w:val="22"/>
        </w:rPr>
        <w:t xml:space="preserve">Moneyvox — « Macron a-t-il eu raison de supprimer l’ISF ? » (janvier 2022)</w:t>
      </w:r>
    </w:p>
    <w:p>
      <w:pPr>
        <w:pStyle w:val="ListParagraph"/>
        <w:numPr>
          <w:ilvl w:val="0"/>
          <w:numId w:val="2"/>
        </w:numPr>
        <w:spacing w:after="100"/>
      </w:pPr>
      <w:r>
        <w:rPr>
          <w:rFonts w:ascii="Arial" w:cs="Arial" w:eastAsia="Arial" w:hAnsi="Arial"/>
          <w:sz w:val="22"/>
          <w:szCs w:val="22"/>
        </w:rPr>
        <w:t xml:space="preserve">Vision Libérale — « Philippe a ajouté 406 milliards à la dette » (mars 2026)</w:t>
      </w:r>
    </w:p>
    <w:p>
      <w:pPr>
        <w:pStyle w:val="ListParagraph"/>
        <w:numPr>
          <w:ilvl w:val="0"/>
          <w:numId w:val="2"/>
        </w:numPr>
        <w:spacing w:after="100"/>
      </w:pPr>
      <w:r>
        <w:rPr>
          <w:rFonts w:ascii="Arial" w:cs="Arial" w:eastAsia="Arial" w:hAnsi="Arial"/>
          <w:sz w:val="22"/>
          <w:szCs w:val="22"/>
        </w:rPr>
        <w:t xml:space="preserve">IFRAP — « Ce que l’ISF a fait perdre à la France »</w:t>
      </w:r>
    </w:p>
    <w:p>
      <w:pPr>
        <w:pStyle w:val="ListParagraph"/>
        <w:numPr>
          <w:ilvl w:val="0"/>
          <w:numId w:val="2"/>
        </w:numPr>
        <w:spacing w:after="100"/>
      </w:pPr>
      <w:r>
        <w:rPr>
          <w:rFonts w:ascii="Arial" w:cs="Arial" w:eastAsia="Arial" w:hAnsi="Arial"/>
          <w:sz w:val="22"/>
          <w:szCs w:val="22"/>
        </w:rPr>
        <w:t xml:space="preserve">OpenEdition Journals — « La suppression de l’ISF : réforme économique ou idéologique ? »</w:t>
      </w:r>
    </w:p>
    <w:p>
      <w:pPr>
        <w:pStyle w:val="ListParagraph"/>
        <w:numPr>
          <w:ilvl w:val="0"/>
          <w:numId w:val="2"/>
        </w:numPr>
        <w:spacing w:after="100"/>
      </w:pPr>
      <w:r>
        <w:rPr>
          <w:rFonts w:ascii="Arial" w:cs="Arial" w:eastAsia="Arial" w:hAnsi="Arial"/>
          <w:sz w:val="22"/>
          <w:szCs w:val="22"/>
        </w:rPr>
        <w:t xml:space="preserve">Actu-Juridique — « Taxation du capital : bilan 5 ans après » (novembre 2023)</w:t>
      </w:r>
    </w:p>
    <w:p>
      <w:pPr>
        <w:pStyle w:val="ListParagraph"/>
        <w:numPr>
          <w:ilvl w:val="0"/>
          <w:numId w:val="2"/>
        </w:numPr>
        <w:spacing w:after="100"/>
      </w:pPr>
      <w:r>
        <w:rPr>
          <w:rFonts w:ascii="Arial" w:cs="Arial" w:eastAsia="Arial" w:hAnsi="Arial"/>
          <w:sz w:val="22"/>
          <w:szCs w:val="22"/>
        </w:rPr>
        <w:t xml:space="preserve">JDN — « Loi Travail : les principales mesures des ordonnances »</w:t>
      </w:r>
    </w:p>
    <w:p>
      <w:pPr>
        <w:pStyle w:val="ListParagraph"/>
        <w:numPr>
          <w:ilvl w:val="0"/>
          <w:numId w:val="2"/>
        </w:numPr>
        <w:spacing w:after="100"/>
      </w:pPr>
      <w:r>
        <w:rPr>
          <w:rFonts w:ascii="Arial" w:cs="Arial" w:eastAsia="Arial" w:hAnsi="Arial"/>
          <w:sz w:val="22"/>
          <w:szCs w:val="22"/>
        </w:rPr>
        <w:t xml:space="preserve">Europe 1 — « Prud’hommes : imbroglio autour du plafonnement »</w:t>
      </w:r>
    </w:p>
    <w:p>
      <w:pPr>
        <w:pStyle w:val="ListParagraph"/>
        <w:numPr>
          <w:ilvl w:val="0"/>
          <w:numId w:val="2"/>
        </w:numPr>
        <w:spacing w:after="100"/>
      </w:pPr>
      <w:r>
        <w:rPr>
          <w:rFonts w:ascii="Arial" w:cs="Arial" w:eastAsia="Arial" w:hAnsi="Arial"/>
          <w:sz w:val="22"/>
          <w:szCs w:val="22"/>
        </w:rPr>
        <w:t xml:space="preserve">CNEWS — « 15 000 soignants suspendus » (octobre 2021)</w:t>
      </w:r>
    </w:p>
    <w:p>
      <w:pPr>
        <w:pStyle w:val="ListParagraph"/>
        <w:numPr>
          <w:ilvl w:val="0"/>
          <w:numId w:val="2"/>
        </w:numPr>
        <w:spacing w:after="100"/>
      </w:pPr>
      <w:r>
        <w:rPr>
          <w:rFonts w:ascii="Arial" w:cs="Arial" w:eastAsia="Arial" w:hAnsi="Arial"/>
          <w:sz w:val="22"/>
          <w:szCs w:val="22"/>
        </w:rPr>
        <w:t xml:space="preserve">France 24 — « Entrée en vigueur de l’obligation vaccinale » (septembre 2021)</w:t>
      </w:r>
    </w:p>
    <w:p>
      <w:pPr>
        <w:pStyle w:val="ListParagraph"/>
        <w:numPr>
          <w:ilvl w:val="0"/>
          <w:numId w:val="2"/>
        </w:numPr>
        <w:spacing w:after="100"/>
      </w:pPr>
      <w:r>
        <w:rPr>
          <w:rFonts w:ascii="Arial" w:cs="Arial" w:eastAsia="Arial" w:hAnsi="Arial"/>
          <w:sz w:val="22"/>
          <w:szCs w:val="22"/>
        </w:rPr>
        <w:t xml:space="preserve">Légifrance — Décret n° 2023-368 (suspension obligation vaccinale)</w:t>
      </w:r>
    </w:p>
    <w:p>
      <w:pPr>
        <w:pStyle w:val="ListParagraph"/>
        <w:numPr>
          <w:ilvl w:val="0"/>
          <w:numId w:val="2"/>
        </w:numPr>
        <w:spacing w:after="100"/>
      </w:pPr>
      <w:r>
        <w:rPr>
          <w:rFonts w:ascii="Arial" w:cs="Arial" w:eastAsia="Arial" w:hAnsi="Arial"/>
          <w:sz w:val="22"/>
          <w:szCs w:val="22"/>
        </w:rPr>
        <w:t xml:space="preserve">Public Sénat — « HAS préconise la levée de l’obligation vaccinale » (avril 2023)</w:t>
      </w:r>
    </w:p>
    <w:p>
      <w:pPr>
        <w:pStyle w:val="ListParagraph"/>
        <w:numPr>
          <w:ilvl w:val="0"/>
          <w:numId w:val="2"/>
        </w:numPr>
        <w:spacing w:after="100"/>
      </w:pPr>
      <w:r>
        <w:rPr>
          <w:rFonts w:ascii="Arial" w:cs="Arial" w:eastAsia="Arial" w:hAnsi="Arial"/>
          <w:sz w:val="22"/>
          <w:szCs w:val="22"/>
        </w:rPr>
        <w:t xml:space="preserve">jamaisplusedouard-fr.vercel.app — référence interne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Rapport complémentaire – Bilan fiscal, social et sanitaire du mandat Philippe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2026-03-31T04:07:34.685Z</dcterms:created>
  <dcterms:modified xsi:type="dcterms:W3CDTF">2026-03-31T04:07:34.686Z</dcterms:modified>
</cp:coreProperties>
</file>

<file path=docProps/custom.xml><?xml version="1.0" encoding="utf-8"?>
<Properties xmlns="http://schemas.openxmlformats.org/officeDocument/2006/custom-properties" xmlns:vt="http://schemas.openxmlformats.org/officeDocument/2006/docPropsVTypes"/>
</file>