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D’INVESTIGATION</w:t>
      </w:r>
    </w:p>
    <w:p>
      <w:pPr>
        <w:spacing w:after="120"/>
      </w:pPr>
    </w:p>
    <w:p>
      <w:pPr>
        <w:spacing w:after="200"/>
        <w:jc w:val="center"/>
      </w:pPr>
      <w:r>
        <w:rPr>
          <w:rFonts w:ascii="Arial" w:cs="Arial" w:eastAsia="Arial" w:hAnsi="Arial"/>
          <w:b/>
          <w:bCs/>
          <w:color w:val="1F3864"/>
          <w:sz w:val="44"/>
          <w:szCs w:val="44"/>
        </w:rPr>
        <w:t xml:space="preserve">Les controverses du mandat Philippe</w:t>
      </w:r>
    </w:p>
    <w:p>
      <w:pPr>
        <w:spacing w:after="100"/>
        <w:jc w:val="center"/>
      </w:pPr>
      <w:r>
        <w:rPr>
          <w:rFonts w:ascii="Arial" w:cs="Arial" w:eastAsia="Arial" w:hAnsi="Arial"/>
          <w:color w:val="2E75B6"/>
          <w:sz w:val="32"/>
          <w:szCs w:val="32"/>
        </w:rPr>
        <w:t xml:space="preserve">Huit dossiers, un bilan contesté</w:t>
      </w:r>
    </w:p>
    <w:p>
      <w:pPr>
        <w:spacing w:after="80"/>
        <w:jc w:val="center"/>
      </w:pPr>
      <w:r>
        <w:rPr>
          <w:rFonts w:ascii="Arial" w:cs="Arial" w:eastAsia="Arial" w:hAnsi="Arial"/>
          <w:i/>
          <w:iCs/>
          <w:color w:val="666666"/>
          <w:sz w:val="22"/>
          <w:szCs w:val="22"/>
        </w:rPr>
        <w:t xml:space="preserve">LBD • Rivotril • Fessenheim • 80 km/h • Chômage • Retraites • NDDL • Taxe carbone</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31 mars 2026</w:t>
      </w:r>
    </w:p>
    <w:p>
      <w:pPr>
        <w:jc w:val="center"/>
      </w:pPr>
      <w:r>
        <w:rPr>
          <w:rFonts w:ascii="Arial" w:cs="Arial" w:eastAsia="Arial" w:hAnsi="Arial"/>
          <w:color w:val="666666"/>
          <w:sz w:val="16"/>
          <w:szCs w:val="16"/>
        </w:rPr>
        <w:t xml:space="preserve">Sources : Amnesty International, France Info, Vie-publique.fr, Euractiv, Public Sénat, Légifrance, Wikipedia, FranceSoir, Vision Libérale</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mandat d’Édouard Philippe à Matignon (15 mai 2017 – 3 juillet 2020) a été marqué par huit dossiers controversés qui constituent autant de points de vulnérabilité pour la candidature 2027. Ce rapport les documente factuellement, en présentant systématiquement les arguments des partisans et des critiques, conformément à la méthodologie de balance factuelle adoptée par jamaisplusedouard.fr.</w:t>
      </w:r>
    </w:p>
    <w:p>
      <w:pPr>
        <w:spacing w:after="200"/>
      </w:pPr>
      <w:r>
        <w:rPr>
          <w:rFonts w:ascii="Arial" w:cs="Arial" w:eastAsia="Arial" w:hAnsi="Arial"/>
          <w:b/>
          <w:bCs/>
          <w:color w:val="1F3864"/>
          <w:sz w:val="22"/>
          <w:szCs w:val="22"/>
        </w:rPr>
        <w:t xml:space="preserve">Bilan global (Vision Libérale, mars 2026) : </w:t>
      </w:r>
      <w:r>
        <w:rPr>
          <w:rFonts w:ascii="Arial" w:cs="Arial" w:eastAsia="Arial" w:hAnsi="Arial"/>
          <w:sz w:val="22"/>
          <w:szCs w:val="22"/>
        </w:rPr>
        <w:t xml:space="preserve">« La situation de la France est moins bonne au moment où il part que quand il arrive. Les déficits et la dette se sont aggravés. Ce qui aura marqué son bilan, ce sont des réformes inachevées » (sénateur Philippe Dallier, LR). Dette ajoutée en trois ans : 406,6 milliards d’euros.</w:t>
      </w:r>
    </w:p>
    <w:p>
      <w:pPr>
        <w:pStyle w:val="Heading1"/>
      </w:pPr>
      <w:r>
        <w:t xml:space="preserve">Dossier 1 — Répression des Gilets jaunes et LBD</w:t>
      </w:r>
    </w:p>
    <w:p>
      <w:pPr>
        <w:pStyle w:val="Heading2"/>
      </w:pPr>
      <w:r>
        <w:t xml:space="preserve">Les faits</w:t>
      </w:r>
    </w:p>
    <w:p>
      <w:pPr>
        <w:spacing w:after="200"/>
      </w:pPr>
      <w:r>
        <w:rPr>
          <w:rFonts w:ascii="Arial" w:cs="Arial" w:eastAsia="Arial" w:hAnsi="Arial"/>
          <w:sz w:val="22"/>
          <w:szCs w:val="22"/>
        </w:rPr>
        <w:t xml:space="preserve">De novembre 2018 à mi-2019, le mouvement des Gilets jaunes constitue la pire crise sociale depuis Mai 68. Le bilan humain est sans précédent en démocratie contemporaine : selon Amnesty International, 2 500 blessés côté manifestants, 24 personnes éborgnées, 5 mains arrachées. Le journaliste David Dufresne recense plus de 800 signalements de violences policières. Le dispositif atteint 89 000 agents mobilisés et inclut des véhicules blindés de la Gendarmerie, une mesure exceptionnelle en métropole. La France est le seul pays de l’UE à utiliser les LBD 40 et les grenades GLI-F4 (contenant 25 g de TNT) en maintien de l’ordre.</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L’ONU, le Conseil de l’Europe et Amnesty International condamnent une répression disproportionnée. Philippe est accusé d’avoir encouragé les forces de l’ordre à employer la force et d’avoir fait voter une loi « anti-casseurs » restreignant le droit de manifester. Le mouvement est largement soutenu par l’opinion publique (70 % de soutien en décembre 2018).</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Philippe défend l’ordre républicain face à des scènes de guérilla urbaine (saccage de l’Arc de Triomphe). Il rappelle que 1 800 policiers ont également été blessés. Le Premier ministre refuse d’interdire les LBD, estimant qu’ils évitent le recours aux armes létales.</w:t>
      </w:r>
    </w:p>
    <w:p>
      <w:r>
        <w:br w:type="page"/>
      </w:r>
    </w:p>
    <w:p>
      <w:pPr>
        <w:pStyle w:val="Heading1"/>
      </w:pPr>
      <w:r>
        <w:t xml:space="preserve">Dossier 2 — Décret Rivotril et gestion des EHPAD</w:t>
      </w:r>
    </w:p>
    <w:p>
      <w:pPr>
        <w:pStyle w:val="Heading2"/>
      </w:pPr>
      <w:r>
        <w:t xml:space="preserve">Les faits</w:t>
      </w:r>
    </w:p>
    <w:p>
      <w:pPr>
        <w:spacing w:after="200"/>
      </w:pPr>
      <w:r>
        <w:rPr>
          <w:rFonts w:ascii="Arial" w:cs="Arial" w:eastAsia="Arial" w:hAnsi="Arial"/>
          <w:sz w:val="22"/>
          <w:szCs w:val="22"/>
        </w:rPr>
        <w:t xml:space="preserve">Le 28 mars 2020, dix jours après le confinement, le décret n° 2020-360, signé par Édouard Philippe et Olivier Véran, autorise par dérogation la dispensation du Rivotril® injectable en pharmacie d’officine pour les patients Covid. Le Rivotril (clonazépam), benzodiazépine utilisée normalement contre l’épilepsie, est un puissant sédatif. Sa principale contre-indication est l’insuffisance respiratoire sévère — précisément le symptôme du Covid grave. Parallèlement, les ARS établissent des fiches de tri excluant les résidents d’EHPAD de l’hospitalisation en réanimation.</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Des soignants témoignent sur France 2 (Pièces à conviction) : « On nous demande de faire une euthanasie passive. Qu’on ait osé nous demander de piquer nos patients pour les faire partir plus vite, c’est insupportable. » Le syndicat des jeunes médecins saisit le Conseil d’État. Devant la commission d’enquête parlementaire, Philippe affirme qu’il n’y avait pas d’instruction pour interdire l’hospitalisation des résidents, contredisant les fiches ARS documentées.</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SFGG (Société française de gériatrie) dément catégoriquement qu’il s’agisse d’euthanasie : le Rivotril est un soin palliatif pour soulager la détresse respiratoire asphyxique en fin de vie, pas un outil pour tuer. Le décret a été pris par nécessité car le midazolam (médicament habituel) risquait de manquer. La décision repose sur une évaluation clinique rigoureuse et collégiale.</w:t>
      </w:r>
    </w:p>
    <w:p>
      <w:r>
        <w:br w:type="page"/>
      </w:r>
    </w:p>
    <w:p>
      <w:pPr>
        <w:pStyle w:val="Heading1"/>
      </w:pPr>
      <w:r>
        <w:t xml:space="preserve">Dossier 3 — Fermeture de Fessenheim</w:t>
      </w:r>
    </w:p>
    <w:p>
      <w:pPr>
        <w:pStyle w:val="Heading2"/>
      </w:pPr>
      <w:r>
        <w:t xml:space="preserve">Les faits</w:t>
      </w:r>
    </w:p>
    <w:p>
      <w:pPr>
        <w:spacing w:after="200"/>
      </w:pPr>
      <w:r>
        <w:rPr>
          <w:rFonts w:ascii="Arial" w:cs="Arial" w:eastAsia="Arial" w:hAnsi="Arial"/>
          <w:sz w:val="22"/>
          <w:szCs w:val="22"/>
        </w:rPr>
        <w:t xml:space="preserve">Le gouvernement Philippe ferme la doyenne des centrales nucléaires françaises (décret 2020-129 du 18 février 2020, cosigné avec Élisabeth Borne). Le réacteur n°1 est arrêté le 22 février, le n°2 le 30 juin 2020. La centrale, en fonctionnement depuis 42 ans, produisait environ 10 TWh/an. Coût estimé de la fermeture : 5 milliards d’euros (indemnisation EDF + perte de production). La mission d’information parlementaire conclut à un « fiasco ».</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fermeture n’a aucune justification technique (les travaux de rénovation post-Fukushima avaient été réalisés). C’est l’exécution d’une promesse de Hollande aux écologistes, que Philippe applique sans conviction idéologique. Aux États-Unis, la NRC accorde des renouvellements de licence jusqu’à 80 ans pour des centrales du même type. Le territoire perd 850 emplois directs et des millions de recettes fiscales. En 2022, en pleine crise énergétique, les 10 TWh manquants auraient représenté 3 à 6 milliards d’euros sur le marché.</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fermeture est la conséquence de la loi de transition énergétique de 2015 (plafonnement de la production nucléaire à 63,2 GW). Le gouvernement se comporte en exécutant du droit. Un protocole d’indemnisation et un plan de reconversion sont négociés avec les collectivités.</w:t>
      </w:r>
    </w:p>
    <w:p>
      <w:pPr>
        <w:pStyle w:val="Heading1"/>
      </w:pPr>
      <w:r>
        <w:t xml:space="preserve">Dossier 4 — 80 km/h</w:t>
      </w:r>
    </w:p>
    <w:p>
      <w:pPr>
        <w:pStyle w:val="Heading2"/>
      </w:pPr>
      <w:r>
        <w:t xml:space="preserve">Les faits</w:t>
      </w:r>
    </w:p>
    <w:p>
      <w:pPr>
        <w:spacing w:after="200"/>
      </w:pPr>
      <w:r>
        <w:rPr>
          <w:rFonts w:ascii="Arial" w:cs="Arial" w:eastAsia="Arial" w:hAnsi="Arial"/>
          <w:sz w:val="22"/>
          <w:szCs w:val="22"/>
        </w:rPr>
        <w:t xml:space="preserve">Le 1er juillet 2018, la limitation de vitesse sur les routes à double sens sans séparateur central passe de 90 à 80 km/h. C’est une mesure personnelle d’Édouard Philippe, contre la volonté d’Emmanuel Macron. Elle est perçue comme un symbole de technocratie parisienne déconnectée des territoires ruraux et périurbains. En mai 2019, face à la pression (et aux Gilets jaunes), Philippe accepte que les présidents de conseil départemental puissent relever la vitesse sur certains tronçons.</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mesure est vécue comme une punition pour les ruraux. Elle nourrit la colère des Gilets jaunes, déjà exaspérés par la hausse des taxes carburant. Macron désapprouve en privé. La mesure est progressivement démantelée par les départements.</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Philippe défend un bilan positif : 2018 est l’année la moins meurtrière sur les routes françaises. Il estime que 116 vies ont été sauvées par la mesure. Il assume sa responsabilité personnelle et refuse de céder au populisme.</w:t>
      </w:r>
    </w:p>
    <w:p>
      <w:pPr>
        <w:pStyle w:val="Heading1"/>
      </w:pPr>
      <w:r>
        <w:t xml:space="preserve">Dossier 5 — Réforme des retraites à points inachevée</w:t>
      </w:r>
    </w:p>
    <w:p>
      <w:pPr>
        <w:pStyle w:val="Heading2"/>
      </w:pPr>
      <w:r>
        <w:t xml:space="preserve">Les faits</w:t>
      </w:r>
    </w:p>
    <w:p>
      <w:pPr>
        <w:spacing w:after="200"/>
      </w:pPr>
      <w:r>
        <w:rPr>
          <w:rFonts w:ascii="Arial" w:cs="Arial" w:eastAsia="Arial" w:hAnsi="Arial"/>
          <w:sz w:val="22"/>
          <w:szCs w:val="22"/>
        </w:rPr>
        <w:t xml:space="preserve">Le 11 décembre 2019, Philippe présente le système universel de retraites à points, préparé par le haut-commissaire Jean-Paul Delevoye. Près de trois mois de grèves et de manifestations s’ensuivent (record de la plus longue grève continue dans les transports depuis 30 ans). Delevoye démissionne le 16 décembre pour activités non déclarées (il avait rencontré BlackRock en mars 2018). En février 2020, Philippe utilise le 49.3 pour faire adopter le texte en première lecture. Puis la pandémie gèle la réforme indéfiniment.</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réforme à points est soupçonnée de préparer la capitalisation au profit de BlackRock (voir rapport spécifique). Delevoye avait rencontré BlackRock dès sa nomination. Philippe insiste sur un « âge pivot » qui brise l’alliance avec la CFDT. Le recours au 49.3 délégitime le processus. La réforme est abandonnée sans résultat.</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Philippe défend une ambition de justice sociale : fin des régimes spéciaux, meilleure prise en compte des carrières hachées, égalité hommes-femmes. La réforme est interrompue par la pandémie, pas par un échec politique. Le système par répartition est préservé.</w:t>
      </w:r>
    </w:p>
    <w:p>
      <w:r>
        <w:br w:type="page"/>
      </w:r>
    </w:p>
    <w:p>
      <w:pPr>
        <w:pStyle w:val="Heading1"/>
      </w:pPr>
      <w:r>
        <w:t xml:space="preserve">Dossier 6 — Notre-Dame-des-Landes : abandon et répression</w:t>
      </w:r>
    </w:p>
    <w:p>
      <w:pPr>
        <w:pStyle w:val="Heading2"/>
      </w:pPr>
      <w:r>
        <w:t xml:space="preserve">Les faits</w:t>
      </w:r>
    </w:p>
    <w:p>
      <w:pPr>
        <w:spacing w:after="200"/>
      </w:pPr>
      <w:r>
        <w:rPr>
          <w:rFonts w:ascii="Arial" w:cs="Arial" w:eastAsia="Arial" w:hAnsi="Arial"/>
          <w:sz w:val="22"/>
          <w:szCs w:val="22"/>
        </w:rPr>
        <w:t xml:space="preserve">Le 17 janvier 2018, Philippe annonce l’abandon du projet d’aéroport à Notre-Dame-des-Landes au profit du réaménagement de l’aéroport de Nantes. Puis, le 9 avril, 2 500 gendarmes mobiles lancent l’opération d’expulsion des zadistes. Un étudiant a la main arrachée en ramassant une grenade. Le sénateur LR Bruno Retailleau qualifie cet abandon de « péché originel » de la France « livrée au tribalisme ».</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droite LR accuse Philippe d’avoir capitulé face à l’occupation illégale de la ZAD, créant un précédent dangereux. La répression de l’évacuation est jugée disproportionnée. Le réaménagement de Nantes-Atlantique est contesté comme insuffisant pour absorber la croissance du trafic aérien.</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L’abandon est présenté comme une décision pragmatique (référendum local, coûts écologiques). L’évacuation rétablit l’État de droit sur un territoire occupé illégalement depuis des années. Le projet d’aéroport avait 50 ans de controverses.</w:t>
      </w:r>
    </w:p>
    <w:p>
      <w:pPr>
        <w:pStyle w:val="Heading1"/>
      </w:pPr>
      <w:r>
        <w:t xml:space="preserve">Dossier 7 — Taxe carbone : la mèche des Gilets jaunes</w:t>
      </w:r>
    </w:p>
    <w:p>
      <w:pPr>
        <w:pStyle w:val="Heading2"/>
      </w:pPr>
      <w:r>
        <w:t xml:space="preserve">Les faits</w:t>
      </w:r>
    </w:p>
    <w:p>
      <w:pPr>
        <w:spacing w:after="200"/>
      </w:pPr>
      <w:r>
        <w:rPr>
          <w:rFonts w:ascii="Arial" w:cs="Arial" w:eastAsia="Arial" w:hAnsi="Arial"/>
          <w:sz w:val="22"/>
          <w:szCs w:val="22"/>
        </w:rPr>
        <w:t xml:space="preserve">La composante carbone de la TICPE passe de 7 €/t en 2014 à 44,60 €/t en 2018. Le gouvernement Philippe prévoit 86,20 €/t en 2022 et avance l’entrée en vigueur de la hausse. Ce sont 4 centimes par litre d’essence et 7 centimes par litre de gazole. Le 17 novembre 2018, 280 000 Gilets jaunes se lèvent. Le 4 décembre, Philippe annonce un moratoire de 6 mois ; l’Élysée le désavoue le lendemain en annulant la hausse pour 2019 entièrement. Résultat : zéro recette carbone, une crise historique, et une prime d’activité d’urgence (9,5 Mds€/an, +70 % en deux ans).</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Le gouvernement a accumulé taxes sur les ruraux (carburant + 80 km/h + suppression APL) sans compensation. La hausse de la taxe carbone coïncide avec une baisse mondiale du pétrole, rendant la ponction encore plus visible. La taxe n’est pas fléchée vers la transition écologique mais vers le budget général. Philippe est désavoué par Macron dans la gestion de la crise.</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La taxe carbone est un instrument recommandé par les économistes pour la transition énergétique. Le moratoire puis l’annulation démontrent la capacité d’écoute du gouvernement. Philippe défend la fiscalité écologique comme un principe.</w:t>
      </w:r>
    </w:p>
    <w:p>
      <w:pPr>
        <w:pStyle w:val="Heading1"/>
      </w:pPr>
      <w:r>
        <w:t xml:space="preserve">Dossier 8 — Chômage et bilan économique</w:t>
      </w:r>
    </w:p>
    <w:p>
      <w:pPr>
        <w:pStyle w:val="Heading2"/>
      </w:pPr>
      <w:r>
        <w:t xml:space="preserve">Les faits</w:t>
      </w:r>
    </w:p>
    <w:p>
      <w:pPr>
        <w:spacing w:after="200"/>
      </w:pPr>
      <w:r>
        <w:rPr>
          <w:rFonts w:ascii="Arial" w:cs="Arial" w:eastAsia="Arial" w:hAnsi="Arial"/>
          <w:sz w:val="22"/>
          <w:szCs w:val="22"/>
        </w:rPr>
        <w:t xml:space="preserve">Le mandat Philippe est marqué par une baisse du chômage (de 9,4 % en 2017 à 7,1 % fin 2019) avant que la pandémie ne fasse remonter les chiffres. La réforme de l’assurance-chômage (durcissement des conditions d’accès, été 2019) est reportée par le Covid. Les ordonnances travail de 2017 (inspirées par Marc Ferracci, voir rapport Coalition) sont appliquées, mais leur impact sur la création d’emplois est discuté. La dette publique augmente de 406,6 milliards en trois ans, passant de 98,4 % du PIB (2017) à 115,7 % (mi-2020).</w:t>
      </w:r>
    </w:p>
    <w:p>
      <w:pPr>
        <w:spacing w:after="200"/>
      </w:pPr>
      <w:r>
        <w:rPr>
          <w:rFonts w:ascii="Arial" w:cs="Arial" w:eastAsia="Arial" w:hAnsi="Arial"/>
          <w:b/>
          <w:bCs/>
          <w:color w:val="C00000"/>
          <w:sz w:val="22"/>
          <w:szCs w:val="22"/>
        </w:rPr>
        <w:t xml:space="preserve">▶ Critiques : </w:t>
      </w:r>
      <w:r>
        <w:rPr>
          <w:rFonts w:ascii="Arial" w:cs="Arial" w:eastAsia="Arial" w:hAnsi="Arial"/>
          <w:sz w:val="22"/>
          <w:szCs w:val="22"/>
        </w:rPr>
        <w:t xml:space="preserve">La baisse du chômage a commencé avant l’arrivée de Philippe et relève de la conjoncture européenne. La dette explose malgré les hausses de prélèvements (CSG +22,5 Mds, suppression taxe d’habitation -18,5 Mds). Les réformes structurelles sont inachevées (retraites, assurance chômage). Le chômage partiel Covid coûte 35 milliards sans garantie de reprise.</w:t>
      </w:r>
    </w:p>
    <w:p>
      <w:pPr>
        <w:spacing w:after="200"/>
      </w:pPr>
      <w:r>
        <w:rPr>
          <w:rFonts w:ascii="Arial" w:cs="Arial" w:eastAsia="Arial" w:hAnsi="Arial"/>
          <w:b/>
          <w:bCs/>
          <w:color w:val="2E7D32"/>
          <w:sz w:val="22"/>
          <w:szCs w:val="22"/>
        </w:rPr>
        <w:t xml:space="preserve">▶ Partisans : </w:t>
      </w:r>
      <w:r>
        <w:rPr>
          <w:rFonts w:ascii="Arial" w:cs="Arial" w:eastAsia="Arial" w:hAnsi="Arial"/>
          <w:sz w:val="22"/>
          <w:szCs w:val="22"/>
        </w:rPr>
        <w:t xml:space="preserve">Le mandat Philippe a produit la flat tax (PFU 30 %), la transformation de l’ISF en IFI, et les ordonnances travail. La France est devenue première destination européenne d’investissements industriels étrangers en 2017-2018. La gestion du Covid (chômage partiel, PGE) a sauvé des millions d’emplois.</w:t>
      </w:r>
    </w:p>
    <w:p>
      <w:r>
        <w:br w:type="page"/>
      </w:r>
    </w:p>
    <w:p>
      <w:pPr>
        <w:pStyle w:val="Heading1"/>
      </w:pPr>
      <w:r>
        <w:t xml:space="preserve">Tableau synthétique des huit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Dossier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5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Bilan factuel</w:t>
            </w:r>
          </w:p>
        </w:tc>
        <w:tc>
          <w:tcPr>
            <w:tcW w:type="dxa" w:w="25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LBD / Gilets jaunes</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Nov 2018 – mi-2019</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2500 blessés, 24 éborgnés, 5 mains</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Condamné par ONU, Amnesty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Rivotril / EHPAD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28 mars 2020</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Décret Philippe-Véran, soins palliatifs vs euthanasie</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Polémique non tranchée</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Fessenheim</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Février-juin 2020</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10 TWh/an perdus, 5 Mds€, 850 emplois</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Décision irréversible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80 km/h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Juil. 2018</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Mesure personnelle, contre Macron</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Progressivement démantelée</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Retraites à points</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Déc. 2019 – mars 2020</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3 mois de grève, 49.3, puis gel Covid</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Abandonnée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Notre-Dame-des-Landes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Janv. – avril 2018</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Abandon aéroport + expulsion ZAD (2500 gendarmes)</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LR dit « péché originel »</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Taxe carbone</w:t>
            </w:r>
          </w:p>
        </w:tc>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2018</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7→ 44,60 €/t, déclencheur GJ, moratoire puis abandon</w:t>
            </w:r>
          </w:p>
        </w:tc>
        <w:tc>
          <w:tcPr>
            <w:tcW w:type="dxa" w:w="2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0 recette, crise historique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Chômage / dette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2017-2020</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Chômage 9,4→7,1% puis remontée Covid</w:t>
            </w:r>
          </w:p>
        </w:tc>
        <w:tc>
          <w:tcPr>
            <w:tcW w:type="dxa" w:w="2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+406,6 Mds€ de dette</w:t>
            </w:r>
          </w:p>
        </w:tc>
      </w:tr>
    </w:tbl>
    <w:p>
      <w:pPr>
        <w:spacing w:after="120"/>
      </w:pPr>
    </w:p>
    <w:p>
      <w:r>
        <w:br w:type="page"/>
      </w:r>
    </w:p>
    <w:p>
      <w:pPr>
        <w:pStyle w:val="Heading1"/>
      </w:pPr>
      <w:r>
        <w:t xml:space="preserve">Sources</w:t>
      </w:r>
    </w:p>
    <w:p>
      <w:pPr>
        <w:pStyle w:val="ListParagraph"/>
        <w:numPr>
          <w:ilvl w:val="0"/>
          <w:numId w:val="2"/>
        </w:numPr>
        <w:spacing w:after="100"/>
      </w:pPr>
      <w:r>
        <w:rPr>
          <w:rFonts w:ascii="Arial" w:cs="Arial" w:eastAsia="Arial" w:hAnsi="Arial"/>
          <w:sz w:val="22"/>
          <w:szCs w:val="22"/>
        </w:rPr>
        <w:t xml:space="preserve">Amnesty International France — « Gilets jaunes : un bilan inquiétant » (novembre 2019)</w:t>
      </w:r>
    </w:p>
    <w:p>
      <w:pPr>
        <w:pStyle w:val="ListParagraph"/>
        <w:numPr>
          <w:ilvl w:val="0"/>
          <w:numId w:val="2"/>
        </w:numPr>
        <w:spacing w:after="100"/>
      </w:pPr>
      <w:r>
        <w:rPr>
          <w:rFonts w:ascii="Arial" w:cs="Arial" w:eastAsia="Arial" w:hAnsi="Arial"/>
          <w:sz w:val="22"/>
          <w:szCs w:val="22"/>
        </w:rPr>
        <w:t xml:space="preserve">David Dufresne — « Allô, Place Beauvau » (recensement violences policières)</w:t>
      </w:r>
    </w:p>
    <w:p>
      <w:pPr>
        <w:pStyle w:val="ListParagraph"/>
        <w:numPr>
          <w:ilvl w:val="0"/>
          <w:numId w:val="2"/>
        </w:numPr>
        <w:spacing w:after="100"/>
      </w:pPr>
      <w:r>
        <w:rPr>
          <w:rFonts w:ascii="Arial" w:cs="Arial" w:eastAsia="Arial" w:hAnsi="Arial"/>
          <w:sz w:val="22"/>
          <w:szCs w:val="22"/>
        </w:rPr>
        <w:t xml:space="preserve">France Info / Pièces à conviction — « On a abrégé les souffrances des gens » (EHPAD, novembre 2020)</w:t>
      </w:r>
    </w:p>
    <w:p>
      <w:pPr>
        <w:pStyle w:val="ListParagraph"/>
        <w:numPr>
          <w:ilvl w:val="0"/>
          <w:numId w:val="2"/>
        </w:numPr>
        <w:spacing w:after="100"/>
      </w:pPr>
      <w:r>
        <w:rPr>
          <w:rFonts w:ascii="Arial" w:cs="Arial" w:eastAsia="Arial" w:hAnsi="Arial"/>
          <w:sz w:val="22"/>
          <w:szCs w:val="22"/>
        </w:rPr>
        <w:t xml:space="preserve">SFGG — communiqué « Non, prescrire du Rivotril ne revient pas à euthanasier » (avril 2020)</w:t>
      </w:r>
    </w:p>
    <w:p>
      <w:pPr>
        <w:pStyle w:val="ListParagraph"/>
        <w:numPr>
          <w:ilvl w:val="0"/>
          <w:numId w:val="2"/>
        </w:numPr>
        <w:spacing w:after="100"/>
      </w:pPr>
      <w:r>
        <w:rPr>
          <w:rFonts w:ascii="Arial" w:cs="Arial" w:eastAsia="Arial" w:hAnsi="Arial"/>
          <w:sz w:val="22"/>
          <w:szCs w:val="22"/>
        </w:rPr>
        <w:t xml:space="preserve">Légifrance — Décret n° 2020-360 du 28 mars 2020 (Rivotril)</w:t>
      </w:r>
    </w:p>
    <w:p>
      <w:pPr>
        <w:pStyle w:val="ListParagraph"/>
        <w:numPr>
          <w:ilvl w:val="0"/>
          <w:numId w:val="2"/>
        </w:numPr>
        <w:spacing w:after="100"/>
      </w:pPr>
      <w:r>
        <w:rPr>
          <w:rFonts w:ascii="Arial" w:cs="Arial" w:eastAsia="Arial" w:hAnsi="Arial"/>
          <w:sz w:val="22"/>
          <w:szCs w:val="22"/>
        </w:rPr>
        <w:t xml:space="preserve">Légifrance — Décret n° 2020-129 du 18 février 2020 (Fessenheim)</w:t>
      </w:r>
    </w:p>
    <w:p>
      <w:pPr>
        <w:pStyle w:val="ListParagraph"/>
        <w:numPr>
          <w:ilvl w:val="0"/>
          <w:numId w:val="2"/>
        </w:numPr>
        <w:spacing w:after="100"/>
      </w:pPr>
      <w:r>
        <w:rPr>
          <w:rFonts w:ascii="Arial" w:cs="Arial" w:eastAsia="Arial" w:hAnsi="Arial"/>
          <w:sz w:val="22"/>
          <w:szCs w:val="22"/>
        </w:rPr>
        <w:t xml:space="preserve">Assemblée nationale — Mission d’information sur la fermeture de Fessenheim</w:t>
      </w:r>
    </w:p>
    <w:p>
      <w:pPr>
        <w:pStyle w:val="ListParagraph"/>
        <w:numPr>
          <w:ilvl w:val="0"/>
          <w:numId w:val="2"/>
        </w:numPr>
        <w:spacing w:after="100"/>
      </w:pPr>
      <w:r>
        <w:rPr>
          <w:rFonts w:ascii="Arial" w:cs="Arial" w:eastAsia="Arial" w:hAnsi="Arial"/>
          <w:sz w:val="22"/>
          <w:szCs w:val="22"/>
        </w:rPr>
        <w:t xml:space="preserve">Euractiv — « Édouard Philippe quitte Matignon après un mandat marqué par les crises » (juillet 2020)</w:t>
      </w:r>
    </w:p>
    <w:p>
      <w:pPr>
        <w:pStyle w:val="ListParagraph"/>
        <w:numPr>
          <w:ilvl w:val="0"/>
          <w:numId w:val="2"/>
        </w:numPr>
        <w:spacing w:after="100"/>
      </w:pPr>
      <w:r>
        <w:rPr>
          <w:rFonts w:ascii="Arial" w:cs="Arial" w:eastAsia="Arial" w:hAnsi="Arial"/>
          <w:sz w:val="22"/>
          <w:szCs w:val="22"/>
        </w:rPr>
        <w:t xml:space="preserve">Public Sénat — « Un homme d’État mais des réformes inachevées » (juillet 2020)</w:t>
      </w:r>
    </w:p>
    <w:p>
      <w:pPr>
        <w:pStyle w:val="ListParagraph"/>
        <w:numPr>
          <w:ilvl w:val="0"/>
          <w:numId w:val="2"/>
        </w:numPr>
        <w:spacing w:after="100"/>
      </w:pPr>
      <w:r>
        <w:rPr>
          <w:rFonts w:ascii="Arial" w:cs="Arial" w:eastAsia="Arial" w:hAnsi="Arial"/>
          <w:sz w:val="22"/>
          <w:szCs w:val="22"/>
        </w:rPr>
        <w:t xml:space="preserve">Vision Libérale — « Édouard Philippe a ajouté 406 milliards à la dette » (mars 2026)</w:t>
      </w:r>
    </w:p>
    <w:p>
      <w:pPr>
        <w:pStyle w:val="ListParagraph"/>
        <w:numPr>
          <w:ilvl w:val="0"/>
          <w:numId w:val="2"/>
        </w:numPr>
        <w:spacing w:after="100"/>
      </w:pPr>
      <w:r>
        <w:rPr>
          <w:rFonts w:ascii="Arial" w:cs="Arial" w:eastAsia="Arial" w:hAnsi="Arial"/>
          <w:sz w:val="22"/>
          <w:szCs w:val="22"/>
        </w:rPr>
        <w:t xml:space="preserve">Vie-publique.fr — Déclarations de Philippe sur les retraites (décembre 2019) et le moratoire carbone (décembre 2018)</w:t>
      </w:r>
    </w:p>
    <w:p>
      <w:pPr>
        <w:pStyle w:val="ListParagraph"/>
        <w:numPr>
          <w:ilvl w:val="0"/>
          <w:numId w:val="2"/>
        </w:numPr>
        <w:spacing w:after="100"/>
      </w:pPr>
      <w:r>
        <w:rPr>
          <w:rFonts w:ascii="Arial" w:cs="Arial" w:eastAsia="Arial" w:hAnsi="Arial"/>
          <w:sz w:val="22"/>
          <w:szCs w:val="22"/>
        </w:rPr>
        <w:t xml:space="preserve">Wikipedia — articles Mouvement des Gilets jaunes, Centrale de Fessenheim, Édouard Philippe</w:t>
      </w:r>
    </w:p>
    <w:p>
      <w:pPr>
        <w:pStyle w:val="ListParagraph"/>
        <w:numPr>
          <w:ilvl w:val="0"/>
          <w:numId w:val="2"/>
        </w:numPr>
        <w:spacing w:after="100"/>
      </w:pPr>
      <w:r>
        <w:rPr>
          <w:rFonts w:ascii="Arial" w:cs="Arial" w:eastAsia="Arial" w:hAnsi="Arial"/>
          <w:sz w:val="22"/>
          <w:szCs w:val="22"/>
        </w:rPr>
        <w:t xml:space="preserve">Novethic — « Remaniement : Philippe démissionne après trois ans de gestion de crise » (juillet 2020)</w:t>
      </w:r>
    </w:p>
    <w:p>
      <w:pPr>
        <w:pStyle w:val="ListParagraph"/>
        <w:numPr>
          <w:ilvl w:val="0"/>
          <w:numId w:val="2"/>
        </w:numPr>
        <w:spacing w:after="100"/>
      </w:pPr>
      <w:r>
        <w:rPr>
          <w:rFonts w:ascii="Arial" w:cs="Arial" w:eastAsia="Arial" w:hAnsi="Arial"/>
          <w:sz w:val="22"/>
          <w:szCs w:val="22"/>
        </w:rPr>
        <w:t xml:space="preserve">jamaisplusedouard-fr.vercel.app — référence interne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Controverses du mandat Philippe (2017-2020)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2026-03-30T22:02:06.164Z</dcterms:created>
  <dcterms:modified xsi:type="dcterms:W3CDTF">2026-03-30T22:02:06.165Z</dcterms:modified>
</cp:coreProperties>
</file>

<file path=docProps/custom.xml><?xml version="1.0" encoding="utf-8"?>
<Properties xmlns="http://schemas.openxmlformats.org/officeDocument/2006/custom-properties" xmlns:vt="http://schemas.openxmlformats.org/officeDocument/2006/docPropsVTypes"/>
</file>