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i w:val="false"/>
          <w:iCs w:val="false"/>
          <w:color w:val="2E75B6"/>
          <w:sz w:val="20"/>
          <w:szCs w:val="20"/>
        </w:rPr>
        <w:t xml:space="preserve">BULLETIN DE MISE À JOUR</w:t>
      </w:r>
    </w:p>
    <w:p>
      <w:pPr>
        <w:spacing w:after="100"/>
        <w:jc w:val="center"/>
      </w:pPr>
      <w:r>
        <w:rPr>
          <w:rFonts w:ascii="Arial" w:cs="Arial" w:eastAsia="Arial" w:hAnsi="Arial"/>
          <w:b/>
          <w:bCs/>
          <w:color w:val="1F3864"/>
          <w:sz w:val="48"/>
          <w:szCs w:val="48"/>
        </w:rPr>
        <w:t xml:space="preserve">Découvertes &amp; Corrections</w:t>
      </w:r>
    </w:p>
    <w:p>
      <w:pPr>
        <w:spacing w:after="400"/>
        <w:jc w:val="center"/>
      </w:pPr>
      <w:r>
        <w:rPr>
          <w:rFonts w:ascii="Arial" w:cs="Arial" w:eastAsia="Arial" w:hAnsi="Arial"/>
          <w:b w:val="false"/>
          <w:bCs w:val="false"/>
          <w:i w:val="false"/>
          <w:iCs w:val="false"/>
          <w:color w:val="2E75B6"/>
          <w:sz w:val="28"/>
          <w:szCs w:val="28"/>
        </w:rPr>
        <w:t xml:space="preserve">Session du 2 avril 2026</w:t>
      </w:r>
    </w:p>
    <w:p>
      <w:pPr>
        <w:spacing w:after="600"/>
        <w:jc w:val="center"/>
      </w:pPr>
      <w:r>
        <w:rPr>
          <w:rFonts w:ascii="Arial" w:cs="Arial" w:eastAsia="Arial" w:hAnsi="Arial"/>
          <w:b w:val="false"/>
          <w:bCs w:val="false"/>
          <w:i/>
          <w:iCs/>
          <w:color w:val="000000"/>
          <w:sz w:val="22"/>
          <w:szCs w:val="22"/>
        </w:rPr>
        <w:t xml:space="preserve">Destiné au codeur pour intégration dans le document maître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Nouveau rapport</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rapport_investigation_nunez.docx (206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Corrections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 modifications dans 4 fichiers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Nouvelle table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Cartographie propriété médiatique (11 médias)</w:t>
            </w:r>
          </w:p>
        </w:tc>
      </w:tr>
    </w:tbl>
    <w:p>
      <w:pPr>
        <w:spacing w:after="400"/>
      </w:pPr>
    </w:p>
    <w:p>
      <w:pPr>
        <w:spacing w:after="160"/>
        <w:jc w:val="center"/>
      </w:pPr>
      <w:r>
        <w:rPr>
          <w:rFonts w:ascii="Arial" w:cs="Arial" w:eastAsia="Arial" w:hAnsi="Arial"/>
          <w:b/>
          <w:bCs/>
          <w:i w:val="false"/>
          <w:iCs w:val="false"/>
          <w:color w:val="C00000"/>
          <w:sz w:val="24"/>
          <w:szCs w:val="24"/>
        </w:rPr>
        <w:t xml:space="preserve">DOCUMENT INTERNE</w:t>
      </w:r>
    </w:p>
    <w:p>
      <w:r>
        <w:br w:type="page"/>
      </w:r>
    </w:p>
    <w:p>
      <w:pPr>
        <w:pStyle w:val="Heading1"/>
      </w:pPr>
      <w:r>
        <w:rPr>
          <w:rFonts w:ascii="Arial" w:cs="Arial" w:eastAsia="Arial" w:hAnsi="Arial"/>
        </w:rPr>
        <w:t xml:space="preserve">Section 1 — Nouveau rapport : Laurent Nuñez</w:t>
      </w:r>
    </w:p>
    <w:p>
      <w:pPr>
        <w:spacing w:after="160"/>
        <w:jc w:val="both"/>
      </w:pPr>
      <w:r>
        <w:rPr>
          <w:rFonts w:ascii="Arial" w:cs="Arial" w:eastAsia="Arial" w:hAnsi="Arial"/>
          <w:b w:val="false"/>
          <w:bCs w:val="false"/>
          <w:i w:val="false"/>
          <w:iCs w:val="false"/>
          <w:color w:val="000000"/>
          <w:sz w:val="24"/>
          <w:szCs w:val="24"/>
        </w:rPr>
        <w:t xml:space="preserve">Un rapport complet de 206 paragraphes a été produit : rapport_investigation_nunez.docx</w:t>
      </w:r>
    </w:p>
    <w:p>
      <w:pPr>
        <w:pStyle w:val="Heading2"/>
      </w:pPr>
      <w:r>
        <w:rPr>
          <w:rFonts w:ascii="Arial" w:cs="Arial" w:eastAsia="Arial" w:hAnsi="Arial"/>
        </w:rPr>
        <w:t xml:space="preserve">1.1 Découvertes principales</w:t>
      </w:r>
    </w:p>
    <w:p>
      <w:pPr>
        <w:spacing w:after="160"/>
        <w:jc w:val="both"/>
      </w:pPr>
      <w:r>
        <w:rPr>
          <w:rFonts w:ascii="Arial" w:cs="Arial" w:eastAsia="Arial" w:hAnsi="Arial"/>
          <w:b/>
          <w:bCs/>
          <w:i w:val="false"/>
          <w:iCs w:val="false"/>
          <w:color w:val="000000"/>
          <w:sz w:val="24"/>
          <w:szCs w:val="24"/>
        </w:rPr>
        <w:t xml:space="preserve">Découverte 1 — Triangle ENA Cyrano de Bergerac : </w:t>
      </w:r>
      <w:r>
        <w:rPr>
          <w:rFonts w:ascii="Arial" w:cs="Arial" w:eastAsia="Arial" w:hAnsi="Arial"/>
          <w:b w:val="false"/>
          <w:bCs w:val="false"/>
          <w:i w:val="false"/>
          <w:iCs w:val="false"/>
          <w:color w:val="000000"/>
          <w:sz w:val="24"/>
          <w:szCs w:val="24"/>
        </w:rPr>
        <w:t xml:space="preserve">Laurent Nuñez et Alexandre Bompard (PDG Carrefour) sont condisciples de la promotion Cyrano de Bergerac de l’ENA (1997-1999). Bompard est marié à Charlotte Caubel, qui fut cheffe du pôle justice au cabinet d’Édouard Philippe à Matignon (2017-2020) et membre d’Horizons. Source : arrêté Légifrance JORFTEXT000000211140.</w:t>
      </w:r>
    </w:p>
    <w:p>
      <w:pPr>
        <w:spacing w:after="160"/>
        <w:jc w:val="both"/>
      </w:pPr>
      <w:r>
        <w:rPr>
          <w:rFonts w:ascii="Arial" w:cs="Arial" w:eastAsia="Arial" w:hAnsi="Arial"/>
          <w:b/>
          <w:bCs/>
          <w:i w:val="false"/>
          <w:iCs w:val="false"/>
          <w:color w:val="000000"/>
          <w:sz w:val="24"/>
          <w:szCs w:val="24"/>
        </w:rPr>
        <w:t xml:space="preserve">Découverte 2 — Chaînon manquant Gilets jaunes : </w:t>
      </w:r>
      <w:r>
        <w:rPr>
          <w:rFonts w:ascii="Arial" w:cs="Arial" w:eastAsia="Arial" w:hAnsi="Arial"/>
          <w:b w:val="false"/>
          <w:bCs w:val="false"/>
          <w:i w:val="false"/>
          <w:iCs w:val="false"/>
          <w:color w:val="000000"/>
          <w:sz w:val="24"/>
          <w:szCs w:val="24"/>
        </w:rPr>
        <w:t xml:space="preserve">Nuñez était le véritable homme aux manettes à Beauvau (secrétaire d’État Intérieur, oct. 2018 – juil. 2020), co-responsable opérationnel de la répression des GJ avec Castaner. Il défend les LBD, participe au limogeage de Delpuech, et refuse le terme « violences policières ».</w:t>
      </w:r>
    </w:p>
    <w:p>
      <w:pPr>
        <w:spacing w:after="160"/>
        <w:jc w:val="both"/>
      </w:pPr>
      <w:r>
        <w:rPr>
          <w:rFonts w:ascii="Arial" w:cs="Arial" w:eastAsia="Arial" w:hAnsi="Arial"/>
          <w:b/>
          <w:bCs/>
          <w:i w:val="false"/>
          <w:iCs w:val="false"/>
          <w:color w:val="000000"/>
          <w:sz w:val="24"/>
          <w:szCs w:val="24"/>
        </w:rPr>
        <w:t xml:space="preserve">Découverte 3 — Continuum sécuritaire Macron : </w:t>
      </w:r>
      <w:r>
        <w:rPr>
          <w:rFonts w:ascii="Arial" w:cs="Arial" w:eastAsia="Arial" w:hAnsi="Arial"/>
          <w:b w:val="false"/>
          <w:bCs w:val="false"/>
          <w:i w:val="false"/>
          <w:iCs w:val="false"/>
          <w:color w:val="000000"/>
          <w:sz w:val="24"/>
          <w:szCs w:val="24"/>
        </w:rPr>
        <w:t xml:space="preserve">DGSI (2017) → SE Intérieur sous Philippe (2018) → CNRLT à l’Élysée (2020) → Préfet de police Paris (2022) → Ministre Intérieur Lecornu II (2025). Toutes les nominations sont des choix personnels de Macron. Nuñez est un homme de Macron, pas de Philippe.</w:t>
      </w:r>
    </w:p>
    <w:p>
      <w:pPr>
        <w:spacing w:after="160"/>
        <w:jc w:val="both"/>
      </w:pPr>
      <w:r>
        <w:rPr>
          <w:rFonts w:ascii="Arial" w:cs="Arial" w:eastAsia="Arial" w:hAnsi="Arial"/>
          <w:b/>
          <w:bCs/>
          <w:i w:val="false"/>
          <w:iCs w:val="false"/>
          <w:color w:val="000000"/>
          <w:sz w:val="24"/>
          <w:szCs w:val="24"/>
        </w:rPr>
        <w:t xml:space="preserve">Découverte 4 — Controverses BRAV-M / Nahel / Sainte-Soline : </w:t>
      </w:r>
      <w:r>
        <w:rPr>
          <w:rFonts w:ascii="Arial" w:cs="Arial" w:eastAsia="Arial" w:hAnsi="Arial"/>
          <w:b w:val="false"/>
          <w:bCs w:val="false"/>
          <w:i w:val="false"/>
          <w:iCs w:val="false"/>
          <w:color w:val="000000"/>
          <w:sz w:val="24"/>
          <w:szCs w:val="24"/>
        </w:rPr>
        <w:t xml:space="preserve">En tant que préfet de police (2022-2025), Nuñez paie les frais d’avocat de la BRAV-M contre l’avis de ses services, émet un avis favorable pour la mutation du policier ayant tué Nahel, et refuse de qualifier Sainte-Soline de « violences policières » malgré les vidéos de tirs tendus illégaux.</w:t>
      </w:r>
    </w:p>
    <w:p>
      <w:pPr>
        <w:pStyle w:val="Heading2"/>
      </w:pPr>
      <w:r>
        <w:rPr>
          <w:rFonts w:ascii="Arial" w:cs="Arial" w:eastAsia="Arial" w:hAnsi="Arial"/>
        </w:rPr>
        <w:t xml:space="preserve">1.2 Positionnement MAS</w:t>
      </w:r>
    </w:p>
    <w:p>
      <w:pPr>
        <w:spacing w:after="160"/>
        <w:jc w:val="both"/>
      </w:pPr>
      <w:r>
        <w:rPr>
          <w:rFonts w:ascii="Arial" w:cs="Arial" w:eastAsia="Arial" w:hAnsi="Arial"/>
          <w:b w:val="false"/>
          <w:bCs w:val="false"/>
          <w:i w:val="false"/>
          <w:iCs w:val="false"/>
          <w:color w:val="000000"/>
          <w:sz w:val="24"/>
          <w:szCs w:val="24"/>
        </w:rPr>
        <w:t xml:space="preserve">Nuñez n’est pas un centroïde mais un agent spécialisé de type « exécuteur régalien ». Sa fonction d’utilité : maximiser le contrôle sécuritaire au service du centroïde Macron. Lié à Philippe par la co-responsabilité GJ, mais sans fidélité organique.</w:t>
      </w:r>
    </w:p>
    <w:p>
      <w:pPr>
        <w:pStyle w:val="Heading2"/>
      </w:pPr>
      <w:r>
        <w:rPr>
          <w:rFonts w:ascii="Arial" w:cs="Arial" w:eastAsia="Arial" w:hAnsi="Arial"/>
        </w:rPr>
        <w:t xml:space="preserve">1.3 Intégration dans le document maître</w:t>
      </w:r>
    </w:p>
    <w:p>
      <w:pPr>
        <w:spacing w:after="160"/>
        <w:jc w:val="both"/>
      </w:pPr>
      <w:r>
        <w:rPr>
          <w:rFonts w:ascii="Arial" w:cs="Arial" w:eastAsia="Arial" w:hAnsi="Arial"/>
          <w:b w:val="false"/>
          <w:bCs w:val="false"/>
          <w:i w:val="false"/>
          <w:iCs w:val="false"/>
          <w:color w:val="000000"/>
          <w:sz w:val="24"/>
          <w:szCs w:val="24"/>
        </w:rPr>
        <w:t xml:space="preserve">Le rapport est autonome (rapport_investigation_nunez.docx). Pour le document maître, ajouter dans la section « Réseaux et cercles d’influence » une référence au rapport Nuñez et mentionner le triangle Cyrano de Bergerac dans le chapitre ENA.</w:t>
      </w:r>
    </w:p>
    <w:p>
      <w:r>
        <w:br w:type="page"/>
      </w:r>
    </w:p>
    <w:p>
      <w:pPr>
        <w:pStyle w:val="Heading1"/>
      </w:pPr>
      <w:r>
        <w:rPr>
          <w:rFonts w:ascii="Arial" w:cs="Arial" w:eastAsia="Arial" w:hAnsi="Arial"/>
        </w:rPr>
        <w:t xml:space="preserve">Section 2 — Corrections : Blast &amp; Mediapart (financement)</w:t>
      </w:r>
    </w:p>
    <w:p>
      <w:pPr>
        <w:spacing w:after="160"/>
        <w:jc w:val="both"/>
      </w:pPr>
      <w:r>
        <w:rPr>
          <w:rFonts w:ascii="Arial" w:cs="Arial" w:eastAsia="Arial" w:hAnsi="Arial"/>
          <w:b w:val="false"/>
          <w:bCs w:val="false"/>
          <w:i w:val="false"/>
          <w:iCs w:val="false"/>
          <w:color w:val="000000"/>
          <w:sz w:val="24"/>
          <w:szCs w:val="24"/>
        </w:rPr>
        <w:t xml:space="preserve">Nos rapports qualifient Blast et Mediapart de « sources indépendantes ». C’est bien le cas au sens actionnarial, mais la note méthodologique doit être enrichie avec leurs sources de financement (privées et publiques).</w:t>
      </w:r>
    </w:p>
    <w:p>
      <w:pPr>
        <w:pStyle w:val="Heading2"/>
      </w:pPr>
      <w:r>
        <w:rPr>
          <w:rFonts w:ascii="Arial" w:cs="Arial" w:eastAsia="Arial" w:hAnsi="Arial"/>
        </w:rPr>
        <w:t xml:space="preserve">2.1 Correction n°1 — Entrée bibliographique Mediapart</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edouard_philippe_biographie.docx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Ligne 504 — section Bibliographie / Presse et médias</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 Mediapart — enquête sur la composition du cabinet Philippe à Matignon (cercle d’intimes Juppé, partage de conseillers Élysée/Matignon). Source indépendante, investigatrice.</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 Mediapart — enquête sur la composition du cabinet Philippe à Matignon (cercle d’intimes Juppé, partage de conseillers Élysée/Matignon). Source investigatrice. Financement : 95 % par abonnements (~220 000 abonnés), sans publicité. Capital détenu depuis 2019 par le Fonds pour une presse libre (FPL), organisme à but non lucratif. Ne perçoit plus de subventions publiques depuis 2010 (avait reçu 200 000 € de l’État en 2009). Investisseurs fondateurs : Xavier Niel (200 000 €), Maurice Lévy (Publicis), Stéphane Fouks (Euro RSCG). Classé à gauche.</w:t>
      </w:r>
    </w:p>
    <w:p>
      <w:pPr>
        <w:pStyle w:val="Heading2"/>
      </w:pPr>
      <w:r>
        <w:rPr>
          <w:rFonts w:ascii="Arial" w:cs="Arial" w:eastAsia="Arial" w:hAnsi="Arial"/>
        </w:rPr>
        <w:t xml:space="preserve">2.2 Correction n°2 — Entrée bibliographique Blast</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edouard_philippe_biographie.docx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Ligne 526 — section Bibliographie / Sources critiques et investigatives</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 Blast (blast-info.fr) — enquête « Pantouflage : les bonnes affaires d’Édouard Philippe » : liens Atos depuis 2006, mission Walrafen, lien Breton. Source indépendante, investigatrice.</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 Blast (blast-info.fr) — enquête « Pantouflage : les bonnes affaires d’Édouard Philippe » : liens Atos depuis 2006, mission Walrafen, lien Breton. Source investigatrice. Financement : entreprise de presse à but non lucratif fondée en 2021 par Denis Robert, financée par crowdfunding (620 000 € levés en un mois), abonnements et dons. A reçu 803 000 € d’aide publique au pluralisme de la presse en ligne (au titre de 2021-2022, source Acrimed/ministère de la Culture). Cofondateurs notables : David Dufresne, Élise Van Beneden (présidente Anticor), Salomé Saqué. A refusé le mécénat privé après polémique Vinciguerra (2021). Classé à gauche.</w:t>
      </w:r>
    </w:p>
    <w:p>
      <w:pPr>
        <w:pStyle w:val="Heading2"/>
      </w:pPr>
      <w:r>
        <w:rPr>
          <w:rFonts w:ascii="Arial" w:cs="Arial" w:eastAsia="Arial" w:hAnsi="Arial"/>
        </w:rPr>
        <w:t xml:space="preserve">2.3 Correction n°3 — Note méthodologique</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edouard_philippe_biographie.docx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Ligne 534 — section « Note méthodologique sur l’indépendance des sources »</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Les sources institutionnelles (FAF, FCF, gouvernement) sont par nature promotionnelles ou officielles. Les grandes encyclopédies (Wikipedia, Grokipedia, Universalis) offrent une base factuelle mais avec des biais de couverture. Les sources critiques proviennent de l’extrême gauche (Révolution Permanente), de la droite identitaire (Polémia), de médias anti-PCC (Epoch Times) ou de médias indépendants (Blast, Mediapart). Leur convergence factuelle sur les listes de membres, les dates et les connexions renforce la fiabilité des données, même si leurs interprétations divergent. Les données HATVP sont légalement publiques et vérifiables.</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Les sources institutionnelles (FAF, FCF, gouvernement) sont par nature promotionnelles ou officielles. Les grandes encyclopédies (Wikipedia, Grokipedia, Universalis) offrent une base factuelle mais avec des biais de couverture. Les sources critiques proviennent de l’extrême gauche (Révolution Permanente), de la droite identitaire (Polémia), de médias anti-PCC (Epoch Times) ou de médias indépendants (Blast, Mediapart). Ces deux derniers sont bien indépendants au sens actionnarial : Mediapart est détenu par un fonds de dotation à but non lucratif (FPL) et financé à 95 % par ses abonnés ; Blast est une entreprise de presse à but non lucratif financée par crowdfunding et abonnements. Toutefois, cette indépendance actionnariale ne signifie pas absence de financement public : Blast a reçu 803 000 € d’aide publique au pluralisme (2021-2022) et Mediapart a bénéficié de 200 000 € de subventions en 2009 avant d’y renoncer. À titre de comparaison, BFMTV (CMA CGM/Saadé) perçoit des aides à la presse bien supérieures. Leur convergence factuelle sur les listes de membres, les dates et les connexions renforce la fiabilité des données, même si leurs interprétations (classées à gauche) divergent des sources de droite. Les données HATVP sont légalement publiques et vérifiables.</w:t>
      </w:r>
    </w:p>
    <w:p>
      <w:r>
        <w:br w:type="page"/>
      </w:r>
    </w:p>
    <w:p>
      <w:pPr>
        <w:pStyle w:val="Heading1"/>
      </w:pPr>
      <w:r>
        <w:rPr>
          <w:rFonts w:ascii="Arial" w:cs="Arial" w:eastAsia="Arial" w:hAnsi="Arial"/>
        </w:rPr>
        <w:t xml:space="preserve">Section 3 — Corrections : CNews &amp; Europe 1 (Bolloré, pas Macron)</w:t>
      </w:r>
    </w:p>
    <w:p>
      <w:pPr>
        <w:spacing w:after="160"/>
        <w:jc w:val="both"/>
      </w:pPr>
      <w:r>
        <w:rPr>
          <w:rFonts w:ascii="Arial" w:cs="Arial" w:eastAsia="Arial" w:hAnsi="Arial"/>
          <w:b w:val="false"/>
          <w:bCs w:val="false"/>
          <w:i w:val="false"/>
          <w:iCs w:val="false"/>
          <w:color w:val="000000"/>
          <w:sz w:val="24"/>
          <w:szCs w:val="24"/>
        </w:rPr>
        <w:t xml:space="preserve">CNews et Europe 1 appartiennent au groupe Vivendi (Vincent Bolloré). Leur ligne éditoriale est droite conservatrice à droite dure. Ils ne sont PAS pro-Macron ni pro-Philippe. CNews est la plateforme historique d’Éric Zemmour et a été sanctionnée par l’Arcom pour manquements au pluralisme. Les citer comme sources sans préciser cela fausse la cartographie médiatique.</w:t>
      </w:r>
    </w:p>
    <w:p>
      <w:pPr>
        <w:pStyle w:val="Heading2"/>
      </w:pPr>
      <w:r>
        <w:rPr>
          <w:rFonts w:ascii="Arial" w:cs="Arial" w:eastAsia="Arial" w:hAnsi="Arial"/>
        </w:rPr>
        <w:t xml:space="preserve">3.1 Correction n°4 — Europe 1 dans la biographie</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edouard_philippe_biographie.docx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Bibliographie / Presse et médias — entrée Europe 1</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 Europe 1 — article sur la nomination Philippe chez Atos, liens Juppé-Philippe à Bordeaux.</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 Europe 1 — article sur la nomination Philippe chez Atos, liens Juppé-Philippe à Bordeaux. Groupe Vivendi (Vincent Bolloré). Ligne éditoriale droite conservatrice, non alignée avec la Macronie.</w:t>
      </w:r>
    </w:p>
    <w:p>
      <w:pPr>
        <w:pStyle w:val="Heading2"/>
      </w:pPr>
      <w:r>
        <w:rPr>
          <w:rFonts w:ascii="Arial" w:cs="Arial" w:eastAsia="Arial" w:hAnsi="Arial"/>
        </w:rPr>
        <w:t xml:space="preserve">3.2 Correction n°5 — CNews dans le rapport coalition</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rapport_coalition_philippe_2027.docx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Sources / Presse et médias</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 CNews / Le Figaro — Darmanin et le « sentiment prérévolutionnaire électoral » (28 mars 2026)</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 CNews (Vivendi/Bolloré, droite dure) / Le Figaro (Dassault, centre-droit) — Darmanin et le « sentiment prérévolutionnaire électoral » (28 mars 2026)</w:t>
      </w:r>
    </w:p>
    <w:p>
      <w:pPr>
        <w:pStyle w:val="Heading2"/>
      </w:pPr>
      <w:r>
        <w:rPr>
          <w:rFonts w:ascii="Arial" w:cs="Arial" w:eastAsia="Arial" w:hAnsi="Arial"/>
        </w:rPr>
        <w:t xml:space="preserve">3.3 Correction n°6 — Europe 1 et CNews dans le rapport bilan fiscal</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rapport_complementaire_bilan_fiscal_social.docx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Sources</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 Europe 1 — « Prud’hommes : imbroglio autour du plafonnement »</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 Europe 1 (Vivendi/Bolloré, droite conservatrice) — « Prud’hommes : imbroglio autour du plafonnement »</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 CNEWS — « 15 000 soignants suspendus » (octobre 2021)</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 CNews (Vivendi/Bolloré, droite dure) — « 15 000 soignants suspendus » (octobre 2021)</w:t>
      </w:r>
    </w:p>
    <w:p>
      <w:pPr>
        <w:pStyle w:val="Heading2"/>
      </w:pPr>
      <w:r>
        <w:rPr>
          <w:rFonts w:ascii="Arial" w:cs="Arial" w:eastAsia="Arial" w:hAnsi="Arial"/>
        </w:rPr>
        <w:t xml:space="preserve">3.4 Correction n°7 — Europe 1 dans le rapport sondages</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rapport_sondages_medias_philippe.docx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Sources</w:t>
      </w:r>
    </w:p>
    <w:p>
      <w:pPr>
        <w:spacing w:after="160"/>
        <w:jc w:val="both"/>
      </w:pPr>
      <w:r>
        <w:rPr>
          <w:rFonts w:ascii="Arial" w:cs="Arial" w:eastAsia="Arial" w:hAnsi="Arial"/>
          <w:b/>
          <w:bCs/>
          <w:i w:val="false"/>
          <w:iCs w:val="false"/>
          <w:color w:val="C00000"/>
          <w:sz w:val="24"/>
          <w:szCs w:val="24"/>
        </w:rPr>
        <w:t xml:space="preserve">❌ ANCIEN : </w:t>
      </w:r>
      <w:r>
        <w:rPr>
          <w:rFonts w:ascii="Arial" w:cs="Arial" w:eastAsia="Arial" w:hAnsi="Arial"/>
          <w:b w:val="false"/>
          <w:bCs w:val="false"/>
          <w:i/>
          <w:iCs/>
          <w:color w:val="666666"/>
          <w:sz w:val="24"/>
          <w:szCs w:val="24"/>
        </w:rPr>
        <w:t xml:space="preserve">• Europe 1 / Le Figaro / AFP — « Philippe se détache pour le second tour » (28 mars 2026)</w:t>
      </w:r>
    </w:p>
    <w:p>
      <w:pPr>
        <w:spacing w:after="160"/>
        <w:jc w:val="both"/>
      </w:pPr>
      <w:r>
        <w:rPr>
          <w:rFonts w:ascii="Arial" w:cs="Arial" w:eastAsia="Arial" w:hAnsi="Arial"/>
          <w:b/>
          <w:bCs/>
          <w:i w:val="false"/>
          <w:iCs w:val="false"/>
          <w:color w:val="2E7D32"/>
          <w:sz w:val="24"/>
          <w:szCs w:val="24"/>
        </w:rPr>
        <w:t xml:space="preserve">✅ NOUVEAU : </w:t>
      </w:r>
      <w:r>
        <w:rPr>
          <w:rFonts w:ascii="Arial" w:cs="Arial" w:eastAsia="Arial" w:hAnsi="Arial"/>
          <w:b w:val="false"/>
          <w:bCs w:val="false"/>
          <w:i w:val="false"/>
          <w:iCs w:val="false"/>
          <w:color w:val="000000"/>
          <w:sz w:val="24"/>
          <w:szCs w:val="24"/>
        </w:rPr>
        <w:t xml:space="preserve">• Europe 1 (Vivendi/Bolloré, droite conservatrice) / Le Figaro (Dassault, centre-droit) / AFP (agence publique) — « Philippe se détache pour le second tour » (28 mars 2026). Note : la reprise du sondage Elabe par Europe 1 (adversaire structurel de Macron) suggère que le narratif « Philippe rempart face au RN » a pénétré au-delà de la sphère CMA CGM/Saadé.</w:t>
      </w:r>
    </w:p>
    <w:p>
      <w:r>
        <w:br w:type="page"/>
      </w:r>
    </w:p>
    <w:p>
      <w:pPr>
        <w:pStyle w:val="Heading1"/>
      </w:pPr>
      <w:r>
        <w:rPr>
          <w:rFonts w:ascii="Arial" w:cs="Arial" w:eastAsia="Arial" w:hAnsi="Arial"/>
        </w:rPr>
        <w:t xml:space="preserve">Section 4 — Nouvelle table : cartographie propriété médiatique</w:t>
      </w:r>
    </w:p>
    <w:p>
      <w:pPr>
        <w:spacing w:after="160"/>
        <w:jc w:val="both"/>
      </w:pPr>
      <w:r>
        <w:rPr>
          <w:rFonts w:ascii="Arial" w:cs="Arial" w:eastAsia="Arial" w:hAnsi="Arial"/>
          <w:b/>
          <w:bCs/>
          <w:i w:val="false"/>
          <w:iCs w:val="false"/>
          <w:color w:val="2E75B6"/>
          <w:sz w:val="24"/>
          <w:szCs w:val="24"/>
        </w:rPr>
        <w:t xml:space="preserve">📄 Fichier : </w:t>
      </w:r>
      <w:r>
        <w:rPr>
          <w:rFonts w:ascii="Arial" w:cs="Arial" w:eastAsia="Arial" w:hAnsi="Arial"/>
          <w:b w:val="false"/>
          <w:bCs w:val="false"/>
          <w:i/>
          <w:iCs/>
          <w:color w:val="000000"/>
          <w:sz w:val="24"/>
          <w:szCs w:val="24"/>
        </w:rPr>
        <w:t xml:space="preserve">edouard_philippe_biographie.docx</w:t>
      </w:r>
    </w:p>
    <w:p>
      <w:pPr>
        <w:spacing w:after="160"/>
        <w:jc w:val="both"/>
      </w:pPr>
      <w:r>
        <w:rPr>
          <w:rFonts w:ascii="Arial" w:cs="Arial" w:eastAsia="Arial" w:hAnsi="Arial"/>
          <w:b/>
          <w:bCs/>
          <w:i w:val="false"/>
          <w:iCs w:val="false"/>
          <w:color w:val="2E75B6"/>
          <w:sz w:val="24"/>
          <w:szCs w:val="24"/>
        </w:rPr>
        <w:t xml:space="preserve">📍 Localisation : </w:t>
      </w:r>
      <w:r>
        <w:rPr>
          <w:rFonts w:ascii="Arial" w:cs="Arial" w:eastAsia="Arial" w:hAnsi="Arial"/>
          <w:b w:val="false"/>
          <w:bCs w:val="false"/>
          <w:i w:val="false"/>
          <w:iCs w:val="false"/>
          <w:color w:val="000000"/>
          <w:sz w:val="24"/>
          <w:szCs w:val="24"/>
        </w:rPr>
        <w:t xml:space="preserve">À insérer après la note méthodologique corrigée (correction n°3)</w:t>
      </w:r>
    </w:p>
    <w:p>
      <w:pPr>
        <w:spacing w:after="160"/>
        <w:jc w:val="both"/>
      </w:pPr>
      <w:r>
        <w:rPr>
          <w:rFonts w:ascii="Arial" w:cs="Arial" w:eastAsia="Arial" w:hAnsi="Arial"/>
          <w:b w:val="false"/>
          <w:bCs w:val="false"/>
          <w:i w:val="false"/>
          <w:iCs w:val="false"/>
          <w:color w:val="000000"/>
          <w:sz w:val="24"/>
          <w:szCs w:val="24"/>
        </w:rPr>
        <w:t xml:space="preserve">Cette table remplace la simple mention « médias indépendants » par une vraie cartographie des biais, montrant que nos sources critiques viennent de tous les bords politiques.</w:t>
      </w:r>
    </w:p>
    <w:p>
      <w:pPr>
        <w:spacing w:after="160"/>
        <w:jc w:val="both"/>
      </w:pPr>
      <w:r>
        <w:rPr>
          <w:rFonts w:ascii="Arial" w:cs="Arial" w:eastAsia="Arial" w:hAnsi="Arial"/>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600"/>
        <w:gridCol w:w="18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Propriétaire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Orientation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Financement clé</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Position / Philippe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BFMTV / RMC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CMA CGM (R. Saadé)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Centre-libéral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Publicité + aides presse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E7D32"/>
                <w:sz w:val="20"/>
                <w:szCs w:val="20"/>
              </w:rPr>
              <w:t xml:space="preserve">Favorable (hub Le Havre)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La Tribune dim.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CMA Médias (Saadé)</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Centre-libéral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Publicité + aides presse</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2E7D32"/>
                <w:sz w:val="20"/>
                <w:szCs w:val="20"/>
              </w:rPr>
              <w:t xml:space="preserve">A publié tribune 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CNews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Vivendi (V. Bolloré)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Droite dure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Publicité + aides presse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0000"/>
                <w:sz w:val="20"/>
                <w:szCs w:val="20"/>
              </w:rPr>
              <w:t xml:space="preserve">Adversaire (Zemmour)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Europe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Vivendi (V. Bolloré)</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Droite conserv.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Publicité + aides presse</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C00000"/>
                <w:sz w:val="20"/>
                <w:szCs w:val="20"/>
              </w:rPr>
              <w:t xml:space="preserve">Adversaire (Bolloré)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Le Figaro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Grpe Dassault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Centre-droit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Abonn. + pub + aides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Variable (Retailleau)</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France Info / F2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France Télévisions (État)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Service public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Redevance + État</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Institutionnelle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Mediapart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FPL (but non lucr.)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Gauche investig.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Abonnés 95 %, 0 sub.</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E75B6"/>
                <w:sz w:val="20"/>
                <w:szCs w:val="20"/>
              </w:rPr>
              <w:t xml:space="preserve">Critique (cabinet, GJ)</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Blast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Denis Robert (BNL)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Gauche investig.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Crowdf. + 803k€ aide</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2E75B6"/>
                <w:sz w:val="20"/>
                <w:szCs w:val="20"/>
              </w:rPr>
              <w:t xml:space="preserve">Critique (Atos, Kohler)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Polémia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Fond. Polémia (Le Gallou)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Droite identitaire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Dons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E75B6"/>
                <w:sz w:val="20"/>
                <w:szCs w:val="20"/>
              </w:rPr>
              <w:t xml:space="preserve">Critique (FCF, Chine)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Révolution Perm.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NPA / courant RP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Extrême gauche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Militants</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2E75B6"/>
                <w:sz w:val="20"/>
                <w:szCs w:val="20"/>
              </w:rPr>
              <w:t xml:space="preserve">Critique (GJ, Nuñez)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Blvd Voltaire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Indép. (R. Ménard)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Droite souverain.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Dons + pub</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E75B6"/>
                <w:sz w:val="20"/>
                <w:szCs w:val="20"/>
              </w:rPr>
              <w:t xml:space="preserve">Critique (Atos, matraqu.)</w:t>
            </w:r>
          </w:p>
        </w:tc>
      </w:tr>
    </w:tbl>
    <w:p>
      <w:pPr>
        <w:spacing w:after="160"/>
        <w:jc w:val="both"/>
      </w:pPr>
      <w:r>
        <w:rPr>
          <w:rFonts w:ascii="Arial" w:cs="Arial" w:eastAsia="Arial" w:hAnsi="Arial"/>
          <w:b w:val="false"/>
          <w:bCs w:val="false"/>
          <w:i w:val="false"/>
          <w:iCs w:val="false"/>
          <w:color w:val="000000"/>
          <w:sz w:val="24"/>
          <w:szCs w:val="24"/>
        </w:rPr>
        <w:t xml:space="preserve"/>
      </w:r>
    </w:p>
    <w:p>
      <w:pPr>
        <w:spacing w:after="160"/>
        <w:jc w:val="both"/>
      </w:pPr>
      <w:r>
        <w:rPr>
          <w:rFonts w:ascii="Arial" w:cs="Arial" w:eastAsia="Arial" w:hAnsi="Arial"/>
          <w:b/>
          <w:bCs/>
          <w:i w:val="false"/>
          <w:iCs w:val="false"/>
          <w:color w:val="000000"/>
          <w:sz w:val="24"/>
          <w:szCs w:val="24"/>
        </w:rPr>
        <w:t xml:space="preserve">Lecture MAS : </w:t>
      </w:r>
      <w:r>
        <w:rPr>
          <w:rFonts w:ascii="Arial" w:cs="Arial" w:eastAsia="Arial" w:hAnsi="Arial"/>
          <w:b w:val="false"/>
          <w:bCs w:val="false"/>
          <w:i w:val="false"/>
          <w:iCs w:val="false"/>
          <w:color w:val="000000"/>
          <w:sz w:val="24"/>
          <w:szCs w:val="24"/>
        </w:rPr>
        <w:t xml:space="preserve">La convergence des sources critiques de gauche (Mediapart, Blast, RP), de droite identitaire (Polémia), de droite souverainiste (Boulevard Voltaire) et de droite dure (CNews pour certains sujets) sur les mêmes faits (pantouflage Atos, répression GJ, réseaux FCF) renforce considérablement la fiabilité factuelle. Seuls BFMTV/La Tribune dimanche (CMA CGM/Saadé) produisent un narratif structurellement favorable à Philippe.</w:t>
      </w:r>
    </w:p>
    <w:p>
      <w:r>
        <w:br w:type="page"/>
      </w:r>
    </w:p>
    <w:p>
      <w:pPr>
        <w:pStyle w:val="Heading1"/>
      </w:pPr>
      <w:r>
        <w:rPr>
          <w:rFonts w:ascii="Arial" w:cs="Arial" w:eastAsia="Arial" w:hAnsi="Arial"/>
        </w:rPr>
        <w:t xml:space="preserve">Section 5 — Résumé des actions pour le codeur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800"/>
        <w:gridCol w:w="35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cible</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Localisation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Remplacer entrée Mediapart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biographie.docx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Ligne 504, Bibliographie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Remplacer entrée Blast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biographie.docx</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Ligne 526, Sources critiques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Remplacer note méthodologique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biographie.docx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Ligne 534, Note méthodol.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Ajouter caractérisation Europe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biographie.docx</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Bibliographie, Presse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Ajouter caractérisation CNews/Figaro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coalition_2027.docx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Sources, Presse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Ajouter caractérisation Europe 1 + CNews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bilan_fiscal.docx</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Sources (2 entrées)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Ajouter caractérisation Europe 1 + note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sondages_medias.docx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Sources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Insérer table cartographie médias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biographie.docx</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Après note méthodo (l. 534)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Intégrer réf. rapport Nuñez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biographie.docx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Chapitre Réseaux / ENA</w:t>
            </w:r>
          </w:p>
        </w:tc>
      </w:tr>
    </w:tbl>
    <w:p>
      <w:pPr>
        <w:spacing w:after="160"/>
        <w:jc w:val="both"/>
      </w:pPr>
      <w:r>
        <w:rPr>
          <w:rFonts w:ascii="Arial" w:cs="Arial" w:eastAsia="Arial" w:hAnsi="Arial"/>
          <w:b w:val="false"/>
          <w:bCs w:val="false"/>
          <w:i w:val="false"/>
          <w:iCs w:val="false"/>
          <w:color w:val="000000"/>
          <w:sz w:val="24"/>
          <w:szCs w:val="24"/>
        </w:rPr>
        <w:t xml:space="preserve"/>
      </w:r>
    </w:p>
    <w:p>
      <w:pPr>
        <w:spacing w:after="160"/>
        <w:jc w:val="both"/>
      </w:pPr>
      <w:r>
        <w:rPr>
          <w:rFonts w:ascii="Arial" w:cs="Arial" w:eastAsia="Arial" w:hAnsi="Arial"/>
          <w:b w:val="false"/>
          <w:bCs w:val="false"/>
          <w:i w:val="false"/>
          <w:iCs w:val="false"/>
          <w:color w:val="000000"/>
          <w:sz w:val="24"/>
          <w:szCs w:val="24"/>
        </w:rPr>
        <w:t xml:space="preserve">Les textes exacts ANCIEN/NOUVEAU sont fournis dans les sections 2 et 3 ci-dessus. Le codeur peut faire un rechercher-remplacer direct.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jamaisplusedouard.fr — Bulletin de mise à jour — 2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2026-04-02T13:17:46.928Z</dcterms:created>
  <dcterms:modified xsi:type="dcterms:W3CDTF">2026-04-02T13:17:46.928Z</dcterms:modified>
</cp:coreProperties>
</file>

<file path=docProps/custom.xml><?xml version="1.0" encoding="utf-8"?>
<Properties xmlns="http://schemas.openxmlformats.org/officeDocument/2006/custom-properties" xmlns:vt="http://schemas.openxmlformats.org/officeDocument/2006/docPropsVTypes"/>
</file>