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color w:val="666666"/>
          <w:spacing w:val="200"/>
          <w:sz w:val="24"/>
          <w:szCs w:val="24"/>
        </w:rPr>
        <w:t xml:space="preserve">RAPPORT D’ENQUÊTE</w:t>
      </w:r>
    </w:p>
    <w:p>
      <w:pPr>
        <w:pBdr>
          <w:bottom w:val="single" w:color="2E75B6" w:sz="8" w:space="8"/>
        </w:pBdr>
        <w:spacing w:after="100"/>
        <w:jc w:val="center"/>
      </w:pPr>
      <w:r>
        <w:rPr>
          <w:rFonts w:ascii="Arial" w:cs="Arial" w:eastAsia="Arial" w:hAnsi="Arial"/>
          <w:b/>
          <w:bCs/>
          <w:color w:val="1B3A5C"/>
          <w:sz w:val="56"/>
          <w:szCs w:val="56"/>
        </w:rPr>
        <w:t xml:space="preserve">LeakID / Forward Global</w:t>
      </w:r>
    </w:p>
    <w:p>
      <w:pPr>
        <w:spacing w:after="100" w:before="200"/>
        <w:jc w:val="center"/>
      </w:pPr>
      <w:r>
        <w:rPr>
          <w:rFonts w:ascii="Arial" w:cs="Arial" w:eastAsia="Arial" w:hAnsi="Arial"/>
          <w:color w:val="666666"/>
          <w:sz w:val="26"/>
          <w:szCs w:val="26"/>
        </w:rPr>
        <w:t xml:space="preserve">Investigation approfondie : activités, gouvernance,</w:t>
      </w:r>
    </w:p>
    <w:p>
      <w:pPr>
        <w:spacing w:after="600"/>
        <w:jc w:val="center"/>
      </w:pPr>
      <w:r>
        <w:rPr>
          <w:rFonts w:ascii="Arial" w:cs="Arial" w:eastAsia="Arial" w:hAnsi="Arial"/>
          <w:color w:val="666666"/>
          <w:sz w:val="26"/>
          <w:szCs w:val="26"/>
        </w:rPr>
        <w:t xml:space="preserve">chaîne de propriété et analyse critique</w:t>
      </w:r>
    </w:p>
    <w:p>
      <w:pPr>
        <w:spacing w:after="80"/>
        <w:jc w:val="center"/>
      </w:pPr>
      <w:r>
        <w:rPr>
          <w:rFonts w:ascii="Arial" w:cs="Arial" w:eastAsia="Arial" w:hAnsi="Arial"/>
          <w:b/>
          <w:bCs/>
          <w:color w:val="C0392B"/>
          <w:sz w:val="22"/>
          <w:szCs w:val="22"/>
        </w:rPr>
        <w:t xml:space="preserve">Document confidentiel</w:t>
      </w:r>
    </w:p>
    <w:p>
      <w:pPr>
        <w:spacing w:after="80"/>
        <w:jc w:val="center"/>
      </w:pPr>
      <w:r>
        <w:rPr>
          <w:rFonts w:ascii="Arial" w:cs="Arial" w:eastAsia="Arial" w:hAnsi="Arial"/>
          <w:color w:val="666666"/>
          <w:sz w:val="22"/>
          <w:szCs w:val="22"/>
        </w:rPr>
        <w:t xml:space="preserve">Rédigé le 2 avril 2026</w:t>
      </w:r>
    </w:p>
    <w:p>
      <w:pPr>
        <w:spacing w:after="80"/>
        <w:jc w:val="center"/>
      </w:pPr>
      <w:r>
        <w:rPr>
          <w:rFonts w:ascii="Arial" w:cs="Arial" w:eastAsia="Arial" w:hAnsi="Arial"/>
          <w:color w:val="666666"/>
          <w:sz w:val="20"/>
          <w:szCs w:val="20"/>
        </w:rPr>
        <w:t xml:space="preserve">Produit par Claude (Anthropic) — à la demande de Pierre-Emmanuel</w:t>
      </w:r>
    </w:p>
    <w:p>
      <w:pPr>
        <w:sectPr>
          <w:pgSz w:w="11906" w:h="16838" w:orient="portrait"/>
          <w:pgMar w:top="1440" w:right="1440" w:bottom="1440" w:left="1440" w:header="708" w:footer="708" w:gutter="0"/>
          <w:pgNumType/>
          <w:docGrid w:linePitch="360"/>
        </w:sectPr>
      </w:pPr>
    </w:p>
    <w:p>
      <w:pPr>
        <w:pStyle w:val="Heading1"/>
      </w:pPr>
      <w: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Synthèse exécutive</w:t>
      </w:r>
    </w:p>
    <w:p>
      <w:pPr>
        <w:spacing w:after="160" w:line="276"/>
      </w:pPr>
      <w:r>
        <w:rPr>
          <w:rFonts w:ascii="Arial" w:cs="Arial" w:eastAsia="Arial" w:hAnsi="Arial"/>
          <w:color w:val="333333"/>
          <w:sz w:val="22"/>
          <w:szCs w:val="22"/>
        </w:rPr>
        <w:t xml:space="preserve">Le présent rapport constitue une enquête approfondie sur LeakID (leakid.com), société française spécialisée dans la lutte anti-piratage et la protection de contenus numériques. L’investigation couvre l’identité corporate, la chaîne de propriété capitalistique, les décideurs clés, le stack technologique, ainsi que les controverses liées au groupe parent Forward Global (ex-Avisa Partners).</w:t>
      </w:r>
    </w:p>
    <w:p>
      <w:pPr>
        <w:spacing w:after="160" w:line="276"/>
      </w:pPr>
      <w:r>
        <w:rPr>
          <w:rFonts w:ascii="Arial" w:cs="Arial" w:eastAsia="Arial" w:hAnsi="Arial"/>
          <w:b/>
          <w:bCs/>
          <w:color w:val="333333"/>
          <w:sz w:val="22"/>
          <w:szCs w:val="22"/>
        </w:rPr>
        <w:t xml:space="preserve">Conclusion principale : </w:t>
      </w:r>
      <w:r>
        <w:rPr>
          <w:rFonts w:ascii="Arial" w:cs="Arial" w:eastAsia="Arial" w:hAnsi="Arial"/>
          <w:color w:val="333333"/>
          <w:sz w:val="22"/>
          <w:szCs w:val="22"/>
        </w:rPr>
        <w:t xml:space="preserve">LeakID est une entité légitime et pionnière dans le secteur du Notice &amp; Takedown anti-piratage. Cependant, son absorption dans le groupe Forward Global (ex-Avisa Partners) — structure entachée par des scandales documentés de désinformation, de manipulation médiatique et de tensions avec les services de renseignement français — constitue un risque réputationnel significatif. L’entité juridique LeakID SAS a été dissoute sans liquidation au 1er janvier 2025.</w:t>
      </w:r>
    </w:p>
    <w:p>
      <w:r>
        <w:br w:type="page"/>
      </w:r>
    </w:p>
    <w:p>
      <w:pPr>
        <w:pStyle w:val="Heading1"/>
      </w:pPr>
      <w:r>
        <w:t xml:space="preserve">2. Identité et historique de LeakID</w:t>
      </w:r>
    </w:p>
    <w:p>
      <w:pPr>
        <w:pStyle w:val="Heading2"/>
      </w:pPr>
      <w:r>
        <w:t xml:space="preserve">2.1 Fiche d’identité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6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Valeur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Dénomination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LEAKID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Forme juridique</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SAS (Société par actions simplifiée)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SIREN / SIRET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499 956 092 / 499 956 092 00039</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Capital social</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2 000 €</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Siège social</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17 avenue Hoche, 75008 Paris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Code NAF</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6201Z — Programmation informatique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Date de création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Septembre 2007</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Fondateur</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Hervé Lemaire (ex-Virgin/EMI)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Statut actuel</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DISSOUTE sans liquidation (01/01/2025)</w:t>
            </w:r>
          </w:p>
        </w:tc>
      </w:tr>
    </w:tbl>
    <w:p>
      <w:pPr>
        <w:spacing w:after="40"/>
      </w:pPr>
      <w:r>
        <w:rPr>
          <w:rStyle w:val="FootnoteReference"/>
        </w:rPr>
        <w:footnoteReference w:id="1"/>
      </w:r>
    </w:p>
    <w:p>
      <w:pPr>
        <w:pStyle w:val="Heading2"/>
      </w:pPr>
      <w:r>
        <w:t xml:space="preserve">2.2 Chronologie</w:t>
      </w:r>
    </w:p>
    <w:p>
      <w:pPr>
        <w:spacing w:after="160" w:line="276"/>
      </w:pPr>
      <w:r>
        <w:rPr>
          <w:rFonts w:ascii="Arial" w:cs="Arial" w:eastAsia="Arial" w:hAnsi="Arial"/>
          <w:b/>
          <w:bCs/>
          <w:color w:val="333333"/>
          <w:sz w:val="22"/>
          <w:szCs w:val="22"/>
        </w:rPr>
        <w:t xml:space="preserve">2007 : </w:t>
      </w:r>
      <w:r>
        <w:rPr>
          <w:rFonts w:ascii="Arial" w:cs="Arial" w:eastAsia="Arial" w:hAnsi="Arial"/>
          <w:color w:val="333333"/>
          <w:sz w:val="22"/>
          <w:szCs w:val="22"/>
        </w:rPr>
        <w:t xml:space="preserve">Fondation de LeakID par Hervé Lemaire, pionnier du Notice &amp; Takedown dans l’industrie musicale française (ex-Head of Digital chez Virgin/EMI).</w:t>
      </w:r>
    </w:p>
    <w:p>
      <w:pPr>
        <w:spacing w:after="160" w:line="276"/>
      </w:pPr>
      <w:r>
        <w:rPr>
          <w:rFonts w:ascii="Arial" w:cs="Arial" w:eastAsia="Arial" w:hAnsi="Arial"/>
          <w:b/>
          <w:bCs/>
          <w:color w:val="333333"/>
          <w:sz w:val="22"/>
          <w:szCs w:val="22"/>
        </w:rPr>
        <w:t xml:space="preserve">2013-2015 : </w:t>
      </w:r>
      <w:r>
        <w:rPr>
          <w:rFonts w:ascii="Arial" w:cs="Arial" w:eastAsia="Arial" w:hAnsi="Arial"/>
          <w:color w:val="333333"/>
          <w:sz w:val="22"/>
          <w:szCs w:val="22"/>
        </w:rPr>
        <w:t xml:space="preserve">Lancement de Rivendell, filiale dédiée à la désindexation sur les moteurs de recherche. Rivendell devient le premier émetteur mondial de demandes DMCA à Google.</w:t>
      </w:r>
    </w:p>
    <w:p>
      <w:pPr>
        <w:spacing w:after="160" w:line="276"/>
      </w:pPr>
      <w:r>
        <w:rPr>
          <w:rFonts w:ascii="Arial" w:cs="Arial" w:eastAsia="Arial" w:hAnsi="Arial"/>
          <w:b/>
          <w:bCs/>
          <w:color w:val="333333"/>
          <w:sz w:val="22"/>
          <w:szCs w:val="22"/>
        </w:rPr>
        <w:t xml:space="preserve">2016 : </w:t>
      </w:r>
      <w:r>
        <w:rPr>
          <w:rFonts w:ascii="Arial" w:cs="Arial" w:eastAsia="Arial" w:hAnsi="Arial"/>
          <w:color w:val="333333"/>
          <w:sz w:val="22"/>
          <w:szCs w:val="22"/>
        </w:rPr>
        <w:t xml:space="preserve">Expansion vers la protection du sport en direct (Premier League, Serie A, etc.).</w:t>
      </w:r>
    </w:p>
    <w:p>
      <w:pPr>
        <w:spacing w:after="160" w:line="276"/>
      </w:pPr>
      <w:r>
        <w:rPr>
          <w:rFonts w:ascii="Arial" w:cs="Arial" w:eastAsia="Arial" w:hAnsi="Arial"/>
          <w:b/>
          <w:bCs/>
          <w:color w:val="333333"/>
          <w:sz w:val="22"/>
          <w:szCs w:val="22"/>
        </w:rPr>
        <w:t xml:space="preserve">2019 : </w:t>
      </w:r>
      <w:r>
        <w:rPr>
          <w:rFonts w:ascii="Arial" w:cs="Arial" w:eastAsia="Arial" w:hAnsi="Arial"/>
          <w:color w:val="333333"/>
          <w:sz w:val="22"/>
          <w:szCs w:val="22"/>
        </w:rPr>
        <w:t xml:space="preserve">Création du département Affaires Juridiques &amp; Partenariats, forgeant des relations avec les grandes plateformes (YouTube Content ID, Facebook Rights Manager).</w:t>
      </w:r>
    </w:p>
    <w:p>
      <w:pPr>
        <w:spacing w:after="160" w:line="276"/>
      </w:pPr>
      <w:r>
        <w:rPr>
          <w:rFonts w:ascii="Arial" w:cs="Arial" w:eastAsia="Arial" w:hAnsi="Arial"/>
          <w:b/>
          <w:bCs/>
          <w:color w:val="333333"/>
          <w:sz w:val="22"/>
          <w:szCs w:val="22"/>
        </w:rPr>
        <w:t xml:space="preserve">Juin 2022 : </w:t>
      </w:r>
      <w:r>
        <w:rPr>
          <w:rFonts w:ascii="Arial" w:cs="Arial" w:eastAsia="Arial" w:hAnsi="Arial"/>
          <w:color w:val="333333"/>
          <w:sz w:val="22"/>
          <w:szCs w:val="22"/>
        </w:rPr>
        <w:t xml:space="preserve">Acquisition par Avisa Partners (devenu Forward Global), aux côtés de Databack.</w:t>
      </w:r>
    </w:p>
    <w:p>
      <w:pPr>
        <w:spacing w:after="160" w:line="276"/>
      </w:pPr>
      <w:r>
        <w:rPr>
          <w:rFonts w:ascii="Arial" w:cs="Arial" w:eastAsia="Arial" w:hAnsi="Arial"/>
          <w:b/>
          <w:bCs/>
          <w:color w:val="333333"/>
          <w:sz w:val="22"/>
          <w:szCs w:val="22"/>
        </w:rPr>
        <w:t xml:space="preserve">Janvier 2020 : </w:t>
      </w:r>
      <w:r>
        <w:rPr>
          <w:rFonts w:ascii="Arial" w:cs="Arial" w:eastAsia="Arial" w:hAnsi="Arial"/>
          <w:color w:val="333333"/>
          <w:sz w:val="22"/>
          <w:szCs w:val="22"/>
        </w:rPr>
        <w:t xml:space="preserve">Rivendell franchit le cap des 500 millions d’URLs signalées à Google — un record mondial pour une seule entité.</w:t>
      </w:r>
    </w:p>
    <w:p>
      <w:pPr>
        <w:spacing w:after="160" w:line="276"/>
      </w:pPr>
      <w:r>
        <w:rPr>
          <w:rFonts w:ascii="Arial" w:cs="Arial" w:eastAsia="Arial" w:hAnsi="Arial"/>
          <w:b/>
          <w:bCs/>
          <w:color w:val="333333"/>
          <w:sz w:val="22"/>
          <w:szCs w:val="22"/>
        </w:rPr>
        <w:t xml:space="preserve">Novembre 2024 : </w:t>
      </w:r>
      <w:r>
        <w:rPr>
          <w:rFonts w:ascii="Arial" w:cs="Arial" w:eastAsia="Arial" w:hAnsi="Arial"/>
          <w:color w:val="333333"/>
          <w:sz w:val="22"/>
          <w:szCs w:val="22"/>
        </w:rPr>
        <w:t xml:space="preserve">Transfert de la présidence de LeakID de Forward Global à Financière Caritat SAS.</w:t>
      </w:r>
    </w:p>
    <w:p>
      <w:pPr>
        <w:spacing w:after="160" w:line="276"/>
      </w:pPr>
      <w:r>
        <w:rPr>
          <w:rFonts w:ascii="Arial" w:cs="Arial" w:eastAsia="Arial" w:hAnsi="Arial"/>
          <w:b/>
          <w:bCs/>
          <w:color w:val="333333"/>
          <w:sz w:val="22"/>
          <w:szCs w:val="22"/>
        </w:rPr>
        <w:t xml:space="preserve">1er janvier 2025 : </w:t>
      </w:r>
      <w:r>
        <w:rPr>
          <w:rFonts w:ascii="Arial" w:cs="Arial" w:eastAsia="Arial" w:hAnsi="Arial"/>
          <w:color w:val="333333"/>
          <w:sz w:val="22"/>
          <w:szCs w:val="22"/>
        </w:rPr>
        <w:t xml:space="preserve">Dissolution anticipée sans liquidation de LeakID SAS, par décision de l’associé unique Forward Global (article 1844-5 al. 3 du Code civil). Les activités sont absorbées dans la division Content Protection du groupe.</w:t>
      </w:r>
    </w:p>
    <w:p>
      <w:pPr>
        <w:pStyle w:val="Heading2"/>
      </w:pPr>
      <w:r>
        <w:t xml:space="preserve">2.3 Activité opérationnelle et envergure</w:t>
      </w:r>
    </w:p>
    <w:p>
      <w:pPr>
        <w:spacing w:after="160" w:line="276"/>
      </w:pPr>
      <w:r>
        <w:rPr>
          <w:rFonts w:ascii="Arial" w:cs="Arial" w:eastAsia="Arial" w:hAnsi="Arial"/>
          <w:color w:val="333333"/>
          <w:sz w:val="22"/>
          <w:szCs w:val="22"/>
        </w:rPr>
        <w:t xml:space="preserve">LeakID combine technologies propriétaires et expertise sectorielle pour détecter et retirer les contenus piratés sur l’ensemble des canaux numériques : réseaux P2P, sites pirates, forums, réseaux sociaux, messageries instantanées, IPTV et moteurs de recherche.</w:t>
      </w:r>
    </w:p>
    <w:p>
      <w:pPr>
        <w:spacing w:after="160" w:line="276"/>
      </w:pPr>
      <w:r>
        <w:rPr>
          <w:rFonts w:ascii="Arial" w:cs="Arial" w:eastAsia="Arial" w:hAnsi="Arial"/>
          <w:color w:val="333333"/>
          <w:sz w:val="22"/>
          <w:szCs w:val="22"/>
        </w:rPr>
        <w:t xml:space="preserve">L’entreprise protège chaque année plus de 20 000 œuvres (films, séries, musique, livres, magazines) et plus de 4 000 événements en direct. L’équipe compte plus de 50 experts dédiés répartis entre les bureaux EMEA, APAC et Amériques.</w:t>
      </w:r>
    </w:p>
    <w:p>
      <w:pPr>
        <w:pStyle w:val="Heading3"/>
      </w:pPr>
      <w:r>
        <w:t xml:space="preserve">Données financières (dernières disponibles)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Année</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 (€)</w:t>
            </w:r>
          </w:p>
        </w:tc>
        <w:tc>
          <w:tcPr>
            <w:tcW w:type="dxa" w:w="2257"/>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Résultat net (€)</w:t>
            </w:r>
          </w:p>
        </w:tc>
        <w:tc>
          <w:tcPr>
            <w:tcW w:type="dxa" w:w="2257"/>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Effectif</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2020</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2 716 520</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433 348</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17</w:t>
            </w:r>
          </w:p>
        </w:tc>
      </w:tr>
      <w:tr>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2026 (est.)</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~3 M USD</w:t>
            </w:r>
          </w:p>
        </w:tc>
        <w:tc>
          <w:tcPr>
            <w:tcW w:type="dxa" w:w="225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N/C</w:t>
            </w:r>
          </w:p>
        </w:tc>
        <w:tc>
          <w:tcPr>
            <w:tcW w:type="dxa" w:w="225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~13 (entité résiduelle)</w:t>
            </w:r>
          </w:p>
        </w:tc>
      </w:tr>
    </w:tbl>
    <w:p>
      <w:pPr>
        <w:spacing w:after="40"/>
      </w:pPr>
      <w:r>
        <w:rPr>
          <w:rStyle w:val="FootnoteReference"/>
        </w:rPr>
        <w:footnoteReference w:id="5"/>
      </w:r>
    </w:p>
    <w:p>
      <w:r>
        <w:br w:type="page"/>
      </w:r>
    </w:p>
    <w:p>
      <w:pPr>
        <w:pStyle w:val="Heading1"/>
      </w:pPr>
      <w:r>
        <w:t xml:space="preserve">3. Chaîne de propriété capitalistique</w:t>
      </w:r>
    </w:p>
    <w:p>
      <w:pPr>
        <w:pStyle w:val="Heading2"/>
      </w:pPr>
      <w:r>
        <w:t xml:space="preserve">3.1 Pyramide capitalistique actuelle</w:t>
      </w:r>
    </w:p>
    <w:p>
      <w:pPr>
        <w:spacing w:after="160" w:line="276"/>
      </w:pPr>
      <w:r>
        <w:rPr>
          <w:rFonts w:ascii="Arial" w:cs="Arial" w:eastAsia="Arial" w:hAnsi="Arial"/>
          <w:color w:val="333333"/>
          <w:sz w:val="22"/>
          <w:szCs w:val="22"/>
        </w:rPr>
        <w:t xml:space="preserve">La structure actionnariale s’est significativement recomposée fin novembre 2024, avec la finalisation de l’entrée de Bridgepoint Development Capital. Voici l’architecture, du sommet vers la base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Niveau</w:t>
            </w:r>
          </w:p>
        </w:tc>
        <w:tc>
          <w:tcPr>
            <w:tcW w:type="dxa" w:w="30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Entité</w:t>
            </w:r>
          </w:p>
        </w:tc>
        <w:tc>
          <w:tcPr>
            <w:tcW w:type="dxa" w:w="30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Détails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Investisseurs</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BDC IV (Bridgepoint)</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~48 % du groupe ; valorisation &gt; 200 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Investisseurs historiques</w:t>
            </w:r>
          </w:p>
        </w:tc>
        <w:tc>
          <w:tcPr>
            <w:tcW w:type="dxa" w:w="30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RAISE Invest + Rives Croissance</w:t>
            </w:r>
          </w:p>
        </w:tc>
        <w:tc>
          <w:tcPr>
            <w:tcW w:type="dxa" w:w="30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Minoritaires ; Rives = filiale Banque Populaire Rives de Paris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Management</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Matthieu Creux &amp; associés</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Actionnaires opérationnels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Holding faîtière</w:t>
            </w:r>
          </w:p>
        </w:tc>
        <w:tc>
          <w:tcPr>
            <w:tcW w:type="dxa" w:w="30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Financière Caritat (927 574 251)</w:t>
            </w:r>
          </w:p>
        </w:tc>
        <w:tc>
          <w:tcPr>
            <w:tcW w:type="dxa" w:w="30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Présidée par Financière Pagnol ; DG : Alexis Spencer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Holding intermédiaire</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Forward Global Holdco (852 389 824)</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Capital : 114,6 M€ ; DG : Guillaume Tissier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Société opérationnelle</w:t>
            </w:r>
          </w:p>
        </w:tc>
        <w:tc>
          <w:tcPr>
            <w:tcW w:type="dxa" w:w="30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Forward Global (835 004 094)</w:t>
            </w:r>
          </w:p>
        </w:tc>
        <w:tc>
          <w:tcPr>
            <w:tcW w:type="dxa" w:w="30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Capital : 31,6 M€ ; CA &gt; 100 M€ (2024)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Filiale (dissoute)</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LeakID (499 956 092)</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Dissoute sans liquidation au 01/01/2025</w:t>
            </w:r>
          </w:p>
        </w:tc>
      </w:tr>
    </w:tbl>
    <w:p>
      <w:pPr>
        <w:spacing w:after="40"/>
      </w:pPr>
      <w:r>
        <w:rPr>
          <w:rStyle w:val="FootnoteReference"/>
        </w:rPr>
        <w:footnoteReference w:id="4"/>
      </w:r>
    </w:p>
    <w:p>
      <w:pPr>
        <w:pStyle w:val="Heading2"/>
      </w:pPr>
      <w:r>
        <w:t xml:space="preserve">3.2 Réseau de filiales du groupe Forward Global</w:t>
      </w:r>
    </w:p>
    <w:p>
      <w:pPr>
        <w:spacing w:after="160" w:line="276"/>
      </w:pPr>
      <w:r>
        <w:rPr>
          <w:rFonts w:ascii="Arial" w:cs="Arial" w:eastAsia="Arial" w:hAnsi="Arial"/>
          <w:color w:val="333333"/>
          <w:sz w:val="22"/>
          <w:szCs w:val="22"/>
        </w:rPr>
        <w:t xml:space="preserve">Le groupe Forward Global comprend de nombreuses filiales couvrant un spectre large : cybersécurité offensive (Lexfo, 80 ingénieurs, 2 accréditations ANSSI), intelligence économique (CEIS, Forward Risk &amp; Intelligence), anti-piratage (LeakID, Rivendell), investigation (Uncovery, Observatoire des Pays Arabes), communication stratégique (DGM Conseil, 35°Nord, Stratégies &amp; Publics), récupération de données (Databack) et formation (Ubik Academy).</w:t>
      </w:r>
    </w:p>
    <w:p>
      <w:r>
        <w:br w:type="page"/>
      </w:r>
    </w:p>
    <w:p>
      <w:pPr>
        <w:pStyle w:val="Heading1"/>
      </w:pPr>
      <w:r>
        <w:t xml:space="preserve">4. Décideurs et personnes clés</w:t>
      </w:r>
    </w:p>
    <w:p>
      <w:pPr>
        <w:pStyle w:val="Heading2"/>
      </w:pPr>
      <w:r>
        <w:t xml:space="preserve">4.1 Matthieu Creux — Président-fondateur du groupe</w:t>
      </w:r>
    </w:p>
    <w:p>
      <w:pPr>
        <w:spacing w:after="160" w:line="276"/>
      </w:pPr>
      <w:r>
        <w:rPr>
          <w:rFonts w:ascii="Arial" w:cs="Arial" w:eastAsia="Arial" w:hAnsi="Arial"/>
          <w:color w:val="333333"/>
          <w:sz w:val="22"/>
          <w:szCs w:val="22"/>
        </w:rPr>
        <w:t xml:space="preserve">Ancien élève de Sciences Po Paris, Matthieu Creux a débuté comme collaborateur parlementaire de Valérie Pécresse en 2006, à l’âge de 19 ans. Il a ensuite été chargé de mission au cabinet du Ministère de l’Enseignement supérieur (2007-2010), avant de fonder iStrat en 2010, devenu Avisa Partners puis Forward Global.</w:t>
      </w:r>
    </w:p>
    <w:p>
      <w:pPr>
        <w:spacing w:after="160" w:line="276"/>
      </w:pPr>
      <w:r>
        <w:rPr>
          <w:rFonts w:ascii="Arial" w:cs="Arial" w:eastAsia="Arial" w:hAnsi="Arial"/>
          <w:color w:val="333333"/>
          <w:sz w:val="22"/>
          <w:szCs w:val="22"/>
        </w:rPr>
        <w:t xml:space="preserve">Ses mandats actuels incluent : Président de Forward Global (depuis 2010), Président de Financière Pagnol (depuis 2014), Associé de Lexfo, CEIS, Observatoire des Pays Arabes, 35°Nord, Databack, LeakID, Forward Risk, DGM Conseil, Uncovery, et actionnaire de Nfinite, Favikon, Groupe Allo-Média (Uhlive).</w:t>
      </w:r>
    </w:p>
    <w:p>
      <w:pPr>
        <w:spacing w:after="160" w:line="276"/>
      </w:pPr>
      <w:r>
        <w:rPr>
          <w:rFonts w:ascii="Arial" w:cs="Arial" w:eastAsia="Arial" w:hAnsi="Arial"/>
          <w:color w:val="333333"/>
          <w:sz w:val="22"/>
          <w:szCs w:val="22"/>
        </w:rPr>
        <w:t xml:space="preserve">Il est l’auteur de « Cyberdjihadisme » (VA Editions, 2020) et « La fabrique de la propagande terroriste » (Hermann, 2024). Forward Global revendique un CA de 100 M€, 420 collaborateurs et 90 % du CAC40 en clients.</w:t>
      </w:r>
    </w:p>
    <w:p>
      <w:pPr>
        <w:pStyle w:val="Heading2"/>
      </w:pPr>
      <w:r>
        <w:t xml:space="preserve">4.2 Arnaud Dassier — Co-fondateur historique (sorti)</w:t>
      </w:r>
    </w:p>
    <w:p>
      <w:pPr>
        <w:spacing w:after="160" w:line="276"/>
      </w:pPr>
      <w:r>
        <w:rPr>
          <w:rFonts w:ascii="Arial" w:cs="Arial" w:eastAsia="Arial" w:hAnsi="Arial"/>
          <w:color w:val="333333"/>
          <w:sz w:val="22"/>
          <w:szCs w:val="22"/>
        </w:rPr>
        <w:t xml:space="preserve">Entrepreneur et investisseur français, pionnier des médias digitaux. A contribué aux campagnes de Jacques Chirac (1995, 2002), de l’UMP et de Nicolas Sarkozy (2007). Co-fondateur d’Avisa Partners en 2011, il a pris en charge le développement international du groupe.</w:t>
      </w:r>
    </w:p>
    <w:p>
      <w:pPr>
        <w:spacing w:after="160" w:line="276"/>
      </w:pPr>
      <w:r>
        <w:rPr>
          <w:rFonts w:ascii="Arial" w:cs="Arial" w:eastAsia="Arial" w:hAnsi="Arial"/>
          <w:b/>
          <w:bCs/>
          <w:color w:val="C0392B"/>
          <w:sz w:val="22"/>
          <w:szCs w:val="22"/>
        </w:rPr>
        <w:t xml:space="preserve">Sortie du groupe : </w:t>
      </w:r>
      <w:r>
        <w:rPr>
          <w:rFonts w:ascii="Arial" w:cs="Arial" w:eastAsia="Arial" w:hAnsi="Arial"/>
          <w:color w:val="333333"/>
          <w:sz w:val="22"/>
          <w:szCs w:val="22"/>
        </w:rPr>
        <w:t xml:space="preserve">En juin 2023, à la suite des scandales de désinformation révélés par Mediapart, Arnaud Dassier a racheté les activités d’influence digitale indirecte et la marque Avisa Partners pour 5 millions d’euros. Il a cédé toutes ses actions du groupe, avec lequel il n’a plus de lien capitalistique. Depuis 2023, il dirige Avisa Partners (entité distincte de Forward Global), recentré sur les campagnes d’influence digitale.</w:t>
      </w:r>
    </w:p>
    <w:p>
      <w:pPr>
        <w:pStyle w:val="Heading2"/>
      </w:pPr>
      <w:r>
        <w:t xml:space="preserve">4.3 Guillaume Tissier de Mallerais — Directeur Général</w:t>
      </w:r>
    </w:p>
    <w:p>
      <w:pPr>
        <w:spacing w:after="160" w:line="276"/>
      </w:pPr>
      <w:r>
        <w:rPr>
          <w:rFonts w:ascii="Arial" w:cs="Arial" w:eastAsia="Arial" w:hAnsi="Arial"/>
          <w:color w:val="333333"/>
          <w:sz w:val="22"/>
          <w:szCs w:val="22"/>
        </w:rPr>
        <w:t xml:space="preserve">Patron historique de la CEIS (Compagnie Européenne d’Intelligence Stratégique) et organisateur du FIC / Forum InCyber à Lille, le plus grand événement de cybersécurité en Europe. Nommé DG Groupe lors de la réorganisation de juin 2023. Il apparaît désormais comme DG dans Forward Global Holdco et plusieurs filiales.</w:t>
      </w:r>
    </w:p>
    <w:p>
      <w:pPr>
        <w:pStyle w:val="Heading2"/>
      </w:pPr>
      <w:r>
        <w:t xml:space="preserve">4.4 Guillaume Didier — Ex-Président France</w:t>
      </w:r>
    </w:p>
    <w:p>
      <w:pPr>
        <w:spacing w:after="160" w:line="276"/>
      </w:pPr>
      <w:r>
        <w:rPr>
          <w:rFonts w:ascii="Arial" w:cs="Arial" w:eastAsia="Arial" w:hAnsi="Arial"/>
          <w:color w:val="333333"/>
          <w:sz w:val="22"/>
          <w:szCs w:val="22"/>
        </w:rPr>
        <w:t xml:space="preserve">Ancien magistrat et porte-parole du Ministère de la Justice. Nommé Président France lors de la réorganisation de 2023, il a depuis été remplacé par Financière Caritat à la présidence formelle.</w:t>
      </w:r>
    </w:p>
    <w:p>
      <w:pPr>
        <w:pStyle w:val="Heading2"/>
      </w:pPr>
      <w:r>
        <w:t xml:space="preserve">4.5 Hervé Lemaire — Fondateur et CEO de LeakID</w:t>
      </w:r>
    </w:p>
    <w:p>
      <w:pPr>
        <w:spacing w:after="160" w:line="276"/>
      </w:pPr>
      <w:r>
        <w:rPr>
          <w:rFonts w:ascii="Arial" w:cs="Arial" w:eastAsia="Arial" w:hAnsi="Arial"/>
          <w:color w:val="333333"/>
          <w:sz w:val="22"/>
          <w:szCs w:val="22"/>
        </w:rPr>
        <w:t xml:space="preserve">Fondateur de LeakID (2007) et de Rivendell (2013-2015). 20 ans d’expérience dans le secteur média (Fun Radio, Virgin, EMI). Il continue à diriger les équipes anti-piratage après l’acquisition par Forward Global. Son profil est celui d’un professionnel reconnu dans l’industrie du contenu, distinct des controverses du groupe parent.</w:t>
      </w:r>
    </w:p>
    <w:p>
      <w:pPr>
        <w:pStyle w:val="Heading2"/>
      </w:pPr>
      <w:r>
        <w:t xml:space="preserve">4.6 Mickaël Penhard — CTO de LeakID</w:t>
      </w:r>
    </w:p>
    <w:p>
      <w:pPr>
        <w:spacing w:after="160" w:line="276"/>
      </w:pPr>
      <w:r>
        <w:rPr>
          <w:rFonts w:ascii="Arial" w:cs="Arial" w:eastAsia="Arial" w:hAnsi="Arial"/>
          <w:color w:val="333333"/>
          <w:sz w:val="22"/>
          <w:szCs w:val="22"/>
        </w:rPr>
        <w:t xml:space="preserve">Dirige l’équipe d’ingénierie et le développement des technologies propriétaires de LeakID depuis 8 ans. A fait appel à Percona Consulting pour optimiser l’infrastructure MariaDB multi-master du système.</w:t>
      </w:r>
    </w:p>
    <w:p>
      <w:pPr>
        <w:pStyle w:val="Heading2"/>
      </w:pPr>
      <w:r>
        <w:t xml:space="preserve">4.7 Autres dirigeants notables</w:t>
      </w:r>
    </w:p>
    <w:p>
      <w:pPr>
        <w:spacing w:after="160" w:line="276"/>
      </w:pPr>
      <w:r>
        <w:rPr>
          <w:rFonts w:ascii="Arial" w:cs="Arial" w:eastAsia="Arial" w:hAnsi="Arial"/>
          <w:b/>
          <w:bCs/>
          <w:color w:val="333333"/>
          <w:sz w:val="22"/>
          <w:szCs w:val="22"/>
        </w:rPr>
        <w:t xml:space="preserve">Alexis Spencer : </w:t>
      </w:r>
      <w:r>
        <w:rPr>
          <w:rFonts w:ascii="Arial" w:cs="Arial" w:eastAsia="Arial" w:hAnsi="Arial"/>
          <w:color w:val="333333"/>
          <w:sz w:val="22"/>
          <w:szCs w:val="22"/>
        </w:rPr>
        <w:t xml:space="preserve">Directeur Général présent dans la gouvernance de multiples entités (Forward Global, Financière Caritat, Forward Global Family). Était DG de LeakID.</w:t>
      </w:r>
    </w:p>
    <w:p>
      <w:pPr>
        <w:spacing w:after="160" w:line="276"/>
      </w:pPr>
      <w:r>
        <w:rPr>
          <w:rFonts w:ascii="Arial" w:cs="Arial" w:eastAsia="Arial" w:hAnsi="Arial"/>
          <w:b/>
          <w:bCs/>
          <w:color w:val="333333"/>
          <w:sz w:val="22"/>
          <w:szCs w:val="22"/>
        </w:rPr>
        <w:t xml:space="preserve">Jean-Baptiste Salvin : </w:t>
      </w:r>
      <w:r>
        <w:rPr>
          <w:rFonts w:ascii="Arial" w:cs="Arial" w:eastAsia="Arial" w:hAnsi="Arial"/>
          <w:color w:val="333333"/>
          <w:sz w:val="22"/>
          <w:szCs w:val="22"/>
        </w:rPr>
        <w:t xml:space="preserve">Associé chez Bridgepoint Development Capital (BDC). A été président de Financière Caritat avant d’être remplacé par Financière Pagnol en novembre 2024.</w:t>
      </w:r>
    </w:p>
    <w:p>
      <w:pPr>
        <w:spacing w:after="160" w:line="276"/>
      </w:pPr>
      <w:r>
        <w:rPr>
          <w:rFonts w:ascii="Arial" w:cs="Arial" w:eastAsia="Arial" w:hAnsi="Arial"/>
          <w:b/>
          <w:bCs/>
          <w:color w:val="333333"/>
          <w:sz w:val="22"/>
          <w:szCs w:val="22"/>
        </w:rPr>
        <w:t xml:space="preserve">Olivia Joffre : </w:t>
      </w:r>
      <w:r>
        <w:rPr>
          <w:rFonts w:ascii="Arial" w:cs="Arial" w:eastAsia="Arial" w:hAnsi="Arial"/>
          <w:color w:val="333333"/>
          <w:sz w:val="22"/>
          <w:szCs w:val="22"/>
        </w:rPr>
        <w:t xml:space="preserve">Experte anti-piratage et contrefaçon, ex-Hadopi/ARCOM, membre du groupe d’experts juridiques de l’EUIPO. A développé le département juridique et affaires publiques de LeakID avant de rejoindre Forward Global.</w:t>
      </w:r>
    </w:p>
    <w:p>
      <w:pPr>
        <w:pStyle w:val="Heading3"/>
      </w:pPr>
      <w:r>
        <w:t xml:space="preserve">Réseau politique documenté</w:t>
      </w:r>
    </w:p>
    <w:p>
      <w:pPr>
        <w:spacing w:after="160" w:line="276"/>
      </w:pPr>
      <w:r>
        <w:rPr>
          <w:rFonts w:ascii="Arial" w:cs="Arial" w:eastAsia="Arial" w:hAnsi="Arial"/>
          <w:color w:val="333333"/>
          <w:sz w:val="22"/>
          <w:szCs w:val="22"/>
        </w:rPr>
        <w:t xml:space="preserve">Le groupe Forward Global possède un réseau politique dense : Valérie Pécresse (début de carrière de Creux), Olivia Grégoire (secrétaire d’État, ex-directrice associée d’iStrat 2013-2014), Sylvain Fort (rédacteur des discours d’Emmanuel Macron, associé 2020-2022), Olivier Darrason (ex-député UDF, fondateur de CEIS), Guillaume Didier (ex-porte-parole du Ministère de la Justice).</w:t>
      </w:r>
    </w:p>
    <w:p>
      <w:pPr>
        <w:spacing w:after="40"/>
      </w:pPr>
      <w:r>
        <w:rPr>
          <w:rStyle w:val="FootnoteReference"/>
        </w:rPr>
        <w:footnoteReference w:id="2"/>
      </w:r>
    </w:p>
    <w:p>
      <w:r>
        <w:br w:type="page"/>
      </w:r>
    </w:p>
    <w:p>
      <w:pPr>
        <w:pStyle w:val="Heading1"/>
      </w:pPr>
      <w:r>
        <w:t xml:space="preserve">5. Investisseurs institutionnels</w:t>
      </w:r>
    </w:p>
    <w:p>
      <w:pPr>
        <w:pStyle w:val="Heading2"/>
      </w:pPr>
      <w:r>
        <w:t xml:space="preserve">5.1 Bridgepoint Development Capital IV</w:t>
      </w:r>
    </w:p>
    <w:p>
      <w:pPr>
        <w:spacing w:after="160" w:line="276"/>
      </w:pPr>
      <w:r>
        <w:rPr>
          <w:rFonts w:ascii="Arial" w:cs="Arial" w:eastAsia="Arial" w:hAnsi="Arial"/>
          <w:color w:val="333333"/>
          <w:sz w:val="22"/>
          <w:szCs w:val="22"/>
        </w:rPr>
        <w:t xml:space="preserve">Bridgepoint est un gestionnaire d’actifs alternatifs international coté à la Bourse de Londres, avec plus de 41 milliards d’euros sous gestion. BDC IV, son véhicule d’investissement Smid-cap, a acquis environ 48 % des parts de Forward Global via un LBO finalisé le 26 novembre 2024, valorisant le groupe à plus de 200 millions d’euros. L’objectif annoncé est d’accélérer le développement international (en particulier aux États-Unis) avec un budget de 150 millions d’euros en acquisitions stratégiques sur trois ans.</w:t>
      </w:r>
    </w:p>
    <w:p>
      <w:pPr>
        <w:pStyle w:val="Heading2"/>
      </w:pPr>
      <w:r>
        <w:t xml:space="preserve">5.2 RAISE Invest</w:t>
      </w:r>
    </w:p>
    <w:p>
      <w:pPr>
        <w:spacing w:after="160" w:line="276"/>
      </w:pPr>
      <w:r>
        <w:rPr>
          <w:rFonts w:ascii="Arial" w:cs="Arial" w:eastAsia="Arial" w:hAnsi="Arial"/>
          <w:color w:val="333333"/>
          <w:sz w:val="22"/>
          <w:szCs w:val="22"/>
        </w:rPr>
        <w:t xml:space="preserve">Fonds français pionnier de la finance engagée, partenaire d’investissement depuis 2019 (première entrée au capital à une valorisation d’environ 100 M€). Fort de 2 milliards d’euros sous gestion, RAISE a accompagné la structuration, l’évolution de la gouvernance et les acquisitions du groupe.</w:t>
      </w:r>
    </w:p>
    <w:p>
      <w:pPr>
        <w:pStyle w:val="Heading2"/>
      </w:pPr>
      <w:r>
        <w:t xml:space="preserve">5.3 Rives Croissance</w:t>
      </w:r>
    </w:p>
    <w:p>
      <w:pPr>
        <w:spacing w:after="160" w:line="276"/>
      </w:pPr>
      <w:r>
        <w:rPr>
          <w:rFonts w:ascii="Arial" w:cs="Arial" w:eastAsia="Arial" w:hAnsi="Arial"/>
          <w:color w:val="333333"/>
          <w:sz w:val="22"/>
          <w:szCs w:val="22"/>
        </w:rPr>
        <w:t xml:space="preserve">Filiale à 100 % de la Banque Populaire Rives de Paris (groupe BPCE). Investisseur minoritaire stratégique de long terme, présent au capital depuis les débuts du groupe.</w:t>
      </w:r>
    </w:p>
    <w:p>
      <w:r>
        <w:br w:type="page"/>
      </w:r>
    </w:p>
    <w:p>
      <w:pPr>
        <w:pStyle w:val="Heading1"/>
      </w:pPr>
      <w:r>
        <w:t xml:space="preserve">6. Stack technologique de LeakID</w:t>
      </w:r>
    </w:p>
    <w:p>
      <w:pPr>
        <w:pStyle w:val="Heading2"/>
      </w:pPr>
      <w:r>
        <w:t xml:space="preserve">6.1 Infrastructure</w:t>
      </w:r>
    </w:p>
    <w:p>
      <w:pPr>
        <w:spacing w:after="160" w:line="276"/>
      </w:pPr>
      <w:r>
        <w:rPr>
          <w:rFonts w:ascii="Arial" w:cs="Arial" w:eastAsia="Arial" w:hAnsi="Arial"/>
          <w:color w:val="333333"/>
          <w:sz w:val="22"/>
          <w:szCs w:val="22"/>
        </w:rPr>
        <w:t xml:space="preserve">LeakID utilise une solution MariaDB multi-master avec Galera pour assurer la haute disponibilité et le stockage persistant de sa suite logicielle. L’absence de DBA interne a conduit le CTO Mickaël Penhard à faire appel à Percona Consulting pour valider l’architecture et explorer les options de scaling horizontal.</w:t>
      </w:r>
    </w:p>
    <w:p>
      <w:pPr>
        <w:pStyle w:val="Heading2"/>
      </w:pPr>
      <w:r>
        <w:t xml:space="preserve">6.2 Technologies propriétaires</w:t>
      </w:r>
    </w:p>
    <w:p>
      <w:pPr>
        <w:spacing w:after="160" w:line="276"/>
      </w:pPr>
      <w:r>
        <w:rPr>
          <w:rFonts w:ascii="Arial" w:cs="Arial" w:eastAsia="Arial" w:hAnsi="Arial"/>
          <w:b/>
          <w:bCs/>
          <w:color w:val="333333"/>
          <w:sz w:val="22"/>
          <w:szCs w:val="22"/>
        </w:rPr>
        <w:t xml:space="preserve">Détection automatisée : </w:t>
      </w:r>
      <w:r>
        <w:rPr>
          <w:rFonts w:ascii="Arial" w:cs="Arial" w:eastAsia="Arial" w:hAnsi="Arial"/>
          <w:color w:val="333333"/>
          <w:sz w:val="22"/>
          <w:szCs w:val="22"/>
        </w:rPr>
        <w:t xml:space="preserve">IA et crawling 24/7 sur les réseaux P2P, topsites, forums, cyberlockers, plateformes IPTV, messageries instantanées et réseaux sociaux. Couverture multilingue (français, anglais, italien, espagnol, chinois, japonais, russe).</w:t>
      </w:r>
    </w:p>
    <w:p>
      <w:pPr>
        <w:spacing w:after="160" w:line="276"/>
      </w:pPr>
      <w:r>
        <w:rPr>
          <w:rFonts w:ascii="Arial" w:cs="Arial" w:eastAsia="Arial" w:hAnsi="Arial"/>
          <w:b/>
          <w:bCs/>
          <w:color w:val="333333"/>
          <w:sz w:val="22"/>
          <w:szCs w:val="22"/>
        </w:rPr>
        <w:t xml:space="preserve">Reconnaissance visuelle : </w:t>
      </w:r>
      <w:r>
        <w:rPr>
          <w:rFonts w:ascii="Arial" w:cs="Arial" w:eastAsia="Arial" w:hAnsi="Arial"/>
          <w:color w:val="333333"/>
          <w:sz w:val="22"/>
          <w:szCs w:val="22"/>
        </w:rPr>
        <w:t xml:space="preserve">Watermarking, reconnaissance de logos et empreintes vidéo (fingerprinting) pour l’identification automatique de contenus protégés.</w:t>
      </w:r>
    </w:p>
    <w:p>
      <w:pPr>
        <w:spacing w:after="160" w:line="276"/>
      </w:pPr>
      <w:r>
        <w:rPr>
          <w:rFonts w:ascii="Arial" w:cs="Arial" w:eastAsia="Arial" w:hAnsi="Arial"/>
          <w:b/>
          <w:bCs/>
          <w:color w:val="333333"/>
          <w:sz w:val="22"/>
          <w:szCs w:val="22"/>
        </w:rPr>
        <w:t xml:space="preserve">Takedown industrialisé : </w:t>
      </w:r>
      <w:r>
        <w:rPr>
          <w:rFonts w:ascii="Arial" w:cs="Arial" w:eastAsia="Arial" w:hAnsi="Arial"/>
          <w:color w:val="333333"/>
          <w:sz w:val="22"/>
          <w:szCs w:val="22"/>
        </w:rPr>
        <w:t xml:space="preserve">Notifications automatiques aux hébergeurs, FAI et moteurs de recherche. Services de suppression ultra-rapides pour les pré-sorties.</w:t>
      </w:r>
    </w:p>
    <w:p>
      <w:pPr>
        <w:spacing w:after="160" w:line="276"/>
      </w:pPr>
      <w:r>
        <w:rPr>
          <w:rFonts w:ascii="Arial" w:cs="Arial" w:eastAsia="Arial" w:hAnsi="Arial"/>
          <w:b/>
          <w:bCs/>
          <w:color w:val="333333"/>
          <w:sz w:val="22"/>
          <w:szCs w:val="22"/>
        </w:rPr>
        <w:t xml:space="preserve">Gestion des droits plateformes : </w:t>
      </w:r>
      <w:r>
        <w:rPr>
          <w:rFonts w:ascii="Arial" w:cs="Arial" w:eastAsia="Arial" w:hAnsi="Arial"/>
          <w:color w:val="333333"/>
          <w:sz w:val="22"/>
          <w:szCs w:val="22"/>
        </w:rPr>
        <w:t xml:space="preserve">Prise en charge de Content ID (YouTube) et Rights Manager (Facebook) : gestion des empreintes, configuration des droits, résolution des conflits.</w:t>
      </w:r>
    </w:p>
    <w:p>
      <w:pPr>
        <w:spacing w:after="160" w:line="276"/>
      </w:pPr>
      <w:r>
        <w:rPr>
          <w:rFonts w:ascii="Arial" w:cs="Arial" w:eastAsia="Arial" w:hAnsi="Arial"/>
          <w:b/>
          <w:bCs/>
          <w:color w:val="333333"/>
          <w:sz w:val="22"/>
          <w:szCs w:val="22"/>
        </w:rPr>
        <w:t xml:space="preserve">Désindexation à grande échelle (Rivendell) : </w:t>
      </w:r>
      <w:r>
        <w:rPr>
          <w:rFonts w:ascii="Arial" w:cs="Arial" w:eastAsia="Arial" w:hAnsi="Arial"/>
          <w:color w:val="333333"/>
          <w:sz w:val="22"/>
          <w:szCs w:val="22"/>
        </w:rPr>
        <w:t xml:space="preserve">Plus de 800 millions d’URLs signalées à Google. Partenaire n°1 mondial de Google en volume de signalements DMCA.</w:t>
      </w:r>
    </w:p>
    <w:p>
      <w:pPr>
        <w:pStyle w:val="Heading2"/>
      </w:pPr>
      <w:r>
        <w:t xml:space="preserve">6.3 Capacités étendues (via Forward Global)</w:t>
      </w:r>
    </w:p>
    <w:p>
      <w:pPr>
        <w:spacing w:after="160" w:line="276"/>
      </w:pPr>
      <w:r>
        <w:rPr>
          <w:rFonts w:ascii="Arial" w:cs="Arial" w:eastAsia="Arial" w:hAnsi="Arial"/>
          <w:b/>
          <w:bCs/>
          <w:color w:val="333333"/>
          <w:sz w:val="22"/>
          <w:szCs w:val="22"/>
        </w:rPr>
        <w:t xml:space="preserve">Cybersécurité offensive (Lexfo) : </w:t>
      </w:r>
      <w:r>
        <w:rPr>
          <w:rFonts w:ascii="Arial" w:cs="Arial" w:eastAsia="Arial" w:hAnsi="Arial"/>
          <w:color w:val="333333"/>
          <w:sz w:val="22"/>
          <w:szCs w:val="22"/>
        </w:rPr>
        <w:t xml:space="preserve">80 ingénieurs, 2 accréditations ANSSI. Audit d’infrastructures CDN, plateformes OTT, STBs. Reverse engineering de services et dispositifs illicites.</w:t>
      </w:r>
    </w:p>
    <w:p>
      <w:pPr>
        <w:spacing w:after="160" w:line="276"/>
      </w:pPr>
      <w:r>
        <w:rPr>
          <w:rFonts w:ascii="Arial" w:cs="Arial" w:eastAsia="Arial" w:hAnsi="Arial"/>
          <w:b/>
          <w:bCs/>
          <w:color w:val="333333"/>
          <w:sz w:val="22"/>
          <w:szCs w:val="22"/>
        </w:rPr>
        <w:t xml:space="preserve">Investigation multi-source : </w:t>
      </w:r>
      <w:r>
        <w:rPr>
          <w:rFonts w:ascii="Arial" w:cs="Arial" w:eastAsia="Arial" w:hAnsi="Arial"/>
          <w:color w:val="333333"/>
          <w:sz w:val="22"/>
          <w:szCs w:val="22"/>
        </w:rPr>
        <w:t xml:space="preserve">Plus de 65 experts mobilisant des techniques CYBINT, OSINT, SOCINT, GEOINT, CHAININT, FININT et HUMINT.</w:t>
      </w:r>
    </w:p>
    <w:p>
      <w:pPr>
        <w:spacing w:after="160" w:line="276"/>
      </w:pPr>
      <w:r>
        <w:rPr>
          <w:rFonts w:ascii="Arial" w:cs="Arial" w:eastAsia="Arial" w:hAnsi="Arial"/>
          <w:b/>
          <w:bCs/>
          <w:color w:val="333333"/>
          <w:sz w:val="22"/>
          <w:szCs w:val="22"/>
        </w:rPr>
        <w:t xml:space="preserve">Lobbying et affaires publiques : </w:t>
      </w:r>
      <w:r>
        <w:rPr>
          <w:rFonts w:ascii="Arial" w:cs="Arial" w:eastAsia="Arial" w:hAnsi="Arial"/>
          <w:color w:val="333333"/>
          <w:sz w:val="22"/>
          <w:szCs w:val="22"/>
        </w:rPr>
        <w:t xml:space="preserve">Activités de recherche, plaidoyer et sensibilisation auprès des régulateurs (Bruxelles, Washington, Paris) pour renforcer la protection du droit d’auteur.</w:t>
      </w:r>
    </w:p>
    <w:p>
      <w:pPr>
        <w:spacing w:after="40"/>
      </w:pPr>
      <w:r>
        <w:rPr>
          <w:rStyle w:val="FootnoteReference"/>
        </w:rPr>
        <w:footnoteReference w:id="6"/>
      </w:r>
    </w:p>
    <w:p>
      <w:r>
        <w:br w:type="page"/>
      </w:r>
    </w:p>
    <w:p>
      <w:pPr>
        <w:pStyle w:val="Heading1"/>
      </w:pPr>
      <w:r>
        <w:t xml:space="preserve">7. Controverses et risques</w:t>
      </w:r>
    </w:p>
    <w:p>
      <w:pPr>
        <w:pStyle w:val="Heading2"/>
      </w:pPr>
      <w:r>
        <w:t xml:space="preserve">7.1 Scandales Avisa Partners (2022-2023)</w:t>
      </w:r>
    </w:p>
    <w:p>
      <w:pPr>
        <w:spacing w:after="160" w:line="276"/>
      </w:pPr>
      <w:r>
        <w:rPr>
          <w:rFonts w:ascii="Arial" w:cs="Arial" w:eastAsia="Arial" w:hAnsi="Arial"/>
          <w:color w:val="333333"/>
          <w:sz w:val="22"/>
          <w:szCs w:val="22"/>
        </w:rPr>
        <w:t xml:space="preserve">Le groupe parent Forward Global (alors Avisa Partners) a fait l’objet de multiples enquêtes journalistiques révélant des pratiques de désinformation systématique :</w:t>
      </w:r>
    </w:p>
    <w:p>
      <w:pPr>
        <w:spacing w:after="160" w:line="276"/>
      </w:pPr>
      <w:r>
        <w:rPr>
          <w:rFonts w:ascii="Arial" w:cs="Arial" w:eastAsia="Arial" w:hAnsi="Arial"/>
          <w:b/>
          <w:bCs/>
          <w:color w:val="333333"/>
          <w:sz w:val="22"/>
          <w:szCs w:val="22"/>
        </w:rPr>
        <w:t xml:space="preserve">Faux articles journalistiques : </w:t>
      </w:r>
      <w:r>
        <w:rPr>
          <w:rFonts w:ascii="Arial" w:cs="Arial" w:eastAsia="Arial" w:hAnsi="Arial"/>
          <w:color w:val="333333"/>
          <w:sz w:val="22"/>
          <w:szCs w:val="22"/>
        </w:rPr>
        <w:t xml:space="preserve">Des pigistes étaient payés pour écrire sous de faux noms du contenu apparemment journalistique dans les espaces participatifs de Mediapart, L’Express, HuffPost, AgoraVox, The Conversation, Jeune Afrique, La Tribune, Valeurs actuelles, Les Échos, et d’autres médias en ligne.</w:t>
      </w:r>
    </w:p>
    <w:p>
      <w:pPr>
        <w:spacing w:after="160" w:line="276"/>
      </w:pPr>
      <w:r>
        <w:rPr>
          <w:rFonts w:ascii="Arial" w:cs="Arial" w:eastAsia="Arial" w:hAnsi="Arial"/>
          <w:b/>
          <w:bCs/>
          <w:color w:val="333333"/>
          <w:sz w:val="22"/>
          <w:szCs w:val="22"/>
        </w:rPr>
        <w:t xml:space="preserve">Manipulation de Wikipédia : </w:t>
      </w:r>
      <w:r>
        <w:rPr>
          <w:rFonts w:ascii="Arial" w:cs="Arial" w:eastAsia="Arial" w:hAnsi="Arial"/>
          <w:color w:val="333333"/>
          <w:sz w:val="22"/>
          <w:szCs w:val="22"/>
        </w:rPr>
        <w:t xml:space="preserve">Interventions clandestines sur des pages Wikipédia au profit de clients, documentées par Mediapart et Politico.</w:t>
      </w:r>
    </w:p>
    <w:p>
      <w:pPr>
        <w:spacing w:after="160" w:line="276"/>
      </w:pPr>
      <w:r>
        <w:rPr>
          <w:rFonts w:ascii="Arial" w:cs="Arial" w:eastAsia="Arial" w:hAnsi="Arial"/>
          <w:b/>
          <w:bCs/>
          <w:color w:val="333333"/>
          <w:sz w:val="22"/>
          <w:szCs w:val="22"/>
        </w:rPr>
        <w:t xml:space="preserve">Clients controversés : </w:t>
      </w:r>
      <w:r>
        <w:rPr>
          <w:rFonts w:ascii="Arial" w:cs="Arial" w:eastAsia="Arial" w:hAnsi="Arial"/>
          <w:color w:val="333333"/>
          <w:sz w:val="22"/>
          <w:szCs w:val="22"/>
        </w:rPr>
        <w:t xml:space="preserve">Selon les enquêtes, le groupe aurait conseillé des régimes autoritaires à dictatoriaux : Égypte, Turquie, Kazakhstan, Qatar, République Démocratique du Congo, Tchad.</w:t>
      </w:r>
    </w:p>
    <w:p>
      <w:pPr>
        <w:spacing w:after="160" w:line="276"/>
      </w:pPr>
      <w:r>
        <w:rPr>
          <w:rFonts w:ascii="Arial" w:cs="Arial" w:eastAsia="Arial" w:hAnsi="Arial"/>
          <w:b/>
          <w:bCs/>
          <w:color w:val="333333"/>
          <w:sz w:val="22"/>
          <w:szCs w:val="22"/>
        </w:rPr>
        <w:t xml:space="preserve">Conflit avec l’État français : </w:t>
      </w:r>
      <w:r>
        <w:rPr>
          <w:rFonts w:ascii="Arial" w:cs="Arial" w:eastAsia="Arial" w:hAnsi="Arial"/>
          <w:color w:val="333333"/>
          <w:sz w:val="22"/>
          <w:szCs w:val="22"/>
        </w:rPr>
        <w:t xml:space="preserve">Les ministères de l’Intérieur et des Armées ont boycotté le Forum InCyber (FIC) en 2023. La DGSI et la DGSE ont accusé Avisa d’avoir mené des opérations contraires aux intérêts diplomatiques et économiques français.</w:t>
      </w:r>
    </w:p>
    <w:p>
      <w:pPr>
        <w:spacing w:after="160" w:line="276"/>
      </w:pPr>
      <w:r>
        <w:rPr>
          <w:rFonts w:ascii="Arial" w:cs="Arial" w:eastAsia="Arial" w:hAnsi="Arial"/>
          <w:b/>
          <w:bCs/>
          <w:color w:val="333333"/>
          <w:sz w:val="22"/>
          <w:szCs w:val="22"/>
        </w:rPr>
        <w:t xml:space="preserve">Procès-bâillons : </w:t>
      </w:r>
      <w:r>
        <w:rPr>
          <w:rFonts w:ascii="Arial" w:cs="Arial" w:eastAsia="Arial" w:hAnsi="Arial"/>
          <w:color w:val="333333"/>
          <w:sz w:val="22"/>
          <w:szCs w:val="22"/>
        </w:rPr>
        <w:t xml:space="preserve">En septembre 2022, Avisa Partners a entamé des poursuites en diffamation contre Reflets, Mediapart, Arrêt sur images, Next INpact et le journaliste Jean-Marc Manach.</w:t>
      </w:r>
    </w:p>
    <w:p>
      <w:pPr>
        <w:spacing w:after="40"/>
      </w:pPr>
      <w:r>
        <w:rPr>
          <w:rStyle w:val="FootnoteReference"/>
        </w:rPr>
        <w:footnoteReference w:id="2"/>
      </w:r>
    </w:p>
    <w:p>
      <w:pPr>
        <w:pStyle w:val="Heading2"/>
      </w:pPr>
      <w:r>
        <w:t xml:space="preserve">7.2 Le « nettoyage » de 2023</w:t>
      </w:r>
    </w:p>
    <w:p>
      <w:pPr>
        <w:spacing w:after="160" w:line="276"/>
      </w:pPr>
      <w:r>
        <w:rPr>
          <w:rFonts w:ascii="Arial" w:cs="Arial" w:eastAsia="Arial" w:hAnsi="Arial"/>
          <w:color w:val="333333"/>
          <w:sz w:val="22"/>
          <w:szCs w:val="22"/>
        </w:rPr>
        <w:t xml:space="preserve">En juin 2023, le groupe s’est rebaptisé Forward Global, cédant les activités d’influence digitale indirecte et la marque Avisa Partners à Arnaud Dassier pour 5 M€. Cette opération de reputation laundering a permis au groupe de sécuriser le FIC jusqu’en 2029 et d’attirer Bridgepoint à 200 M€ de valorisation un an plus tard. Cependant, la substance opérationnelle n’a pas fondamentalement changé : les mêmes personnes et les mêmes filiales (LeakID, Lexfo, CEIS, Rivendell) sont restées en place.</w:t>
      </w:r>
    </w:p>
    <w:p>
      <w:pPr>
        <w:pStyle w:val="Heading2"/>
      </w:pPr>
      <w:r>
        <w:t xml:space="preserve">7.3 Inflation des métriques Rivendell</w:t>
      </w:r>
    </w:p>
    <w:p>
      <w:pPr>
        <w:spacing w:after="160" w:line="276"/>
      </w:pPr>
      <w:r>
        <w:rPr>
          <w:rFonts w:ascii="Arial" w:cs="Arial" w:eastAsia="Arial" w:hAnsi="Arial"/>
          <w:color w:val="333333"/>
          <w:sz w:val="22"/>
          <w:szCs w:val="22"/>
        </w:rPr>
        <w:t xml:space="preserve">La stratégie de notification préemptive de Rivendell — signaler des URLs à Google avant même leur indexation — soulève des questions sur la réalité des volumes affichés. Environ 20 % des URLs signalées n’existaient pas dans l’index de Google au moment du signalement. TorrentFreak a noté que ce taux dépasse souvent 50 % pour Rivendell, le plus gros émetteur mondial. Cette pratique sert de blacklisting préventif mais gonfle artificiellement les statistiques de performance.</w:t>
      </w:r>
    </w:p>
    <w:p>
      <w:pPr>
        <w:spacing w:after="40"/>
      </w:pPr>
      <w:r>
        <w:rPr>
          <w:rStyle w:val="FootnoteReference"/>
        </w:rPr>
        <w:footnoteReference w:id="3"/>
      </w:r>
    </w:p>
    <w:p>
      <w:pPr>
        <w:pStyle w:val="Heading2"/>
      </w:pPr>
      <w:r>
        <w:t xml:space="preserve">7.4 Dissolution de l’entité juridique LeakID</w:t>
      </w:r>
    </w:p>
    <w:p>
      <w:pPr>
        <w:spacing w:after="160" w:line="276"/>
      </w:pPr>
      <w:r>
        <w:rPr>
          <w:rFonts w:ascii="Arial" w:cs="Arial" w:eastAsia="Arial" w:hAnsi="Arial"/>
          <w:color w:val="333333"/>
          <w:sz w:val="22"/>
          <w:szCs w:val="22"/>
        </w:rPr>
        <w:t xml:space="preserve">La dissolution sans liquidation de LeakID SAS au 1er janvier 2025 pose des questions de responsabilité contractuelle pour les clients existants. Les engagements pris sous la marque LeakID sont désormais portés par Forward Global (ou ses holdings), ce qui modifie le cadre juridique et la chaîne de responsabilité.</w:t>
      </w:r>
    </w:p>
    <w:p>
      <w:r>
        <w:br w:type="page"/>
      </w:r>
    </w:p>
    <w:p>
      <w:pPr>
        <w:pStyle w:val="Heading1"/>
      </w:pPr>
      <w:r>
        <w:t xml:space="preserve">8. Analyse critique et conclusions</w:t>
      </w:r>
    </w:p>
    <w:p>
      <w:pPr>
        <w:pStyle w:val="Heading2"/>
      </w:pPr>
      <w:r>
        <w:t xml:space="preserve">8.1 Points forts</w:t>
      </w:r>
    </w:p>
    <w:p>
      <w:pPr>
        <w:spacing w:after="160" w:line="276"/>
      </w:pPr>
      <w:r>
        <w:rPr>
          <w:rFonts w:ascii="Arial" w:cs="Arial" w:eastAsia="Arial" w:hAnsi="Arial"/>
          <w:b/>
          <w:bCs/>
          <w:color w:val="333333"/>
          <w:sz w:val="22"/>
          <w:szCs w:val="22"/>
        </w:rPr>
        <w:t xml:space="preserve">Antériorité et légitimité sectorielle : </w:t>
      </w:r>
      <w:r>
        <w:rPr>
          <w:rFonts w:ascii="Arial" w:cs="Arial" w:eastAsia="Arial" w:hAnsi="Arial"/>
          <w:color w:val="333333"/>
          <w:sz w:val="22"/>
          <w:szCs w:val="22"/>
        </w:rPr>
        <w:t xml:space="preserve">Pionnier français du Notice &amp; Takedown depuis 2007, avec un volume d’opérations considérable et une reconnaissance internationale.</w:t>
      </w:r>
    </w:p>
    <w:p>
      <w:pPr>
        <w:spacing w:after="160" w:line="276"/>
      </w:pPr>
      <w:r>
        <w:rPr>
          <w:rFonts w:ascii="Arial" w:cs="Arial" w:eastAsia="Arial" w:hAnsi="Arial"/>
          <w:b/>
          <w:bCs/>
          <w:color w:val="333333"/>
          <w:sz w:val="22"/>
          <w:szCs w:val="22"/>
        </w:rPr>
        <w:t xml:space="preserve">Couverture exhaustive : </w:t>
      </w:r>
      <w:r>
        <w:rPr>
          <w:rFonts w:ascii="Arial" w:cs="Arial" w:eastAsia="Arial" w:hAnsi="Arial"/>
          <w:color w:val="333333"/>
          <w:sz w:val="22"/>
          <w:szCs w:val="22"/>
        </w:rPr>
        <w:t xml:space="preserve">Multi-canaux (P2P, streaming, IPTV, social, messageries), multilingue, avec des capacités live 24/7 pour les événements sportifs.</w:t>
      </w:r>
    </w:p>
    <w:p>
      <w:pPr>
        <w:spacing w:after="160" w:line="276"/>
      </w:pPr>
      <w:r>
        <w:rPr>
          <w:rFonts w:ascii="Arial" w:cs="Arial" w:eastAsia="Arial" w:hAnsi="Arial"/>
          <w:b/>
          <w:bCs/>
          <w:color w:val="333333"/>
          <w:sz w:val="22"/>
          <w:szCs w:val="22"/>
        </w:rPr>
        <w:t xml:space="preserve">Intégration cyber offensive : </w:t>
      </w:r>
      <w:r>
        <w:rPr>
          <w:rFonts w:ascii="Arial" w:cs="Arial" w:eastAsia="Arial" w:hAnsi="Arial"/>
          <w:color w:val="333333"/>
          <w:sz w:val="22"/>
          <w:szCs w:val="22"/>
        </w:rPr>
        <w:t xml:space="preserve">L’adossement à Lexfo (accréditations ANSSI) et aux capacités d’investigation multi-source constitue un avantage compétitif rare.</w:t>
      </w:r>
    </w:p>
    <w:p>
      <w:pPr>
        <w:spacing w:after="160" w:line="276"/>
      </w:pPr>
      <w:r>
        <w:rPr>
          <w:rFonts w:ascii="Arial" w:cs="Arial" w:eastAsia="Arial" w:hAnsi="Arial"/>
          <w:b/>
          <w:bCs/>
          <w:color w:val="333333"/>
          <w:sz w:val="22"/>
          <w:szCs w:val="22"/>
        </w:rPr>
        <w:t xml:space="preserve">Partenariats établis : </w:t>
      </w:r>
      <w:r>
        <w:rPr>
          <w:rFonts w:ascii="Arial" w:cs="Arial" w:eastAsia="Arial" w:hAnsi="Arial"/>
          <w:color w:val="333333"/>
          <w:sz w:val="22"/>
          <w:szCs w:val="22"/>
        </w:rPr>
        <w:t xml:space="preserve">Relations de travail avec Google, YouTube, Facebook/Meta, et les grands ayants droit internationaux (Premier League, Serie A, studios, labels).</w:t>
      </w:r>
    </w:p>
    <w:p>
      <w:pPr>
        <w:pStyle w:val="Heading2"/>
      </w:pPr>
      <w:r>
        <w:t xml:space="preserve">8.2 Points de vigilance</w:t>
      </w:r>
    </w:p>
    <w:p>
      <w:pPr>
        <w:spacing w:after="160" w:line="276"/>
      </w:pPr>
      <w:r>
        <w:rPr>
          <w:rFonts w:ascii="Arial" w:cs="Arial" w:eastAsia="Arial" w:hAnsi="Arial"/>
          <w:b/>
          <w:bCs/>
          <w:color w:val="C0392B"/>
          <w:sz w:val="22"/>
          <w:szCs w:val="22"/>
        </w:rPr>
        <w:t xml:space="preserve">Risque réputationnel par association : </w:t>
      </w:r>
      <w:r>
        <w:rPr>
          <w:rFonts w:ascii="Arial" w:cs="Arial" w:eastAsia="Arial" w:hAnsi="Arial"/>
          <w:color w:val="333333"/>
          <w:sz w:val="22"/>
          <w:szCs w:val="22"/>
        </w:rPr>
        <w:t xml:space="preserve">L’absorption dans Forward Global (ex-Avisa Partners) entache la marque par association avec des pratiques documentées de désinformation, manipulation médiatique et tensions avec les services de renseignement français.</w:t>
      </w:r>
    </w:p>
    <w:p>
      <w:pPr>
        <w:spacing w:after="160" w:line="276"/>
      </w:pPr>
      <w:r>
        <w:rPr>
          <w:rFonts w:ascii="Arial" w:cs="Arial" w:eastAsia="Arial" w:hAnsi="Arial"/>
          <w:b/>
          <w:bCs/>
          <w:color w:val="E67E22"/>
          <w:sz w:val="22"/>
          <w:szCs w:val="22"/>
        </w:rPr>
        <w:t xml:space="preserve">Opacité de la gouvernance : </w:t>
      </w:r>
      <w:r>
        <w:rPr>
          <w:rFonts w:ascii="Arial" w:cs="Arial" w:eastAsia="Arial" w:hAnsi="Arial"/>
          <w:color w:val="333333"/>
          <w:sz w:val="22"/>
          <w:szCs w:val="22"/>
        </w:rPr>
        <w:t xml:space="preserve">L’empilement de holdings (Financière Pagnol → Financière Caritat → Forward Global Holdco → Forward Global → filiales) complexifie la traçabilité du contrôle effectif et de la responsabilité.</w:t>
      </w:r>
    </w:p>
    <w:p>
      <w:pPr>
        <w:spacing w:after="160" w:line="276"/>
      </w:pPr>
      <w:r>
        <w:rPr>
          <w:rFonts w:ascii="Arial" w:cs="Arial" w:eastAsia="Arial" w:hAnsi="Arial"/>
          <w:b/>
          <w:bCs/>
          <w:color w:val="E67E22"/>
          <w:sz w:val="22"/>
          <w:szCs w:val="22"/>
        </w:rPr>
        <w:t xml:space="preserve">Dissolution juridique : </w:t>
      </w:r>
      <w:r>
        <w:rPr>
          <w:rFonts w:ascii="Arial" w:cs="Arial" w:eastAsia="Arial" w:hAnsi="Arial"/>
          <w:color w:val="333333"/>
          <w:sz w:val="22"/>
          <w:szCs w:val="22"/>
        </w:rPr>
        <w:t xml:space="preserve">L’entité LeakID n’existe plus en tant que société autonome, ce qui modifie le cadre contractuel pour les clients.</w:t>
      </w:r>
    </w:p>
    <w:p>
      <w:pPr>
        <w:spacing w:after="160" w:line="276"/>
      </w:pPr>
      <w:r>
        <w:rPr>
          <w:rFonts w:ascii="Arial" w:cs="Arial" w:eastAsia="Arial" w:hAnsi="Arial"/>
          <w:b/>
          <w:bCs/>
          <w:color w:val="333333"/>
          <w:sz w:val="22"/>
          <w:szCs w:val="22"/>
        </w:rPr>
        <w:t xml:space="preserve">Inflation des métriques : </w:t>
      </w:r>
      <w:r>
        <w:rPr>
          <w:rFonts w:ascii="Arial" w:cs="Arial" w:eastAsia="Arial" w:hAnsi="Arial"/>
          <w:color w:val="333333"/>
          <w:sz w:val="22"/>
          <w:szCs w:val="22"/>
        </w:rPr>
        <w:t xml:space="preserve">La stratégie de notification préemptive de Rivendell gonfle artificiellement les chiffres de performance.</w:t>
      </w:r>
    </w:p>
    <w:p>
      <w:pPr>
        <w:pStyle w:val="Heading2"/>
      </w:pPr>
      <w:r>
        <w:t xml:space="preserve">8.3 Perspective technique (architecture multi-agents)</w:t>
      </w:r>
    </w:p>
    <w:p>
      <w:pPr>
        <w:spacing w:after="160" w:line="276"/>
      </w:pPr>
      <w:r>
        <w:rPr>
          <w:rFonts w:ascii="Arial" w:cs="Arial" w:eastAsia="Arial" w:hAnsi="Arial"/>
          <w:color w:val="333333"/>
          <w:sz w:val="22"/>
          <w:szCs w:val="22"/>
        </w:rPr>
        <w:t xml:space="preserve">D’un point de vue systèmes multi-agents, l’activité de LeakID présente un cas d’usage naturel pour une architecture MAS : agents de détection distribués (crawling multi-protocole), agents d’enforcement automatisés (génération et envoi de takedown notices), agents de monitoring (suivi des résultats), et un orchestrateur BDI pour la priorisation. Cependant, aucune documentation publique ne fait état d’une telle architecture formelle — le système semble opérer comme un pipeline monolithique avec des composants automatisés plutôt qu’un véritable MAS avec agents autonomes et protocoles de communication inter-agents (de type FIPA-ACL).</w:t>
      </w:r>
    </w:p>
    <w:p>
      <w:pPr>
        <w:pStyle w:val="Heading2"/>
      </w:pPr>
      <w:r>
        <w:t xml:space="preserve">8.4 Conclusion</w:t>
      </w:r>
    </w:p>
    <w:p>
      <w:pPr>
        <w:spacing w:after="160" w:line="276"/>
      </w:pPr>
      <w:r>
        <w:rPr>
          <w:rFonts w:ascii="Arial" w:cs="Arial" w:eastAsia="Arial" w:hAnsi="Arial"/>
          <w:color w:val="333333"/>
          <w:sz w:val="22"/>
          <w:szCs w:val="22"/>
        </w:rPr>
        <w:t xml:space="preserve">LeakID représente un actif technologique et opérationnel solide dans le domaine de la protection de contenus numériques. Son fondateur Hervé Lemaire et son équipe technique jouissent d’une réputation sectorielle légitime. Cependant, l’environnement corporate dans lequel cette activité s’inscrit désormais — Forward Global, ses controverses passées, son montage capitalistique complexe et sa dissolution juridique — impose une diligence approfondie à tout partenaire ou client potentiel.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Arial" w:cs="Arial" w:eastAsia="Arial" w:hAnsi="Arial"/>
          <w:sz w:val="18"/>
          <w:szCs w:val="18"/>
        </w:rPr>
        <w:t xml:space="preserve">Source : Pappers.fr, annonces BODACC, registre RCS Paris.</w:t>
      </w:r>
    </w:p>
  </w:footnote>
  <w:footnote w:id="2">
    <w:p>
      <w:r>
        <w:rPr>
          <w:rStyle w:val="FootnoteReference"/>
        </w:rPr>
        <w:footnoteRef/>
      </w:r>
      <w:r>
        <w:rPr>
          <w:rFonts w:ascii="Arial" w:cs="Arial" w:eastAsia="Arial" w:hAnsi="Arial"/>
          <w:sz w:val="18"/>
          <w:szCs w:val="18"/>
        </w:rPr>
        <w:t xml:space="preserve">Source : Wikipedia — Avisa Partners ; enquêtes Mediapart, Libération, Arrêt sur images (2022-2023).</w:t>
      </w:r>
    </w:p>
  </w:footnote>
  <w:footnote w:id="3">
    <w:p>
      <w:r>
        <w:rPr>
          <w:rStyle w:val="FootnoteReference"/>
        </w:rPr>
        <w:footnoteRef/>
      </w:r>
      <w:r>
        <w:rPr>
          <w:rFonts w:ascii="Arial" w:cs="Arial" w:eastAsia="Arial" w:hAnsi="Arial"/>
          <w:sz w:val="18"/>
          <w:szCs w:val="18"/>
        </w:rPr>
        <w:t xml:space="preserve">Source : TorrentFreak (janvier 2020) ; NextWarez (2017).</w:t>
      </w:r>
    </w:p>
  </w:footnote>
  <w:footnote w:id="4">
    <w:p>
      <w:r>
        <w:rPr>
          <w:rStyle w:val="FootnoteReference"/>
        </w:rPr>
        <w:footnoteRef/>
      </w:r>
      <w:r>
        <w:rPr>
          <w:rFonts w:ascii="Arial" w:cs="Arial" w:eastAsia="Arial" w:hAnsi="Arial"/>
          <w:sz w:val="18"/>
          <w:szCs w:val="18"/>
        </w:rPr>
        <w:t xml:space="preserve">Source : PRNewswire (avril 2024) ; Natixis Partners (novembre 2024) ; ForwardGlobal.com (décembre 2024).</w:t>
      </w:r>
    </w:p>
  </w:footnote>
  <w:footnote w:id="5">
    <w:p>
      <w:r>
        <w:rPr>
          <w:rStyle w:val="FootnoteReference"/>
        </w:rPr>
        <w:footnoteRef/>
      </w:r>
      <w:r>
        <w:rPr>
          <w:rFonts w:ascii="Arial" w:cs="Arial" w:eastAsia="Arial" w:hAnsi="Arial"/>
          <w:sz w:val="18"/>
          <w:szCs w:val="18"/>
        </w:rPr>
        <w:t xml:space="preserve">Source : Percona.com — case study LeakID ; Societe.com ; Manageo.fr.</w:t>
      </w:r>
    </w:p>
  </w:footnote>
  <w:footnote w:id="6">
    <w:p>
      <w:r>
        <w:rPr>
          <w:rStyle w:val="FootnoteReference"/>
        </w:rPr>
        <w:footnoteRef/>
      </w:r>
      <w:r>
        <w:rPr>
          <w:rFonts w:ascii="Arial" w:cs="Arial" w:eastAsia="Arial" w:hAnsi="Arial"/>
          <w:sz w:val="18"/>
          <w:szCs w:val="18"/>
        </w:rPr>
        <w:t xml:space="preserve">Source : LeakID.com/company ; CBInsights ; LinkedIn LeakID.</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9026"/>
      </w:tabs>
    </w:pPr>
    <w:r>
      <w:rPr>
        <w:rFonts w:ascii="Arial" w:cs="Arial" w:eastAsia="Arial" w:hAnsi="Arial"/>
        <w:i/>
        <w:iCs/>
        <w:color w:val="666666"/>
        <w:sz w:val="18"/>
        <w:szCs w:val="18"/>
      </w:rPr>
      <w:t xml:space="preserve">Rapport LeakID / Forward Global</w:t>
    </w:r>
    <w:r>
      <w:rPr>
        <w:rFonts w:ascii="Arial" w:cs="Arial" w:eastAsia="Arial" w:hAnsi="Arial"/>
        <w:i/>
        <w:iCs/>
        <w:color w:val="C0392B"/>
        <w:sz w:val="18"/>
        <w:szCs w:val="18"/>
      </w:rPr>
      <w:t xml:space="preserve">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2026-04-02T15:45:27.750Z</dcterms:created>
  <dcterms:modified xsi:type="dcterms:W3CDTF">2026-04-02T15:45:27.751Z</dcterms:modified>
</cp:coreProperties>
</file>

<file path=docProps/custom.xml><?xml version="1.0" encoding="utf-8"?>
<Properties xmlns="http://schemas.openxmlformats.org/officeDocument/2006/custom-properties" xmlns:vt="http://schemas.openxmlformats.org/officeDocument/2006/docPropsVTypes"/>
</file>