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4C70F6FD" w:rsidR="00814FDC" w:rsidRDefault="006E754B" w:rsidP="009A672A">
      <w:pPr>
        <w:pStyle w:val="Title"/>
      </w:pPr>
      <w:r>
        <w:t xml:space="preserve">Dynamic Allocation Based </w:t>
      </w:r>
      <w:r w:rsidR="00943AAA">
        <w:t>on</w:t>
      </w:r>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bookmarkStart w:id="0" w:name="_Toc1572499250" w:displacedByCustomXml="next"/>
    <w:sdt>
      <w:sdtPr>
        <w:rPr>
          <w:rFonts w:ascii="Times New Roman" w:eastAsiaTheme="minorHAnsi" w:hAnsi="Times New Roman" w:cstheme="minorBidi"/>
          <w:color w:val="auto"/>
          <w:kern w:val="2"/>
          <w:sz w:val="24"/>
          <w:szCs w:val="24"/>
          <w14:ligatures w14:val="standardContextual"/>
        </w:rPr>
        <w:id w:val="1068273331"/>
        <w:docPartObj>
          <w:docPartGallery w:val="Table of Contents"/>
          <w:docPartUnique/>
        </w:docPartObj>
      </w:sdtPr>
      <w:sdtContent>
        <w:p w14:paraId="52AF5D4F" w14:textId="04FD6862" w:rsidR="008D2000" w:rsidRPr="00FB162B" w:rsidRDefault="008D2000">
          <w:pPr>
            <w:pStyle w:val="TOCHeading"/>
            <w:rPr>
              <w:rStyle w:val="Heading1Char"/>
              <w:color w:val="auto"/>
            </w:rPr>
          </w:pPr>
          <w:r w:rsidRPr="288D0E4F">
            <w:rPr>
              <w:rStyle w:val="Heading1Char"/>
              <w:color w:val="auto"/>
            </w:rPr>
            <w:t>Contents</w:t>
          </w:r>
          <w:bookmarkEnd w:id="0"/>
        </w:p>
        <w:p w14:paraId="50252773" w14:textId="091DD9C1" w:rsidR="00B502DC" w:rsidRDefault="288D0E4F" w:rsidP="288D0E4F">
          <w:pPr>
            <w:pStyle w:val="TOC1"/>
            <w:tabs>
              <w:tab w:val="right" w:leader="dot" w:pos="9345"/>
            </w:tabs>
            <w:rPr>
              <w:rStyle w:val="Hyperlink"/>
              <w:noProof/>
            </w:rPr>
          </w:pPr>
          <w:r>
            <w:fldChar w:fldCharType="begin"/>
          </w:r>
          <w:r w:rsidR="008D2000">
            <w:instrText>TOC \o "1-3" \z \u \h</w:instrText>
          </w:r>
          <w:r>
            <w:fldChar w:fldCharType="separate"/>
          </w:r>
          <w:hyperlink w:anchor="_Toc1572499250">
            <w:r w:rsidRPr="288D0E4F">
              <w:rPr>
                <w:rStyle w:val="Hyperlink"/>
              </w:rPr>
              <w:t>Contents</w:t>
            </w:r>
            <w:r w:rsidR="008D2000">
              <w:tab/>
            </w:r>
            <w:r w:rsidR="008D2000">
              <w:fldChar w:fldCharType="begin"/>
            </w:r>
            <w:r w:rsidR="008D2000">
              <w:instrText>PAGEREF _Toc1572499250 \h</w:instrText>
            </w:r>
            <w:r w:rsidR="008D2000">
              <w:fldChar w:fldCharType="separate"/>
            </w:r>
            <w:r w:rsidRPr="288D0E4F">
              <w:rPr>
                <w:rStyle w:val="Hyperlink"/>
              </w:rPr>
              <w:t>1</w:t>
            </w:r>
            <w:r w:rsidR="008D2000">
              <w:fldChar w:fldCharType="end"/>
            </w:r>
          </w:hyperlink>
        </w:p>
        <w:p w14:paraId="3C673959" w14:textId="6EE15465" w:rsidR="00B502DC" w:rsidRDefault="288D0E4F" w:rsidP="288D0E4F">
          <w:pPr>
            <w:pStyle w:val="TOC1"/>
            <w:tabs>
              <w:tab w:val="right" w:leader="dot" w:pos="9345"/>
            </w:tabs>
            <w:rPr>
              <w:rStyle w:val="Hyperlink"/>
              <w:noProof/>
            </w:rPr>
          </w:pPr>
          <w:hyperlink w:anchor="_Toc977646978">
            <w:r w:rsidRPr="288D0E4F">
              <w:rPr>
                <w:rStyle w:val="Hyperlink"/>
              </w:rPr>
              <w:t>Abstract</w:t>
            </w:r>
            <w:r w:rsidR="00B502DC">
              <w:tab/>
            </w:r>
            <w:r w:rsidR="00B502DC">
              <w:fldChar w:fldCharType="begin"/>
            </w:r>
            <w:r w:rsidR="00B502DC">
              <w:instrText>PAGEREF _Toc977646978 \h</w:instrText>
            </w:r>
            <w:r w:rsidR="00B502DC">
              <w:fldChar w:fldCharType="separate"/>
            </w:r>
            <w:r w:rsidRPr="288D0E4F">
              <w:rPr>
                <w:rStyle w:val="Hyperlink"/>
              </w:rPr>
              <w:t>2</w:t>
            </w:r>
            <w:r w:rsidR="00B502DC">
              <w:fldChar w:fldCharType="end"/>
            </w:r>
          </w:hyperlink>
        </w:p>
        <w:p w14:paraId="5F0FEB9D" w14:textId="014DD6D2" w:rsidR="00B502DC" w:rsidRDefault="288D0E4F" w:rsidP="288D0E4F">
          <w:pPr>
            <w:pStyle w:val="TOC1"/>
            <w:tabs>
              <w:tab w:val="right" w:leader="dot" w:pos="9345"/>
            </w:tabs>
            <w:rPr>
              <w:rStyle w:val="Hyperlink"/>
              <w:noProof/>
            </w:rPr>
          </w:pPr>
          <w:hyperlink w:anchor="_Toc900516071">
            <w:r w:rsidRPr="288D0E4F">
              <w:rPr>
                <w:rStyle w:val="Hyperlink"/>
              </w:rPr>
              <w:t>Introduction</w:t>
            </w:r>
            <w:r w:rsidR="00B502DC">
              <w:tab/>
            </w:r>
            <w:r w:rsidR="00B502DC">
              <w:fldChar w:fldCharType="begin"/>
            </w:r>
            <w:r w:rsidR="00B502DC">
              <w:instrText>PAGEREF _Toc900516071 \h</w:instrText>
            </w:r>
            <w:r w:rsidR="00B502DC">
              <w:fldChar w:fldCharType="separate"/>
            </w:r>
            <w:r w:rsidRPr="288D0E4F">
              <w:rPr>
                <w:rStyle w:val="Hyperlink"/>
              </w:rPr>
              <w:t>3</w:t>
            </w:r>
            <w:r w:rsidR="00B502DC">
              <w:fldChar w:fldCharType="end"/>
            </w:r>
          </w:hyperlink>
        </w:p>
        <w:p w14:paraId="00CECF8A" w14:textId="2267AAC6" w:rsidR="00B502DC" w:rsidRDefault="288D0E4F" w:rsidP="288D0E4F">
          <w:pPr>
            <w:pStyle w:val="TOC1"/>
            <w:tabs>
              <w:tab w:val="right" w:leader="dot" w:pos="9345"/>
            </w:tabs>
            <w:rPr>
              <w:rStyle w:val="Hyperlink"/>
              <w:noProof/>
            </w:rPr>
          </w:pPr>
          <w:hyperlink w:anchor="_Toc1212047012">
            <w:r w:rsidRPr="288D0E4F">
              <w:rPr>
                <w:rStyle w:val="Hyperlink"/>
              </w:rPr>
              <w:t>Literature Review</w:t>
            </w:r>
            <w:r w:rsidR="00B502DC">
              <w:tab/>
            </w:r>
            <w:r w:rsidR="00B502DC">
              <w:fldChar w:fldCharType="begin"/>
            </w:r>
            <w:r w:rsidR="00B502DC">
              <w:instrText>PAGEREF _Toc1212047012 \h</w:instrText>
            </w:r>
            <w:r w:rsidR="00B502DC">
              <w:fldChar w:fldCharType="separate"/>
            </w:r>
            <w:r w:rsidRPr="288D0E4F">
              <w:rPr>
                <w:rStyle w:val="Hyperlink"/>
              </w:rPr>
              <w:t>5</w:t>
            </w:r>
            <w:r w:rsidR="00B502DC">
              <w:fldChar w:fldCharType="end"/>
            </w:r>
          </w:hyperlink>
        </w:p>
        <w:p w14:paraId="18FC8B05" w14:textId="5F2250D7" w:rsidR="00B502DC" w:rsidRDefault="288D0E4F" w:rsidP="288D0E4F">
          <w:pPr>
            <w:pStyle w:val="TOC2"/>
            <w:tabs>
              <w:tab w:val="right" w:leader="dot" w:pos="9345"/>
            </w:tabs>
            <w:rPr>
              <w:rStyle w:val="Hyperlink"/>
              <w:noProof/>
            </w:rPr>
          </w:pPr>
          <w:hyperlink w:anchor="_Toc504987161">
            <w:r w:rsidRPr="288D0E4F">
              <w:rPr>
                <w:rStyle w:val="Hyperlink"/>
              </w:rPr>
              <w:t>Regime-Switching Models in Financial Markets</w:t>
            </w:r>
            <w:r w:rsidR="00B502DC">
              <w:tab/>
            </w:r>
            <w:r w:rsidR="00B502DC">
              <w:fldChar w:fldCharType="begin"/>
            </w:r>
            <w:r w:rsidR="00B502DC">
              <w:instrText>PAGEREF _Toc504987161 \h</w:instrText>
            </w:r>
            <w:r w:rsidR="00B502DC">
              <w:fldChar w:fldCharType="separate"/>
            </w:r>
            <w:r w:rsidRPr="288D0E4F">
              <w:rPr>
                <w:rStyle w:val="Hyperlink"/>
              </w:rPr>
              <w:t>5</w:t>
            </w:r>
            <w:r w:rsidR="00B502DC">
              <w:fldChar w:fldCharType="end"/>
            </w:r>
          </w:hyperlink>
        </w:p>
        <w:p w14:paraId="2B6E06E6" w14:textId="10871EF5" w:rsidR="00B502DC" w:rsidRDefault="288D0E4F" w:rsidP="288D0E4F">
          <w:pPr>
            <w:pStyle w:val="TOC2"/>
            <w:tabs>
              <w:tab w:val="right" w:leader="dot" w:pos="9345"/>
            </w:tabs>
            <w:rPr>
              <w:rStyle w:val="Hyperlink"/>
              <w:noProof/>
            </w:rPr>
          </w:pPr>
          <w:hyperlink w:anchor="_Toc191261284">
            <w:r w:rsidRPr="288D0E4F">
              <w:rPr>
                <w:rStyle w:val="Hyperlink"/>
              </w:rPr>
              <w:t>Volatility and Momentum as Informative Features</w:t>
            </w:r>
            <w:r w:rsidR="00B502DC">
              <w:tab/>
            </w:r>
            <w:r w:rsidR="00B502DC">
              <w:fldChar w:fldCharType="begin"/>
            </w:r>
            <w:r w:rsidR="00B502DC">
              <w:instrText>PAGEREF _Toc191261284 \h</w:instrText>
            </w:r>
            <w:r w:rsidR="00B502DC">
              <w:fldChar w:fldCharType="separate"/>
            </w:r>
            <w:r w:rsidRPr="288D0E4F">
              <w:rPr>
                <w:rStyle w:val="Hyperlink"/>
              </w:rPr>
              <w:t>6</w:t>
            </w:r>
            <w:r w:rsidR="00B502DC">
              <w:fldChar w:fldCharType="end"/>
            </w:r>
          </w:hyperlink>
        </w:p>
        <w:p w14:paraId="370B80DB" w14:textId="70EDD17A" w:rsidR="00B502DC" w:rsidRDefault="288D0E4F" w:rsidP="288D0E4F">
          <w:pPr>
            <w:pStyle w:val="TOC2"/>
            <w:tabs>
              <w:tab w:val="right" w:leader="dot" w:pos="9345"/>
            </w:tabs>
            <w:rPr>
              <w:rStyle w:val="Hyperlink"/>
              <w:noProof/>
            </w:rPr>
          </w:pPr>
          <w:hyperlink w:anchor="_Toc1125397396">
            <w:r w:rsidRPr="288D0E4F">
              <w:rPr>
                <w:rStyle w:val="Hyperlink"/>
              </w:rPr>
              <w:t>Hidden Markov Models and Extensions</w:t>
            </w:r>
            <w:r w:rsidR="00B502DC">
              <w:tab/>
            </w:r>
            <w:r w:rsidR="00B502DC">
              <w:fldChar w:fldCharType="begin"/>
            </w:r>
            <w:r w:rsidR="00B502DC">
              <w:instrText>PAGEREF _Toc1125397396 \h</w:instrText>
            </w:r>
            <w:r w:rsidR="00B502DC">
              <w:fldChar w:fldCharType="separate"/>
            </w:r>
            <w:r w:rsidRPr="288D0E4F">
              <w:rPr>
                <w:rStyle w:val="Hyperlink"/>
              </w:rPr>
              <w:t>6</w:t>
            </w:r>
            <w:r w:rsidR="00B502DC">
              <w:fldChar w:fldCharType="end"/>
            </w:r>
          </w:hyperlink>
        </w:p>
        <w:p w14:paraId="4F5B24D7" w14:textId="22643255" w:rsidR="00B502DC" w:rsidRDefault="288D0E4F" w:rsidP="288D0E4F">
          <w:pPr>
            <w:pStyle w:val="TOC2"/>
            <w:tabs>
              <w:tab w:val="right" w:leader="dot" w:pos="9345"/>
            </w:tabs>
            <w:rPr>
              <w:rStyle w:val="Hyperlink"/>
              <w:noProof/>
            </w:rPr>
          </w:pPr>
          <w:hyperlink w:anchor="_Toc447447806">
            <w:r w:rsidRPr="288D0E4F">
              <w:rPr>
                <w:rStyle w:val="Hyperlink"/>
              </w:rPr>
              <w:t>Forecasting, Risk Management, and Implementation</w:t>
            </w:r>
            <w:r w:rsidR="00B502DC">
              <w:tab/>
            </w:r>
            <w:r w:rsidR="00B502DC">
              <w:fldChar w:fldCharType="begin"/>
            </w:r>
            <w:r w:rsidR="00B502DC">
              <w:instrText>PAGEREF _Toc447447806 \h</w:instrText>
            </w:r>
            <w:r w:rsidR="00B502DC">
              <w:fldChar w:fldCharType="separate"/>
            </w:r>
            <w:r w:rsidRPr="288D0E4F">
              <w:rPr>
                <w:rStyle w:val="Hyperlink"/>
              </w:rPr>
              <w:t>7</w:t>
            </w:r>
            <w:r w:rsidR="00B502DC">
              <w:fldChar w:fldCharType="end"/>
            </w:r>
          </w:hyperlink>
        </w:p>
        <w:p w14:paraId="76A13501" w14:textId="6FE2A059" w:rsidR="00B502DC" w:rsidRDefault="288D0E4F" w:rsidP="288D0E4F">
          <w:pPr>
            <w:pStyle w:val="TOC1"/>
            <w:tabs>
              <w:tab w:val="right" w:leader="dot" w:pos="9345"/>
            </w:tabs>
            <w:rPr>
              <w:rStyle w:val="Hyperlink"/>
              <w:noProof/>
            </w:rPr>
          </w:pPr>
          <w:hyperlink w:anchor="_Toc1400423196">
            <w:r w:rsidRPr="288D0E4F">
              <w:rPr>
                <w:rStyle w:val="Hyperlink"/>
              </w:rPr>
              <w:t>Data and Descriptive Statistics</w:t>
            </w:r>
            <w:r w:rsidR="00B502DC">
              <w:tab/>
            </w:r>
            <w:r w:rsidR="00B502DC">
              <w:fldChar w:fldCharType="begin"/>
            </w:r>
            <w:r w:rsidR="00B502DC">
              <w:instrText>PAGEREF _Toc1400423196 \h</w:instrText>
            </w:r>
            <w:r w:rsidR="00B502DC">
              <w:fldChar w:fldCharType="separate"/>
            </w:r>
            <w:r w:rsidRPr="288D0E4F">
              <w:rPr>
                <w:rStyle w:val="Hyperlink"/>
              </w:rPr>
              <w:t>7</w:t>
            </w:r>
            <w:r w:rsidR="00B502DC">
              <w:fldChar w:fldCharType="end"/>
            </w:r>
          </w:hyperlink>
        </w:p>
        <w:p w14:paraId="217B4C98" w14:textId="5726B1AB" w:rsidR="00B502DC" w:rsidRDefault="288D0E4F" w:rsidP="288D0E4F">
          <w:pPr>
            <w:pStyle w:val="TOC2"/>
            <w:tabs>
              <w:tab w:val="right" w:leader="dot" w:pos="9345"/>
            </w:tabs>
            <w:rPr>
              <w:rStyle w:val="Hyperlink"/>
              <w:noProof/>
            </w:rPr>
          </w:pPr>
          <w:hyperlink w:anchor="_Toc15050151">
            <w:r w:rsidRPr="288D0E4F">
              <w:rPr>
                <w:rStyle w:val="Hyperlink"/>
              </w:rPr>
              <w:t>Data Sources</w:t>
            </w:r>
            <w:r w:rsidR="00B502DC">
              <w:tab/>
            </w:r>
            <w:r w:rsidR="00B502DC">
              <w:fldChar w:fldCharType="begin"/>
            </w:r>
            <w:r w:rsidR="00B502DC">
              <w:instrText>PAGEREF _Toc15050151 \h</w:instrText>
            </w:r>
            <w:r w:rsidR="00B502DC">
              <w:fldChar w:fldCharType="separate"/>
            </w:r>
            <w:r w:rsidRPr="288D0E4F">
              <w:rPr>
                <w:rStyle w:val="Hyperlink"/>
              </w:rPr>
              <w:t>7</w:t>
            </w:r>
            <w:r w:rsidR="00B502DC">
              <w:fldChar w:fldCharType="end"/>
            </w:r>
          </w:hyperlink>
        </w:p>
        <w:p w14:paraId="123625FC" w14:textId="177C61F4" w:rsidR="00B502DC" w:rsidRDefault="288D0E4F" w:rsidP="288D0E4F">
          <w:pPr>
            <w:pStyle w:val="TOC2"/>
            <w:tabs>
              <w:tab w:val="right" w:leader="dot" w:pos="9345"/>
            </w:tabs>
            <w:rPr>
              <w:rStyle w:val="Hyperlink"/>
              <w:noProof/>
            </w:rPr>
          </w:pPr>
          <w:hyperlink w:anchor="_Toc888823867">
            <w:r w:rsidRPr="288D0E4F">
              <w:rPr>
                <w:rStyle w:val="Hyperlink"/>
              </w:rPr>
              <w:t>Feature Engineering</w:t>
            </w:r>
            <w:r w:rsidR="00B502DC">
              <w:tab/>
            </w:r>
            <w:r w:rsidR="00B502DC">
              <w:fldChar w:fldCharType="begin"/>
            </w:r>
            <w:r w:rsidR="00B502DC">
              <w:instrText>PAGEREF _Toc888823867 \h</w:instrText>
            </w:r>
            <w:r w:rsidR="00B502DC">
              <w:fldChar w:fldCharType="separate"/>
            </w:r>
            <w:r w:rsidRPr="288D0E4F">
              <w:rPr>
                <w:rStyle w:val="Hyperlink"/>
              </w:rPr>
              <w:t>8</w:t>
            </w:r>
            <w:r w:rsidR="00B502DC">
              <w:fldChar w:fldCharType="end"/>
            </w:r>
          </w:hyperlink>
        </w:p>
        <w:p w14:paraId="425BE1F4" w14:textId="68348371" w:rsidR="00B502DC" w:rsidRDefault="288D0E4F" w:rsidP="288D0E4F">
          <w:pPr>
            <w:pStyle w:val="TOC2"/>
            <w:tabs>
              <w:tab w:val="right" w:leader="dot" w:pos="9345"/>
            </w:tabs>
            <w:rPr>
              <w:rStyle w:val="Hyperlink"/>
              <w:noProof/>
            </w:rPr>
          </w:pPr>
          <w:hyperlink w:anchor="_Toc508496265">
            <w:r w:rsidRPr="288D0E4F">
              <w:rPr>
                <w:rStyle w:val="Hyperlink"/>
              </w:rPr>
              <w:t>Normalization and Dataset Splitting</w:t>
            </w:r>
            <w:r w:rsidR="00B502DC">
              <w:tab/>
            </w:r>
            <w:r w:rsidR="00B502DC">
              <w:fldChar w:fldCharType="begin"/>
            </w:r>
            <w:r w:rsidR="00B502DC">
              <w:instrText>PAGEREF _Toc508496265 \h</w:instrText>
            </w:r>
            <w:r w:rsidR="00B502DC">
              <w:fldChar w:fldCharType="separate"/>
            </w:r>
            <w:r w:rsidRPr="288D0E4F">
              <w:rPr>
                <w:rStyle w:val="Hyperlink"/>
              </w:rPr>
              <w:t>9</w:t>
            </w:r>
            <w:r w:rsidR="00B502DC">
              <w:fldChar w:fldCharType="end"/>
            </w:r>
          </w:hyperlink>
        </w:p>
        <w:p w14:paraId="59F82A53" w14:textId="495A70AC" w:rsidR="00B502DC" w:rsidRDefault="288D0E4F" w:rsidP="288D0E4F">
          <w:pPr>
            <w:pStyle w:val="TOC1"/>
            <w:tabs>
              <w:tab w:val="right" w:leader="dot" w:pos="9345"/>
            </w:tabs>
            <w:rPr>
              <w:rStyle w:val="Hyperlink"/>
              <w:noProof/>
            </w:rPr>
          </w:pPr>
          <w:hyperlink w:anchor="_Toc1351696132">
            <w:r w:rsidRPr="288D0E4F">
              <w:rPr>
                <w:rStyle w:val="Hyperlink"/>
              </w:rPr>
              <w:t>Methodology</w:t>
            </w:r>
            <w:r w:rsidR="00B502DC">
              <w:tab/>
            </w:r>
            <w:r w:rsidR="00B502DC">
              <w:fldChar w:fldCharType="begin"/>
            </w:r>
            <w:r w:rsidR="00B502DC">
              <w:instrText>PAGEREF _Toc1351696132 \h</w:instrText>
            </w:r>
            <w:r w:rsidR="00B502DC">
              <w:fldChar w:fldCharType="separate"/>
            </w:r>
            <w:r w:rsidRPr="288D0E4F">
              <w:rPr>
                <w:rStyle w:val="Hyperlink"/>
              </w:rPr>
              <w:t>9</w:t>
            </w:r>
            <w:r w:rsidR="00B502DC">
              <w:fldChar w:fldCharType="end"/>
            </w:r>
          </w:hyperlink>
        </w:p>
        <w:p w14:paraId="207CA671" w14:textId="250B7923" w:rsidR="00B502DC" w:rsidRDefault="288D0E4F" w:rsidP="288D0E4F">
          <w:pPr>
            <w:pStyle w:val="TOC2"/>
            <w:tabs>
              <w:tab w:val="right" w:leader="dot" w:pos="9345"/>
            </w:tabs>
            <w:rPr>
              <w:rStyle w:val="Hyperlink"/>
              <w:noProof/>
            </w:rPr>
          </w:pPr>
          <w:hyperlink w:anchor="_Toc202029292">
            <w:r w:rsidRPr="288D0E4F">
              <w:rPr>
                <w:rStyle w:val="Hyperlink"/>
              </w:rPr>
              <w:t>Model Architecture</w:t>
            </w:r>
            <w:r w:rsidR="00B502DC">
              <w:tab/>
            </w:r>
            <w:r w:rsidR="00B502DC">
              <w:fldChar w:fldCharType="begin"/>
            </w:r>
            <w:r w:rsidR="00B502DC">
              <w:instrText>PAGEREF _Toc202029292 \h</w:instrText>
            </w:r>
            <w:r w:rsidR="00B502DC">
              <w:fldChar w:fldCharType="separate"/>
            </w:r>
            <w:r w:rsidRPr="288D0E4F">
              <w:rPr>
                <w:rStyle w:val="Hyperlink"/>
              </w:rPr>
              <w:t>9</w:t>
            </w:r>
            <w:r w:rsidR="00B502DC">
              <w:fldChar w:fldCharType="end"/>
            </w:r>
          </w:hyperlink>
        </w:p>
        <w:p w14:paraId="690A134B" w14:textId="2A5A896E" w:rsidR="00B502DC" w:rsidRDefault="288D0E4F" w:rsidP="288D0E4F">
          <w:pPr>
            <w:pStyle w:val="TOC2"/>
            <w:tabs>
              <w:tab w:val="right" w:leader="dot" w:pos="9345"/>
            </w:tabs>
            <w:rPr>
              <w:rStyle w:val="Hyperlink"/>
              <w:noProof/>
            </w:rPr>
          </w:pPr>
          <w:hyperlink w:anchor="_Toc93369718">
            <w:r w:rsidRPr="288D0E4F">
              <w:rPr>
                <w:rStyle w:val="Hyperlink"/>
              </w:rPr>
              <w:t>Model Initialization and Training</w:t>
            </w:r>
            <w:r w:rsidR="00B502DC">
              <w:tab/>
            </w:r>
            <w:r w:rsidR="00B502DC">
              <w:fldChar w:fldCharType="begin"/>
            </w:r>
            <w:r w:rsidR="00B502DC">
              <w:instrText>PAGEREF _Toc93369718 \h</w:instrText>
            </w:r>
            <w:r w:rsidR="00B502DC">
              <w:fldChar w:fldCharType="separate"/>
            </w:r>
            <w:r w:rsidRPr="288D0E4F">
              <w:rPr>
                <w:rStyle w:val="Hyperlink"/>
              </w:rPr>
              <w:t>10</w:t>
            </w:r>
            <w:r w:rsidR="00B502DC">
              <w:fldChar w:fldCharType="end"/>
            </w:r>
          </w:hyperlink>
        </w:p>
        <w:p w14:paraId="429300B5" w14:textId="4DF24280" w:rsidR="00B502DC" w:rsidRDefault="288D0E4F" w:rsidP="288D0E4F">
          <w:pPr>
            <w:pStyle w:val="TOC2"/>
            <w:tabs>
              <w:tab w:val="right" w:leader="dot" w:pos="9345"/>
            </w:tabs>
            <w:rPr>
              <w:rStyle w:val="Hyperlink"/>
              <w:noProof/>
            </w:rPr>
          </w:pPr>
          <w:hyperlink w:anchor="_Toc1498731205">
            <w:r w:rsidRPr="288D0E4F">
              <w:rPr>
                <w:rStyle w:val="Hyperlink"/>
              </w:rPr>
              <w:t>State Inference and Forecasting</w:t>
            </w:r>
            <w:r w:rsidR="00B502DC">
              <w:tab/>
            </w:r>
            <w:r w:rsidR="00B502DC">
              <w:fldChar w:fldCharType="begin"/>
            </w:r>
            <w:r w:rsidR="00B502DC">
              <w:instrText>PAGEREF _Toc1498731205 \h</w:instrText>
            </w:r>
            <w:r w:rsidR="00B502DC">
              <w:fldChar w:fldCharType="separate"/>
            </w:r>
            <w:r w:rsidRPr="288D0E4F">
              <w:rPr>
                <w:rStyle w:val="Hyperlink"/>
              </w:rPr>
              <w:t>10</w:t>
            </w:r>
            <w:r w:rsidR="00B502DC">
              <w:fldChar w:fldCharType="end"/>
            </w:r>
          </w:hyperlink>
        </w:p>
        <w:p w14:paraId="1C8EFF24" w14:textId="4ECA468D" w:rsidR="00B502DC" w:rsidRDefault="288D0E4F" w:rsidP="288D0E4F">
          <w:pPr>
            <w:pStyle w:val="TOC2"/>
            <w:tabs>
              <w:tab w:val="right" w:leader="dot" w:pos="9345"/>
            </w:tabs>
            <w:rPr>
              <w:rStyle w:val="Hyperlink"/>
              <w:noProof/>
            </w:rPr>
          </w:pPr>
          <w:hyperlink w:anchor="_Toc220477276">
            <w:r w:rsidRPr="288D0E4F">
              <w:rPr>
                <w:rStyle w:val="Hyperlink"/>
              </w:rPr>
              <w:t>Regime Labeling</w:t>
            </w:r>
            <w:r w:rsidR="00B502DC">
              <w:tab/>
            </w:r>
            <w:r w:rsidR="00B502DC">
              <w:fldChar w:fldCharType="begin"/>
            </w:r>
            <w:r w:rsidR="00B502DC">
              <w:instrText>PAGEREF _Toc220477276 \h</w:instrText>
            </w:r>
            <w:r w:rsidR="00B502DC">
              <w:fldChar w:fldCharType="separate"/>
            </w:r>
            <w:r w:rsidRPr="288D0E4F">
              <w:rPr>
                <w:rStyle w:val="Hyperlink"/>
              </w:rPr>
              <w:t>11</w:t>
            </w:r>
            <w:r w:rsidR="00B502DC">
              <w:fldChar w:fldCharType="end"/>
            </w:r>
          </w:hyperlink>
        </w:p>
        <w:p w14:paraId="34DEC452" w14:textId="4245D1D2" w:rsidR="00B502DC" w:rsidRDefault="288D0E4F" w:rsidP="288D0E4F">
          <w:pPr>
            <w:pStyle w:val="TOC1"/>
            <w:tabs>
              <w:tab w:val="right" w:leader="dot" w:pos="9345"/>
            </w:tabs>
            <w:rPr>
              <w:rStyle w:val="Hyperlink"/>
              <w:noProof/>
            </w:rPr>
          </w:pPr>
          <w:hyperlink w:anchor="_Toc343834519">
            <w:r w:rsidRPr="288D0E4F">
              <w:rPr>
                <w:rStyle w:val="Hyperlink"/>
              </w:rPr>
              <w:t>Risk Management</w:t>
            </w:r>
            <w:r w:rsidR="00B502DC">
              <w:tab/>
            </w:r>
            <w:r w:rsidR="00B502DC">
              <w:fldChar w:fldCharType="begin"/>
            </w:r>
            <w:r w:rsidR="00B502DC">
              <w:instrText>PAGEREF _Toc343834519 \h</w:instrText>
            </w:r>
            <w:r w:rsidR="00B502DC">
              <w:fldChar w:fldCharType="separate"/>
            </w:r>
            <w:r w:rsidRPr="288D0E4F">
              <w:rPr>
                <w:rStyle w:val="Hyperlink"/>
              </w:rPr>
              <w:t>12</w:t>
            </w:r>
            <w:r w:rsidR="00B502DC">
              <w:fldChar w:fldCharType="end"/>
            </w:r>
          </w:hyperlink>
        </w:p>
        <w:p w14:paraId="611E5920" w14:textId="7ECB861B" w:rsidR="00B502DC" w:rsidRDefault="288D0E4F" w:rsidP="288D0E4F">
          <w:pPr>
            <w:pStyle w:val="TOC1"/>
            <w:tabs>
              <w:tab w:val="right" w:leader="dot" w:pos="9345"/>
            </w:tabs>
            <w:rPr>
              <w:rStyle w:val="Hyperlink"/>
              <w:noProof/>
            </w:rPr>
          </w:pPr>
          <w:hyperlink w:anchor="_Toc428345420">
            <w:r w:rsidRPr="288D0E4F">
              <w:rPr>
                <w:rStyle w:val="Hyperlink"/>
              </w:rPr>
              <w:t>Results</w:t>
            </w:r>
            <w:r w:rsidR="00B502DC">
              <w:tab/>
            </w:r>
            <w:r w:rsidR="00B502DC">
              <w:fldChar w:fldCharType="begin"/>
            </w:r>
            <w:r w:rsidR="00B502DC">
              <w:instrText>PAGEREF _Toc428345420 \h</w:instrText>
            </w:r>
            <w:r w:rsidR="00B502DC">
              <w:fldChar w:fldCharType="separate"/>
            </w:r>
            <w:r w:rsidRPr="288D0E4F">
              <w:rPr>
                <w:rStyle w:val="Hyperlink"/>
              </w:rPr>
              <w:t>12</w:t>
            </w:r>
            <w:r w:rsidR="00B502DC">
              <w:fldChar w:fldCharType="end"/>
            </w:r>
          </w:hyperlink>
        </w:p>
        <w:p w14:paraId="644E0A92" w14:textId="40761FBE" w:rsidR="00B502DC" w:rsidRDefault="288D0E4F" w:rsidP="288D0E4F">
          <w:pPr>
            <w:pStyle w:val="TOC1"/>
            <w:tabs>
              <w:tab w:val="right" w:leader="dot" w:pos="9345"/>
            </w:tabs>
            <w:rPr>
              <w:rStyle w:val="Hyperlink"/>
              <w:noProof/>
            </w:rPr>
          </w:pPr>
          <w:hyperlink w:anchor="_Toc1658654325">
            <w:r w:rsidRPr="288D0E4F">
              <w:rPr>
                <w:rStyle w:val="Hyperlink"/>
              </w:rPr>
              <w:t>Discussion</w:t>
            </w:r>
            <w:r w:rsidR="00B502DC">
              <w:tab/>
            </w:r>
            <w:r w:rsidR="00B502DC">
              <w:fldChar w:fldCharType="begin"/>
            </w:r>
            <w:r w:rsidR="00B502DC">
              <w:instrText>PAGEREF _Toc1658654325 \h</w:instrText>
            </w:r>
            <w:r w:rsidR="00B502DC">
              <w:fldChar w:fldCharType="separate"/>
            </w:r>
            <w:r w:rsidRPr="288D0E4F">
              <w:rPr>
                <w:rStyle w:val="Hyperlink"/>
              </w:rPr>
              <w:t>12</w:t>
            </w:r>
            <w:r w:rsidR="00B502DC">
              <w:fldChar w:fldCharType="end"/>
            </w:r>
          </w:hyperlink>
        </w:p>
        <w:p w14:paraId="20F87D19" w14:textId="538C7250" w:rsidR="00B502DC" w:rsidRDefault="288D0E4F" w:rsidP="288D0E4F">
          <w:pPr>
            <w:pStyle w:val="TOC1"/>
            <w:tabs>
              <w:tab w:val="right" w:leader="dot" w:pos="9345"/>
            </w:tabs>
            <w:rPr>
              <w:rStyle w:val="Hyperlink"/>
              <w:noProof/>
            </w:rPr>
          </w:pPr>
          <w:hyperlink w:anchor="_Toc1308539034">
            <w:r w:rsidRPr="288D0E4F">
              <w:rPr>
                <w:rStyle w:val="Hyperlink"/>
              </w:rPr>
              <w:t>Conclusion</w:t>
            </w:r>
            <w:r w:rsidR="00B502DC">
              <w:tab/>
            </w:r>
            <w:r w:rsidR="00B502DC">
              <w:fldChar w:fldCharType="begin"/>
            </w:r>
            <w:r w:rsidR="00B502DC">
              <w:instrText>PAGEREF _Toc1308539034 \h</w:instrText>
            </w:r>
            <w:r w:rsidR="00B502DC">
              <w:fldChar w:fldCharType="separate"/>
            </w:r>
            <w:r w:rsidRPr="288D0E4F">
              <w:rPr>
                <w:rStyle w:val="Hyperlink"/>
              </w:rPr>
              <w:t>12</w:t>
            </w:r>
            <w:r w:rsidR="00B502DC">
              <w:fldChar w:fldCharType="end"/>
            </w:r>
          </w:hyperlink>
        </w:p>
        <w:p w14:paraId="77E3FDCC" w14:textId="5DC75146" w:rsidR="00B502DC" w:rsidRDefault="288D0E4F" w:rsidP="288D0E4F">
          <w:pPr>
            <w:pStyle w:val="TOC1"/>
            <w:tabs>
              <w:tab w:val="right" w:leader="dot" w:pos="9345"/>
            </w:tabs>
            <w:rPr>
              <w:rStyle w:val="Hyperlink"/>
              <w:noProof/>
            </w:rPr>
          </w:pPr>
          <w:hyperlink w:anchor="_Toc1284752432">
            <w:r w:rsidRPr="288D0E4F">
              <w:rPr>
                <w:rStyle w:val="Hyperlink"/>
              </w:rPr>
              <w:t>References</w:t>
            </w:r>
            <w:r w:rsidR="00B502DC">
              <w:tab/>
            </w:r>
            <w:r w:rsidR="00B502DC">
              <w:fldChar w:fldCharType="begin"/>
            </w:r>
            <w:r w:rsidR="00B502DC">
              <w:instrText>PAGEREF _Toc1284752432 \h</w:instrText>
            </w:r>
            <w:r w:rsidR="00B502DC">
              <w:fldChar w:fldCharType="separate"/>
            </w:r>
            <w:r w:rsidRPr="288D0E4F">
              <w:rPr>
                <w:rStyle w:val="Hyperlink"/>
              </w:rPr>
              <w:t>12</w:t>
            </w:r>
            <w:r w:rsidR="00B502DC">
              <w:fldChar w:fldCharType="end"/>
            </w:r>
          </w:hyperlink>
        </w:p>
        <w:p w14:paraId="3FC027CE" w14:textId="34A334BF" w:rsidR="288D0E4F" w:rsidRDefault="288D0E4F" w:rsidP="288D0E4F">
          <w:pPr>
            <w:pStyle w:val="TOC1"/>
            <w:tabs>
              <w:tab w:val="right" w:leader="dot" w:pos="9345"/>
            </w:tabs>
            <w:rPr>
              <w:rStyle w:val="Hyperlink"/>
            </w:rPr>
          </w:pPr>
          <w:hyperlink w:anchor="_Toc1665238934">
            <w:r w:rsidRPr="288D0E4F">
              <w:rPr>
                <w:rStyle w:val="Hyperlink"/>
              </w:rPr>
              <w:t>Appendix A: ETF Indices</w:t>
            </w:r>
            <w:r>
              <w:tab/>
            </w:r>
            <w:r>
              <w:fldChar w:fldCharType="begin"/>
            </w:r>
            <w:r>
              <w:instrText>PAGEREF _Toc1665238934 \h</w:instrText>
            </w:r>
            <w:r>
              <w:fldChar w:fldCharType="separate"/>
            </w:r>
            <w:r w:rsidRPr="288D0E4F">
              <w:rPr>
                <w:rStyle w:val="Hyperlink"/>
              </w:rPr>
              <w:t>13</w:t>
            </w:r>
            <w:r>
              <w:fldChar w:fldCharType="end"/>
            </w:r>
          </w:hyperlink>
          <w:r>
            <w:fldChar w:fldCharType="end"/>
          </w:r>
        </w:p>
      </w:sdtContent>
    </w:sdt>
    <w:p w14:paraId="2C9B7B0A" w14:textId="008C7386" w:rsidR="008D2000" w:rsidRDefault="008D2000"/>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0E8C">
      <w:pPr>
        <w:pStyle w:val="Heading1"/>
        <w:spacing w:line="480" w:lineRule="auto"/>
        <w:jc w:val="center"/>
      </w:pPr>
      <w:bookmarkStart w:id="1" w:name="_Toc977646978"/>
      <w:r>
        <w:lastRenderedPageBreak/>
        <w:t>Abstract</w:t>
      </w:r>
      <w:bookmarkEnd w:id="1"/>
    </w:p>
    <w:p w14:paraId="44B34A8E" w14:textId="77777777" w:rsidR="00183E2F" w:rsidRPr="00183E2F" w:rsidRDefault="00183E2F" w:rsidP="00D54990">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D54990">
      <w:pPr>
        <w:spacing w:line="480" w:lineRule="auto"/>
      </w:pPr>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Default="00183E2F" w:rsidP="00D54990">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040E8C">
      <w:pPr>
        <w:pStyle w:val="Heading1"/>
        <w:spacing w:line="480" w:lineRule="auto"/>
        <w:jc w:val="center"/>
      </w:pPr>
      <w:bookmarkStart w:id="2" w:name="_Toc900516071"/>
      <w:r>
        <w:t>Introduction</w:t>
      </w:r>
      <w:bookmarkEnd w:id="2"/>
    </w:p>
    <w:p w14:paraId="417D5CCC" w14:textId="77777777" w:rsidR="00692568" w:rsidRPr="00692568" w:rsidRDefault="00692568" w:rsidP="00D54990">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w:t>
      </w:r>
      <w:proofErr w:type="gramStart"/>
      <w:r w:rsidRPr="00692568">
        <w:t>HMMs)—</w:t>
      </w:r>
      <w:proofErr w:type="gramEnd"/>
      <w:r w:rsidRPr="00692568">
        <w:t>have emerged as powerful tools for modeling the latent structure of financial time series.</w:t>
      </w:r>
    </w:p>
    <w:p w14:paraId="015DDD0C" w14:textId="77777777" w:rsidR="00692568" w:rsidRPr="00692568" w:rsidRDefault="00692568" w:rsidP="00D54990">
      <w:pPr>
        <w:spacing w:line="480" w:lineRule="auto"/>
      </w:pPr>
      <w:r w:rsidRPr="00692568">
        <w:t xml:space="preserve">This paper introduces a comprehensive methodology for identifying and forecasting latent </w:t>
      </w:r>
      <w:proofErr w:type="gramStart"/>
      <w:r w:rsidRPr="00692568">
        <w:t>financial market</w:t>
      </w:r>
      <w:proofErr w:type="gramEnd"/>
      <w:r w:rsidRPr="00692568">
        <w:t xml:space="preserve">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D54990">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D54990">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Pr="00183E2F" w:rsidRDefault="00692568" w:rsidP="00D54990">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040E8C">
      <w:pPr>
        <w:pStyle w:val="Heading1"/>
        <w:spacing w:line="480" w:lineRule="auto"/>
        <w:jc w:val="center"/>
      </w:pPr>
      <w:bookmarkStart w:id="3" w:name="_Toc1212047012"/>
      <w:r>
        <w:t>Literature Review</w:t>
      </w:r>
      <w:bookmarkEnd w:id="3"/>
    </w:p>
    <w:p w14:paraId="5A5C5691" w14:textId="77777777" w:rsidR="00CA2A7D" w:rsidRPr="00CA2A7D" w:rsidRDefault="00CA2A7D" w:rsidP="00D54990">
      <w:pPr>
        <w:spacing w:line="480" w:lineRule="auto"/>
      </w:pPr>
      <w:r w:rsidRPr="00CA2A7D">
        <w:t xml:space="preserve">The empirical modeling of financial markets has long acknowledged the presence of structural shifts and time-varying dynamics that challenge the assumptions of linear, stationary models. In response, researchers have turned to regime-switching </w:t>
      </w:r>
      <w:proofErr w:type="gramStart"/>
      <w:r w:rsidRPr="00CA2A7D">
        <w:t>frameworks—</w:t>
      </w:r>
      <w:proofErr w:type="gramEnd"/>
      <w:r w:rsidRPr="00CA2A7D">
        <w:t>most notably Hidden Markov Models (HMMs)—to capture unobservable state transitions that manifest through observable financial indicators such as returns and volatility.</w:t>
      </w:r>
    </w:p>
    <w:p w14:paraId="2371D5D0" w14:textId="51E7550F" w:rsidR="00CA2A7D" w:rsidRPr="00CA2A7D" w:rsidRDefault="00CA2A7D" w:rsidP="00D54990">
      <w:pPr>
        <w:pStyle w:val="Heading2"/>
        <w:spacing w:line="480" w:lineRule="auto"/>
      </w:pPr>
      <w:bookmarkStart w:id="4" w:name="_Toc504987161"/>
      <w:r>
        <w:t>Regime-Switching Models in Financial Markets</w:t>
      </w:r>
      <w:bookmarkEnd w:id="4"/>
    </w:p>
    <w:p w14:paraId="61245DEF" w14:textId="77777777" w:rsidR="00CA2A7D" w:rsidRPr="00CA2A7D" w:rsidRDefault="00CA2A7D" w:rsidP="00D54990">
      <w:pPr>
        <w:spacing w:line="480" w:lineRule="auto"/>
      </w:pPr>
      <w:r w:rsidRPr="00CA2A7D">
        <w:t xml:space="preserve">The foundational work by Hamilton (1989) introduced Markov-switching models </w:t>
      </w:r>
      <w:proofErr w:type="gramStart"/>
      <w:r w:rsidRPr="00CA2A7D">
        <w:t>as a means to</w:t>
      </w:r>
      <w:proofErr w:type="gramEnd"/>
      <w:r w:rsidRPr="00CA2A7D">
        <w:t xml:space="preserve"> model business cycles via latent economic states. This approach has since become instrumental </w:t>
      </w:r>
      <w:r w:rsidRPr="00CA2A7D">
        <w:lastRenderedPageBreak/>
        <w:t>in financial time series analysis, enabling models to capture nonlinear dynamics associated with 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D54990">
      <w:pPr>
        <w:spacing w:line="480" w:lineRule="auto"/>
      </w:pPr>
      <w:proofErr w:type="spellStart"/>
      <w:r w:rsidRPr="00CA2A7D">
        <w:t>Guidolin</w:t>
      </w:r>
      <w:proofErr w:type="spellEnd"/>
      <w:r w:rsidRPr="00CA2A7D">
        <w:t xml:space="preserve">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D54990">
      <w:pPr>
        <w:pStyle w:val="Heading2"/>
        <w:spacing w:line="480" w:lineRule="auto"/>
      </w:pPr>
      <w:bookmarkStart w:id="5" w:name="_Toc191261284"/>
      <w:r>
        <w:t>Volatility and Momentum as Informative Features</w:t>
      </w:r>
      <w:bookmarkEnd w:id="5"/>
    </w:p>
    <w:p w14:paraId="72194CB2" w14:textId="77777777" w:rsidR="00CA2A7D" w:rsidRPr="00CA2A7D" w:rsidRDefault="00CA2A7D" w:rsidP="00D54990">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77777777" w:rsidR="00CA2A7D" w:rsidRPr="00CA2A7D" w:rsidRDefault="00CA2A7D" w:rsidP="00D54990">
      <w:pPr>
        <w:spacing w:line="480" w:lineRule="auto"/>
      </w:pPr>
      <w:r w:rsidRPr="00CA2A7D">
        <w:t xml:space="preserve">To model the persistence and long-range dependence in volatility, Corsi (2009) proposed a heterogeneous autoregressive (HAR) framework. His approach captures realized volatility across </w:t>
      </w:r>
      <w:r w:rsidRPr="00CA2A7D">
        <w:lastRenderedPageBreak/>
        <w:t xml:space="preserve">multiple time scales and has proven to be both theoretically sound and practically effective. These insights inform </w:t>
      </w:r>
      <w:proofErr w:type="gramStart"/>
      <w:r w:rsidRPr="00CA2A7D">
        <w:t>our</w:t>
      </w:r>
      <w:proofErr w:type="gramEnd"/>
      <w:r w:rsidRPr="00CA2A7D">
        <w:t xml:space="preserve"> use of multiscale volatility measures, normalized for comparability, to enhance the HMM’s capacity for regime separation.</w:t>
      </w:r>
    </w:p>
    <w:p w14:paraId="5320DE15" w14:textId="0117FE1F" w:rsidR="00CA2A7D" w:rsidRPr="00CA2A7D" w:rsidRDefault="00CA2A7D" w:rsidP="00D54990">
      <w:pPr>
        <w:pStyle w:val="Heading2"/>
        <w:spacing w:line="480" w:lineRule="auto"/>
      </w:pPr>
      <w:bookmarkStart w:id="6" w:name="_Toc1125397396"/>
      <w:r>
        <w:t>Hidden Markov Models and Extensions</w:t>
      </w:r>
      <w:bookmarkEnd w:id="6"/>
    </w:p>
    <w:p w14:paraId="2EF4A698" w14:textId="77777777" w:rsidR="00CA2A7D" w:rsidRPr="00CA2A7D" w:rsidRDefault="00CA2A7D" w:rsidP="00D54990">
      <w:pPr>
        <w:spacing w:line="480" w:lineRule="auto"/>
      </w:pPr>
      <w:r w:rsidRPr="00CA2A7D">
        <w:t>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our implementation focuses on standard Gaussian HMMs, we incorporate stability diagnostics to guard against unrealistic transition frequencies—an indirect response to the duration limitations highlighted in this literature.</w:t>
      </w:r>
    </w:p>
    <w:p w14:paraId="7AA7DC53" w14:textId="77777777" w:rsidR="00CA2A7D" w:rsidRPr="00CA2A7D" w:rsidRDefault="00CA2A7D" w:rsidP="00D54990">
      <w:pPr>
        <w:spacing w:line="480" w:lineRule="auto"/>
      </w:pPr>
      <w:r w:rsidRPr="00CA2A7D">
        <w:t xml:space="preserve">From a practical perspective, HMMs have been effectively applied to pattern recognition and financial forecasting. Lo, Mamaysky, and Wang (2000) utilized HMMs to detect technical patterns in price series, validating the use of probabilistic models </w:t>
      </w:r>
      <w:proofErr w:type="gramStart"/>
      <w:r w:rsidRPr="00CA2A7D">
        <w:t>over rule</w:t>
      </w:r>
      <w:proofErr w:type="gramEnd"/>
      <w:r w:rsidRPr="00CA2A7D">
        <w:t>-based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D54990">
      <w:pPr>
        <w:pStyle w:val="Heading2"/>
        <w:spacing w:line="480" w:lineRule="auto"/>
      </w:pPr>
      <w:bookmarkStart w:id="7" w:name="_Toc447447806"/>
      <w:r>
        <w:t>Forecasting, Risk Management, and Implementation</w:t>
      </w:r>
      <w:bookmarkEnd w:id="7"/>
    </w:p>
    <w:p w14:paraId="159AE9FD" w14:textId="77777777" w:rsidR="00CA2A7D" w:rsidRPr="00CA2A7D" w:rsidRDefault="00CA2A7D" w:rsidP="00D54990">
      <w:pPr>
        <w:spacing w:line="480" w:lineRule="auto"/>
      </w:pPr>
      <w:r w:rsidRPr="00CA2A7D">
        <w:t xml:space="preserve">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w:t>
      </w:r>
      <w:r w:rsidRPr="00CA2A7D">
        <w:lastRenderedPageBreak/>
        <w:t>builds on this literature by integrating unsupervised clustering to identify structural commonalities among assets and applying directional risk filters to improve portfolio resilience.</w:t>
      </w:r>
    </w:p>
    <w:p w14:paraId="500E36A4" w14:textId="77777777" w:rsidR="0015664E" w:rsidRDefault="0015664E" w:rsidP="00040E8C">
      <w:pPr>
        <w:pStyle w:val="Heading1"/>
        <w:spacing w:line="480" w:lineRule="auto"/>
        <w:jc w:val="center"/>
      </w:pPr>
      <w:bookmarkStart w:id="8" w:name="_Toc1400423196"/>
      <w:r>
        <w:t>Test Portfolio Composition</w:t>
      </w:r>
    </w:p>
    <w:p w14:paraId="51547821" w14:textId="444EEEC2" w:rsidR="00152F51" w:rsidRPr="00152F51" w:rsidRDefault="00152F51" w:rsidP="00D54990">
      <w:pPr>
        <w:spacing w:line="480" w:lineRule="auto"/>
      </w:pPr>
      <w:r>
        <w:t xml:space="preserve">To test the model a diversified mix of assets was necessary to demonstrate asset selection and differentiation by the model. As well as </w:t>
      </w:r>
      <w:r w:rsidR="00FE79E1">
        <w:t>improving</w:t>
      </w:r>
      <w:r>
        <w:t xml:space="preserve"> risk adjusted returns across the business cycle and overall market regime. </w:t>
      </w:r>
    </w:p>
    <w:p w14:paraId="4C530A4B" w14:textId="77777777" w:rsidR="0015664E" w:rsidRDefault="0015664E" w:rsidP="00D54990">
      <w:pPr>
        <w:pStyle w:val="Heading2"/>
        <w:spacing w:line="480" w:lineRule="auto"/>
      </w:pPr>
      <w:r>
        <w:t>Global Macro ETF Portfolio</w:t>
      </w:r>
    </w:p>
    <w:p w14:paraId="28BEBB7C" w14:textId="7C3B991A" w:rsidR="0015664E" w:rsidRPr="00CD7B35" w:rsidRDefault="0015664E" w:rsidP="00D54990">
      <w:pPr>
        <w:spacing w:line="480" w:lineRule="auto"/>
      </w:pPr>
      <w:r>
        <w:t xml:space="preserve">This portfolio was constructed to match that of a global macro portfolio utilizing ETFs for ease of use and asset class representation. Each asset class was broken down by global world region where possible and then further categorized by type. Bonds represent the largest portion of assets with exposure to aggregate, treasuries, corporates, high yield, long duration U.S. treasuries, and cash like instruments. Real assets are represented first by regional real estate, and then commodities broken down into categories of energy, agriculture, industrial metals, precious metals, and physical gold. Equities are represented </w:t>
      </w:r>
      <w:r w:rsidR="00804BEA">
        <w:t>first by</w:t>
      </w:r>
      <w:r>
        <w:t xml:space="preserve"> regional and then into value and growth divisions, and then by global sectors, with the only region not being represented by value and growth division was emerging markets this was due to lack of options available.</w:t>
      </w:r>
    </w:p>
    <w:p w14:paraId="382B4E87" w14:textId="77777777" w:rsidR="0015664E" w:rsidRDefault="0015664E" w:rsidP="00D54990">
      <w:pPr>
        <w:pStyle w:val="Heading2"/>
        <w:spacing w:line="480" w:lineRule="auto"/>
      </w:pPr>
      <w:r>
        <w:t>Global Macro Stock Portfolio</w:t>
      </w:r>
    </w:p>
    <w:p w14:paraId="57FE40F1" w14:textId="212C0F85" w:rsidR="0015664E" w:rsidRDefault="0015664E" w:rsidP="00D54990">
      <w:pPr>
        <w:spacing w:line="480" w:lineRule="auto"/>
      </w:pPr>
      <w:r>
        <w:t xml:space="preserve">The stock portfolio used for testing has composition when it comes to bonds and real assets, but instead of using regional and sector ETFs individual stocks are utilized in their place. The stock selection criteria </w:t>
      </w:r>
      <w:proofErr w:type="gramStart"/>
      <w:r>
        <w:t>was</w:t>
      </w:r>
      <w:proofErr w:type="gramEnd"/>
      <w:r>
        <w:t xml:space="preserve"> as follows, the portfolio was split evenly across US and non-US stocks, the </w:t>
      </w:r>
      <w:r>
        <w:lastRenderedPageBreak/>
        <w:t xml:space="preserve">companies selected needed to have IPO dates at least 10 years ago, and the Market Capitalization needed to be greater than 10 billion. </w:t>
      </w:r>
    </w:p>
    <w:p w14:paraId="04326BD1" w14:textId="5E1B4A4C" w:rsidR="00C2030C" w:rsidRPr="00C2030C" w:rsidRDefault="00C2030C" w:rsidP="00040E8C">
      <w:pPr>
        <w:pStyle w:val="Heading1"/>
        <w:spacing w:line="480" w:lineRule="auto"/>
        <w:jc w:val="center"/>
      </w:pPr>
      <w:r>
        <w:t>Data and Descriptive Statistics</w:t>
      </w:r>
      <w:bookmarkEnd w:id="8"/>
    </w:p>
    <w:p w14:paraId="1D5EE36E" w14:textId="77777777" w:rsidR="00C2030C" w:rsidRPr="00C2030C" w:rsidRDefault="00C2030C" w:rsidP="00D54990">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D54990">
      <w:pPr>
        <w:pStyle w:val="Heading2"/>
        <w:spacing w:line="480" w:lineRule="auto"/>
      </w:pPr>
      <w:bookmarkStart w:id="9" w:name="_Toc15050151"/>
      <w:r>
        <w:t>Data Sources</w:t>
      </w:r>
      <w:bookmarkEnd w:id="9"/>
    </w:p>
    <w:p w14:paraId="463B8C2B" w14:textId="77777777" w:rsidR="00C2030C" w:rsidRDefault="00C2030C" w:rsidP="00D54990">
      <w:pPr>
        <w:spacing w:line="480" w:lineRule="auto"/>
      </w:pPr>
      <w:r>
        <w:t xml:space="preserve">The market data comprises daily adjusted closing prices for a selection of exchange-traded funds (ETFs), downloaded using the </w:t>
      </w:r>
      <w:proofErr w:type="spellStart"/>
      <w:r>
        <w:t>yfinance</w:t>
      </w:r>
      <w:proofErr w:type="spellEnd"/>
      <w:r>
        <w:t xml:space="preserve"> Python library. Adjusted prices are used to ensure that dividends, splits, and other corporate actions are reflected in the return series. The sample spans multiple market cycles and includes a diverse set of asset classes to support robust regime modeling.</w:t>
      </w:r>
    </w:p>
    <w:p w14:paraId="757D16F9" w14:textId="77777777" w:rsidR="00C2030C" w:rsidRPr="00C2030C" w:rsidRDefault="00C2030C" w:rsidP="00D54990">
      <w:pPr>
        <w:spacing w:line="480" w:lineRule="auto"/>
      </w:pPr>
      <w:r w:rsidRPr="00D24374">
        <w:rPr>
          <w:highlight w:val="cyan"/>
        </w:rPr>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D54990">
      <w:pPr>
        <w:pStyle w:val="Heading2"/>
        <w:spacing w:line="480" w:lineRule="auto"/>
      </w:pPr>
      <w:bookmarkStart w:id="10" w:name="_Toc888823867"/>
      <w:r>
        <w:t>Feature Engineering</w:t>
      </w:r>
      <w:bookmarkEnd w:id="10"/>
    </w:p>
    <w:p w14:paraId="75C1A6B9" w14:textId="77777777" w:rsidR="00C2030C" w:rsidRPr="00C2030C" w:rsidRDefault="00C2030C" w:rsidP="00D54990">
      <w:pPr>
        <w:spacing w:line="480" w:lineRule="auto"/>
      </w:pPr>
      <w:r w:rsidRPr="00C2030C">
        <w:t>The model uses three engineered features:</w:t>
      </w:r>
    </w:p>
    <w:p w14:paraId="2126040A" w14:textId="77777777" w:rsidR="00C2030C" w:rsidRPr="00C2030C" w:rsidRDefault="00C2030C" w:rsidP="00D54990">
      <w:pPr>
        <w:spacing w:line="480" w:lineRule="auto"/>
      </w:pPr>
      <w:r w:rsidRPr="00C2030C">
        <w:lastRenderedPageBreak/>
        <w:t>Momentum: Calculated as the average of compounded returns over multiple time horizons (typically 3, 6, 9, and 12 months). This feature captures medium-term trend strength and is commonly associated with market persistence or reversals.</w:t>
      </w:r>
    </w:p>
    <w:p w14:paraId="4A75BEC9" w14:textId="465635E9" w:rsidR="00C2030C" w:rsidRPr="00C2030C" w:rsidRDefault="00C2030C" w:rsidP="00D54990">
      <w:pPr>
        <w:spacing w:line="480" w:lineRule="auto"/>
      </w:pPr>
      <w:r w:rsidRPr="00C2030C">
        <w:t xml:space="preserve">Volatility: Measured as the standard deviation of daily returns over a rolling window, typically 21 trading days. This captures recent market risk and </w:t>
      </w:r>
      <w:r w:rsidR="007D1631" w:rsidRPr="00C2030C">
        <w:t>uncertainty and</w:t>
      </w:r>
      <w:r w:rsidRPr="00C2030C">
        <w:t xml:space="preserve"> helps distinguish between stable and turbulent market phases.</w:t>
      </w:r>
    </w:p>
    <w:p w14:paraId="222505FB" w14:textId="77777777" w:rsidR="00C2030C" w:rsidRPr="00C2030C" w:rsidRDefault="00C2030C" w:rsidP="00D54990">
      <w:pPr>
        <w:spacing w:line="480" w:lineRule="auto"/>
      </w:pPr>
      <w:r w:rsidRPr="00C2030C">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B14C6B8" w:rsidR="00C2030C" w:rsidRPr="00C2030C" w:rsidRDefault="00C2030C" w:rsidP="00D54990">
      <w:pPr>
        <w:spacing w:line="480" w:lineRule="auto"/>
      </w:pPr>
      <w:r w:rsidRPr="00C2030C">
        <w:t xml:space="preserve">All features are aligned at a daily frequency, </w:t>
      </w:r>
      <w:r w:rsidR="007D1631" w:rsidRPr="00C2030C">
        <w:t>forward filled</w:t>
      </w:r>
      <w:r w:rsidRPr="00C2030C">
        <w:t xml:space="preserve"> to handle missing values, and cleaned to remove any invalid entries or extreme gaps.</w:t>
      </w:r>
    </w:p>
    <w:p w14:paraId="534E5F38" w14:textId="79011366" w:rsidR="00C2030C" w:rsidRPr="00C2030C" w:rsidRDefault="00C2030C" w:rsidP="00D54990">
      <w:pPr>
        <w:pStyle w:val="Heading2"/>
        <w:spacing w:line="480" w:lineRule="auto"/>
      </w:pPr>
      <w:bookmarkStart w:id="11" w:name="_Toc508496265"/>
      <w:r>
        <w:t>Normalization and Dataset Splitting</w:t>
      </w:r>
      <w:bookmarkEnd w:id="11"/>
    </w:p>
    <w:p w14:paraId="00A7D92A" w14:textId="77777777" w:rsidR="00C2030C" w:rsidRPr="00C2030C" w:rsidRDefault="00C2030C" w:rsidP="00D54990">
      <w:pPr>
        <w:spacing w:line="480" w:lineRule="auto"/>
      </w:pPr>
      <w:r w:rsidRPr="00C2030C">
        <w:t xml:space="preserve">To ensure stable training of the HMM, the momentum and volatility features are normalized using a z-score transformation, which scales each feature to have zero </w:t>
      </w:r>
      <w:proofErr w:type="gramStart"/>
      <w:r w:rsidRPr="00C2030C">
        <w:t>mean</w:t>
      </w:r>
      <w:proofErr w:type="gramEnd"/>
      <w:r w:rsidRPr="00C2030C">
        <w:t xml:space="preserve"> and unit variance. </w:t>
      </w:r>
      <w:r w:rsidRPr="0000577C">
        <w:rPr>
          <w:highlight w:val="cyan"/>
        </w:rPr>
        <w:t>The short-term interest rate is left unscaled so that its real-world magnitude can be interpreted directly in downstream analysis.</w:t>
      </w:r>
    </w:p>
    <w:p w14:paraId="32FFBF77" w14:textId="41E2B0E6" w:rsidR="3A5E3CAA" w:rsidRDefault="00C2030C" w:rsidP="00D54990">
      <w:pPr>
        <w:spacing w:line="480" w:lineRule="auto"/>
      </w:pPr>
      <w:r w:rsidRPr="00C2030C">
        <w:t xml:space="preserve">The final feature matrix is divided into training and testing sets based on a configurable split ratio. </w:t>
      </w:r>
      <w:r w:rsidR="00571EF1">
        <w:t xml:space="preserve">For purposes of this model a range between 50% to 80% splitting was implemented to test the ability of the model to inference future states based on the trained model. </w:t>
      </w:r>
      <w:r w:rsidRPr="00C2030C">
        <w:t xml:space="preserve">This structure </w:t>
      </w:r>
      <w:r w:rsidR="00571EF1">
        <w:t xml:space="preserve">contributes to </w:t>
      </w:r>
      <w:r w:rsidRPr="00C2030C">
        <w:t>ensur</w:t>
      </w:r>
      <w:r w:rsidR="00571EF1">
        <w:t>ing</w:t>
      </w:r>
      <w:r w:rsidRPr="00C2030C">
        <w:t xml:space="preserve"> that the model is not overfitted </w:t>
      </w:r>
      <w:proofErr w:type="gramStart"/>
      <w:r w:rsidRPr="00C2030C">
        <w:t>to</w:t>
      </w:r>
      <w:proofErr w:type="gramEnd"/>
      <w:r w:rsidRPr="00C2030C">
        <w:t xml:space="preserve"> recent trends and can generalize across unseen data.</w:t>
      </w:r>
    </w:p>
    <w:p w14:paraId="217CE483" w14:textId="10F34263" w:rsidR="002937F9" w:rsidRPr="002937F9" w:rsidRDefault="002937F9" w:rsidP="00040E8C">
      <w:pPr>
        <w:pStyle w:val="Heading1"/>
        <w:spacing w:line="480" w:lineRule="auto"/>
        <w:jc w:val="center"/>
      </w:pPr>
      <w:bookmarkStart w:id="12" w:name="_Toc1351696132"/>
      <w:r>
        <w:lastRenderedPageBreak/>
        <w:t>Methodology</w:t>
      </w:r>
      <w:bookmarkEnd w:id="12"/>
    </w:p>
    <w:p w14:paraId="69753ED8" w14:textId="51F8CD4B" w:rsidR="005D577F" w:rsidRPr="002937F9" w:rsidRDefault="002937F9" w:rsidP="00D54990">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61923786" w14:textId="7DB73997" w:rsidR="002937F9" w:rsidRDefault="002937F9" w:rsidP="00D54990">
      <w:pPr>
        <w:pStyle w:val="Heading2"/>
        <w:spacing w:line="480" w:lineRule="auto"/>
      </w:pPr>
      <w:bookmarkStart w:id="13" w:name="_Toc202029292"/>
      <w:r>
        <w:lastRenderedPageBreak/>
        <w:t>Model Architecture</w:t>
      </w:r>
      <w:bookmarkEnd w:id="13"/>
    </w:p>
    <w:p w14:paraId="014C2661" w14:textId="03B05AFC" w:rsidR="002176EE" w:rsidRPr="002176EE" w:rsidRDefault="002176EE" w:rsidP="00D54990">
      <w:pPr>
        <w:pStyle w:val="Heading3"/>
        <w:spacing w:line="480" w:lineRule="auto"/>
      </w:pPr>
      <w:r>
        <w:t>HMM Model</w:t>
      </w:r>
    </w:p>
    <w:p w14:paraId="0EEB6F3A" w14:textId="77777777" w:rsidR="00FE79E1" w:rsidRPr="00FE79E1" w:rsidRDefault="00FE79E1" w:rsidP="00FE79E1">
      <w:pPr>
        <w:pStyle w:val="Heading3"/>
        <w:spacing w:line="480" w:lineRule="auto"/>
      </w:pPr>
      <w:r w:rsidRPr="00FE79E1">
        <w:t>This framework centers on a Gaussian Hidden Markov Model (HMM), which models observed financial features—such as momentum, volatility, and short-term interest rates—as outputs generated by a latent sequence of discrete market regimes. The model assumes that at each time step, the market occupies one of several hidden regimes, each characterized by a distinct multivariate normal distribution over the observed features.</w:t>
      </w:r>
    </w:p>
    <w:p w14:paraId="7916AA35" w14:textId="77777777" w:rsidR="00FE79E1" w:rsidRPr="00FE79E1" w:rsidRDefault="00FE79E1" w:rsidP="00FE79E1">
      <w:pPr>
        <w:pStyle w:val="Heading3"/>
        <w:spacing w:line="480" w:lineRule="auto"/>
      </w:pPr>
      <w:r w:rsidRPr="00FE79E1">
        <w:t>The HMM operates under two core assumptions. First, the current hidden state (or regime) depends only on the previous state, following a first-order Markov process. Second, the observed features at each time step are conditionally independent of past observations and states, given the current state. This structure enables the HMM to capture both temporal dependencies and cross-sectional patterns in the financial data.</w:t>
      </w:r>
    </w:p>
    <w:p w14:paraId="758C9E8C" w14:textId="77777777" w:rsidR="00FE79E1" w:rsidRPr="00FE79E1" w:rsidRDefault="00FE79E1" w:rsidP="00FE79E1">
      <w:pPr>
        <w:pStyle w:val="Heading3"/>
        <w:spacing w:line="480" w:lineRule="auto"/>
      </w:pPr>
      <w:r w:rsidRPr="00FE79E1">
        <w:t>To train the model, it employs the Expectation-Maximization (EM) algorithm, which iteratively estimates the most likely sequence of hidden regimes (via the Forward-Backward algorithm) and optimizes the model parameters—namely, the transition probabilities between regimes and the parameters of the Gaussian emission distributions. Once trained, the model can infer the most probable regime at each time step and forecast future regime probabilities based on observed data.</w:t>
      </w:r>
    </w:p>
    <w:p w14:paraId="2EAB6542" w14:textId="77777777" w:rsidR="00FE79E1" w:rsidRPr="00FE79E1" w:rsidRDefault="00FE79E1" w:rsidP="00FE79E1">
      <w:pPr>
        <w:pStyle w:val="Heading3"/>
        <w:spacing w:line="480" w:lineRule="auto"/>
      </w:pPr>
      <w:r w:rsidRPr="00FE79E1">
        <w:lastRenderedPageBreak/>
        <w:t>By mapping each regime to a distinct statistical profile of the features, the HMM provides a probabilistic framework for identifying market conditions such as high-volatility bear markets, low-volatility bull markets, or transitional periods. This regime identification supports downstream tasks such as asset allocation, risk management, and scenario analysis.</w:t>
      </w:r>
    </w:p>
    <w:p w14:paraId="369F8C3E" w14:textId="2F0A7CAB" w:rsidR="002176EE" w:rsidRDefault="002176EE" w:rsidP="00D54990">
      <w:pPr>
        <w:pStyle w:val="Heading3"/>
        <w:spacing w:line="480" w:lineRule="auto"/>
      </w:pPr>
      <w:r>
        <w:t>Rolling Training Window</w:t>
      </w:r>
    </w:p>
    <w:p w14:paraId="7165EBDC" w14:textId="77777777" w:rsidR="00FE79E1" w:rsidRPr="00FE79E1" w:rsidRDefault="00FE79E1" w:rsidP="00FE79E1">
      <w:pPr>
        <w:spacing w:line="480" w:lineRule="auto"/>
      </w:pPr>
      <w:bookmarkStart w:id="14" w:name="_Toc93369718"/>
      <w:r w:rsidRPr="00FE79E1">
        <w:t>The model uses a rolling training window to continuously adapt to evolving market conditions. After initial testing revealed that financial regimes exhibit structural shifts over time, the team implemented this approach to prevent the model from becoming anchored to outdated patterns. Instead of training the HMM on a fixed historical dataset, the rolling window approach retrains the model on a fixed-length slice of the most recent data at each time step.</w:t>
      </w:r>
    </w:p>
    <w:p w14:paraId="6E1643A4" w14:textId="77777777" w:rsidR="00FE79E1" w:rsidRPr="00FE79E1" w:rsidRDefault="00FE79E1" w:rsidP="00FE79E1">
      <w:pPr>
        <w:spacing w:line="480" w:lineRule="auto"/>
      </w:pPr>
      <w:r w:rsidRPr="00FE79E1">
        <w:t>This process ensures that the model remains responsive to new information and reflects the most current market dynamics. As each new observation becomes available, the window shifts forward, discarding the oldest data point and incorporating the latest one. This mechanism effectively balances model stability with adaptability, enabling the HMM to adjust its regime definitions and transition probabilities in response to emerging trends, shocks, or structural breaks in the data.</w:t>
      </w:r>
    </w:p>
    <w:p w14:paraId="672DD9FF" w14:textId="77777777" w:rsidR="00FE79E1" w:rsidRPr="00FE79E1" w:rsidRDefault="00FE79E1" w:rsidP="00FE79E1">
      <w:pPr>
        <w:spacing w:line="480" w:lineRule="auto"/>
      </w:pPr>
      <w:r w:rsidRPr="00FE79E1">
        <w:t>By constantly refreshing the training data, the rolling window helps the model avoid overfitting to past regimes and enhances its ability to detect and respond to regime shifts in real time. This adaptive capability is critical in financial markets, where macroeconomic environments, monetary policies, and investor behaviors evolve in complex, non-stationary ways.</w:t>
      </w:r>
    </w:p>
    <w:p w14:paraId="7F6CBBF9" w14:textId="2F1ACB2A" w:rsidR="002937F9" w:rsidRPr="002937F9" w:rsidRDefault="002937F9" w:rsidP="00D54990">
      <w:pPr>
        <w:pStyle w:val="Heading2"/>
        <w:spacing w:line="480" w:lineRule="auto"/>
      </w:pPr>
      <w:r>
        <w:lastRenderedPageBreak/>
        <w:t>Model Initialization and Training</w:t>
      </w:r>
      <w:bookmarkEnd w:id="14"/>
    </w:p>
    <w:p w14:paraId="097444AF" w14:textId="7F762050" w:rsidR="002937F9" w:rsidRPr="002937F9" w:rsidRDefault="002937F9" w:rsidP="00D54990">
      <w:pPr>
        <w:spacing w:line="480" w:lineRule="auto"/>
      </w:pPr>
      <w:r w:rsidRPr="002937F9">
        <w:t xml:space="preserve">To initialize the </w:t>
      </w:r>
      <w:r w:rsidR="00E3184D">
        <w:t xml:space="preserve">Gaussian </w:t>
      </w:r>
      <w:r w:rsidRPr="002937F9">
        <w:t xml:space="preserve">HMM, k-means clustering is applied to the training feature matrix. The resulting </w:t>
      </w:r>
      <w:r w:rsidR="00E3184D">
        <w:t xml:space="preserve">cluster </w:t>
      </w:r>
      <w:r w:rsidRPr="002937F9">
        <w:t>centroids are used to seed the mean vectors of the Gaussian emissions, and within-cluster variances provide initial estimates for the covariance matrices. This improves the convergence behavior of the Expectation-Maximization (EM) algorithm used for training</w:t>
      </w:r>
      <w:r w:rsidR="00E3184D">
        <w:t xml:space="preserve"> the Gaussian HMM model</w:t>
      </w:r>
      <w:r w:rsidRPr="002937F9">
        <w:t>.</w:t>
      </w:r>
    </w:p>
    <w:p w14:paraId="4C7B9F8D" w14:textId="77777777" w:rsidR="002937F9" w:rsidRPr="002937F9" w:rsidRDefault="002937F9" w:rsidP="00D54990">
      <w:pPr>
        <w:spacing w:line="480" w:lineRule="auto"/>
      </w:pPr>
      <w:r w:rsidRPr="002937F9">
        <w:t>Model training proceeds using the EM algorithm, which iteratively alternates between:</w:t>
      </w:r>
    </w:p>
    <w:p w14:paraId="3DA4C3FB" w14:textId="77777777" w:rsidR="002937F9" w:rsidRPr="002937F9" w:rsidRDefault="002937F9" w:rsidP="00D54990">
      <w:pPr>
        <w:pStyle w:val="ListParagraph"/>
        <w:numPr>
          <w:ilvl w:val="0"/>
          <w:numId w:val="50"/>
        </w:numPr>
        <w:spacing w:line="480" w:lineRule="auto"/>
      </w:pPr>
      <w:r w:rsidRPr="009E6A0E">
        <w:rPr>
          <w:bCs/>
        </w:rPr>
        <w:t>Expectation Step (E-Step)</w:t>
      </w:r>
      <w:r w:rsidRPr="002937F9">
        <w:t>: Estimating the posterior probabilities of latent regimes given the observed features.</w:t>
      </w:r>
    </w:p>
    <w:p w14:paraId="74FF5344" w14:textId="77777777" w:rsidR="002937F9" w:rsidRPr="002937F9" w:rsidRDefault="002937F9" w:rsidP="00D54990">
      <w:pPr>
        <w:pStyle w:val="ListParagraph"/>
        <w:numPr>
          <w:ilvl w:val="0"/>
          <w:numId w:val="50"/>
        </w:numPr>
        <w:spacing w:line="480" w:lineRule="auto"/>
      </w:pPr>
      <w:r w:rsidRPr="009E6A0E">
        <w:rPr>
          <w:bCs/>
        </w:rPr>
        <w:t>Maximization Step (M-Step)</w:t>
      </w:r>
      <w:r w:rsidRPr="002937F9">
        <w:t>: Updating the model parameters (transition probabilities, means, and covariances) to maximize the expected likelihood.</w:t>
      </w:r>
    </w:p>
    <w:p w14:paraId="022A44CE" w14:textId="77777777" w:rsidR="002937F9" w:rsidRPr="002937F9" w:rsidRDefault="002937F9" w:rsidP="00D54990">
      <w:pPr>
        <w:spacing w:line="480" w:lineRule="auto"/>
      </w:pPr>
      <w:r w:rsidRPr="002937F9">
        <w:t>Training continues until the change in log-likelihood across iterations falls below a predefined threshold, indicating convergence.</w:t>
      </w:r>
    </w:p>
    <w:p w14:paraId="7B8C9D34" w14:textId="77777777" w:rsidR="00FB7478" w:rsidRPr="00FB7478" w:rsidRDefault="00FB7478" w:rsidP="00D54990">
      <w:pPr>
        <w:spacing w:line="480" w:lineRule="auto"/>
      </w:pPr>
      <w:r w:rsidRPr="00501B6C">
        <w:rPr>
          <w:rStyle w:val="Heading2Char"/>
        </w:rPr>
        <w:t>State Inference</w:t>
      </w:r>
      <w:r w:rsidRPr="00FB7478">
        <w:br/>
        <w:t xml:space="preserve">Once the Hidden Markov Model (HMM) is trained, it is used to infer the most probable sequence of latent regimes (or hidden states) that could have produced the observed data. This step is crucial for understanding how the underlying dynamics evolve over time. The inference is typically performed using the </w:t>
      </w:r>
      <w:r w:rsidRPr="00FB7478">
        <w:rPr>
          <w:bCs/>
        </w:rPr>
        <w:t>Viterbi algorithm</w:t>
      </w:r>
      <w:r w:rsidRPr="00FB7478">
        <w:t xml:space="preserve">, a dynamic programming technique that computes the single most likely sequence of hidden states given the observed sequence and the trained model parameters (transition probabilities, emission probabilities, and initial state distribution). The Viterbi algorithm operates efficiently </w:t>
      </w:r>
      <w:proofErr w:type="gramStart"/>
      <w:r w:rsidRPr="00FB7478">
        <w:t>by recursively</w:t>
      </w:r>
      <w:proofErr w:type="gramEnd"/>
      <w:r w:rsidRPr="00FB7478">
        <w:t xml:space="preserve"> maximizing the likelihood of state paths, avoiding the exponential complexity of brute-force enumeration.</w:t>
      </w:r>
    </w:p>
    <w:p w14:paraId="5C77C69B" w14:textId="79EA5D24" w:rsidR="00FB7478" w:rsidRPr="00FB7478" w:rsidRDefault="00FB7478" w:rsidP="00D54990">
      <w:pPr>
        <w:spacing w:line="480" w:lineRule="auto"/>
      </w:pPr>
      <w:r w:rsidRPr="00FB7478">
        <w:lastRenderedPageBreak/>
        <w:t xml:space="preserve">After obtaining this optimal state path, each numerical state index in the sequence is </w:t>
      </w:r>
      <w:r w:rsidRPr="00FB7478">
        <w:rPr>
          <w:bCs/>
        </w:rPr>
        <w:t>mapped back to its corresponding labeled regime</w:t>
      </w:r>
      <w:r w:rsidRPr="00FB7478">
        <w:t xml:space="preserve"> using the state labels learned during training. These labels provide semantic meaning to the inferred stat</w:t>
      </w:r>
      <w:r w:rsidR="005C3CF9">
        <w:t xml:space="preserve">es </w:t>
      </w:r>
      <w:r w:rsidRPr="00FB7478">
        <w:t>for</w:t>
      </w:r>
      <w:r w:rsidR="005C3CF9">
        <w:t xml:space="preserve"> this model state labels are </w:t>
      </w:r>
      <w:r w:rsidRPr="00FB7478">
        <w:t xml:space="preserve">"bullish," "bearish," or "neutral" market regimes. This mapping enables interpretable analysis of the state dynamics over time, making it possible to examine regime durations, transitions, and their alignment with external events or predictive features. </w:t>
      </w:r>
    </w:p>
    <w:p w14:paraId="6694E718" w14:textId="3730F8EE" w:rsidR="00AE6217" w:rsidRDefault="00AE6217" w:rsidP="00D54990">
      <w:pPr>
        <w:pStyle w:val="Heading2"/>
        <w:spacing w:line="480" w:lineRule="auto"/>
      </w:pPr>
      <w:r>
        <w:t>State Forecasting</w:t>
      </w:r>
    </w:p>
    <w:p w14:paraId="6B249F46" w14:textId="46BAF59D" w:rsidR="003172D3" w:rsidRDefault="003172D3" w:rsidP="00D54990">
      <w:pPr>
        <w:spacing w:line="480" w:lineRule="auto"/>
        <w:rPr>
          <w:b/>
        </w:rPr>
      </w:pPr>
      <w:bookmarkStart w:id="15" w:name="_Toc220477276"/>
      <w:r w:rsidRPr="003172D3">
        <w:t xml:space="preserve">This process involves projecting the future state distribution of a Hidden Markov Model (HMM) over a fixed time horizon, specifically </w:t>
      </w:r>
      <w:proofErr w:type="gramStart"/>
      <w:r w:rsidRPr="003172D3">
        <w:t>21</w:t>
      </w:r>
      <w:r w:rsidR="00D621B5">
        <w:t xml:space="preserve"> time</w:t>
      </w:r>
      <w:proofErr w:type="gramEnd"/>
      <w:r w:rsidRPr="003172D3">
        <w:t xml:space="preserve"> steps ahead</w:t>
      </w:r>
      <w:r w:rsidR="00D621B5">
        <w:t xml:space="preserve"> (1 trading month)</w:t>
      </w:r>
      <w:r w:rsidRPr="003172D3">
        <w:t xml:space="preserve">. It begins with the current posterior state probabilities, which represent the likelihood of being in each latent state at the most recent observation. These probabilities are then propagated forward using the model's state transition matrix. By raising the transition matrix to the 21st power, the model simulates the cumulative effect of transitions over that period. The current state probability vector is then multiplied by this powered matrix to produce a forecasted probability distribution across all hidden states. This resulting vector captures the model’s belief about the system’s state composition </w:t>
      </w:r>
      <w:r w:rsidR="00A52457" w:rsidRPr="003172D3">
        <w:t>21</w:t>
      </w:r>
      <w:r w:rsidR="00A52457">
        <w:t>-time</w:t>
      </w:r>
      <w:r w:rsidRPr="003172D3">
        <w:t xml:space="preserve"> steps</w:t>
      </w:r>
      <w:r w:rsidR="00D621B5">
        <w:t xml:space="preserve"> </w:t>
      </w:r>
      <w:r w:rsidRPr="003172D3">
        <w:t>into the future, reflecting the stochastic evolution governed by the learned transition dynamics.</w:t>
      </w:r>
    </w:p>
    <w:p w14:paraId="08805C50" w14:textId="6D081BEF" w:rsidR="002937F9" w:rsidRPr="002937F9" w:rsidRDefault="002937F9" w:rsidP="00D54990">
      <w:pPr>
        <w:pStyle w:val="Heading2"/>
        <w:spacing w:line="480" w:lineRule="auto"/>
      </w:pPr>
      <w:r>
        <w:t>Regime Labeling</w:t>
      </w:r>
      <w:bookmarkEnd w:id="15"/>
    </w:p>
    <w:p w14:paraId="74B425AB" w14:textId="77777777" w:rsidR="00EC3D8A" w:rsidRPr="00EC3D8A" w:rsidRDefault="00EC3D8A" w:rsidP="00D54990">
      <w:pPr>
        <w:spacing w:line="480" w:lineRule="auto"/>
      </w:pPr>
      <w:r w:rsidRPr="00EC3D8A">
        <w:t>After the HMM is trained and the latent state sequence is inferred, a post-processing step assigns interpretable economic labels—</w:t>
      </w:r>
      <w:r w:rsidRPr="00EC3D8A">
        <w:rPr>
          <w:b/>
          <w:bCs/>
        </w:rPr>
        <w:t>Bearish</w:t>
      </w:r>
      <w:r w:rsidRPr="00EC3D8A">
        <w:t xml:space="preserve">, </w:t>
      </w:r>
      <w:r w:rsidRPr="00EC3D8A">
        <w:rPr>
          <w:b/>
          <w:bCs/>
        </w:rPr>
        <w:t>Neutral</w:t>
      </w:r>
      <w:r w:rsidRPr="00EC3D8A">
        <w:t xml:space="preserve">, and </w:t>
      </w:r>
      <w:r w:rsidRPr="00EC3D8A">
        <w:rPr>
          <w:b/>
          <w:bCs/>
        </w:rPr>
        <w:t>Bullish</w:t>
      </w:r>
      <w:r w:rsidRPr="00EC3D8A">
        <w:t>—to the model’s hidden states. This is achieved using the z-score of average momentum returns within each state.</w:t>
      </w:r>
    </w:p>
    <w:p w14:paraId="3E160855" w14:textId="77777777" w:rsidR="00EC3D8A" w:rsidRPr="00EC3D8A" w:rsidRDefault="00EC3D8A" w:rsidP="00D54990">
      <w:pPr>
        <w:spacing w:line="480" w:lineRule="auto"/>
      </w:pPr>
      <w:r w:rsidRPr="00EC3D8A">
        <w:lastRenderedPageBreak/>
        <w:t>For each inferred state, the average momentum value is computed based on the observations assigned to that state. These average returns are standardized using z-scores to enable consistent ranking across states. States are then sorted from lowest to highest standardized return, and labels are assigned accordingly:</w:t>
      </w:r>
    </w:p>
    <w:p w14:paraId="6E4A7E6A" w14:textId="77777777" w:rsidR="00EC3D8A" w:rsidRPr="00EC3D8A" w:rsidRDefault="00EC3D8A" w:rsidP="00D54990">
      <w:pPr>
        <w:spacing w:line="480" w:lineRule="auto"/>
      </w:pPr>
      <w:r w:rsidRPr="00EC3D8A">
        <w:t xml:space="preserve">The state with the lowest z-score is labeled </w:t>
      </w:r>
      <w:r w:rsidRPr="00EC3D8A">
        <w:rPr>
          <w:b/>
          <w:bCs/>
        </w:rPr>
        <w:t>Bearish</w:t>
      </w:r>
    </w:p>
    <w:p w14:paraId="3AE0AB09" w14:textId="77777777" w:rsidR="00EC3D8A" w:rsidRPr="00EC3D8A" w:rsidRDefault="00EC3D8A" w:rsidP="00D54990">
      <w:pPr>
        <w:spacing w:line="480" w:lineRule="auto"/>
      </w:pPr>
      <w:r w:rsidRPr="00EC3D8A">
        <w:t xml:space="preserve">The middle-ranked state is labeled </w:t>
      </w:r>
      <w:r w:rsidRPr="00EC3D8A">
        <w:rPr>
          <w:b/>
          <w:bCs/>
        </w:rPr>
        <w:t>Neutral</w:t>
      </w:r>
    </w:p>
    <w:p w14:paraId="580E3BEE" w14:textId="77777777" w:rsidR="00EC3D8A" w:rsidRPr="00EC3D8A" w:rsidRDefault="00EC3D8A" w:rsidP="00D54990">
      <w:pPr>
        <w:spacing w:line="480" w:lineRule="auto"/>
      </w:pPr>
      <w:r w:rsidRPr="00EC3D8A">
        <w:t xml:space="preserve">The highest is labeled </w:t>
      </w:r>
      <w:r w:rsidRPr="00EC3D8A">
        <w:rPr>
          <w:b/>
          <w:bCs/>
        </w:rPr>
        <w:t>Bullish</w:t>
      </w:r>
    </w:p>
    <w:p w14:paraId="351DF420" w14:textId="77777777" w:rsidR="00EC3D8A" w:rsidRPr="00EC3D8A" w:rsidRDefault="00EC3D8A" w:rsidP="00D54990">
      <w:pPr>
        <w:spacing w:line="480" w:lineRule="auto"/>
      </w:pPr>
      <w:r w:rsidRPr="00EC3D8A">
        <w:t>This process ensures that the latent states correspond to intuitive market conditions based on directional strength.</w:t>
      </w:r>
    </w:p>
    <w:p w14:paraId="592B4138" w14:textId="77777777" w:rsidR="00EC3D8A" w:rsidRPr="00EC3D8A" w:rsidRDefault="00EC3D8A" w:rsidP="00D54990">
      <w:pPr>
        <w:spacing w:line="480" w:lineRule="auto"/>
      </w:pPr>
      <w:r w:rsidRPr="00EC3D8A">
        <w:t>If fewer than three states are present (e.g., due to model constraints or over-clustering), the function gracefully handles the shortfall by assigning multiple labels to the same state or defaulting all labels to the only available state. This guarantees that all three regime categories are always represented, which is essential for downstream applications like forecast aggregation and portfolio construction.</w:t>
      </w:r>
    </w:p>
    <w:p w14:paraId="6B71FA20" w14:textId="77777777" w:rsidR="00EC3D8A" w:rsidRPr="00EC3D8A" w:rsidRDefault="00EC3D8A" w:rsidP="00D54990">
      <w:pPr>
        <w:spacing w:line="480" w:lineRule="auto"/>
      </w:pPr>
      <w:r w:rsidRPr="00EC3D8A">
        <w:t>The result is a robust, rule-based regime labeling system that transforms abstract latent states into interpretable market signals grounded in asset momentum.</w:t>
      </w:r>
    </w:p>
    <w:p w14:paraId="2DF09310" w14:textId="2DD75767" w:rsidR="002937F9" w:rsidRPr="002937F9" w:rsidRDefault="002937F9" w:rsidP="00D54990">
      <w:pPr>
        <w:spacing w:line="480" w:lineRule="auto"/>
      </w:pPr>
      <w:r>
        <w:t>Model Validation and Stability Checks</w:t>
      </w:r>
    </w:p>
    <w:p w14:paraId="575A1CF2" w14:textId="437ACC9D" w:rsidR="00392F74" w:rsidRDefault="002937F9" w:rsidP="00D54990">
      <w:pPr>
        <w:spacing w:line="480" w:lineRule="auto"/>
      </w:pPr>
      <w:r>
        <w:t>To ensure that the HMM is capturing stable and meaningful regimes, we evaluate its transition stability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007A0918" w14:textId="4D9CF90B" w:rsidR="464DE786" w:rsidRDefault="464DE786" w:rsidP="00F7540A">
      <w:pPr>
        <w:pStyle w:val="Heading1"/>
        <w:spacing w:line="480" w:lineRule="auto"/>
        <w:jc w:val="center"/>
      </w:pPr>
      <w:bookmarkStart w:id="16" w:name="_Toc343834519"/>
      <w:r>
        <w:lastRenderedPageBreak/>
        <w:t>Risk Management</w:t>
      </w:r>
      <w:bookmarkEnd w:id="16"/>
    </w:p>
    <w:p w14:paraId="17DBB4C6" w14:textId="7BB6391C" w:rsidR="5F75CD8B" w:rsidRPr="00646171" w:rsidRDefault="3D46D2D9" w:rsidP="00D54990">
      <w:pPr>
        <w:spacing w:line="480" w:lineRule="auto"/>
        <w:rPr>
          <w:highlight w:val="cyan"/>
        </w:rPr>
      </w:pPr>
      <w:r w:rsidRPr="00646171">
        <w:rPr>
          <w:highlight w:val="cyan"/>
        </w:rPr>
        <w:t xml:space="preserve">To begin the risk </w:t>
      </w:r>
      <w:r w:rsidR="3001BF3F" w:rsidRPr="00646171">
        <w:rPr>
          <w:highlight w:val="cyan"/>
        </w:rPr>
        <w:t>management,</w:t>
      </w:r>
      <w:r w:rsidRPr="00646171">
        <w:rPr>
          <w:highlight w:val="cyan"/>
        </w:rPr>
        <w:t xml:space="preserve"> </w:t>
      </w:r>
      <w:proofErr w:type="gramStart"/>
      <w:r w:rsidRPr="00646171">
        <w:rPr>
          <w:highlight w:val="cyan"/>
        </w:rPr>
        <w:t>process</w:t>
      </w:r>
      <w:proofErr w:type="gramEnd"/>
      <w:r w:rsidRPr="00646171">
        <w:rPr>
          <w:highlight w:val="cyan"/>
        </w:rPr>
        <w:t xml:space="preserve"> a threshold is set based on forecasted future bearish </w:t>
      </w:r>
      <w:proofErr w:type="gramStart"/>
      <w:r w:rsidRPr="00646171">
        <w:rPr>
          <w:highlight w:val="cyan"/>
        </w:rPr>
        <w:t>probability</w:t>
      </w:r>
      <w:proofErr w:type="gramEnd"/>
      <w:r w:rsidRPr="00646171">
        <w:rPr>
          <w:highlight w:val="cyan"/>
        </w:rPr>
        <w:t xml:space="preserve"> anything beyond the </w:t>
      </w:r>
      <w:r w:rsidR="495EBBBE" w:rsidRPr="00646171">
        <w:rPr>
          <w:highlight w:val="cyan"/>
        </w:rPr>
        <w:t xml:space="preserve">threshold was removed from the portfolio. </w:t>
      </w:r>
      <w:r w:rsidR="5F75CD8B" w:rsidRPr="00646171">
        <w:rPr>
          <w:highlight w:val="cyan"/>
        </w:rPr>
        <w:t xml:space="preserve">Assets are first constrained by the cluster they are grouped in with the clusters being ranked on </w:t>
      </w:r>
      <w:proofErr w:type="gramStart"/>
      <w:r w:rsidR="5F75CD8B" w:rsidRPr="00646171">
        <w:rPr>
          <w:highlight w:val="cyan"/>
        </w:rPr>
        <w:t>bullish</w:t>
      </w:r>
      <w:proofErr w:type="gramEnd"/>
      <w:r w:rsidR="5F75CD8B" w:rsidRPr="00646171">
        <w:rPr>
          <w:highlight w:val="cyan"/>
        </w:rPr>
        <w:t xml:space="preserve"> discount basis by subtracting bearish probability from bullish probability.</w:t>
      </w:r>
      <w:r w:rsidR="5C3626D8" w:rsidRPr="00646171">
        <w:rPr>
          <w:highlight w:val="cyan"/>
        </w:rPr>
        <w:t xml:space="preserve"> If the difference was less than zero it was replaced with zero. </w:t>
      </w:r>
      <w:r w:rsidR="31E9DD3F" w:rsidRPr="00646171">
        <w:rPr>
          <w:highlight w:val="cyan"/>
        </w:rPr>
        <w:t xml:space="preserve">The same constraint was applied to the assets within the cluster. </w:t>
      </w:r>
      <w:proofErr w:type="gramStart"/>
      <w:r w:rsidR="31E9DD3F" w:rsidRPr="00646171">
        <w:rPr>
          <w:highlight w:val="cyan"/>
        </w:rPr>
        <w:t>These constra</w:t>
      </w:r>
      <w:r w:rsidR="4679FA32" w:rsidRPr="00646171">
        <w:rPr>
          <w:highlight w:val="cyan"/>
        </w:rPr>
        <w:t>int</w:t>
      </w:r>
      <w:proofErr w:type="gramEnd"/>
      <w:r w:rsidR="4679FA32" w:rsidRPr="00646171">
        <w:rPr>
          <w:highlight w:val="cyan"/>
        </w:rPr>
        <w:t xml:space="preserve"> were utilized for cases where both bullish and bearish sentiment were high and neutral was low to </w:t>
      </w:r>
      <w:r w:rsidR="77F9C50B" w:rsidRPr="00646171">
        <w:rPr>
          <w:highlight w:val="cyan"/>
        </w:rPr>
        <w:t>remove error on simply focusing on bullish probability.</w:t>
      </w:r>
      <w:r w:rsidR="77F9C50B">
        <w:t xml:space="preserve"> </w:t>
      </w:r>
    </w:p>
    <w:p w14:paraId="00B5F147" w14:textId="20DF1AB7" w:rsidR="00042F16" w:rsidRDefault="003E2B6C" w:rsidP="00F7540A">
      <w:pPr>
        <w:pStyle w:val="Heading1"/>
        <w:spacing w:line="480" w:lineRule="auto"/>
        <w:jc w:val="center"/>
      </w:pPr>
      <w:bookmarkStart w:id="17" w:name="_Toc428345420"/>
      <w:r>
        <w:t>Results</w:t>
      </w:r>
      <w:bookmarkEnd w:id="17"/>
    </w:p>
    <w:p w14:paraId="0BB139B3" w14:textId="6AB81659" w:rsidR="003E2B6C" w:rsidRDefault="003C73D7" w:rsidP="00F7540A">
      <w:pPr>
        <w:pStyle w:val="Heading1"/>
        <w:spacing w:line="480" w:lineRule="auto"/>
        <w:jc w:val="center"/>
      </w:pPr>
      <w:bookmarkStart w:id="18" w:name="_Toc1658654325"/>
      <w:r>
        <w:t>Discussion</w:t>
      </w:r>
      <w:bookmarkEnd w:id="18"/>
    </w:p>
    <w:p w14:paraId="21D86EEE" w14:textId="74775D61" w:rsidR="288D0E4F" w:rsidRDefault="00C7341A" w:rsidP="00D54990">
      <w:pPr>
        <w:spacing w:line="480" w:lineRule="auto"/>
      </w:pPr>
      <w:r>
        <w:t xml:space="preserve">Holding constant clustering parameters throughout the initial testing phase showed that even with being a hybrid model of utilizing a simple moving average, momentum based on propagated forward state probabilities, and risk contribution weighting that some systemic market risk is not able to be hedged away. </w:t>
      </w:r>
    </w:p>
    <w:p w14:paraId="581FBAF1" w14:textId="30611AFA" w:rsidR="00625CB9" w:rsidRDefault="00625CB9" w:rsidP="00D54990">
      <w:pPr>
        <w:spacing w:line="480" w:lineRule="auto"/>
      </w:pPr>
      <w:r>
        <w:t xml:space="preserve">(Quantify through </w:t>
      </w:r>
      <w:r w:rsidR="00B23550">
        <w:t>asset clusters and selection based on market regime.)</w:t>
      </w:r>
    </w:p>
    <w:p w14:paraId="38E09751" w14:textId="7B4BC441" w:rsidR="00C7341A" w:rsidRDefault="00C7341A" w:rsidP="00D54990">
      <w:pPr>
        <w:spacing w:line="480" w:lineRule="auto"/>
      </w:pPr>
      <w:proofErr w:type="gramStart"/>
      <w:r>
        <w:t>The</w:t>
      </w:r>
      <w:proofErr w:type="gramEnd"/>
      <w:r>
        <w:t xml:space="preserve"> demonstrated the differentiation power that would be expected this was demonstrated </w:t>
      </w:r>
      <w:proofErr w:type="gramStart"/>
      <w:r>
        <w:t>through the use of</w:t>
      </w:r>
      <w:proofErr w:type="gramEnd"/>
      <w:r>
        <w:t xml:space="preserve"> ETFs and individual stocks representing the same breakdown of equities.</w:t>
      </w:r>
    </w:p>
    <w:p w14:paraId="4A98AE38" w14:textId="643F550B" w:rsidR="00C7341A" w:rsidRDefault="00205EE2" w:rsidP="00D54990">
      <w:pPr>
        <w:spacing w:line="480" w:lineRule="auto"/>
      </w:pPr>
      <w:r>
        <w:t xml:space="preserve">The model </w:t>
      </w:r>
      <w:proofErr w:type="gramStart"/>
      <w:r>
        <w:t>is able to</w:t>
      </w:r>
      <w:proofErr w:type="gramEnd"/>
      <w:r>
        <w:t xml:space="preserve"> build a diversified portfolio effectively through clustering based on recency of state sequences.</w:t>
      </w:r>
    </w:p>
    <w:p w14:paraId="2158E9C0" w14:textId="349377EE" w:rsidR="003C73D7" w:rsidRDefault="003C73D7" w:rsidP="0088748F">
      <w:pPr>
        <w:pStyle w:val="Heading1"/>
        <w:spacing w:line="480" w:lineRule="auto"/>
        <w:jc w:val="center"/>
      </w:pPr>
      <w:bookmarkStart w:id="19" w:name="_Toc1308539034"/>
      <w:r>
        <w:lastRenderedPageBreak/>
        <w:t>Conclusion</w:t>
      </w:r>
      <w:bookmarkEnd w:id="19"/>
    </w:p>
    <w:p w14:paraId="0C96D414" w14:textId="362C7516" w:rsidR="003D07DB" w:rsidRDefault="003D07DB" w:rsidP="00D54990">
      <w:pPr>
        <w:spacing w:line="480" w:lineRule="auto"/>
        <w:rPr>
          <w:rFonts w:eastAsiaTheme="majorEastAsia" w:cstheme="majorBidi"/>
          <w:b/>
          <w:color w:val="215E99" w:themeColor="text2" w:themeTint="BF"/>
          <w:sz w:val="40"/>
          <w:szCs w:val="40"/>
        </w:rPr>
      </w:pPr>
    </w:p>
    <w:p w14:paraId="76FF0CB9" w14:textId="77777777" w:rsidR="004336B9" w:rsidRDefault="004336B9" w:rsidP="00D54990">
      <w:pPr>
        <w:spacing w:line="480" w:lineRule="auto"/>
        <w:rPr>
          <w:rFonts w:eastAsiaTheme="majorEastAsia" w:cstheme="majorBidi"/>
          <w:b/>
          <w:bCs/>
          <w:sz w:val="32"/>
          <w:szCs w:val="32"/>
        </w:rPr>
      </w:pPr>
      <w:r>
        <w:br w:type="page"/>
      </w:r>
    </w:p>
    <w:p w14:paraId="13EDBA0A" w14:textId="3358F6C1" w:rsidR="003E6299" w:rsidRPr="003E6299" w:rsidRDefault="003E6299" w:rsidP="00D54990">
      <w:pPr>
        <w:pStyle w:val="Heading1"/>
        <w:spacing w:line="480" w:lineRule="auto"/>
      </w:pPr>
      <w:bookmarkStart w:id="20" w:name="_Toc1284752432"/>
      <w:r>
        <w:lastRenderedPageBreak/>
        <w:t>References</w:t>
      </w:r>
      <w:bookmarkEnd w:id="20"/>
    </w:p>
    <w:p w14:paraId="09BC8D91" w14:textId="77777777" w:rsidR="00F95A4A" w:rsidRPr="00F95A4A" w:rsidRDefault="00F95A4A" w:rsidP="00D54990">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D54990">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D54990">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D54990">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D54990">
      <w:pPr>
        <w:spacing w:line="480" w:lineRule="auto"/>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D54990">
      <w:pPr>
        <w:spacing w:line="480" w:lineRule="auto"/>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D54990">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D54990">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D54990">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D54990">
      <w:pPr>
        <w:spacing w:line="480" w:lineRule="auto"/>
        <w:ind w:left="720" w:hanging="720"/>
      </w:pPr>
      <w:r>
        <w:lastRenderedPageBreak/>
        <w:t xml:space="preserve">Mitra, G., &amp; Mitra, L. (Eds.). (2011). </w:t>
      </w:r>
      <w:r w:rsidRPr="288D0E4F">
        <w:rPr>
          <w:i/>
          <w:iCs/>
        </w:rPr>
        <w:t>Handbook of news analytics in finance</w:t>
      </w:r>
      <w:r>
        <w:t>. Wiley.</w:t>
      </w:r>
    </w:p>
    <w:p w14:paraId="3624BDEA" w14:textId="04672EC0" w:rsidR="288D0E4F" w:rsidRDefault="288D0E4F" w:rsidP="00D54990">
      <w:pPr>
        <w:spacing w:line="480" w:lineRule="auto"/>
      </w:pPr>
      <w:r>
        <w:br w:type="page"/>
      </w:r>
    </w:p>
    <w:p w14:paraId="47187AFB" w14:textId="24A9AAA1" w:rsidR="00AF60B4" w:rsidRDefault="7F030EE2" w:rsidP="00D54990">
      <w:pPr>
        <w:pStyle w:val="Heading1"/>
        <w:spacing w:line="480" w:lineRule="auto"/>
      </w:pPr>
      <w:bookmarkStart w:id="21" w:name="_Toc1665238934"/>
      <w:r>
        <w:lastRenderedPageBreak/>
        <w:t>Appendix A: ETF Indices</w:t>
      </w:r>
      <w:bookmarkEnd w:id="21"/>
    </w:p>
    <w:p w14:paraId="112C06CD" w14:textId="22198CDF" w:rsidR="2C90BB85" w:rsidRDefault="2C90BB85" w:rsidP="00D54990">
      <w:pPr>
        <w:spacing w:line="480" w:lineRule="auto"/>
        <w:rPr>
          <w:b/>
          <w:bCs/>
          <w:sz w:val="32"/>
          <w:szCs w:val="32"/>
        </w:rPr>
      </w:pPr>
      <w:r w:rsidRPr="288D0E4F">
        <w:rPr>
          <w:b/>
          <w:bCs/>
          <w:sz w:val="28"/>
          <w:szCs w:val="28"/>
        </w:rPr>
        <w:t>Equities</w:t>
      </w:r>
      <w:r w:rsidRPr="288D0E4F">
        <w:rPr>
          <w:b/>
          <w:bCs/>
          <w:sz w:val="32"/>
          <w:szCs w:val="32"/>
        </w:rPr>
        <w:t>:</w:t>
      </w:r>
    </w:p>
    <w:p w14:paraId="043C6649" w14:textId="049C3758" w:rsidR="2C90BB85" w:rsidRDefault="2C90BB85" w:rsidP="00D54990">
      <w:pPr>
        <w:spacing w:line="480" w:lineRule="auto"/>
        <w:ind w:left="720"/>
        <w:rPr>
          <w:b/>
          <w:bCs/>
        </w:rPr>
      </w:pPr>
      <w:r w:rsidRPr="288D0E4F">
        <w:rPr>
          <w:b/>
          <w:bCs/>
        </w:rPr>
        <w:t>Global Regions:</w:t>
      </w:r>
    </w:p>
    <w:p w14:paraId="5D4227B1" w14:textId="472A46CA" w:rsidR="2C90BB85" w:rsidRDefault="2C90BB85" w:rsidP="00D54990">
      <w:pPr>
        <w:pStyle w:val="ListParagraph"/>
        <w:numPr>
          <w:ilvl w:val="0"/>
          <w:numId w:val="2"/>
        </w:numPr>
        <w:spacing w:line="480" w:lineRule="auto"/>
      </w:pPr>
      <w:r w:rsidRPr="288D0E4F">
        <w:t>US Growth, S&amp;P 900 Growth Index</w:t>
      </w:r>
    </w:p>
    <w:p w14:paraId="091A2E51" w14:textId="3DECEFDA" w:rsidR="2C90BB85" w:rsidRDefault="2C90BB85" w:rsidP="00D54990">
      <w:pPr>
        <w:pStyle w:val="ListParagraph"/>
        <w:numPr>
          <w:ilvl w:val="0"/>
          <w:numId w:val="2"/>
        </w:numPr>
        <w:spacing w:line="480" w:lineRule="auto"/>
      </w:pPr>
      <w:r w:rsidRPr="288D0E4F">
        <w:t>US Value, S&amp;P 900 Value Index</w:t>
      </w:r>
    </w:p>
    <w:p w14:paraId="0C675CB7" w14:textId="1497043F" w:rsidR="2C90BB85" w:rsidRDefault="2C90BB85" w:rsidP="00D54990">
      <w:pPr>
        <w:pStyle w:val="ListParagraph"/>
        <w:numPr>
          <w:ilvl w:val="0"/>
          <w:numId w:val="2"/>
        </w:numPr>
        <w:spacing w:line="480" w:lineRule="auto"/>
      </w:pPr>
      <w:r w:rsidRPr="288D0E4F">
        <w:t>Developed ex US Growth, MSCI EAFE Growth Index</w:t>
      </w:r>
    </w:p>
    <w:p w14:paraId="2D6820E8" w14:textId="53A8FDA9" w:rsidR="2C90BB85" w:rsidRDefault="2C90BB85" w:rsidP="00D54990">
      <w:pPr>
        <w:pStyle w:val="ListParagraph"/>
        <w:numPr>
          <w:ilvl w:val="0"/>
          <w:numId w:val="2"/>
        </w:numPr>
        <w:spacing w:line="480" w:lineRule="auto"/>
      </w:pPr>
      <w:r w:rsidRPr="288D0E4F">
        <w:t>Developed ex US Value, MSCI EAFE Value Index</w:t>
      </w:r>
    </w:p>
    <w:p w14:paraId="12AC44BC" w14:textId="2D582C16" w:rsidR="2C90BB85" w:rsidRDefault="2C90BB85" w:rsidP="00D54990">
      <w:pPr>
        <w:pStyle w:val="ListParagraph"/>
        <w:numPr>
          <w:ilvl w:val="0"/>
          <w:numId w:val="2"/>
        </w:numPr>
        <w:spacing w:line="480" w:lineRule="auto"/>
      </w:pPr>
      <w:r w:rsidRPr="288D0E4F">
        <w:t xml:space="preserve">Emerging, FTSE Emerging Markets All Cap China </w:t>
      </w:r>
      <w:proofErr w:type="gramStart"/>
      <w:r w:rsidRPr="288D0E4F">
        <w:t>A</w:t>
      </w:r>
      <w:proofErr w:type="gramEnd"/>
      <w:r w:rsidRPr="288D0E4F">
        <w:t xml:space="preserve"> Inclusion Index</w:t>
      </w:r>
    </w:p>
    <w:p w14:paraId="33B64C3F" w14:textId="6465F654" w:rsidR="2C90BB85" w:rsidRDefault="2C90BB85" w:rsidP="00D54990">
      <w:pPr>
        <w:spacing w:line="480" w:lineRule="auto"/>
        <w:ind w:left="720"/>
        <w:rPr>
          <w:b/>
          <w:bCs/>
        </w:rPr>
      </w:pPr>
      <w:r w:rsidRPr="288D0E4F">
        <w:rPr>
          <w:b/>
          <w:bCs/>
        </w:rPr>
        <w:t>Global Sectors:</w:t>
      </w:r>
    </w:p>
    <w:p w14:paraId="5E491E64" w14:textId="218387CE" w:rsidR="2C90BB85" w:rsidRDefault="2C90BB85" w:rsidP="00D54990">
      <w:pPr>
        <w:pStyle w:val="ListParagraph"/>
        <w:numPr>
          <w:ilvl w:val="0"/>
          <w:numId w:val="1"/>
        </w:numPr>
        <w:spacing w:line="480" w:lineRule="auto"/>
      </w:pPr>
      <w:r w:rsidRPr="288D0E4F">
        <w:t>Communication Services, S&amp;P Global 1200 Communication Services Index</w:t>
      </w:r>
    </w:p>
    <w:p w14:paraId="117E7732" w14:textId="096E061E" w:rsidR="2C90BB85" w:rsidRDefault="2C90BB85" w:rsidP="00D54990">
      <w:pPr>
        <w:pStyle w:val="ListParagraph"/>
        <w:numPr>
          <w:ilvl w:val="0"/>
          <w:numId w:val="1"/>
        </w:numPr>
        <w:spacing w:line="480" w:lineRule="auto"/>
      </w:pPr>
      <w:r w:rsidRPr="288D0E4F">
        <w:t>Consumer Discretionary, S&amp;P Global 1200 Consumer Discretionary Index</w:t>
      </w:r>
    </w:p>
    <w:p w14:paraId="03FFD70E" w14:textId="5A7474B2" w:rsidR="2C90BB85" w:rsidRDefault="2C90BB85" w:rsidP="00D54990">
      <w:pPr>
        <w:pStyle w:val="ListParagraph"/>
        <w:numPr>
          <w:ilvl w:val="0"/>
          <w:numId w:val="1"/>
        </w:numPr>
        <w:spacing w:line="480" w:lineRule="auto"/>
      </w:pPr>
      <w:r w:rsidRPr="288D0E4F">
        <w:t>Consumer Staples, S&amp;P Global 1200 Consumer Staples Index</w:t>
      </w:r>
    </w:p>
    <w:p w14:paraId="6EE12B6B" w14:textId="79DA6DFD" w:rsidR="2C90BB85" w:rsidRDefault="2C90BB85" w:rsidP="00D54990">
      <w:pPr>
        <w:pStyle w:val="ListParagraph"/>
        <w:numPr>
          <w:ilvl w:val="0"/>
          <w:numId w:val="1"/>
        </w:numPr>
        <w:spacing w:line="480" w:lineRule="auto"/>
      </w:pPr>
      <w:r w:rsidRPr="288D0E4F">
        <w:t>Energy, S&amp;P Global 1200 Energy Index</w:t>
      </w:r>
    </w:p>
    <w:p w14:paraId="38EFB594" w14:textId="138DE2AE" w:rsidR="2C90BB85" w:rsidRDefault="2C90BB85" w:rsidP="00D54990">
      <w:pPr>
        <w:pStyle w:val="ListParagraph"/>
        <w:numPr>
          <w:ilvl w:val="0"/>
          <w:numId w:val="1"/>
        </w:numPr>
        <w:spacing w:line="480" w:lineRule="auto"/>
      </w:pPr>
      <w:r w:rsidRPr="288D0E4F">
        <w:t>Financials, S&amp;P Global 1200 Financials Index</w:t>
      </w:r>
    </w:p>
    <w:p w14:paraId="479D7C17" w14:textId="032CC5FD" w:rsidR="2C90BB85" w:rsidRDefault="2C90BB85" w:rsidP="00D54990">
      <w:pPr>
        <w:pStyle w:val="ListParagraph"/>
        <w:numPr>
          <w:ilvl w:val="0"/>
          <w:numId w:val="1"/>
        </w:numPr>
        <w:spacing w:line="480" w:lineRule="auto"/>
      </w:pPr>
      <w:r w:rsidRPr="288D0E4F">
        <w:t>Health Care, S&amp;P Global 1200 Health Care Index</w:t>
      </w:r>
    </w:p>
    <w:p w14:paraId="21002C28" w14:textId="2F6BEEC2" w:rsidR="2C90BB85" w:rsidRDefault="2C90BB85" w:rsidP="00D54990">
      <w:pPr>
        <w:pStyle w:val="ListParagraph"/>
        <w:numPr>
          <w:ilvl w:val="0"/>
          <w:numId w:val="1"/>
        </w:numPr>
        <w:spacing w:line="480" w:lineRule="auto"/>
      </w:pPr>
      <w:r w:rsidRPr="288D0E4F">
        <w:t>Industrials, S&amp;P Global 1200 Industrials Index</w:t>
      </w:r>
    </w:p>
    <w:p w14:paraId="4D8DA9E8" w14:textId="08346B21" w:rsidR="2C90BB85" w:rsidRDefault="2C90BB85" w:rsidP="00D54990">
      <w:pPr>
        <w:pStyle w:val="ListParagraph"/>
        <w:numPr>
          <w:ilvl w:val="0"/>
          <w:numId w:val="1"/>
        </w:numPr>
        <w:spacing w:line="480" w:lineRule="auto"/>
      </w:pPr>
      <w:r w:rsidRPr="288D0E4F">
        <w:t>Materials, S&amp;P Global 1200 Materials Index</w:t>
      </w:r>
    </w:p>
    <w:p w14:paraId="30D65D7F" w14:textId="7BAD33CA" w:rsidR="2C90BB85" w:rsidRDefault="2C90BB85" w:rsidP="00D54990">
      <w:pPr>
        <w:pStyle w:val="ListParagraph"/>
        <w:numPr>
          <w:ilvl w:val="0"/>
          <w:numId w:val="1"/>
        </w:numPr>
        <w:spacing w:line="480" w:lineRule="auto"/>
      </w:pPr>
      <w:r w:rsidRPr="288D0E4F">
        <w:t>Information Technology, S&amp;P Global 1200 Information Technology Index</w:t>
      </w:r>
    </w:p>
    <w:p w14:paraId="20451835" w14:textId="45C983CE" w:rsidR="2C90BB85" w:rsidRDefault="2C90BB85" w:rsidP="00D54990">
      <w:pPr>
        <w:pStyle w:val="ListParagraph"/>
        <w:numPr>
          <w:ilvl w:val="0"/>
          <w:numId w:val="1"/>
        </w:numPr>
        <w:spacing w:line="480" w:lineRule="auto"/>
      </w:pPr>
      <w:r w:rsidRPr="288D0E4F">
        <w:t>Utilities, S&amp;P Global 1200 Utilities Index</w:t>
      </w:r>
    </w:p>
    <w:p w14:paraId="51123ED1" w14:textId="568F9A59" w:rsidR="2C90BB85" w:rsidRDefault="2C90BB85" w:rsidP="00D54990">
      <w:pPr>
        <w:spacing w:line="480" w:lineRule="auto"/>
        <w:rPr>
          <w:b/>
          <w:bCs/>
          <w:sz w:val="28"/>
          <w:szCs w:val="28"/>
        </w:rPr>
      </w:pPr>
      <w:r w:rsidRPr="288D0E4F">
        <w:rPr>
          <w:b/>
          <w:bCs/>
          <w:sz w:val="28"/>
          <w:szCs w:val="28"/>
        </w:rPr>
        <w:t>Real Assets:</w:t>
      </w:r>
    </w:p>
    <w:p w14:paraId="073C5C32" w14:textId="6EF9862A" w:rsidR="2C90BB85" w:rsidRDefault="2C90BB85" w:rsidP="00D54990">
      <w:pPr>
        <w:pStyle w:val="ListParagraph"/>
        <w:numPr>
          <w:ilvl w:val="0"/>
          <w:numId w:val="6"/>
        </w:numPr>
        <w:spacing w:line="480" w:lineRule="auto"/>
        <w:rPr>
          <w:rFonts w:eastAsia="Times New Roman" w:cs="Times New Roman"/>
        </w:rPr>
      </w:pPr>
      <w:r>
        <w:lastRenderedPageBreak/>
        <w:t xml:space="preserve">Gold, </w:t>
      </w:r>
      <w:r w:rsidRPr="288D0E4F">
        <w:rPr>
          <w:rFonts w:eastAsia="Times New Roman" w:cs="Times New Roman"/>
        </w:rPr>
        <w:t>LBMA Gold Price PM</w:t>
      </w:r>
    </w:p>
    <w:p w14:paraId="28228D7D" w14:textId="1C61BCA9" w:rsidR="2C90BB85" w:rsidRDefault="2C90BB85" w:rsidP="00D54990">
      <w:pPr>
        <w:pStyle w:val="ListParagraph"/>
        <w:numPr>
          <w:ilvl w:val="0"/>
          <w:numId w:val="6"/>
        </w:numPr>
        <w:spacing w:line="480" w:lineRule="auto"/>
      </w:pPr>
      <w:r w:rsidRPr="288D0E4F">
        <w:rPr>
          <w:rFonts w:eastAsia="Times New Roman" w:cs="Times New Roman"/>
        </w:rPr>
        <w:t xml:space="preserve">Commodities, </w:t>
      </w:r>
      <w:r w:rsidRPr="288D0E4F">
        <w:t>DBIQ Optimum Yield Diversified Commodity Index ER</w:t>
      </w:r>
    </w:p>
    <w:p w14:paraId="2EF1800F" w14:textId="40590C6E" w:rsidR="2C90BB85" w:rsidRDefault="2C90BB85" w:rsidP="00D54990">
      <w:pPr>
        <w:pStyle w:val="ListParagraph"/>
        <w:numPr>
          <w:ilvl w:val="0"/>
          <w:numId w:val="6"/>
        </w:numPr>
        <w:spacing w:line="480" w:lineRule="auto"/>
      </w:pPr>
      <w:r w:rsidRPr="288D0E4F">
        <w:t>US Real Estate, MSCI US Investable Market Real Estate 25/50 Index</w:t>
      </w:r>
    </w:p>
    <w:p w14:paraId="67422338" w14:textId="3902FBAF" w:rsidR="2C90BB85" w:rsidRDefault="2C90BB85" w:rsidP="00D54990">
      <w:pPr>
        <w:pStyle w:val="ListParagraph"/>
        <w:numPr>
          <w:ilvl w:val="0"/>
          <w:numId w:val="6"/>
        </w:numPr>
        <w:spacing w:line="480" w:lineRule="auto"/>
      </w:pPr>
      <w:r w:rsidRPr="288D0E4F">
        <w:t>Ex-US Real Estate, S&amp;P Global ex‑U.S. Property Index</w:t>
      </w:r>
    </w:p>
    <w:p w14:paraId="0AC85BBE" w14:textId="1307F017" w:rsidR="2C90BB85" w:rsidRDefault="2C90BB85" w:rsidP="00D54990">
      <w:pPr>
        <w:spacing w:line="480" w:lineRule="auto"/>
        <w:rPr>
          <w:b/>
          <w:bCs/>
          <w:sz w:val="28"/>
          <w:szCs w:val="28"/>
        </w:rPr>
      </w:pPr>
      <w:r w:rsidRPr="288D0E4F">
        <w:rPr>
          <w:b/>
          <w:bCs/>
          <w:sz w:val="28"/>
          <w:szCs w:val="28"/>
        </w:rPr>
        <w:t>Bonds:</w:t>
      </w:r>
    </w:p>
    <w:p w14:paraId="715A0EAF" w14:textId="41FC1862" w:rsidR="2C90BB85" w:rsidRDefault="2C90BB85" w:rsidP="00D54990">
      <w:pPr>
        <w:spacing w:line="480" w:lineRule="auto"/>
        <w:ind w:left="720"/>
        <w:rPr>
          <w:b/>
          <w:bCs/>
        </w:rPr>
      </w:pPr>
      <w:r w:rsidRPr="288D0E4F">
        <w:rPr>
          <w:b/>
          <w:bCs/>
        </w:rPr>
        <w:t>Cash:</w:t>
      </w:r>
    </w:p>
    <w:p w14:paraId="4667EB23" w14:textId="323ECD9D" w:rsidR="2C90BB85" w:rsidRDefault="2C90BB85" w:rsidP="00D54990">
      <w:pPr>
        <w:pStyle w:val="ListParagraph"/>
        <w:numPr>
          <w:ilvl w:val="0"/>
          <w:numId w:val="5"/>
        </w:numPr>
        <w:spacing w:line="480" w:lineRule="auto"/>
      </w:pPr>
      <w:r w:rsidRPr="288D0E4F">
        <w:t>U.S. Treasury short-term maturity index</w:t>
      </w:r>
    </w:p>
    <w:p w14:paraId="499D1099" w14:textId="2A751019" w:rsidR="2C90BB85" w:rsidRDefault="2C90BB85" w:rsidP="00D54990">
      <w:pPr>
        <w:spacing w:line="480" w:lineRule="auto"/>
        <w:ind w:left="720"/>
        <w:rPr>
          <w:b/>
          <w:bCs/>
        </w:rPr>
      </w:pPr>
      <w:r w:rsidRPr="288D0E4F">
        <w:rPr>
          <w:b/>
          <w:bCs/>
        </w:rPr>
        <w:t>US Treasuries:</w:t>
      </w:r>
    </w:p>
    <w:p w14:paraId="0EC7C615" w14:textId="41800D6A"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1–</w:t>
      </w:r>
      <w:proofErr w:type="gramStart"/>
      <w:r w:rsidRPr="288D0E4F">
        <w:rPr>
          <w:rFonts w:eastAsia="Times New Roman" w:cs="Times New Roman"/>
        </w:rPr>
        <w:t>3 year</w:t>
      </w:r>
      <w:proofErr w:type="gramEnd"/>
      <w:r w:rsidRPr="288D0E4F">
        <w:rPr>
          <w:rFonts w:eastAsia="Times New Roman" w:cs="Times New Roman"/>
        </w:rPr>
        <w:t xml:space="preserve"> maturities</w:t>
      </w:r>
    </w:p>
    <w:p w14:paraId="2E87750B" w14:textId="6BA02840"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3–</w:t>
      </w:r>
      <w:proofErr w:type="gramStart"/>
      <w:r w:rsidRPr="288D0E4F">
        <w:rPr>
          <w:rFonts w:eastAsia="Times New Roman" w:cs="Times New Roman"/>
        </w:rPr>
        <w:t>7 year</w:t>
      </w:r>
      <w:proofErr w:type="gramEnd"/>
      <w:r w:rsidRPr="288D0E4F">
        <w:rPr>
          <w:rFonts w:eastAsia="Times New Roman" w:cs="Times New Roman"/>
        </w:rPr>
        <w:t xml:space="preserve"> maturities</w:t>
      </w:r>
    </w:p>
    <w:p w14:paraId="1B46D06D" w14:textId="0C2E3644"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7–10 Year index</w:t>
      </w:r>
    </w:p>
    <w:p w14:paraId="6E5F7C68" w14:textId="29558E75"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10–20 Year index</w:t>
      </w:r>
    </w:p>
    <w:p w14:paraId="68822979" w14:textId="6A27F82E"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20+ Year index</w:t>
      </w:r>
    </w:p>
    <w:p w14:paraId="29BA0B30" w14:textId="1537E8AB" w:rsidR="2C90BB85" w:rsidRDefault="2C90BB85" w:rsidP="00D54990">
      <w:pPr>
        <w:spacing w:line="480" w:lineRule="auto"/>
        <w:ind w:left="720"/>
        <w:rPr>
          <w:rFonts w:eastAsia="Times New Roman" w:cs="Times New Roman"/>
          <w:b/>
          <w:bCs/>
        </w:rPr>
      </w:pPr>
      <w:r w:rsidRPr="288D0E4F">
        <w:rPr>
          <w:rFonts w:eastAsia="Times New Roman" w:cs="Times New Roman"/>
          <w:b/>
          <w:bCs/>
        </w:rPr>
        <w:t>Global Bonds:</w:t>
      </w:r>
    </w:p>
    <w:p w14:paraId="0CE48094" w14:textId="39D772A8" w:rsidR="2C90BB85" w:rsidRDefault="2C90BB85" w:rsidP="00D54990">
      <w:pPr>
        <w:pStyle w:val="ListParagraph"/>
        <w:numPr>
          <w:ilvl w:val="0"/>
          <w:numId w:val="3"/>
        </w:numPr>
        <w:spacing w:line="480" w:lineRule="auto"/>
        <w:rPr>
          <w:rFonts w:eastAsia="Times New Roman" w:cs="Times New Roman"/>
        </w:rPr>
      </w:pPr>
      <w:r w:rsidRPr="288D0E4F">
        <w:t>Bloomberg U.S. Aggregate Float Adjusted Index</w:t>
      </w:r>
    </w:p>
    <w:p w14:paraId="6AA5B381" w14:textId="4FE558C4" w:rsidR="2C90BB85" w:rsidRDefault="2C90BB85" w:rsidP="00D54990">
      <w:pPr>
        <w:pStyle w:val="ListParagraph"/>
        <w:numPr>
          <w:ilvl w:val="0"/>
          <w:numId w:val="3"/>
        </w:numPr>
        <w:spacing w:line="480" w:lineRule="auto"/>
        <w:rPr>
          <w:rFonts w:eastAsia="Times New Roman" w:cs="Times New Roman"/>
        </w:rPr>
      </w:pPr>
      <w:r w:rsidRPr="288D0E4F">
        <w:t>Bloomberg Global Aggregate ex‑USD Float Adjusted RIC Capped Index</w:t>
      </w:r>
    </w:p>
    <w:p w14:paraId="3638C991" w14:textId="4138B71C" w:rsidR="2C90BB85" w:rsidRDefault="2C90BB85" w:rsidP="00D54990">
      <w:pPr>
        <w:pStyle w:val="ListParagraph"/>
        <w:numPr>
          <w:ilvl w:val="0"/>
          <w:numId w:val="3"/>
        </w:numPr>
        <w:spacing w:line="480" w:lineRule="auto"/>
      </w:pPr>
      <w:r w:rsidRPr="288D0E4F">
        <w:t>J.P. Morgan EMBI Global Core Index</w:t>
      </w:r>
    </w:p>
    <w:p w14:paraId="39E99F8B" w14:textId="0CB105CA" w:rsidR="288D0E4F" w:rsidRDefault="288D0E4F" w:rsidP="288D0E4F">
      <w:pPr>
        <w:spacing w:line="480" w:lineRule="auto"/>
      </w:pPr>
    </w:p>
    <w:sectPr w:rsidR="288D0E4F" w:rsidSect="004E653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DF802" w14:textId="77777777" w:rsidR="00915FF7" w:rsidRDefault="00915FF7" w:rsidP="008D2000">
      <w:pPr>
        <w:spacing w:after="0" w:line="240" w:lineRule="auto"/>
      </w:pPr>
      <w:r>
        <w:separator/>
      </w:r>
    </w:p>
  </w:endnote>
  <w:endnote w:type="continuationSeparator" w:id="0">
    <w:p w14:paraId="5B7D33D4" w14:textId="77777777" w:rsidR="00915FF7" w:rsidRDefault="00915FF7"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AAEF1" w14:textId="77777777" w:rsidR="00915FF7" w:rsidRDefault="00915FF7" w:rsidP="008D2000">
      <w:pPr>
        <w:spacing w:after="0" w:line="240" w:lineRule="auto"/>
      </w:pPr>
      <w:r>
        <w:separator/>
      </w:r>
    </w:p>
  </w:footnote>
  <w:footnote w:type="continuationSeparator" w:id="0">
    <w:p w14:paraId="3492E9CA" w14:textId="77777777" w:rsidR="00915FF7" w:rsidRDefault="00915FF7"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900"/>
    <w:multiLevelType w:val="hybridMultilevel"/>
    <w:tmpl w:val="3C5044CE"/>
    <w:lvl w:ilvl="0" w:tplc="10607AE4">
      <w:start w:val="1"/>
      <w:numFmt w:val="bullet"/>
      <w:lvlText w:val=""/>
      <w:lvlJc w:val="left"/>
      <w:pPr>
        <w:ind w:left="1080" w:hanging="360"/>
      </w:pPr>
      <w:rPr>
        <w:rFonts w:ascii="Symbol" w:hAnsi="Symbol" w:hint="default"/>
      </w:rPr>
    </w:lvl>
    <w:lvl w:ilvl="1" w:tplc="0610F2FC">
      <w:start w:val="1"/>
      <w:numFmt w:val="bullet"/>
      <w:lvlText w:val="o"/>
      <w:lvlJc w:val="left"/>
      <w:pPr>
        <w:ind w:left="1800" w:hanging="360"/>
      </w:pPr>
      <w:rPr>
        <w:rFonts w:ascii="Courier New" w:hAnsi="Courier New" w:hint="default"/>
      </w:rPr>
    </w:lvl>
    <w:lvl w:ilvl="2" w:tplc="568CA640">
      <w:start w:val="1"/>
      <w:numFmt w:val="bullet"/>
      <w:lvlText w:val=""/>
      <w:lvlJc w:val="left"/>
      <w:pPr>
        <w:ind w:left="2520" w:hanging="360"/>
      </w:pPr>
      <w:rPr>
        <w:rFonts w:ascii="Wingdings" w:hAnsi="Wingdings" w:hint="default"/>
      </w:rPr>
    </w:lvl>
    <w:lvl w:ilvl="3" w:tplc="715A243E">
      <w:start w:val="1"/>
      <w:numFmt w:val="bullet"/>
      <w:lvlText w:val=""/>
      <w:lvlJc w:val="left"/>
      <w:pPr>
        <w:ind w:left="3240" w:hanging="360"/>
      </w:pPr>
      <w:rPr>
        <w:rFonts w:ascii="Symbol" w:hAnsi="Symbol" w:hint="default"/>
      </w:rPr>
    </w:lvl>
    <w:lvl w:ilvl="4" w:tplc="CBFE781A">
      <w:start w:val="1"/>
      <w:numFmt w:val="bullet"/>
      <w:lvlText w:val="o"/>
      <w:lvlJc w:val="left"/>
      <w:pPr>
        <w:ind w:left="3960" w:hanging="360"/>
      </w:pPr>
      <w:rPr>
        <w:rFonts w:ascii="Courier New" w:hAnsi="Courier New" w:hint="default"/>
      </w:rPr>
    </w:lvl>
    <w:lvl w:ilvl="5" w:tplc="EF3EA28A">
      <w:start w:val="1"/>
      <w:numFmt w:val="bullet"/>
      <w:lvlText w:val=""/>
      <w:lvlJc w:val="left"/>
      <w:pPr>
        <w:ind w:left="4680" w:hanging="360"/>
      </w:pPr>
      <w:rPr>
        <w:rFonts w:ascii="Wingdings" w:hAnsi="Wingdings" w:hint="default"/>
      </w:rPr>
    </w:lvl>
    <w:lvl w:ilvl="6" w:tplc="151C1342">
      <w:start w:val="1"/>
      <w:numFmt w:val="bullet"/>
      <w:lvlText w:val=""/>
      <w:lvlJc w:val="left"/>
      <w:pPr>
        <w:ind w:left="5400" w:hanging="360"/>
      </w:pPr>
      <w:rPr>
        <w:rFonts w:ascii="Symbol" w:hAnsi="Symbol" w:hint="default"/>
      </w:rPr>
    </w:lvl>
    <w:lvl w:ilvl="7" w:tplc="2CD42B68">
      <w:start w:val="1"/>
      <w:numFmt w:val="bullet"/>
      <w:lvlText w:val="o"/>
      <w:lvlJc w:val="left"/>
      <w:pPr>
        <w:ind w:left="6120" w:hanging="360"/>
      </w:pPr>
      <w:rPr>
        <w:rFonts w:ascii="Courier New" w:hAnsi="Courier New" w:hint="default"/>
      </w:rPr>
    </w:lvl>
    <w:lvl w:ilvl="8" w:tplc="AD10F470">
      <w:start w:val="1"/>
      <w:numFmt w:val="bullet"/>
      <w:lvlText w:val=""/>
      <w:lvlJc w:val="left"/>
      <w:pPr>
        <w:ind w:left="6840" w:hanging="360"/>
      </w:pPr>
      <w:rPr>
        <w:rFonts w:ascii="Wingdings" w:hAnsi="Wingdings" w:hint="default"/>
      </w:rPr>
    </w:lvl>
  </w:abstractNum>
  <w:abstractNum w:abstractNumId="3"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D57EB"/>
    <w:multiLevelType w:val="hybridMultilevel"/>
    <w:tmpl w:val="38F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C9CFE"/>
    <w:multiLevelType w:val="hybridMultilevel"/>
    <w:tmpl w:val="0892165E"/>
    <w:lvl w:ilvl="0" w:tplc="9190BA80">
      <w:start w:val="1"/>
      <w:numFmt w:val="bullet"/>
      <w:lvlText w:val=""/>
      <w:lvlJc w:val="left"/>
      <w:pPr>
        <w:ind w:left="1080" w:hanging="360"/>
      </w:pPr>
      <w:rPr>
        <w:rFonts w:ascii="Symbol" w:hAnsi="Symbol" w:hint="default"/>
      </w:rPr>
    </w:lvl>
    <w:lvl w:ilvl="1" w:tplc="4A7CDB7C">
      <w:start w:val="1"/>
      <w:numFmt w:val="bullet"/>
      <w:lvlText w:val="o"/>
      <w:lvlJc w:val="left"/>
      <w:pPr>
        <w:ind w:left="1800" w:hanging="360"/>
      </w:pPr>
      <w:rPr>
        <w:rFonts w:ascii="Courier New" w:hAnsi="Courier New" w:hint="default"/>
      </w:rPr>
    </w:lvl>
    <w:lvl w:ilvl="2" w:tplc="B4F4995A">
      <w:start w:val="1"/>
      <w:numFmt w:val="bullet"/>
      <w:lvlText w:val=""/>
      <w:lvlJc w:val="left"/>
      <w:pPr>
        <w:ind w:left="2520" w:hanging="360"/>
      </w:pPr>
      <w:rPr>
        <w:rFonts w:ascii="Wingdings" w:hAnsi="Wingdings" w:hint="default"/>
      </w:rPr>
    </w:lvl>
    <w:lvl w:ilvl="3" w:tplc="A82653EA">
      <w:start w:val="1"/>
      <w:numFmt w:val="bullet"/>
      <w:lvlText w:val=""/>
      <w:lvlJc w:val="left"/>
      <w:pPr>
        <w:ind w:left="3240" w:hanging="360"/>
      </w:pPr>
      <w:rPr>
        <w:rFonts w:ascii="Symbol" w:hAnsi="Symbol" w:hint="default"/>
      </w:rPr>
    </w:lvl>
    <w:lvl w:ilvl="4" w:tplc="AA8C4288">
      <w:start w:val="1"/>
      <w:numFmt w:val="bullet"/>
      <w:lvlText w:val="o"/>
      <w:lvlJc w:val="left"/>
      <w:pPr>
        <w:ind w:left="3960" w:hanging="360"/>
      </w:pPr>
      <w:rPr>
        <w:rFonts w:ascii="Courier New" w:hAnsi="Courier New" w:hint="default"/>
      </w:rPr>
    </w:lvl>
    <w:lvl w:ilvl="5" w:tplc="B00A255E">
      <w:start w:val="1"/>
      <w:numFmt w:val="bullet"/>
      <w:lvlText w:val=""/>
      <w:lvlJc w:val="left"/>
      <w:pPr>
        <w:ind w:left="4680" w:hanging="360"/>
      </w:pPr>
      <w:rPr>
        <w:rFonts w:ascii="Wingdings" w:hAnsi="Wingdings" w:hint="default"/>
      </w:rPr>
    </w:lvl>
    <w:lvl w:ilvl="6" w:tplc="CAD28150">
      <w:start w:val="1"/>
      <w:numFmt w:val="bullet"/>
      <w:lvlText w:val=""/>
      <w:lvlJc w:val="left"/>
      <w:pPr>
        <w:ind w:left="5400" w:hanging="360"/>
      </w:pPr>
      <w:rPr>
        <w:rFonts w:ascii="Symbol" w:hAnsi="Symbol" w:hint="default"/>
      </w:rPr>
    </w:lvl>
    <w:lvl w:ilvl="7" w:tplc="7B143E3C">
      <w:start w:val="1"/>
      <w:numFmt w:val="bullet"/>
      <w:lvlText w:val="o"/>
      <w:lvlJc w:val="left"/>
      <w:pPr>
        <w:ind w:left="6120" w:hanging="360"/>
      </w:pPr>
      <w:rPr>
        <w:rFonts w:ascii="Courier New" w:hAnsi="Courier New" w:hint="default"/>
      </w:rPr>
    </w:lvl>
    <w:lvl w:ilvl="8" w:tplc="DDFA3D0C">
      <w:start w:val="1"/>
      <w:numFmt w:val="bullet"/>
      <w:lvlText w:val=""/>
      <w:lvlJc w:val="left"/>
      <w:pPr>
        <w:ind w:left="6840" w:hanging="360"/>
      </w:pPr>
      <w:rPr>
        <w:rFonts w:ascii="Wingdings" w:hAnsi="Wingdings" w:hint="default"/>
      </w:rPr>
    </w:lvl>
  </w:abstractNum>
  <w:abstractNum w:abstractNumId="20"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5012"/>
    <w:multiLevelType w:val="hybridMultilevel"/>
    <w:tmpl w:val="FC9A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CCA0C"/>
    <w:multiLevelType w:val="hybridMultilevel"/>
    <w:tmpl w:val="F98AE616"/>
    <w:lvl w:ilvl="0" w:tplc="6C5CA0A0">
      <w:start w:val="1"/>
      <w:numFmt w:val="bullet"/>
      <w:lvlText w:val=""/>
      <w:lvlJc w:val="left"/>
      <w:pPr>
        <w:ind w:left="1080" w:hanging="360"/>
      </w:pPr>
      <w:rPr>
        <w:rFonts w:ascii="Symbol" w:hAnsi="Symbol" w:hint="default"/>
      </w:rPr>
    </w:lvl>
    <w:lvl w:ilvl="1" w:tplc="C9BE2908">
      <w:start w:val="1"/>
      <w:numFmt w:val="bullet"/>
      <w:lvlText w:val="o"/>
      <w:lvlJc w:val="left"/>
      <w:pPr>
        <w:ind w:left="1800" w:hanging="360"/>
      </w:pPr>
      <w:rPr>
        <w:rFonts w:ascii="Courier New" w:hAnsi="Courier New" w:hint="default"/>
      </w:rPr>
    </w:lvl>
    <w:lvl w:ilvl="2" w:tplc="5F689608">
      <w:start w:val="1"/>
      <w:numFmt w:val="bullet"/>
      <w:lvlText w:val=""/>
      <w:lvlJc w:val="left"/>
      <w:pPr>
        <w:ind w:left="2520" w:hanging="360"/>
      </w:pPr>
      <w:rPr>
        <w:rFonts w:ascii="Wingdings" w:hAnsi="Wingdings" w:hint="default"/>
      </w:rPr>
    </w:lvl>
    <w:lvl w:ilvl="3" w:tplc="4E3E1BC2">
      <w:start w:val="1"/>
      <w:numFmt w:val="bullet"/>
      <w:lvlText w:val=""/>
      <w:lvlJc w:val="left"/>
      <w:pPr>
        <w:ind w:left="3240" w:hanging="360"/>
      </w:pPr>
      <w:rPr>
        <w:rFonts w:ascii="Symbol" w:hAnsi="Symbol" w:hint="default"/>
      </w:rPr>
    </w:lvl>
    <w:lvl w:ilvl="4" w:tplc="47F2A078">
      <w:start w:val="1"/>
      <w:numFmt w:val="bullet"/>
      <w:lvlText w:val="o"/>
      <w:lvlJc w:val="left"/>
      <w:pPr>
        <w:ind w:left="3960" w:hanging="360"/>
      </w:pPr>
      <w:rPr>
        <w:rFonts w:ascii="Courier New" w:hAnsi="Courier New" w:hint="default"/>
      </w:rPr>
    </w:lvl>
    <w:lvl w:ilvl="5" w:tplc="C81A1F74">
      <w:start w:val="1"/>
      <w:numFmt w:val="bullet"/>
      <w:lvlText w:val=""/>
      <w:lvlJc w:val="left"/>
      <w:pPr>
        <w:ind w:left="4680" w:hanging="360"/>
      </w:pPr>
      <w:rPr>
        <w:rFonts w:ascii="Wingdings" w:hAnsi="Wingdings" w:hint="default"/>
      </w:rPr>
    </w:lvl>
    <w:lvl w:ilvl="6" w:tplc="13A85C26">
      <w:start w:val="1"/>
      <w:numFmt w:val="bullet"/>
      <w:lvlText w:val=""/>
      <w:lvlJc w:val="left"/>
      <w:pPr>
        <w:ind w:left="5400" w:hanging="360"/>
      </w:pPr>
      <w:rPr>
        <w:rFonts w:ascii="Symbol" w:hAnsi="Symbol" w:hint="default"/>
      </w:rPr>
    </w:lvl>
    <w:lvl w:ilvl="7" w:tplc="9A82F9F6">
      <w:start w:val="1"/>
      <w:numFmt w:val="bullet"/>
      <w:lvlText w:val="o"/>
      <w:lvlJc w:val="left"/>
      <w:pPr>
        <w:ind w:left="6120" w:hanging="360"/>
      </w:pPr>
      <w:rPr>
        <w:rFonts w:ascii="Courier New" w:hAnsi="Courier New" w:hint="default"/>
      </w:rPr>
    </w:lvl>
    <w:lvl w:ilvl="8" w:tplc="0C5EAEAA">
      <w:start w:val="1"/>
      <w:numFmt w:val="bullet"/>
      <w:lvlText w:val=""/>
      <w:lvlJc w:val="left"/>
      <w:pPr>
        <w:ind w:left="6840" w:hanging="360"/>
      </w:pPr>
      <w:rPr>
        <w:rFonts w:ascii="Wingdings" w:hAnsi="Wingdings" w:hint="default"/>
      </w:rPr>
    </w:lvl>
  </w:abstractNum>
  <w:abstractNum w:abstractNumId="35"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0180F"/>
    <w:multiLevelType w:val="hybridMultilevel"/>
    <w:tmpl w:val="2CC26462"/>
    <w:lvl w:ilvl="0" w:tplc="6E5ADAC6">
      <w:start w:val="1"/>
      <w:numFmt w:val="bullet"/>
      <w:lvlText w:val=""/>
      <w:lvlJc w:val="left"/>
      <w:pPr>
        <w:ind w:left="1080" w:hanging="360"/>
      </w:pPr>
      <w:rPr>
        <w:rFonts w:ascii="Symbol" w:hAnsi="Symbol" w:hint="default"/>
      </w:rPr>
    </w:lvl>
    <w:lvl w:ilvl="1" w:tplc="7DFC8BDE">
      <w:start w:val="1"/>
      <w:numFmt w:val="bullet"/>
      <w:lvlText w:val="o"/>
      <w:lvlJc w:val="left"/>
      <w:pPr>
        <w:ind w:left="1800" w:hanging="360"/>
      </w:pPr>
      <w:rPr>
        <w:rFonts w:ascii="Courier New" w:hAnsi="Courier New" w:hint="default"/>
      </w:rPr>
    </w:lvl>
    <w:lvl w:ilvl="2" w:tplc="3BEE8AD8">
      <w:start w:val="1"/>
      <w:numFmt w:val="bullet"/>
      <w:lvlText w:val=""/>
      <w:lvlJc w:val="left"/>
      <w:pPr>
        <w:ind w:left="2520" w:hanging="360"/>
      </w:pPr>
      <w:rPr>
        <w:rFonts w:ascii="Wingdings" w:hAnsi="Wingdings" w:hint="default"/>
      </w:rPr>
    </w:lvl>
    <w:lvl w:ilvl="3" w:tplc="03205532">
      <w:start w:val="1"/>
      <w:numFmt w:val="bullet"/>
      <w:lvlText w:val=""/>
      <w:lvlJc w:val="left"/>
      <w:pPr>
        <w:ind w:left="3240" w:hanging="360"/>
      </w:pPr>
      <w:rPr>
        <w:rFonts w:ascii="Symbol" w:hAnsi="Symbol" w:hint="default"/>
      </w:rPr>
    </w:lvl>
    <w:lvl w:ilvl="4" w:tplc="C340E772">
      <w:start w:val="1"/>
      <w:numFmt w:val="bullet"/>
      <w:lvlText w:val="o"/>
      <w:lvlJc w:val="left"/>
      <w:pPr>
        <w:ind w:left="3960" w:hanging="360"/>
      </w:pPr>
      <w:rPr>
        <w:rFonts w:ascii="Courier New" w:hAnsi="Courier New" w:hint="default"/>
      </w:rPr>
    </w:lvl>
    <w:lvl w:ilvl="5" w:tplc="88362804">
      <w:start w:val="1"/>
      <w:numFmt w:val="bullet"/>
      <w:lvlText w:val=""/>
      <w:lvlJc w:val="left"/>
      <w:pPr>
        <w:ind w:left="4680" w:hanging="360"/>
      </w:pPr>
      <w:rPr>
        <w:rFonts w:ascii="Wingdings" w:hAnsi="Wingdings" w:hint="default"/>
      </w:rPr>
    </w:lvl>
    <w:lvl w:ilvl="6" w:tplc="8C0041C8">
      <w:start w:val="1"/>
      <w:numFmt w:val="bullet"/>
      <w:lvlText w:val=""/>
      <w:lvlJc w:val="left"/>
      <w:pPr>
        <w:ind w:left="5400" w:hanging="360"/>
      </w:pPr>
      <w:rPr>
        <w:rFonts w:ascii="Symbol" w:hAnsi="Symbol" w:hint="default"/>
      </w:rPr>
    </w:lvl>
    <w:lvl w:ilvl="7" w:tplc="1CFAEEE2">
      <w:start w:val="1"/>
      <w:numFmt w:val="bullet"/>
      <w:lvlText w:val="o"/>
      <w:lvlJc w:val="left"/>
      <w:pPr>
        <w:ind w:left="6120" w:hanging="360"/>
      </w:pPr>
      <w:rPr>
        <w:rFonts w:ascii="Courier New" w:hAnsi="Courier New" w:hint="default"/>
      </w:rPr>
    </w:lvl>
    <w:lvl w:ilvl="8" w:tplc="00D8A1B2">
      <w:start w:val="1"/>
      <w:numFmt w:val="bullet"/>
      <w:lvlText w:val=""/>
      <w:lvlJc w:val="left"/>
      <w:pPr>
        <w:ind w:left="6840" w:hanging="360"/>
      </w:pPr>
      <w:rPr>
        <w:rFonts w:ascii="Wingdings" w:hAnsi="Wingdings" w:hint="default"/>
      </w:rPr>
    </w:lvl>
  </w:abstractNum>
  <w:abstractNum w:abstractNumId="38"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E9406"/>
    <w:multiLevelType w:val="hybridMultilevel"/>
    <w:tmpl w:val="EBCEF092"/>
    <w:lvl w:ilvl="0" w:tplc="AF34FB10">
      <w:start w:val="1"/>
      <w:numFmt w:val="bullet"/>
      <w:lvlText w:val=""/>
      <w:lvlJc w:val="left"/>
      <w:pPr>
        <w:ind w:left="1080" w:hanging="360"/>
      </w:pPr>
      <w:rPr>
        <w:rFonts w:ascii="Symbol" w:hAnsi="Symbol" w:hint="default"/>
      </w:rPr>
    </w:lvl>
    <w:lvl w:ilvl="1" w:tplc="1A766B76">
      <w:start w:val="1"/>
      <w:numFmt w:val="bullet"/>
      <w:lvlText w:val="o"/>
      <w:lvlJc w:val="left"/>
      <w:pPr>
        <w:ind w:left="1800" w:hanging="360"/>
      </w:pPr>
      <w:rPr>
        <w:rFonts w:ascii="Courier New" w:hAnsi="Courier New" w:hint="default"/>
      </w:rPr>
    </w:lvl>
    <w:lvl w:ilvl="2" w:tplc="1F80BC2A">
      <w:start w:val="1"/>
      <w:numFmt w:val="bullet"/>
      <w:lvlText w:val=""/>
      <w:lvlJc w:val="left"/>
      <w:pPr>
        <w:ind w:left="2520" w:hanging="360"/>
      </w:pPr>
      <w:rPr>
        <w:rFonts w:ascii="Wingdings" w:hAnsi="Wingdings" w:hint="default"/>
      </w:rPr>
    </w:lvl>
    <w:lvl w:ilvl="3" w:tplc="1B284078">
      <w:start w:val="1"/>
      <w:numFmt w:val="bullet"/>
      <w:lvlText w:val=""/>
      <w:lvlJc w:val="left"/>
      <w:pPr>
        <w:ind w:left="3240" w:hanging="360"/>
      </w:pPr>
      <w:rPr>
        <w:rFonts w:ascii="Symbol" w:hAnsi="Symbol" w:hint="default"/>
      </w:rPr>
    </w:lvl>
    <w:lvl w:ilvl="4" w:tplc="CA84E94E">
      <w:start w:val="1"/>
      <w:numFmt w:val="bullet"/>
      <w:lvlText w:val="o"/>
      <w:lvlJc w:val="left"/>
      <w:pPr>
        <w:ind w:left="3960" w:hanging="360"/>
      </w:pPr>
      <w:rPr>
        <w:rFonts w:ascii="Courier New" w:hAnsi="Courier New" w:hint="default"/>
      </w:rPr>
    </w:lvl>
    <w:lvl w:ilvl="5" w:tplc="16423AEE">
      <w:start w:val="1"/>
      <w:numFmt w:val="bullet"/>
      <w:lvlText w:val=""/>
      <w:lvlJc w:val="left"/>
      <w:pPr>
        <w:ind w:left="4680" w:hanging="360"/>
      </w:pPr>
      <w:rPr>
        <w:rFonts w:ascii="Wingdings" w:hAnsi="Wingdings" w:hint="default"/>
      </w:rPr>
    </w:lvl>
    <w:lvl w:ilvl="6" w:tplc="1864F1D8">
      <w:start w:val="1"/>
      <w:numFmt w:val="bullet"/>
      <w:lvlText w:val=""/>
      <w:lvlJc w:val="left"/>
      <w:pPr>
        <w:ind w:left="5400" w:hanging="360"/>
      </w:pPr>
      <w:rPr>
        <w:rFonts w:ascii="Symbol" w:hAnsi="Symbol" w:hint="default"/>
      </w:rPr>
    </w:lvl>
    <w:lvl w:ilvl="7" w:tplc="ABC8B044">
      <w:start w:val="1"/>
      <w:numFmt w:val="bullet"/>
      <w:lvlText w:val="o"/>
      <w:lvlJc w:val="left"/>
      <w:pPr>
        <w:ind w:left="6120" w:hanging="360"/>
      </w:pPr>
      <w:rPr>
        <w:rFonts w:ascii="Courier New" w:hAnsi="Courier New" w:hint="default"/>
      </w:rPr>
    </w:lvl>
    <w:lvl w:ilvl="8" w:tplc="B1FEDF0E">
      <w:start w:val="1"/>
      <w:numFmt w:val="bullet"/>
      <w:lvlText w:val=""/>
      <w:lvlJc w:val="left"/>
      <w:pPr>
        <w:ind w:left="6840" w:hanging="360"/>
      </w:pPr>
      <w:rPr>
        <w:rFonts w:ascii="Wingdings" w:hAnsi="Wingdings" w:hint="default"/>
      </w:rPr>
    </w:lvl>
  </w:abstractNum>
  <w:abstractNum w:abstractNumId="48"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FC8C2"/>
    <w:multiLevelType w:val="hybridMultilevel"/>
    <w:tmpl w:val="276479C6"/>
    <w:lvl w:ilvl="0" w:tplc="278C96B0">
      <w:start w:val="1"/>
      <w:numFmt w:val="bullet"/>
      <w:lvlText w:val=""/>
      <w:lvlJc w:val="left"/>
      <w:pPr>
        <w:ind w:left="1080" w:hanging="360"/>
      </w:pPr>
      <w:rPr>
        <w:rFonts w:ascii="Symbol" w:hAnsi="Symbol" w:hint="default"/>
      </w:rPr>
    </w:lvl>
    <w:lvl w:ilvl="1" w:tplc="6EDEB4DA">
      <w:start w:val="1"/>
      <w:numFmt w:val="bullet"/>
      <w:lvlText w:val="o"/>
      <w:lvlJc w:val="left"/>
      <w:pPr>
        <w:ind w:left="1800" w:hanging="360"/>
      </w:pPr>
      <w:rPr>
        <w:rFonts w:ascii="Courier New" w:hAnsi="Courier New" w:hint="default"/>
      </w:rPr>
    </w:lvl>
    <w:lvl w:ilvl="2" w:tplc="B16869CA">
      <w:start w:val="1"/>
      <w:numFmt w:val="bullet"/>
      <w:lvlText w:val=""/>
      <w:lvlJc w:val="left"/>
      <w:pPr>
        <w:ind w:left="2520" w:hanging="360"/>
      </w:pPr>
      <w:rPr>
        <w:rFonts w:ascii="Wingdings" w:hAnsi="Wingdings" w:hint="default"/>
      </w:rPr>
    </w:lvl>
    <w:lvl w:ilvl="3" w:tplc="EADCAF26">
      <w:start w:val="1"/>
      <w:numFmt w:val="bullet"/>
      <w:lvlText w:val=""/>
      <w:lvlJc w:val="left"/>
      <w:pPr>
        <w:ind w:left="3240" w:hanging="360"/>
      </w:pPr>
      <w:rPr>
        <w:rFonts w:ascii="Symbol" w:hAnsi="Symbol" w:hint="default"/>
      </w:rPr>
    </w:lvl>
    <w:lvl w:ilvl="4" w:tplc="F0186E80">
      <w:start w:val="1"/>
      <w:numFmt w:val="bullet"/>
      <w:lvlText w:val="o"/>
      <w:lvlJc w:val="left"/>
      <w:pPr>
        <w:ind w:left="3960" w:hanging="360"/>
      </w:pPr>
      <w:rPr>
        <w:rFonts w:ascii="Courier New" w:hAnsi="Courier New" w:hint="default"/>
      </w:rPr>
    </w:lvl>
    <w:lvl w:ilvl="5" w:tplc="B46AD224">
      <w:start w:val="1"/>
      <w:numFmt w:val="bullet"/>
      <w:lvlText w:val=""/>
      <w:lvlJc w:val="left"/>
      <w:pPr>
        <w:ind w:left="4680" w:hanging="360"/>
      </w:pPr>
      <w:rPr>
        <w:rFonts w:ascii="Wingdings" w:hAnsi="Wingdings" w:hint="default"/>
      </w:rPr>
    </w:lvl>
    <w:lvl w:ilvl="6" w:tplc="3D24EF50">
      <w:start w:val="1"/>
      <w:numFmt w:val="bullet"/>
      <w:lvlText w:val=""/>
      <w:lvlJc w:val="left"/>
      <w:pPr>
        <w:ind w:left="5400" w:hanging="360"/>
      </w:pPr>
      <w:rPr>
        <w:rFonts w:ascii="Symbol" w:hAnsi="Symbol" w:hint="default"/>
      </w:rPr>
    </w:lvl>
    <w:lvl w:ilvl="7" w:tplc="98C8B120">
      <w:start w:val="1"/>
      <w:numFmt w:val="bullet"/>
      <w:lvlText w:val="o"/>
      <w:lvlJc w:val="left"/>
      <w:pPr>
        <w:ind w:left="6120" w:hanging="360"/>
      </w:pPr>
      <w:rPr>
        <w:rFonts w:ascii="Courier New" w:hAnsi="Courier New" w:hint="default"/>
      </w:rPr>
    </w:lvl>
    <w:lvl w:ilvl="8" w:tplc="A9B6463A">
      <w:start w:val="1"/>
      <w:numFmt w:val="bullet"/>
      <w:lvlText w:val=""/>
      <w:lvlJc w:val="left"/>
      <w:pPr>
        <w:ind w:left="6840" w:hanging="360"/>
      </w:pPr>
      <w:rPr>
        <w:rFonts w:ascii="Wingdings" w:hAnsi="Wingdings" w:hint="default"/>
      </w:rPr>
    </w:lvl>
  </w:abstractNum>
  <w:abstractNum w:abstractNumId="50"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18541">
    <w:abstractNumId w:val="19"/>
  </w:num>
  <w:num w:numId="2" w16cid:durableId="906501924">
    <w:abstractNumId w:val="47"/>
  </w:num>
  <w:num w:numId="3" w16cid:durableId="69350765">
    <w:abstractNumId w:val="2"/>
  </w:num>
  <w:num w:numId="4" w16cid:durableId="1942566554">
    <w:abstractNumId w:val="37"/>
  </w:num>
  <w:num w:numId="5" w16cid:durableId="424152753">
    <w:abstractNumId w:val="49"/>
  </w:num>
  <w:num w:numId="6" w16cid:durableId="1925915032">
    <w:abstractNumId w:val="34"/>
  </w:num>
  <w:num w:numId="7" w16cid:durableId="1180848656">
    <w:abstractNumId w:val="42"/>
  </w:num>
  <w:num w:numId="8" w16cid:durableId="79566433">
    <w:abstractNumId w:val="38"/>
  </w:num>
  <w:num w:numId="9" w16cid:durableId="1958288636">
    <w:abstractNumId w:val="21"/>
  </w:num>
  <w:num w:numId="10" w16cid:durableId="1113744250">
    <w:abstractNumId w:val="20"/>
  </w:num>
  <w:num w:numId="11" w16cid:durableId="765999799">
    <w:abstractNumId w:val="45"/>
  </w:num>
  <w:num w:numId="12" w16cid:durableId="999456493">
    <w:abstractNumId w:val="18"/>
  </w:num>
  <w:num w:numId="13" w16cid:durableId="309602344">
    <w:abstractNumId w:val="12"/>
  </w:num>
  <w:num w:numId="14" w16cid:durableId="594023668">
    <w:abstractNumId w:val="15"/>
  </w:num>
  <w:num w:numId="15" w16cid:durableId="887911085">
    <w:abstractNumId w:val="7"/>
  </w:num>
  <w:num w:numId="16" w16cid:durableId="682785396">
    <w:abstractNumId w:val="13"/>
  </w:num>
  <w:num w:numId="17" w16cid:durableId="254214313">
    <w:abstractNumId w:val="8"/>
  </w:num>
  <w:num w:numId="18" w16cid:durableId="554853386">
    <w:abstractNumId w:val="41"/>
  </w:num>
  <w:num w:numId="19" w16cid:durableId="588927524">
    <w:abstractNumId w:val="14"/>
  </w:num>
  <w:num w:numId="20" w16cid:durableId="1547915069">
    <w:abstractNumId w:val="0"/>
  </w:num>
  <w:num w:numId="21" w16cid:durableId="537745683">
    <w:abstractNumId w:val="9"/>
  </w:num>
  <w:num w:numId="22" w16cid:durableId="1662350580">
    <w:abstractNumId w:val="43"/>
  </w:num>
  <w:num w:numId="23" w16cid:durableId="1648978132">
    <w:abstractNumId w:val="5"/>
  </w:num>
  <w:num w:numId="24" w16cid:durableId="835340334">
    <w:abstractNumId w:val="30"/>
  </w:num>
  <w:num w:numId="25" w16cid:durableId="188614475">
    <w:abstractNumId w:val="26"/>
  </w:num>
  <w:num w:numId="26" w16cid:durableId="495145283">
    <w:abstractNumId w:val="39"/>
  </w:num>
  <w:num w:numId="27" w16cid:durableId="967055747">
    <w:abstractNumId w:val="23"/>
  </w:num>
  <w:num w:numId="28" w16cid:durableId="748893687">
    <w:abstractNumId w:val="36"/>
  </w:num>
  <w:num w:numId="29" w16cid:durableId="1568689046">
    <w:abstractNumId w:val="3"/>
  </w:num>
  <w:num w:numId="30" w16cid:durableId="1381442738">
    <w:abstractNumId w:val="6"/>
  </w:num>
  <w:num w:numId="31" w16cid:durableId="1188446053">
    <w:abstractNumId w:val="1"/>
  </w:num>
  <w:num w:numId="32" w16cid:durableId="2128422258">
    <w:abstractNumId w:val="17"/>
  </w:num>
  <w:num w:numId="33" w16cid:durableId="1175148059">
    <w:abstractNumId w:val="22"/>
  </w:num>
  <w:num w:numId="34" w16cid:durableId="152574388">
    <w:abstractNumId w:val="10"/>
  </w:num>
  <w:num w:numId="35" w16cid:durableId="75978717">
    <w:abstractNumId w:val="25"/>
  </w:num>
  <w:num w:numId="36" w16cid:durableId="1694114737">
    <w:abstractNumId w:val="40"/>
  </w:num>
  <w:num w:numId="37" w16cid:durableId="1674988876">
    <w:abstractNumId w:val="50"/>
  </w:num>
  <w:num w:numId="38" w16cid:durableId="244804303">
    <w:abstractNumId w:val="16"/>
  </w:num>
  <w:num w:numId="39" w16cid:durableId="638997936">
    <w:abstractNumId w:val="33"/>
  </w:num>
  <w:num w:numId="40" w16cid:durableId="1731920467">
    <w:abstractNumId w:val="44"/>
  </w:num>
  <w:num w:numId="41" w16cid:durableId="1541360860">
    <w:abstractNumId w:val="32"/>
  </w:num>
  <w:num w:numId="42" w16cid:durableId="1137452435">
    <w:abstractNumId w:val="31"/>
  </w:num>
  <w:num w:numId="43" w16cid:durableId="96147654">
    <w:abstractNumId w:val="35"/>
  </w:num>
  <w:num w:numId="44" w16cid:durableId="1849444622">
    <w:abstractNumId w:val="24"/>
  </w:num>
  <w:num w:numId="45" w16cid:durableId="740492992">
    <w:abstractNumId w:val="27"/>
  </w:num>
  <w:num w:numId="46" w16cid:durableId="290672177">
    <w:abstractNumId w:val="46"/>
  </w:num>
  <w:num w:numId="47" w16cid:durableId="1124008367">
    <w:abstractNumId w:val="4"/>
  </w:num>
  <w:num w:numId="48" w16cid:durableId="1661932939">
    <w:abstractNumId w:val="28"/>
  </w:num>
  <w:num w:numId="49" w16cid:durableId="1202791050">
    <w:abstractNumId w:val="48"/>
  </w:num>
  <w:num w:numId="50" w16cid:durableId="339967044">
    <w:abstractNumId w:val="11"/>
  </w:num>
  <w:num w:numId="51" w16cid:durableId="20465609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0577C"/>
    <w:rsid w:val="00040E8C"/>
    <w:rsid w:val="00042F16"/>
    <w:rsid w:val="00074247"/>
    <w:rsid w:val="000847EE"/>
    <w:rsid w:val="00085864"/>
    <w:rsid w:val="000B6E12"/>
    <w:rsid w:val="000C2D23"/>
    <w:rsid w:val="000D1EFC"/>
    <w:rsid w:val="000F1742"/>
    <w:rsid w:val="00100189"/>
    <w:rsid w:val="00117181"/>
    <w:rsid w:val="00131500"/>
    <w:rsid w:val="00146C02"/>
    <w:rsid w:val="00152F51"/>
    <w:rsid w:val="0015664E"/>
    <w:rsid w:val="0017038D"/>
    <w:rsid w:val="0018081E"/>
    <w:rsid w:val="00183E2F"/>
    <w:rsid w:val="001E545E"/>
    <w:rsid w:val="00205C1F"/>
    <w:rsid w:val="00205EE2"/>
    <w:rsid w:val="002176EE"/>
    <w:rsid w:val="00250930"/>
    <w:rsid w:val="002937F9"/>
    <w:rsid w:val="002E20F4"/>
    <w:rsid w:val="00300D50"/>
    <w:rsid w:val="00311B0C"/>
    <w:rsid w:val="003172D3"/>
    <w:rsid w:val="00321FC6"/>
    <w:rsid w:val="00343614"/>
    <w:rsid w:val="0035345E"/>
    <w:rsid w:val="00362836"/>
    <w:rsid w:val="003912C2"/>
    <w:rsid w:val="00392A48"/>
    <w:rsid w:val="00392F74"/>
    <w:rsid w:val="003C73D7"/>
    <w:rsid w:val="003D07DB"/>
    <w:rsid w:val="003D60A6"/>
    <w:rsid w:val="003E2B6C"/>
    <w:rsid w:val="003E3A6B"/>
    <w:rsid w:val="003E4853"/>
    <w:rsid w:val="003E6299"/>
    <w:rsid w:val="00414CF6"/>
    <w:rsid w:val="004172C9"/>
    <w:rsid w:val="004336B9"/>
    <w:rsid w:val="004C40D5"/>
    <w:rsid w:val="004E6530"/>
    <w:rsid w:val="00501B6C"/>
    <w:rsid w:val="00504F66"/>
    <w:rsid w:val="00505C99"/>
    <w:rsid w:val="0056236D"/>
    <w:rsid w:val="00564941"/>
    <w:rsid w:val="00571EF1"/>
    <w:rsid w:val="00577041"/>
    <w:rsid w:val="005B24B8"/>
    <w:rsid w:val="005C1ED2"/>
    <w:rsid w:val="005C3CF9"/>
    <w:rsid w:val="005D1A99"/>
    <w:rsid w:val="005D3A73"/>
    <w:rsid w:val="005D577F"/>
    <w:rsid w:val="005E28E3"/>
    <w:rsid w:val="00625CB9"/>
    <w:rsid w:val="00646171"/>
    <w:rsid w:val="00692568"/>
    <w:rsid w:val="00693174"/>
    <w:rsid w:val="006E754B"/>
    <w:rsid w:val="007874A5"/>
    <w:rsid w:val="007A79BB"/>
    <w:rsid w:val="007D1631"/>
    <w:rsid w:val="007E5608"/>
    <w:rsid w:val="00804BEA"/>
    <w:rsid w:val="00814FDC"/>
    <w:rsid w:val="00831CB7"/>
    <w:rsid w:val="0084113E"/>
    <w:rsid w:val="00845572"/>
    <w:rsid w:val="0084724E"/>
    <w:rsid w:val="00865A84"/>
    <w:rsid w:val="0088748F"/>
    <w:rsid w:val="00893D6D"/>
    <w:rsid w:val="008B2A9B"/>
    <w:rsid w:val="008B7333"/>
    <w:rsid w:val="008C0ACA"/>
    <w:rsid w:val="008D2000"/>
    <w:rsid w:val="00915FF7"/>
    <w:rsid w:val="00932CA0"/>
    <w:rsid w:val="00943AAA"/>
    <w:rsid w:val="009A672A"/>
    <w:rsid w:val="009C0E46"/>
    <w:rsid w:val="009C5146"/>
    <w:rsid w:val="009E637C"/>
    <w:rsid w:val="009E6A0E"/>
    <w:rsid w:val="00A1342A"/>
    <w:rsid w:val="00A25490"/>
    <w:rsid w:val="00A52457"/>
    <w:rsid w:val="00A579B3"/>
    <w:rsid w:val="00A8630C"/>
    <w:rsid w:val="00AA3F4C"/>
    <w:rsid w:val="00AC639D"/>
    <w:rsid w:val="00AD32ED"/>
    <w:rsid w:val="00AD512C"/>
    <w:rsid w:val="00AE6217"/>
    <w:rsid w:val="00AF60B4"/>
    <w:rsid w:val="00B23550"/>
    <w:rsid w:val="00B502DC"/>
    <w:rsid w:val="00B9686B"/>
    <w:rsid w:val="00BA787B"/>
    <w:rsid w:val="00BE6427"/>
    <w:rsid w:val="00C048BF"/>
    <w:rsid w:val="00C14913"/>
    <w:rsid w:val="00C2030C"/>
    <w:rsid w:val="00C273E9"/>
    <w:rsid w:val="00C7341A"/>
    <w:rsid w:val="00C73ACE"/>
    <w:rsid w:val="00C77502"/>
    <w:rsid w:val="00C827D0"/>
    <w:rsid w:val="00CA2A7D"/>
    <w:rsid w:val="00CC21BF"/>
    <w:rsid w:val="00CC5A11"/>
    <w:rsid w:val="00CD7B35"/>
    <w:rsid w:val="00D24374"/>
    <w:rsid w:val="00D54990"/>
    <w:rsid w:val="00D6051A"/>
    <w:rsid w:val="00D621B5"/>
    <w:rsid w:val="00D716CF"/>
    <w:rsid w:val="00DB0DC7"/>
    <w:rsid w:val="00DB1E68"/>
    <w:rsid w:val="00DB4308"/>
    <w:rsid w:val="00DD3262"/>
    <w:rsid w:val="00DE4D2F"/>
    <w:rsid w:val="00DE5F48"/>
    <w:rsid w:val="00DF5E42"/>
    <w:rsid w:val="00E0C184"/>
    <w:rsid w:val="00E3184D"/>
    <w:rsid w:val="00EB4739"/>
    <w:rsid w:val="00EB5F8B"/>
    <w:rsid w:val="00EC3D8A"/>
    <w:rsid w:val="00EC446F"/>
    <w:rsid w:val="00EC5481"/>
    <w:rsid w:val="00EF04C5"/>
    <w:rsid w:val="00EF2807"/>
    <w:rsid w:val="00EF3F52"/>
    <w:rsid w:val="00F158D6"/>
    <w:rsid w:val="00F17A3F"/>
    <w:rsid w:val="00F264F6"/>
    <w:rsid w:val="00F43C6B"/>
    <w:rsid w:val="00F618A7"/>
    <w:rsid w:val="00F64B33"/>
    <w:rsid w:val="00F7540A"/>
    <w:rsid w:val="00F95A4A"/>
    <w:rsid w:val="00FA2A96"/>
    <w:rsid w:val="00FA2D37"/>
    <w:rsid w:val="00FB162B"/>
    <w:rsid w:val="00FB7478"/>
    <w:rsid w:val="00FD122D"/>
    <w:rsid w:val="00FE79E1"/>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B1194D"/>
    <w:rsid w:val="25826446"/>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37199913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432897385">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53801102">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70274547">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78318161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23443368">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22</Pages>
  <Words>4236</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152</cp:revision>
  <dcterms:created xsi:type="dcterms:W3CDTF">2025-06-01T11:07:00Z</dcterms:created>
  <dcterms:modified xsi:type="dcterms:W3CDTF">2025-06-14T07:02:00Z</dcterms:modified>
</cp:coreProperties>
</file>