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77777777"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multiple time scales and has proven to be both theoretically sound and practically effective. These insights inform our use of multiscale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77777777" w:rsidR="00CA2A7D" w:rsidRPr="00CA2A7D" w:rsidRDefault="00CA2A7D" w:rsidP="00D54990">
      <w:pPr>
        <w:spacing w:line="480" w:lineRule="auto"/>
      </w:pPr>
      <w:r w:rsidRPr="00CA2A7D">
        <w:t>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our implementation focuses on standard Gaussian HMMs, we incorporate stability diagnostics to guard against unrealistic transition frequencies—an indirect response to the duration limitations highlighted in this literature.</w:t>
      </w:r>
    </w:p>
    <w:p w14:paraId="7AA7DC53" w14:textId="77777777" w:rsidR="00CA2A7D"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159AE9FD" w14:textId="77777777" w:rsidR="00CA2A7D" w:rsidRPr="00CA2A7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7C3B991A"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precious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this was due to lack of options available.</w:t>
      </w:r>
    </w:p>
    <w:p w14:paraId="382B4E87" w14:textId="77777777" w:rsidR="0015664E" w:rsidRDefault="0015664E" w:rsidP="00D54990">
      <w:pPr>
        <w:pStyle w:val="Heading2"/>
        <w:spacing w:line="480" w:lineRule="auto"/>
      </w:pPr>
      <w:r>
        <w:t>Global Macro Stock Portfolio</w:t>
      </w:r>
    </w:p>
    <w:p w14:paraId="57FE40F1" w14:textId="212C0F85"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selection criteria was as follows, the portfolio was split evenly across US and non-US stocks, the </w:t>
      </w:r>
      <w:r>
        <w:lastRenderedPageBreak/>
        <w:t xml:space="preserve">companies selected needed to have IPO dates at least 10 years ago, and the Market Capitalization needed to be greater than 10 billion. </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77777777" w:rsidR="00C2030C" w:rsidRPr="00C2030C" w:rsidRDefault="00C2030C" w:rsidP="00D54990">
      <w:pPr>
        <w:spacing w:line="480" w:lineRule="auto"/>
      </w:pPr>
      <w:r w:rsidRPr="00C2030C">
        <w:lastRenderedPageBreak/>
        <w:t>Momentum: Calculated as the average of compounded returns over multiple time horizons (typically 3, 6, 9, and 12 months).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Pr="002937F9"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61923786" w14:textId="7DB73997" w:rsidR="002937F9" w:rsidRDefault="002937F9" w:rsidP="00D54990">
      <w:pPr>
        <w:pStyle w:val="Heading2"/>
        <w:spacing w:line="480" w:lineRule="auto"/>
      </w:pPr>
      <w:bookmarkStart w:id="13" w:name="_Toc202029292"/>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77777777" w:rsidR="00FE79E1" w:rsidRPr="00FE79E1" w:rsidRDefault="00FE79E1" w:rsidP="00FE79E1">
      <w:pPr>
        <w:spacing w:line="480" w:lineRule="auto"/>
      </w:pPr>
      <w:r w:rsidRPr="00FE79E1">
        <w:t>By constantly refreshing the training data, the rolling window helps the model avoid overfitting to past regimes and enhances its ability to detect and respond to regime shifts in real time. This adaptive capability is critical in financial markets, where macroeconomic environments, monetary policies, and investor behaviors evolve in complex, non-stationary ways.</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7F762050" w:rsidR="002937F9" w:rsidRPr="002937F9" w:rsidRDefault="002937F9" w:rsidP="00D54990">
      <w:pPr>
        <w:spacing w:line="480" w:lineRule="auto"/>
      </w:pPr>
      <w:r w:rsidRPr="002937F9">
        <w:t xml:space="preserve">To initialize the </w:t>
      </w:r>
      <w:r w:rsidR="00E3184D">
        <w:t xml:space="preserve">Gaussian </w:t>
      </w:r>
      <w:r w:rsidRPr="002937F9">
        <w:t xml:space="preserve">HMM, k-means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Pr="002937F9" w:rsidRDefault="002937F9" w:rsidP="00D54990">
      <w:pPr>
        <w:spacing w:line="480" w:lineRule="auto"/>
      </w:pPr>
      <w:r w:rsidRPr="002937F9">
        <w:t>Training continues until the change in log-likelihood across iterations falls below a predefined threshold, indicating convergence.</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lastRenderedPageBreak/>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08805C50" w14:textId="6D081BEF" w:rsidR="002937F9" w:rsidRPr="002937F9" w:rsidRDefault="002937F9" w:rsidP="00D54990">
      <w:pPr>
        <w:pStyle w:val="Heading2"/>
        <w:spacing w:line="480" w:lineRule="auto"/>
      </w:pPr>
      <w:r>
        <w:t>Regime Labeling</w:t>
      </w:r>
      <w:bookmarkEnd w:id="15"/>
    </w:p>
    <w:p w14:paraId="74B425AB" w14:textId="77777777" w:rsidR="00EC3D8A" w:rsidRPr="00EC3D8A" w:rsidRDefault="00EC3D8A" w:rsidP="00D54990">
      <w:pPr>
        <w:spacing w:line="480" w:lineRule="auto"/>
      </w:pPr>
      <w:r w:rsidRPr="00EC3D8A">
        <w:t>After the HMM is trained and the latent state sequence is inferred, a post-processing step assigns interpretable economic labels—</w:t>
      </w:r>
      <w:r w:rsidRPr="00EC3D8A">
        <w:rPr>
          <w:b/>
          <w:bCs/>
        </w:rPr>
        <w:t>Bearish</w:t>
      </w:r>
      <w:r w:rsidRPr="00EC3D8A">
        <w:t xml:space="preserve">, </w:t>
      </w:r>
      <w:r w:rsidRPr="00EC3D8A">
        <w:rPr>
          <w:b/>
          <w:bCs/>
        </w:rPr>
        <w:t>Neutral</w:t>
      </w:r>
      <w:r w:rsidRPr="00EC3D8A">
        <w:t xml:space="preserve">, and </w:t>
      </w:r>
      <w:r w:rsidRPr="00EC3D8A">
        <w:rPr>
          <w:b/>
          <w:bCs/>
        </w:rPr>
        <w:t>Bullish</w:t>
      </w:r>
      <w:r w:rsidRPr="00EC3D8A">
        <w:t>—to the model’s hidden states. This is achieved using the z-score of average momentum returns within each state.</w:t>
      </w:r>
    </w:p>
    <w:p w14:paraId="3E160855" w14:textId="77777777" w:rsidR="00EC3D8A" w:rsidRPr="00EC3D8A" w:rsidRDefault="00EC3D8A" w:rsidP="00D54990">
      <w:pPr>
        <w:spacing w:line="480" w:lineRule="auto"/>
      </w:pPr>
      <w:r w:rsidRPr="00EC3D8A">
        <w:lastRenderedPageBreak/>
        <w:t>For each inferred state, the average momentum value is computed based on the observations assigned to that state. These average returns are standardized using z-scores to enable consistent ranking across states. States are then sorted from lowest to highest standardized return, and labels are assigned accordingly:</w:t>
      </w:r>
    </w:p>
    <w:p w14:paraId="6E4A7E6A" w14:textId="77777777" w:rsidR="00EC3D8A" w:rsidRPr="00EC3D8A" w:rsidRDefault="00EC3D8A" w:rsidP="00D54990">
      <w:pPr>
        <w:spacing w:line="480" w:lineRule="auto"/>
      </w:pPr>
      <w:r w:rsidRPr="00EC3D8A">
        <w:t xml:space="preserve">The state with the lowest z-score is labeled </w:t>
      </w:r>
      <w:r w:rsidRPr="00EC3D8A">
        <w:rPr>
          <w:b/>
          <w:bCs/>
        </w:rPr>
        <w:t>Bearish</w:t>
      </w:r>
    </w:p>
    <w:p w14:paraId="3AE0AB09" w14:textId="77777777" w:rsidR="00EC3D8A" w:rsidRPr="00EC3D8A" w:rsidRDefault="00EC3D8A" w:rsidP="00D54990">
      <w:pPr>
        <w:spacing w:line="480" w:lineRule="auto"/>
      </w:pPr>
      <w:r w:rsidRPr="00EC3D8A">
        <w:t xml:space="preserve">The middle-ranked state is labeled </w:t>
      </w:r>
      <w:r w:rsidRPr="00EC3D8A">
        <w:rPr>
          <w:b/>
          <w:bCs/>
        </w:rPr>
        <w:t>Neutral</w:t>
      </w:r>
    </w:p>
    <w:p w14:paraId="580E3BEE" w14:textId="77777777" w:rsidR="00EC3D8A" w:rsidRPr="00EC3D8A" w:rsidRDefault="00EC3D8A" w:rsidP="00D54990">
      <w:pPr>
        <w:spacing w:line="480" w:lineRule="auto"/>
      </w:pPr>
      <w:r w:rsidRPr="00EC3D8A">
        <w:t xml:space="preserve">The highest is labeled </w:t>
      </w:r>
      <w:r w:rsidRPr="00EC3D8A">
        <w:rPr>
          <w:b/>
          <w:bCs/>
        </w:rPr>
        <w:t>Bullish</w:t>
      </w:r>
    </w:p>
    <w:p w14:paraId="351DF420" w14:textId="77777777" w:rsidR="00EC3D8A" w:rsidRPr="00EC3D8A" w:rsidRDefault="00EC3D8A" w:rsidP="00D54990">
      <w:pPr>
        <w:spacing w:line="480" w:lineRule="auto"/>
      </w:pPr>
      <w:r w:rsidRPr="00EC3D8A">
        <w:t>This process ensures that the latent states correspond to intuitive market conditions based on directional strength.</w:t>
      </w:r>
    </w:p>
    <w:p w14:paraId="592B4138" w14:textId="77777777" w:rsidR="00EC3D8A" w:rsidRPr="00EC3D8A" w:rsidRDefault="00EC3D8A" w:rsidP="00D54990">
      <w:pPr>
        <w:spacing w:line="480" w:lineRule="auto"/>
      </w:pPr>
      <w:r w:rsidRPr="00EC3D8A">
        <w:t>If fewer than three states are present (e.g., due to model constraints or over-clustering), the function gracefully handles the shortfall by assigning multiple labels to the same state or defaulting all labels to the only available state. This guarantees that all three regime categories are always represented, which is essential for downstream applications like forecast aggregation and portfolio construction.</w:t>
      </w:r>
    </w:p>
    <w:p w14:paraId="6B71FA20" w14:textId="77777777" w:rsidR="00EC3D8A" w:rsidRPr="00EC3D8A" w:rsidRDefault="00EC3D8A" w:rsidP="00D54990">
      <w:pPr>
        <w:spacing w:line="480" w:lineRule="auto"/>
      </w:pPr>
      <w:r w:rsidRPr="00EC3D8A">
        <w:t>The result is a robust, rule-based regime labeling system that transforms abstract latent states into interpretable market signals grounded in asset momentum.</w:t>
      </w:r>
    </w:p>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lastRenderedPageBreak/>
        <w:t>Risk Management</w:t>
      </w:r>
      <w:bookmarkEnd w:id="16"/>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17" w:name="_Toc428345420"/>
      <w:r>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lastRenderedPageBreak/>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E6708" w14:textId="77777777" w:rsidR="005E7C62" w:rsidRDefault="005E7C62" w:rsidP="008D2000">
      <w:pPr>
        <w:spacing w:after="0" w:line="240" w:lineRule="auto"/>
      </w:pPr>
      <w:r>
        <w:separator/>
      </w:r>
    </w:p>
  </w:endnote>
  <w:endnote w:type="continuationSeparator" w:id="0">
    <w:p w14:paraId="7AACED3C" w14:textId="77777777" w:rsidR="005E7C62" w:rsidRDefault="005E7C62"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EFC2F" w14:textId="77777777" w:rsidR="005E7C62" w:rsidRDefault="005E7C62" w:rsidP="008D2000">
      <w:pPr>
        <w:spacing w:after="0" w:line="240" w:lineRule="auto"/>
      </w:pPr>
      <w:r>
        <w:separator/>
      </w:r>
    </w:p>
  </w:footnote>
  <w:footnote w:type="continuationSeparator" w:id="0">
    <w:p w14:paraId="1CBD22B8" w14:textId="77777777" w:rsidR="005E7C62" w:rsidRDefault="005E7C62"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577C"/>
    <w:rsid w:val="00040E8C"/>
    <w:rsid w:val="00042F16"/>
    <w:rsid w:val="00074247"/>
    <w:rsid w:val="000847EE"/>
    <w:rsid w:val="00085864"/>
    <w:rsid w:val="000B6E12"/>
    <w:rsid w:val="000C2D23"/>
    <w:rsid w:val="000D1EFC"/>
    <w:rsid w:val="000F1742"/>
    <w:rsid w:val="00100189"/>
    <w:rsid w:val="00117181"/>
    <w:rsid w:val="00131500"/>
    <w:rsid w:val="00146C02"/>
    <w:rsid w:val="00152F51"/>
    <w:rsid w:val="0015664E"/>
    <w:rsid w:val="0017038D"/>
    <w:rsid w:val="0018081E"/>
    <w:rsid w:val="00183E2F"/>
    <w:rsid w:val="001E545E"/>
    <w:rsid w:val="00205C1F"/>
    <w:rsid w:val="00205EE2"/>
    <w:rsid w:val="002176EE"/>
    <w:rsid w:val="00250930"/>
    <w:rsid w:val="002937F9"/>
    <w:rsid w:val="002E20F4"/>
    <w:rsid w:val="00300D50"/>
    <w:rsid w:val="00311B0C"/>
    <w:rsid w:val="003172D3"/>
    <w:rsid w:val="00321FC6"/>
    <w:rsid w:val="00343614"/>
    <w:rsid w:val="0035345E"/>
    <w:rsid w:val="00362836"/>
    <w:rsid w:val="003912C2"/>
    <w:rsid w:val="00392A48"/>
    <w:rsid w:val="00392F74"/>
    <w:rsid w:val="003C73D7"/>
    <w:rsid w:val="003D07DB"/>
    <w:rsid w:val="003D60A6"/>
    <w:rsid w:val="003E2B6C"/>
    <w:rsid w:val="003E3A6B"/>
    <w:rsid w:val="003E4853"/>
    <w:rsid w:val="003E6299"/>
    <w:rsid w:val="00414CF6"/>
    <w:rsid w:val="004172C9"/>
    <w:rsid w:val="004336B9"/>
    <w:rsid w:val="004C40D5"/>
    <w:rsid w:val="004E6530"/>
    <w:rsid w:val="00501B6C"/>
    <w:rsid w:val="00504F66"/>
    <w:rsid w:val="00505C99"/>
    <w:rsid w:val="0056236D"/>
    <w:rsid w:val="00564941"/>
    <w:rsid w:val="00571EF1"/>
    <w:rsid w:val="00577041"/>
    <w:rsid w:val="005B24B8"/>
    <w:rsid w:val="005C1ED2"/>
    <w:rsid w:val="005C3CF9"/>
    <w:rsid w:val="005D1A99"/>
    <w:rsid w:val="005D3A73"/>
    <w:rsid w:val="005D577F"/>
    <w:rsid w:val="005E28E3"/>
    <w:rsid w:val="005E7C62"/>
    <w:rsid w:val="00625CB9"/>
    <w:rsid w:val="00646171"/>
    <w:rsid w:val="00692568"/>
    <w:rsid w:val="00693174"/>
    <w:rsid w:val="006E754B"/>
    <w:rsid w:val="007874A5"/>
    <w:rsid w:val="007A79BB"/>
    <w:rsid w:val="007D1631"/>
    <w:rsid w:val="007E5608"/>
    <w:rsid w:val="00804BEA"/>
    <w:rsid w:val="00814FDC"/>
    <w:rsid w:val="00831CB7"/>
    <w:rsid w:val="0084113E"/>
    <w:rsid w:val="00845572"/>
    <w:rsid w:val="0084724E"/>
    <w:rsid w:val="00865A84"/>
    <w:rsid w:val="0088748F"/>
    <w:rsid w:val="00893D6D"/>
    <w:rsid w:val="008B2A9B"/>
    <w:rsid w:val="008B7333"/>
    <w:rsid w:val="008C0ACA"/>
    <w:rsid w:val="008D2000"/>
    <w:rsid w:val="00915FF7"/>
    <w:rsid w:val="00921051"/>
    <w:rsid w:val="00932CA0"/>
    <w:rsid w:val="00943AAA"/>
    <w:rsid w:val="009A672A"/>
    <w:rsid w:val="009C0E46"/>
    <w:rsid w:val="009C5146"/>
    <w:rsid w:val="009E637C"/>
    <w:rsid w:val="009E6A0E"/>
    <w:rsid w:val="00A1342A"/>
    <w:rsid w:val="00A25490"/>
    <w:rsid w:val="00A52457"/>
    <w:rsid w:val="00A579B3"/>
    <w:rsid w:val="00A8630C"/>
    <w:rsid w:val="00AA3F4C"/>
    <w:rsid w:val="00AC639D"/>
    <w:rsid w:val="00AD32ED"/>
    <w:rsid w:val="00AD512C"/>
    <w:rsid w:val="00AE6217"/>
    <w:rsid w:val="00AF60B4"/>
    <w:rsid w:val="00B23550"/>
    <w:rsid w:val="00B502DC"/>
    <w:rsid w:val="00B9686B"/>
    <w:rsid w:val="00BA787B"/>
    <w:rsid w:val="00BE6427"/>
    <w:rsid w:val="00C048BF"/>
    <w:rsid w:val="00C14913"/>
    <w:rsid w:val="00C1718A"/>
    <w:rsid w:val="00C2030C"/>
    <w:rsid w:val="00C273E9"/>
    <w:rsid w:val="00C7341A"/>
    <w:rsid w:val="00C73ACE"/>
    <w:rsid w:val="00C77502"/>
    <w:rsid w:val="00C827D0"/>
    <w:rsid w:val="00CA2A7D"/>
    <w:rsid w:val="00CC21BF"/>
    <w:rsid w:val="00CC5A11"/>
    <w:rsid w:val="00CD7B35"/>
    <w:rsid w:val="00D24374"/>
    <w:rsid w:val="00D54990"/>
    <w:rsid w:val="00D6051A"/>
    <w:rsid w:val="00D621B5"/>
    <w:rsid w:val="00D716CF"/>
    <w:rsid w:val="00DB0DC7"/>
    <w:rsid w:val="00DB1E68"/>
    <w:rsid w:val="00DB4308"/>
    <w:rsid w:val="00DD3262"/>
    <w:rsid w:val="00DE4D2F"/>
    <w:rsid w:val="00DE5F48"/>
    <w:rsid w:val="00DF5E42"/>
    <w:rsid w:val="00E055CF"/>
    <w:rsid w:val="00E0C184"/>
    <w:rsid w:val="00E3184D"/>
    <w:rsid w:val="00EB4739"/>
    <w:rsid w:val="00EB5F8B"/>
    <w:rsid w:val="00EC3D8A"/>
    <w:rsid w:val="00EC446F"/>
    <w:rsid w:val="00EC5481"/>
    <w:rsid w:val="00EF04C5"/>
    <w:rsid w:val="00EF2807"/>
    <w:rsid w:val="00EF3F52"/>
    <w:rsid w:val="00F158D6"/>
    <w:rsid w:val="00F17A3F"/>
    <w:rsid w:val="00F264F6"/>
    <w:rsid w:val="00F43C6B"/>
    <w:rsid w:val="00F618A7"/>
    <w:rsid w:val="00F64B33"/>
    <w:rsid w:val="00F75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22</Pages>
  <Words>4149</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154</cp:revision>
  <dcterms:created xsi:type="dcterms:W3CDTF">2025-06-01T11:07:00Z</dcterms:created>
  <dcterms:modified xsi:type="dcterms:W3CDTF">2025-06-15T11:05:00Z</dcterms:modified>
</cp:coreProperties>
</file>