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bookmarkStart w:id="0" w:name="_Toc1572499250" w:displacedByCustomXml="next"/>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bookmarkEnd w:id="0"/>
        </w:p>
        <w:p w14:paraId="50252773" w14:textId="091DD9C1" w:rsidR="00B502DC" w:rsidRDefault="288D0E4F" w:rsidP="288D0E4F">
          <w:pPr>
            <w:pStyle w:val="TOC1"/>
            <w:tabs>
              <w:tab w:val="right" w:leader="dot" w:pos="9345"/>
            </w:tabs>
            <w:rPr>
              <w:rStyle w:val="Hyperlink"/>
              <w:noProof/>
            </w:rPr>
          </w:pPr>
          <w:r>
            <w:fldChar w:fldCharType="begin"/>
          </w:r>
          <w:r w:rsidR="008D2000">
            <w:instrText>TOC \o "1-3" \z \u \h</w:instrText>
          </w:r>
          <w:r>
            <w:fldChar w:fldCharType="separate"/>
          </w:r>
          <w:hyperlink w:anchor="_Toc1572499250">
            <w:r w:rsidRPr="288D0E4F">
              <w:rPr>
                <w:rStyle w:val="Hyperlink"/>
              </w:rPr>
              <w:t>Contents</w:t>
            </w:r>
            <w:r w:rsidR="008D2000">
              <w:tab/>
            </w:r>
            <w:r w:rsidR="008D2000">
              <w:fldChar w:fldCharType="begin"/>
            </w:r>
            <w:r w:rsidR="008D2000">
              <w:instrText>PAGEREF _Toc1572499250 \h</w:instrText>
            </w:r>
            <w:r w:rsidR="008D2000">
              <w:fldChar w:fldCharType="separate"/>
            </w:r>
            <w:r w:rsidRPr="288D0E4F">
              <w:rPr>
                <w:rStyle w:val="Hyperlink"/>
              </w:rPr>
              <w:t>1</w:t>
            </w:r>
            <w:r w:rsidR="008D2000">
              <w:fldChar w:fldCharType="end"/>
            </w:r>
          </w:hyperlink>
        </w:p>
        <w:p w14:paraId="3C673959" w14:textId="6EE15465" w:rsidR="00B502DC" w:rsidRDefault="288D0E4F" w:rsidP="288D0E4F">
          <w:pPr>
            <w:pStyle w:val="TOC1"/>
            <w:tabs>
              <w:tab w:val="right" w:leader="dot" w:pos="9345"/>
            </w:tabs>
            <w:rPr>
              <w:rStyle w:val="Hyperlink"/>
              <w:noProof/>
            </w:rPr>
          </w:pPr>
          <w:hyperlink w:anchor="_Toc977646978">
            <w:r w:rsidRPr="288D0E4F">
              <w:rPr>
                <w:rStyle w:val="Hyperlink"/>
              </w:rPr>
              <w:t>Abstract</w:t>
            </w:r>
            <w:r w:rsidR="00B502DC">
              <w:tab/>
            </w:r>
            <w:r w:rsidR="00B502DC">
              <w:fldChar w:fldCharType="begin"/>
            </w:r>
            <w:r w:rsidR="00B502DC">
              <w:instrText>PAGEREF _Toc977646978 \h</w:instrText>
            </w:r>
            <w:r w:rsidR="00B502DC">
              <w:fldChar w:fldCharType="separate"/>
            </w:r>
            <w:r w:rsidRPr="288D0E4F">
              <w:rPr>
                <w:rStyle w:val="Hyperlink"/>
              </w:rPr>
              <w:t>2</w:t>
            </w:r>
            <w:r w:rsidR="00B502DC">
              <w:fldChar w:fldCharType="end"/>
            </w:r>
          </w:hyperlink>
        </w:p>
        <w:p w14:paraId="5F0FEB9D" w14:textId="014DD6D2" w:rsidR="00B502DC" w:rsidRDefault="288D0E4F" w:rsidP="288D0E4F">
          <w:pPr>
            <w:pStyle w:val="TOC1"/>
            <w:tabs>
              <w:tab w:val="right" w:leader="dot" w:pos="9345"/>
            </w:tabs>
            <w:rPr>
              <w:rStyle w:val="Hyperlink"/>
              <w:noProof/>
            </w:rPr>
          </w:pPr>
          <w:hyperlink w:anchor="_Toc900516071">
            <w:r w:rsidRPr="288D0E4F">
              <w:rPr>
                <w:rStyle w:val="Hyperlink"/>
              </w:rPr>
              <w:t>Introduction</w:t>
            </w:r>
            <w:r w:rsidR="00B502DC">
              <w:tab/>
            </w:r>
            <w:r w:rsidR="00B502DC">
              <w:fldChar w:fldCharType="begin"/>
            </w:r>
            <w:r w:rsidR="00B502DC">
              <w:instrText>PAGEREF _Toc900516071 \h</w:instrText>
            </w:r>
            <w:r w:rsidR="00B502DC">
              <w:fldChar w:fldCharType="separate"/>
            </w:r>
            <w:r w:rsidRPr="288D0E4F">
              <w:rPr>
                <w:rStyle w:val="Hyperlink"/>
              </w:rPr>
              <w:t>3</w:t>
            </w:r>
            <w:r w:rsidR="00B502DC">
              <w:fldChar w:fldCharType="end"/>
            </w:r>
          </w:hyperlink>
        </w:p>
        <w:p w14:paraId="00CECF8A" w14:textId="2267AAC6" w:rsidR="00B502DC" w:rsidRDefault="288D0E4F" w:rsidP="288D0E4F">
          <w:pPr>
            <w:pStyle w:val="TOC1"/>
            <w:tabs>
              <w:tab w:val="right" w:leader="dot" w:pos="9345"/>
            </w:tabs>
            <w:rPr>
              <w:rStyle w:val="Hyperlink"/>
              <w:noProof/>
            </w:rPr>
          </w:pPr>
          <w:hyperlink w:anchor="_Toc1212047012">
            <w:r w:rsidRPr="288D0E4F">
              <w:rPr>
                <w:rStyle w:val="Hyperlink"/>
              </w:rPr>
              <w:t>Literature Review</w:t>
            </w:r>
            <w:r w:rsidR="00B502DC">
              <w:tab/>
            </w:r>
            <w:r w:rsidR="00B502DC">
              <w:fldChar w:fldCharType="begin"/>
            </w:r>
            <w:r w:rsidR="00B502DC">
              <w:instrText>PAGEREF _Toc1212047012 \h</w:instrText>
            </w:r>
            <w:r w:rsidR="00B502DC">
              <w:fldChar w:fldCharType="separate"/>
            </w:r>
            <w:r w:rsidRPr="288D0E4F">
              <w:rPr>
                <w:rStyle w:val="Hyperlink"/>
              </w:rPr>
              <w:t>5</w:t>
            </w:r>
            <w:r w:rsidR="00B502DC">
              <w:fldChar w:fldCharType="end"/>
            </w:r>
          </w:hyperlink>
        </w:p>
        <w:p w14:paraId="18FC8B05" w14:textId="5F2250D7" w:rsidR="00B502DC" w:rsidRDefault="288D0E4F" w:rsidP="288D0E4F">
          <w:pPr>
            <w:pStyle w:val="TOC2"/>
            <w:tabs>
              <w:tab w:val="right" w:leader="dot" w:pos="9345"/>
            </w:tabs>
            <w:rPr>
              <w:rStyle w:val="Hyperlink"/>
              <w:noProof/>
            </w:rPr>
          </w:pPr>
          <w:hyperlink w:anchor="_Toc504987161">
            <w:r w:rsidRPr="288D0E4F">
              <w:rPr>
                <w:rStyle w:val="Hyperlink"/>
              </w:rPr>
              <w:t>Regime-Switching Models in Financial Markets</w:t>
            </w:r>
            <w:r w:rsidR="00B502DC">
              <w:tab/>
            </w:r>
            <w:r w:rsidR="00B502DC">
              <w:fldChar w:fldCharType="begin"/>
            </w:r>
            <w:r w:rsidR="00B502DC">
              <w:instrText>PAGEREF _Toc504987161 \h</w:instrText>
            </w:r>
            <w:r w:rsidR="00B502DC">
              <w:fldChar w:fldCharType="separate"/>
            </w:r>
            <w:r w:rsidRPr="288D0E4F">
              <w:rPr>
                <w:rStyle w:val="Hyperlink"/>
              </w:rPr>
              <w:t>5</w:t>
            </w:r>
            <w:r w:rsidR="00B502DC">
              <w:fldChar w:fldCharType="end"/>
            </w:r>
          </w:hyperlink>
        </w:p>
        <w:p w14:paraId="2B6E06E6" w14:textId="10871EF5" w:rsidR="00B502DC" w:rsidRDefault="288D0E4F" w:rsidP="288D0E4F">
          <w:pPr>
            <w:pStyle w:val="TOC2"/>
            <w:tabs>
              <w:tab w:val="right" w:leader="dot" w:pos="9345"/>
            </w:tabs>
            <w:rPr>
              <w:rStyle w:val="Hyperlink"/>
              <w:noProof/>
            </w:rPr>
          </w:pPr>
          <w:hyperlink w:anchor="_Toc191261284">
            <w:r w:rsidRPr="288D0E4F">
              <w:rPr>
                <w:rStyle w:val="Hyperlink"/>
              </w:rPr>
              <w:t>Volatility and Momentum as Informative Features</w:t>
            </w:r>
            <w:r w:rsidR="00B502DC">
              <w:tab/>
            </w:r>
            <w:r w:rsidR="00B502DC">
              <w:fldChar w:fldCharType="begin"/>
            </w:r>
            <w:r w:rsidR="00B502DC">
              <w:instrText>PAGEREF _Toc191261284 \h</w:instrText>
            </w:r>
            <w:r w:rsidR="00B502DC">
              <w:fldChar w:fldCharType="separate"/>
            </w:r>
            <w:r w:rsidRPr="288D0E4F">
              <w:rPr>
                <w:rStyle w:val="Hyperlink"/>
              </w:rPr>
              <w:t>6</w:t>
            </w:r>
            <w:r w:rsidR="00B502DC">
              <w:fldChar w:fldCharType="end"/>
            </w:r>
          </w:hyperlink>
        </w:p>
        <w:p w14:paraId="370B80DB" w14:textId="70EDD17A" w:rsidR="00B502DC" w:rsidRDefault="288D0E4F" w:rsidP="288D0E4F">
          <w:pPr>
            <w:pStyle w:val="TOC2"/>
            <w:tabs>
              <w:tab w:val="right" w:leader="dot" w:pos="9345"/>
            </w:tabs>
            <w:rPr>
              <w:rStyle w:val="Hyperlink"/>
              <w:noProof/>
            </w:rPr>
          </w:pPr>
          <w:hyperlink w:anchor="_Toc1125397396">
            <w:r w:rsidRPr="288D0E4F">
              <w:rPr>
                <w:rStyle w:val="Hyperlink"/>
              </w:rPr>
              <w:t>Hidden Markov Models and Extensions</w:t>
            </w:r>
            <w:r w:rsidR="00B502DC">
              <w:tab/>
            </w:r>
            <w:r w:rsidR="00B502DC">
              <w:fldChar w:fldCharType="begin"/>
            </w:r>
            <w:r w:rsidR="00B502DC">
              <w:instrText>PAGEREF _Toc1125397396 \h</w:instrText>
            </w:r>
            <w:r w:rsidR="00B502DC">
              <w:fldChar w:fldCharType="separate"/>
            </w:r>
            <w:r w:rsidRPr="288D0E4F">
              <w:rPr>
                <w:rStyle w:val="Hyperlink"/>
              </w:rPr>
              <w:t>6</w:t>
            </w:r>
            <w:r w:rsidR="00B502DC">
              <w:fldChar w:fldCharType="end"/>
            </w:r>
          </w:hyperlink>
        </w:p>
        <w:p w14:paraId="4F5B24D7" w14:textId="22643255" w:rsidR="00B502DC" w:rsidRDefault="288D0E4F" w:rsidP="288D0E4F">
          <w:pPr>
            <w:pStyle w:val="TOC2"/>
            <w:tabs>
              <w:tab w:val="right" w:leader="dot" w:pos="9345"/>
            </w:tabs>
            <w:rPr>
              <w:rStyle w:val="Hyperlink"/>
              <w:noProof/>
            </w:rPr>
          </w:pPr>
          <w:hyperlink w:anchor="_Toc447447806">
            <w:r w:rsidRPr="288D0E4F">
              <w:rPr>
                <w:rStyle w:val="Hyperlink"/>
              </w:rPr>
              <w:t>Forecasting, Risk Management, and Implementation</w:t>
            </w:r>
            <w:r w:rsidR="00B502DC">
              <w:tab/>
            </w:r>
            <w:r w:rsidR="00B502DC">
              <w:fldChar w:fldCharType="begin"/>
            </w:r>
            <w:r w:rsidR="00B502DC">
              <w:instrText>PAGEREF _Toc447447806 \h</w:instrText>
            </w:r>
            <w:r w:rsidR="00B502DC">
              <w:fldChar w:fldCharType="separate"/>
            </w:r>
            <w:r w:rsidRPr="288D0E4F">
              <w:rPr>
                <w:rStyle w:val="Hyperlink"/>
              </w:rPr>
              <w:t>7</w:t>
            </w:r>
            <w:r w:rsidR="00B502DC">
              <w:fldChar w:fldCharType="end"/>
            </w:r>
          </w:hyperlink>
        </w:p>
        <w:p w14:paraId="76A13501" w14:textId="6FE2A059" w:rsidR="00B502DC" w:rsidRDefault="288D0E4F" w:rsidP="288D0E4F">
          <w:pPr>
            <w:pStyle w:val="TOC1"/>
            <w:tabs>
              <w:tab w:val="right" w:leader="dot" w:pos="9345"/>
            </w:tabs>
            <w:rPr>
              <w:rStyle w:val="Hyperlink"/>
              <w:noProof/>
            </w:rPr>
          </w:pPr>
          <w:hyperlink w:anchor="_Toc1400423196">
            <w:r w:rsidRPr="288D0E4F">
              <w:rPr>
                <w:rStyle w:val="Hyperlink"/>
              </w:rPr>
              <w:t>Data and Descriptive Statistics</w:t>
            </w:r>
            <w:r w:rsidR="00B502DC">
              <w:tab/>
            </w:r>
            <w:r w:rsidR="00B502DC">
              <w:fldChar w:fldCharType="begin"/>
            </w:r>
            <w:r w:rsidR="00B502DC">
              <w:instrText>PAGEREF _Toc1400423196 \h</w:instrText>
            </w:r>
            <w:r w:rsidR="00B502DC">
              <w:fldChar w:fldCharType="separate"/>
            </w:r>
            <w:r w:rsidRPr="288D0E4F">
              <w:rPr>
                <w:rStyle w:val="Hyperlink"/>
              </w:rPr>
              <w:t>7</w:t>
            </w:r>
            <w:r w:rsidR="00B502DC">
              <w:fldChar w:fldCharType="end"/>
            </w:r>
          </w:hyperlink>
        </w:p>
        <w:p w14:paraId="217B4C98" w14:textId="5726B1AB" w:rsidR="00B502DC" w:rsidRDefault="288D0E4F" w:rsidP="288D0E4F">
          <w:pPr>
            <w:pStyle w:val="TOC2"/>
            <w:tabs>
              <w:tab w:val="right" w:leader="dot" w:pos="9345"/>
            </w:tabs>
            <w:rPr>
              <w:rStyle w:val="Hyperlink"/>
              <w:noProof/>
            </w:rPr>
          </w:pPr>
          <w:hyperlink w:anchor="_Toc15050151">
            <w:r w:rsidRPr="288D0E4F">
              <w:rPr>
                <w:rStyle w:val="Hyperlink"/>
              </w:rPr>
              <w:t>Data Sources</w:t>
            </w:r>
            <w:r w:rsidR="00B502DC">
              <w:tab/>
            </w:r>
            <w:r w:rsidR="00B502DC">
              <w:fldChar w:fldCharType="begin"/>
            </w:r>
            <w:r w:rsidR="00B502DC">
              <w:instrText>PAGEREF _Toc15050151 \h</w:instrText>
            </w:r>
            <w:r w:rsidR="00B502DC">
              <w:fldChar w:fldCharType="separate"/>
            </w:r>
            <w:r w:rsidRPr="288D0E4F">
              <w:rPr>
                <w:rStyle w:val="Hyperlink"/>
              </w:rPr>
              <w:t>7</w:t>
            </w:r>
            <w:r w:rsidR="00B502DC">
              <w:fldChar w:fldCharType="end"/>
            </w:r>
          </w:hyperlink>
        </w:p>
        <w:p w14:paraId="123625FC" w14:textId="177C61F4" w:rsidR="00B502DC" w:rsidRDefault="288D0E4F" w:rsidP="288D0E4F">
          <w:pPr>
            <w:pStyle w:val="TOC2"/>
            <w:tabs>
              <w:tab w:val="right" w:leader="dot" w:pos="9345"/>
            </w:tabs>
            <w:rPr>
              <w:rStyle w:val="Hyperlink"/>
              <w:noProof/>
            </w:rPr>
          </w:pPr>
          <w:hyperlink w:anchor="_Toc888823867">
            <w:r w:rsidRPr="288D0E4F">
              <w:rPr>
                <w:rStyle w:val="Hyperlink"/>
              </w:rPr>
              <w:t>Feature Engineering</w:t>
            </w:r>
            <w:r w:rsidR="00B502DC">
              <w:tab/>
            </w:r>
            <w:r w:rsidR="00B502DC">
              <w:fldChar w:fldCharType="begin"/>
            </w:r>
            <w:r w:rsidR="00B502DC">
              <w:instrText>PAGEREF _Toc888823867 \h</w:instrText>
            </w:r>
            <w:r w:rsidR="00B502DC">
              <w:fldChar w:fldCharType="separate"/>
            </w:r>
            <w:r w:rsidRPr="288D0E4F">
              <w:rPr>
                <w:rStyle w:val="Hyperlink"/>
              </w:rPr>
              <w:t>8</w:t>
            </w:r>
            <w:r w:rsidR="00B502DC">
              <w:fldChar w:fldCharType="end"/>
            </w:r>
          </w:hyperlink>
        </w:p>
        <w:p w14:paraId="425BE1F4" w14:textId="68348371" w:rsidR="00B502DC" w:rsidRDefault="288D0E4F" w:rsidP="288D0E4F">
          <w:pPr>
            <w:pStyle w:val="TOC2"/>
            <w:tabs>
              <w:tab w:val="right" w:leader="dot" w:pos="9345"/>
            </w:tabs>
            <w:rPr>
              <w:rStyle w:val="Hyperlink"/>
              <w:noProof/>
            </w:rPr>
          </w:pPr>
          <w:hyperlink w:anchor="_Toc508496265">
            <w:r w:rsidRPr="288D0E4F">
              <w:rPr>
                <w:rStyle w:val="Hyperlink"/>
              </w:rPr>
              <w:t>Normalization and Dataset Splitting</w:t>
            </w:r>
            <w:r w:rsidR="00B502DC">
              <w:tab/>
            </w:r>
            <w:r w:rsidR="00B502DC">
              <w:fldChar w:fldCharType="begin"/>
            </w:r>
            <w:r w:rsidR="00B502DC">
              <w:instrText>PAGEREF _Toc508496265 \h</w:instrText>
            </w:r>
            <w:r w:rsidR="00B502DC">
              <w:fldChar w:fldCharType="separate"/>
            </w:r>
            <w:r w:rsidRPr="288D0E4F">
              <w:rPr>
                <w:rStyle w:val="Hyperlink"/>
              </w:rPr>
              <w:t>9</w:t>
            </w:r>
            <w:r w:rsidR="00B502DC">
              <w:fldChar w:fldCharType="end"/>
            </w:r>
          </w:hyperlink>
        </w:p>
        <w:p w14:paraId="59F82A53" w14:textId="495A70AC" w:rsidR="00B502DC" w:rsidRDefault="288D0E4F" w:rsidP="288D0E4F">
          <w:pPr>
            <w:pStyle w:val="TOC1"/>
            <w:tabs>
              <w:tab w:val="right" w:leader="dot" w:pos="9345"/>
            </w:tabs>
            <w:rPr>
              <w:rStyle w:val="Hyperlink"/>
              <w:noProof/>
            </w:rPr>
          </w:pPr>
          <w:hyperlink w:anchor="_Toc1351696132">
            <w:r w:rsidRPr="288D0E4F">
              <w:rPr>
                <w:rStyle w:val="Hyperlink"/>
              </w:rPr>
              <w:t>Methodology</w:t>
            </w:r>
            <w:r w:rsidR="00B502DC">
              <w:tab/>
            </w:r>
            <w:r w:rsidR="00B502DC">
              <w:fldChar w:fldCharType="begin"/>
            </w:r>
            <w:r w:rsidR="00B502DC">
              <w:instrText>PAGEREF _Toc1351696132 \h</w:instrText>
            </w:r>
            <w:r w:rsidR="00B502DC">
              <w:fldChar w:fldCharType="separate"/>
            </w:r>
            <w:r w:rsidRPr="288D0E4F">
              <w:rPr>
                <w:rStyle w:val="Hyperlink"/>
              </w:rPr>
              <w:t>9</w:t>
            </w:r>
            <w:r w:rsidR="00B502DC">
              <w:fldChar w:fldCharType="end"/>
            </w:r>
          </w:hyperlink>
        </w:p>
        <w:p w14:paraId="207CA671" w14:textId="250B7923" w:rsidR="00B502DC" w:rsidRDefault="288D0E4F" w:rsidP="288D0E4F">
          <w:pPr>
            <w:pStyle w:val="TOC2"/>
            <w:tabs>
              <w:tab w:val="right" w:leader="dot" w:pos="9345"/>
            </w:tabs>
            <w:rPr>
              <w:rStyle w:val="Hyperlink"/>
              <w:noProof/>
            </w:rPr>
          </w:pPr>
          <w:hyperlink w:anchor="_Toc202029292">
            <w:r w:rsidRPr="288D0E4F">
              <w:rPr>
                <w:rStyle w:val="Hyperlink"/>
              </w:rPr>
              <w:t>Model Architecture</w:t>
            </w:r>
            <w:r w:rsidR="00B502DC">
              <w:tab/>
            </w:r>
            <w:r w:rsidR="00B502DC">
              <w:fldChar w:fldCharType="begin"/>
            </w:r>
            <w:r w:rsidR="00B502DC">
              <w:instrText>PAGEREF _Toc202029292 \h</w:instrText>
            </w:r>
            <w:r w:rsidR="00B502DC">
              <w:fldChar w:fldCharType="separate"/>
            </w:r>
            <w:r w:rsidRPr="288D0E4F">
              <w:rPr>
                <w:rStyle w:val="Hyperlink"/>
              </w:rPr>
              <w:t>9</w:t>
            </w:r>
            <w:r w:rsidR="00B502DC">
              <w:fldChar w:fldCharType="end"/>
            </w:r>
          </w:hyperlink>
        </w:p>
        <w:p w14:paraId="690A134B" w14:textId="2A5A896E" w:rsidR="00B502DC" w:rsidRDefault="288D0E4F" w:rsidP="288D0E4F">
          <w:pPr>
            <w:pStyle w:val="TOC2"/>
            <w:tabs>
              <w:tab w:val="right" w:leader="dot" w:pos="9345"/>
            </w:tabs>
            <w:rPr>
              <w:rStyle w:val="Hyperlink"/>
              <w:noProof/>
            </w:rPr>
          </w:pPr>
          <w:hyperlink w:anchor="_Toc93369718">
            <w:r w:rsidRPr="288D0E4F">
              <w:rPr>
                <w:rStyle w:val="Hyperlink"/>
              </w:rPr>
              <w:t>Model Initialization and Training</w:t>
            </w:r>
            <w:r w:rsidR="00B502DC">
              <w:tab/>
            </w:r>
            <w:r w:rsidR="00B502DC">
              <w:fldChar w:fldCharType="begin"/>
            </w:r>
            <w:r w:rsidR="00B502DC">
              <w:instrText>PAGEREF _Toc93369718 \h</w:instrText>
            </w:r>
            <w:r w:rsidR="00B502DC">
              <w:fldChar w:fldCharType="separate"/>
            </w:r>
            <w:r w:rsidRPr="288D0E4F">
              <w:rPr>
                <w:rStyle w:val="Hyperlink"/>
              </w:rPr>
              <w:t>10</w:t>
            </w:r>
            <w:r w:rsidR="00B502DC">
              <w:fldChar w:fldCharType="end"/>
            </w:r>
          </w:hyperlink>
        </w:p>
        <w:p w14:paraId="429300B5" w14:textId="4DF24280" w:rsidR="00B502DC" w:rsidRDefault="288D0E4F" w:rsidP="288D0E4F">
          <w:pPr>
            <w:pStyle w:val="TOC2"/>
            <w:tabs>
              <w:tab w:val="right" w:leader="dot" w:pos="9345"/>
            </w:tabs>
            <w:rPr>
              <w:rStyle w:val="Hyperlink"/>
              <w:noProof/>
            </w:rPr>
          </w:pPr>
          <w:hyperlink w:anchor="_Toc1498731205">
            <w:r w:rsidRPr="288D0E4F">
              <w:rPr>
                <w:rStyle w:val="Hyperlink"/>
              </w:rPr>
              <w:t>State Inference and Forecasting</w:t>
            </w:r>
            <w:r w:rsidR="00B502DC">
              <w:tab/>
            </w:r>
            <w:r w:rsidR="00B502DC">
              <w:fldChar w:fldCharType="begin"/>
            </w:r>
            <w:r w:rsidR="00B502DC">
              <w:instrText>PAGEREF _Toc1498731205 \h</w:instrText>
            </w:r>
            <w:r w:rsidR="00B502DC">
              <w:fldChar w:fldCharType="separate"/>
            </w:r>
            <w:r w:rsidRPr="288D0E4F">
              <w:rPr>
                <w:rStyle w:val="Hyperlink"/>
              </w:rPr>
              <w:t>10</w:t>
            </w:r>
            <w:r w:rsidR="00B502DC">
              <w:fldChar w:fldCharType="end"/>
            </w:r>
          </w:hyperlink>
        </w:p>
        <w:p w14:paraId="1C8EFF24" w14:textId="4ECA468D" w:rsidR="00B502DC" w:rsidRDefault="288D0E4F" w:rsidP="288D0E4F">
          <w:pPr>
            <w:pStyle w:val="TOC2"/>
            <w:tabs>
              <w:tab w:val="right" w:leader="dot" w:pos="9345"/>
            </w:tabs>
            <w:rPr>
              <w:rStyle w:val="Hyperlink"/>
              <w:noProof/>
            </w:rPr>
          </w:pPr>
          <w:hyperlink w:anchor="_Toc220477276">
            <w:r w:rsidRPr="288D0E4F">
              <w:rPr>
                <w:rStyle w:val="Hyperlink"/>
              </w:rPr>
              <w:t>Regime Labeling</w:t>
            </w:r>
            <w:r w:rsidR="00B502DC">
              <w:tab/>
            </w:r>
            <w:r w:rsidR="00B502DC">
              <w:fldChar w:fldCharType="begin"/>
            </w:r>
            <w:r w:rsidR="00B502DC">
              <w:instrText>PAGEREF _Toc220477276 \h</w:instrText>
            </w:r>
            <w:r w:rsidR="00B502DC">
              <w:fldChar w:fldCharType="separate"/>
            </w:r>
            <w:r w:rsidRPr="288D0E4F">
              <w:rPr>
                <w:rStyle w:val="Hyperlink"/>
              </w:rPr>
              <w:t>11</w:t>
            </w:r>
            <w:r w:rsidR="00B502DC">
              <w:fldChar w:fldCharType="end"/>
            </w:r>
          </w:hyperlink>
        </w:p>
        <w:p w14:paraId="34DEC452" w14:textId="4245D1D2" w:rsidR="00B502DC" w:rsidRDefault="288D0E4F" w:rsidP="288D0E4F">
          <w:pPr>
            <w:pStyle w:val="TOC1"/>
            <w:tabs>
              <w:tab w:val="right" w:leader="dot" w:pos="9345"/>
            </w:tabs>
            <w:rPr>
              <w:rStyle w:val="Hyperlink"/>
              <w:noProof/>
            </w:rPr>
          </w:pPr>
          <w:hyperlink w:anchor="_Toc343834519">
            <w:r w:rsidRPr="288D0E4F">
              <w:rPr>
                <w:rStyle w:val="Hyperlink"/>
              </w:rPr>
              <w:t>Risk Management</w:t>
            </w:r>
            <w:r w:rsidR="00B502DC">
              <w:tab/>
            </w:r>
            <w:r w:rsidR="00B502DC">
              <w:fldChar w:fldCharType="begin"/>
            </w:r>
            <w:r w:rsidR="00B502DC">
              <w:instrText>PAGEREF _Toc343834519 \h</w:instrText>
            </w:r>
            <w:r w:rsidR="00B502DC">
              <w:fldChar w:fldCharType="separate"/>
            </w:r>
            <w:r w:rsidRPr="288D0E4F">
              <w:rPr>
                <w:rStyle w:val="Hyperlink"/>
              </w:rPr>
              <w:t>12</w:t>
            </w:r>
            <w:r w:rsidR="00B502DC">
              <w:fldChar w:fldCharType="end"/>
            </w:r>
          </w:hyperlink>
        </w:p>
        <w:p w14:paraId="611E5920" w14:textId="7ECB861B" w:rsidR="00B502DC" w:rsidRDefault="288D0E4F" w:rsidP="288D0E4F">
          <w:pPr>
            <w:pStyle w:val="TOC1"/>
            <w:tabs>
              <w:tab w:val="right" w:leader="dot" w:pos="9345"/>
            </w:tabs>
            <w:rPr>
              <w:rStyle w:val="Hyperlink"/>
              <w:noProof/>
            </w:rPr>
          </w:pPr>
          <w:hyperlink w:anchor="_Toc428345420">
            <w:r w:rsidRPr="288D0E4F">
              <w:rPr>
                <w:rStyle w:val="Hyperlink"/>
              </w:rPr>
              <w:t>Results</w:t>
            </w:r>
            <w:r w:rsidR="00B502DC">
              <w:tab/>
            </w:r>
            <w:r w:rsidR="00B502DC">
              <w:fldChar w:fldCharType="begin"/>
            </w:r>
            <w:r w:rsidR="00B502DC">
              <w:instrText>PAGEREF _Toc428345420 \h</w:instrText>
            </w:r>
            <w:r w:rsidR="00B502DC">
              <w:fldChar w:fldCharType="separate"/>
            </w:r>
            <w:r w:rsidRPr="288D0E4F">
              <w:rPr>
                <w:rStyle w:val="Hyperlink"/>
              </w:rPr>
              <w:t>12</w:t>
            </w:r>
            <w:r w:rsidR="00B502DC">
              <w:fldChar w:fldCharType="end"/>
            </w:r>
          </w:hyperlink>
        </w:p>
        <w:p w14:paraId="644E0A92" w14:textId="40761FBE" w:rsidR="00B502DC" w:rsidRDefault="288D0E4F" w:rsidP="288D0E4F">
          <w:pPr>
            <w:pStyle w:val="TOC1"/>
            <w:tabs>
              <w:tab w:val="right" w:leader="dot" w:pos="9345"/>
            </w:tabs>
            <w:rPr>
              <w:rStyle w:val="Hyperlink"/>
              <w:noProof/>
            </w:rPr>
          </w:pPr>
          <w:hyperlink w:anchor="_Toc1658654325">
            <w:r w:rsidRPr="288D0E4F">
              <w:rPr>
                <w:rStyle w:val="Hyperlink"/>
              </w:rPr>
              <w:t>Discussion</w:t>
            </w:r>
            <w:r w:rsidR="00B502DC">
              <w:tab/>
            </w:r>
            <w:r w:rsidR="00B502DC">
              <w:fldChar w:fldCharType="begin"/>
            </w:r>
            <w:r w:rsidR="00B502DC">
              <w:instrText>PAGEREF _Toc1658654325 \h</w:instrText>
            </w:r>
            <w:r w:rsidR="00B502DC">
              <w:fldChar w:fldCharType="separate"/>
            </w:r>
            <w:r w:rsidRPr="288D0E4F">
              <w:rPr>
                <w:rStyle w:val="Hyperlink"/>
              </w:rPr>
              <w:t>12</w:t>
            </w:r>
            <w:r w:rsidR="00B502DC">
              <w:fldChar w:fldCharType="end"/>
            </w:r>
          </w:hyperlink>
        </w:p>
        <w:p w14:paraId="20F87D19" w14:textId="538C7250" w:rsidR="00B502DC" w:rsidRDefault="288D0E4F" w:rsidP="288D0E4F">
          <w:pPr>
            <w:pStyle w:val="TOC1"/>
            <w:tabs>
              <w:tab w:val="right" w:leader="dot" w:pos="9345"/>
            </w:tabs>
            <w:rPr>
              <w:rStyle w:val="Hyperlink"/>
              <w:noProof/>
            </w:rPr>
          </w:pPr>
          <w:hyperlink w:anchor="_Toc1308539034">
            <w:r w:rsidRPr="288D0E4F">
              <w:rPr>
                <w:rStyle w:val="Hyperlink"/>
              </w:rPr>
              <w:t>Conclusion</w:t>
            </w:r>
            <w:r w:rsidR="00B502DC">
              <w:tab/>
            </w:r>
            <w:r w:rsidR="00B502DC">
              <w:fldChar w:fldCharType="begin"/>
            </w:r>
            <w:r w:rsidR="00B502DC">
              <w:instrText>PAGEREF _Toc1308539034 \h</w:instrText>
            </w:r>
            <w:r w:rsidR="00B502DC">
              <w:fldChar w:fldCharType="separate"/>
            </w:r>
            <w:r w:rsidRPr="288D0E4F">
              <w:rPr>
                <w:rStyle w:val="Hyperlink"/>
              </w:rPr>
              <w:t>12</w:t>
            </w:r>
            <w:r w:rsidR="00B502DC">
              <w:fldChar w:fldCharType="end"/>
            </w:r>
          </w:hyperlink>
        </w:p>
        <w:p w14:paraId="77E3FDCC" w14:textId="5DC75146" w:rsidR="00B502DC" w:rsidRDefault="288D0E4F" w:rsidP="288D0E4F">
          <w:pPr>
            <w:pStyle w:val="TOC1"/>
            <w:tabs>
              <w:tab w:val="right" w:leader="dot" w:pos="9345"/>
            </w:tabs>
            <w:rPr>
              <w:rStyle w:val="Hyperlink"/>
              <w:noProof/>
            </w:rPr>
          </w:pPr>
          <w:hyperlink w:anchor="_Toc1284752432">
            <w:r w:rsidRPr="288D0E4F">
              <w:rPr>
                <w:rStyle w:val="Hyperlink"/>
              </w:rPr>
              <w:t>References</w:t>
            </w:r>
            <w:r w:rsidR="00B502DC">
              <w:tab/>
            </w:r>
            <w:r w:rsidR="00B502DC">
              <w:fldChar w:fldCharType="begin"/>
            </w:r>
            <w:r w:rsidR="00B502DC">
              <w:instrText>PAGEREF _Toc1284752432 \h</w:instrText>
            </w:r>
            <w:r w:rsidR="00B502DC">
              <w:fldChar w:fldCharType="separate"/>
            </w:r>
            <w:r w:rsidRPr="288D0E4F">
              <w:rPr>
                <w:rStyle w:val="Hyperlink"/>
              </w:rPr>
              <w:t>12</w:t>
            </w:r>
            <w:r w:rsidR="00B502DC">
              <w:fldChar w:fldCharType="end"/>
            </w:r>
          </w:hyperlink>
        </w:p>
        <w:p w14:paraId="3FC027CE" w14:textId="34A334BF" w:rsidR="288D0E4F" w:rsidRDefault="288D0E4F" w:rsidP="288D0E4F">
          <w:pPr>
            <w:pStyle w:val="TOC1"/>
            <w:tabs>
              <w:tab w:val="right" w:leader="dot" w:pos="9345"/>
            </w:tabs>
            <w:rPr>
              <w:rStyle w:val="Hyperlink"/>
            </w:rPr>
          </w:pPr>
          <w:hyperlink w:anchor="_Toc1665238934">
            <w:r w:rsidRPr="288D0E4F">
              <w:rPr>
                <w:rStyle w:val="Hyperlink"/>
              </w:rPr>
              <w:t>Appendix A: ETF Indices</w:t>
            </w:r>
            <w:r>
              <w:tab/>
            </w:r>
            <w:r>
              <w:fldChar w:fldCharType="begin"/>
            </w:r>
            <w:r>
              <w:instrText>PAGEREF _Toc1665238934 \h</w:instrText>
            </w:r>
            <w:r>
              <w:fldChar w:fldCharType="separate"/>
            </w:r>
            <w:r w:rsidRPr="288D0E4F">
              <w:rPr>
                <w:rStyle w:val="Hyperlink"/>
              </w:rPr>
              <w:t>13</w:t>
            </w:r>
            <w:r>
              <w:fldChar w:fldCharType="end"/>
            </w:r>
          </w:hyperlink>
          <w:r>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1" w:name="_Toc977646978"/>
      <w:r>
        <w:lastRenderedPageBreak/>
        <w:t>Abstract</w:t>
      </w:r>
      <w:bookmarkEnd w:id="1"/>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 xml:space="preserve">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w:t>
      </w:r>
      <w:proofErr w:type="spellStart"/>
      <w:r w:rsidRPr="00183E2F">
        <w:t>Guidolin</w:t>
      </w:r>
      <w:proofErr w:type="spellEnd"/>
      <w:r w:rsidRPr="00183E2F">
        <w:t xml:space="preserve">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2" w:name="_Toc900516071"/>
      <w:r>
        <w:t>Introduction</w:t>
      </w:r>
      <w:bookmarkEnd w:id="2"/>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w:t>
      </w:r>
      <w:proofErr w:type="gramStart"/>
      <w:r w:rsidRPr="00692568">
        <w:t>HMMs)—</w:t>
      </w:r>
      <w:proofErr w:type="gramEnd"/>
      <w:r w:rsidRPr="00692568">
        <w:t>have emerged as powerful tools for modeling the latent structure of financial time series.</w:t>
      </w:r>
    </w:p>
    <w:p w14:paraId="015DDD0C" w14:textId="77777777" w:rsidR="00692568" w:rsidRPr="00692568" w:rsidRDefault="00692568" w:rsidP="00D54990">
      <w:pPr>
        <w:spacing w:line="480" w:lineRule="auto"/>
      </w:pPr>
      <w:r w:rsidRPr="00692568">
        <w:t xml:space="preserve">This paper introduces a comprehensive methodology for identifying and forecasting latent </w:t>
      </w:r>
      <w:proofErr w:type="gramStart"/>
      <w:r w:rsidRPr="00692568">
        <w:t>financial market</w:t>
      </w:r>
      <w:proofErr w:type="gramEnd"/>
      <w:r w:rsidRPr="00692568">
        <w:t xml:space="preserve">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Pr="00183E2F"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3" w:name="_Toc1212047012"/>
      <w:r>
        <w:t>Literature Review</w:t>
      </w:r>
      <w:bookmarkEnd w:id="3"/>
    </w:p>
    <w:p w14:paraId="5A5C5691" w14:textId="77777777" w:rsidR="00CA2A7D" w:rsidRPr="00CA2A7D" w:rsidRDefault="00CA2A7D" w:rsidP="00D54990">
      <w:pPr>
        <w:spacing w:line="480" w:lineRule="auto"/>
      </w:pPr>
      <w:r w:rsidRPr="00CA2A7D">
        <w:t xml:space="preserve">The empirical modeling of financial markets has long acknowledged the presence of structural shifts and time-varying dynamics that challenge the assumptions of linear, stationary models. In response, researchers have turned to regime-switching </w:t>
      </w:r>
      <w:proofErr w:type="gramStart"/>
      <w:r w:rsidRPr="00CA2A7D">
        <w:t>frameworks—</w:t>
      </w:r>
      <w:proofErr w:type="gramEnd"/>
      <w:r w:rsidRPr="00CA2A7D">
        <w:t>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4" w:name="_Toc504987161"/>
      <w:r>
        <w:t>Regime-Switching Models in Financial Markets</w:t>
      </w:r>
      <w:bookmarkEnd w:id="4"/>
    </w:p>
    <w:p w14:paraId="61245DEF" w14:textId="77777777" w:rsidR="00CA2A7D" w:rsidRPr="00CA2A7D" w:rsidRDefault="00CA2A7D" w:rsidP="00D54990">
      <w:pPr>
        <w:spacing w:line="480" w:lineRule="auto"/>
      </w:pPr>
      <w:r w:rsidRPr="00CA2A7D">
        <w:t xml:space="preserve">The foundational work by Hamilton (1989) introduced Markov-switching models </w:t>
      </w:r>
      <w:proofErr w:type="gramStart"/>
      <w:r w:rsidRPr="00CA2A7D">
        <w:t>as a means to</w:t>
      </w:r>
      <w:proofErr w:type="gramEnd"/>
      <w:r w:rsidRPr="00CA2A7D">
        <w:t xml:space="preserve">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proofErr w:type="spellStart"/>
      <w:r w:rsidRPr="00CA2A7D">
        <w:t>Guidolin</w:t>
      </w:r>
      <w:proofErr w:type="spellEnd"/>
      <w:r w:rsidRPr="00CA2A7D">
        <w:t xml:space="preserve">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5" w:name="_Toc191261284"/>
      <w:r>
        <w:t>Volatility and Momentum as Informative Features</w:t>
      </w:r>
      <w:bookmarkEnd w:id="5"/>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411663CB"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 xml:space="preserve">multiple time scales and has proven to be both theoretically sound and practically effective. These insights inform </w:t>
      </w:r>
      <w:r w:rsidR="0082115D">
        <w:t>the</w:t>
      </w:r>
      <w:r w:rsidRPr="00CA2A7D">
        <w:t xml:space="preserve"> use of scale</w:t>
      </w:r>
      <w:r w:rsidR="0082115D">
        <w:t>d</w:t>
      </w:r>
      <w:r w:rsidRPr="00CA2A7D">
        <w:t xml:space="preserv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6" w:name="_Toc1125397396"/>
      <w:r>
        <w:t>Hidden Markov Models and Extensions</w:t>
      </w:r>
      <w:bookmarkEnd w:id="6"/>
    </w:p>
    <w:p w14:paraId="2EF4A698" w14:textId="205BDD10" w:rsidR="00CA2A7D" w:rsidRPr="00CA2A7D" w:rsidRDefault="00CA2A7D" w:rsidP="00D54990">
      <w:pPr>
        <w:spacing w:line="480" w:lineRule="auto"/>
      </w:pPr>
      <w:r w:rsidRPr="00CA2A7D">
        <w:t xml:space="preserve">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w:t>
      </w:r>
      <w:proofErr w:type="gramStart"/>
      <w:r w:rsidR="0082115D">
        <w:t xml:space="preserve">the </w:t>
      </w:r>
      <w:r w:rsidRPr="00CA2A7D">
        <w:t xml:space="preserve"> implementation</w:t>
      </w:r>
      <w:proofErr w:type="gramEnd"/>
      <w:r w:rsidRPr="00CA2A7D">
        <w:t xml:space="preserve">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 xml:space="preserve">From a practical perspective, HMMs have been effectively applied to pattern recognition and financial forecasting. Lo, Mamaysky, and Wang (2000) utilized HMMs to detect technical patterns in price series, validating the use of probabilistic models </w:t>
      </w:r>
      <w:proofErr w:type="gramStart"/>
      <w:r w:rsidRPr="00CA2A7D">
        <w:t>over rule</w:t>
      </w:r>
      <w:proofErr w:type="gramEnd"/>
      <w:r w:rsidRPr="00CA2A7D">
        <w:t>-based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7" w:name="_Toc447447806"/>
      <w:r>
        <w:t>Forecasting, Risk Management, and Implementation</w:t>
      </w:r>
      <w:bookmarkEnd w:id="7"/>
    </w:p>
    <w:p w14:paraId="461C73F9" w14:textId="4C9A00CE" w:rsidR="00BB2E8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0CACC617" w14:textId="278C2DEB" w:rsidR="00467D40" w:rsidRPr="00AE093B" w:rsidRDefault="00467D40" w:rsidP="00D54990">
      <w:pPr>
        <w:spacing w:line="480" w:lineRule="auto"/>
        <w:rPr>
          <w:highlight w:val="cyan"/>
        </w:rPr>
      </w:pPr>
      <w:r w:rsidRPr="00AE093B">
        <w:rPr>
          <w:highlight w:val="cyan"/>
        </w:rPr>
        <w:t>Add in risk parity research</w:t>
      </w:r>
    </w:p>
    <w:p w14:paraId="396DE168" w14:textId="7E76422E" w:rsidR="00467D40" w:rsidRDefault="00467D40" w:rsidP="00D54990">
      <w:pPr>
        <w:spacing w:line="480" w:lineRule="auto"/>
      </w:pPr>
      <w:r w:rsidRPr="00AE093B">
        <w:rPr>
          <w:highlight w:val="cyan"/>
        </w:rPr>
        <w:t>Add in Meb Faber’s and Paul Tudor Jone</w:t>
      </w:r>
      <w:r w:rsidR="00BE1740" w:rsidRPr="00AE093B">
        <w:rPr>
          <w:highlight w:val="cyan"/>
        </w:rPr>
        <w:t>’s</w:t>
      </w:r>
      <w:r w:rsidRPr="00AE093B">
        <w:rPr>
          <w:highlight w:val="cyan"/>
        </w:rPr>
        <w:t xml:space="preserve"> work on simple moving average</w:t>
      </w:r>
    </w:p>
    <w:p w14:paraId="507BBCEA" w14:textId="22BCB62E" w:rsidR="00BB2E8D" w:rsidRDefault="00BB2E8D" w:rsidP="00BB2E8D">
      <w:pPr>
        <w:pStyle w:val="Heading1"/>
        <w:jc w:val="center"/>
      </w:pPr>
      <w:r>
        <w:t>Algorithm Composition</w:t>
      </w:r>
    </w:p>
    <w:p w14:paraId="3C0BE3F4" w14:textId="19CFF5B5" w:rsidR="00BB2E8D" w:rsidRDefault="003A4E4F" w:rsidP="003A4E4F">
      <w:pPr>
        <w:spacing w:line="480" w:lineRule="auto"/>
      </w:pPr>
      <w:r>
        <w:t xml:space="preserve">The base theory lies in the ability to hedge away all or majority of risk while maintaining exposure above </w:t>
      </w:r>
      <w:proofErr w:type="gramStart"/>
      <w:r>
        <w:t>expectations</w:t>
      </w:r>
      <w:proofErr w:type="gramEnd"/>
      <w:r>
        <w:t xml:space="preserve"> provid</w:t>
      </w:r>
      <w:r w:rsidR="00C9609D">
        <w:t>ing</w:t>
      </w:r>
      <w:r>
        <w:t xml:space="preserve"> greater risk adjusted returns. </w:t>
      </w:r>
      <w:r w:rsidR="00C9609D">
        <w:t>The starting principles begin with using hierarchical clustering of state sequences over a sixty three day time horizon, sixty days w</w:t>
      </w:r>
      <w:r w:rsidR="001B0334">
        <w:t>as</w:t>
      </w:r>
      <w:r w:rsidR="00C9609D">
        <w:t xml:space="preserve"> selected after testing parameters which provide</w:t>
      </w:r>
      <w:r w:rsidR="000C789E">
        <w:t>d</w:t>
      </w:r>
      <w:r w:rsidR="00C9609D">
        <w:t xml:space="preserve"> a </w:t>
      </w:r>
      <w:proofErr w:type="spellStart"/>
      <w:r w:rsidR="00C9609D">
        <w:t>sharpe</w:t>
      </w:r>
      <w:proofErr w:type="spellEnd"/>
      <w:r w:rsidR="00C9609D">
        <w:t xml:space="preserve"> ratio of 3.12 over using one hundred and twenty six days which was only able to achieve a 2.42 </w:t>
      </w:r>
      <w:proofErr w:type="spellStart"/>
      <w:r w:rsidR="00C9609D">
        <w:t>sharpe</w:t>
      </w:r>
      <w:proofErr w:type="spellEnd"/>
      <w:r w:rsidR="00C9609D">
        <w:t xml:space="preserve"> ratio this proved that shortening the sequence lookback to have more recency gives the hierarchal clustering better ability to group assets based on the previous quarter rather than the last half year. </w:t>
      </w:r>
    </w:p>
    <w:p w14:paraId="64DFFADB" w14:textId="0903CC74" w:rsidR="00C9609D" w:rsidRDefault="00C9609D" w:rsidP="003A4E4F">
      <w:pPr>
        <w:spacing w:line="480" w:lineRule="auto"/>
      </w:pPr>
      <w:r>
        <w:t xml:space="preserve">Assets that are most </w:t>
      </w:r>
      <w:proofErr w:type="gramStart"/>
      <w:r>
        <w:t>similar to</w:t>
      </w:r>
      <w:proofErr w:type="gramEnd"/>
      <w:r>
        <w:t xml:space="preserve"> each other in sequences are then clustered with upper and lower bound caps on the allowable </w:t>
      </w:r>
      <w:r w:rsidR="00864AEB">
        <w:t>number</w:t>
      </w:r>
      <w:r>
        <w:t xml:space="preserve"> of clusters to be decided. </w:t>
      </w:r>
    </w:p>
    <w:p w14:paraId="28626A3A" w14:textId="2DC22CE6" w:rsidR="0046265C" w:rsidRDefault="00C9609D" w:rsidP="003A4E4F">
      <w:pPr>
        <w:spacing w:line="480" w:lineRule="auto"/>
      </w:pPr>
      <w:r w:rsidRPr="005B7CD0">
        <w:rPr>
          <w:highlight w:val="magenta"/>
        </w:rPr>
        <w:t xml:space="preserve">When constructing the portfolio from the clusters this process begins with </w:t>
      </w:r>
      <w:r w:rsidR="00E21B79" w:rsidRPr="005B7CD0">
        <w:rPr>
          <w:highlight w:val="magenta"/>
        </w:rPr>
        <w:t>selecting the top assets based on propagated forward bullish sentiment using the HMM transition matrix and current state probabilities.</w:t>
      </w:r>
      <w:r w:rsidR="00C41A55" w:rsidRPr="005B7CD0">
        <w:rPr>
          <w:highlight w:val="magenta"/>
        </w:rPr>
        <w:t xml:space="preserve"> </w:t>
      </w:r>
      <w:proofErr w:type="gramStart"/>
      <w:r w:rsidR="00C41A55" w:rsidRPr="005B7CD0">
        <w:rPr>
          <w:highlight w:val="magenta"/>
        </w:rPr>
        <w:t>Sixty three</w:t>
      </w:r>
      <w:proofErr w:type="gramEnd"/>
      <w:r w:rsidR="00294FB9" w:rsidRPr="005B7CD0">
        <w:rPr>
          <w:highlight w:val="magenta"/>
        </w:rPr>
        <w:t xml:space="preserve"> trading </w:t>
      </w:r>
      <w:proofErr w:type="gramStart"/>
      <w:r w:rsidR="00294FB9" w:rsidRPr="005B7CD0">
        <w:rPr>
          <w:highlight w:val="magenta"/>
        </w:rPr>
        <w:t>days</w:t>
      </w:r>
      <w:proofErr w:type="gramEnd"/>
      <w:r w:rsidR="00294FB9" w:rsidRPr="005B7CD0">
        <w:rPr>
          <w:highlight w:val="magenta"/>
        </w:rPr>
        <w:t xml:space="preserve"> which represents </w:t>
      </w:r>
      <w:r w:rsidR="00C41A55" w:rsidRPr="005B7CD0">
        <w:rPr>
          <w:highlight w:val="magenta"/>
        </w:rPr>
        <w:t>three</w:t>
      </w:r>
      <w:r w:rsidR="00294FB9" w:rsidRPr="005B7CD0">
        <w:rPr>
          <w:highlight w:val="magenta"/>
        </w:rPr>
        <w:t xml:space="preserve"> months of trading </w:t>
      </w:r>
      <w:proofErr w:type="gramStart"/>
      <w:r w:rsidR="00294FB9" w:rsidRPr="005B7CD0">
        <w:rPr>
          <w:highlight w:val="magenta"/>
        </w:rPr>
        <w:t>data</w:t>
      </w:r>
      <w:proofErr w:type="gramEnd"/>
      <w:r w:rsidR="00294FB9" w:rsidRPr="005B7CD0">
        <w:rPr>
          <w:highlight w:val="magenta"/>
        </w:rPr>
        <w:t xml:space="preserve"> is utilized for the length of sequences that the</w:t>
      </w:r>
      <w:r w:rsidR="008D7437" w:rsidRPr="005B7CD0">
        <w:rPr>
          <w:highlight w:val="magenta"/>
        </w:rPr>
        <w:t xml:space="preserve"> hierarchical clustering model will cluster with.</w:t>
      </w:r>
      <w:r w:rsidR="008D7437">
        <w:t xml:space="preserve"> </w:t>
      </w:r>
    </w:p>
    <w:p w14:paraId="57E6CD3B" w14:textId="532AB4AE" w:rsidR="0092313C" w:rsidRPr="00BB2E8D" w:rsidRDefault="00E21B79" w:rsidP="003A4E4F">
      <w:pPr>
        <w:spacing w:line="480" w:lineRule="auto"/>
      </w:pPr>
      <w:r>
        <w:t>Then all the assets within each cluster are weighted based on vanilla risk parity</w:t>
      </w:r>
      <w:r w:rsidR="00920677">
        <w:t>, with returns being discounted to the risk-free rate of return</w:t>
      </w:r>
      <w:r>
        <w:t>.</w:t>
      </w:r>
      <w:r w:rsidR="00920677">
        <w:t xml:space="preserve"> This was utilized to have a current market effect on the equation of returns as well as improve the explanatory power of returns for the risk parity </w:t>
      </w:r>
      <w:r w:rsidR="00920677">
        <w:lastRenderedPageBreak/>
        <w:t>weighting.</w:t>
      </w:r>
      <w:r>
        <w:t xml:space="preserve"> Such that each asset is weighted based on risk contribution to the cluster itself. Following this </w:t>
      </w:r>
      <w:r w:rsidR="0092313C">
        <w:t xml:space="preserve">the clusters are then vanilla risk parity weighted among themselves. This process further reduces risk, </w:t>
      </w:r>
      <w:r w:rsidR="002278F7">
        <w:t>at the level of assets that are clustered together will have a unit risk among themselves</w:t>
      </w:r>
      <w:r w:rsidR="001D5F51">
        <w:t xml:space="preserve"> and at the portfolio level each cluster will have unit risk among themselves. </w:t>
      </w:r>
    </w:p>
    <w:p w14:paraId="500E36A4" w14:textId="77777777" w:rsidR="0015664E" w:rsidRDefault="0015664E" w:rsidP="00040E8C">
      <w:pPr>
        <w:pStyle w:val="Heading1"/>
        <w:spacing w:line="480" w:lineRule="auto"/>
        <w:jc w:val="center"/>
      </w:pPr>
      <w:bookmarkStart w:id="8" w:name="_Toc1400423196"/>
      <w:r>
        <w:t>Test Portfolio Composition</w:t>
      </w:r>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r>
        <w:t>Global Macro ETF Portfolio</w:t>
      </w:r>
    </w:p>
    <w:p w14:paraId="28BEBB7C" w14:textId="30300664"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due to </w:t>
      </w:r>
      <w:r w:rsidR="00E948B8">
        <w:t xml:space="preserve">a </w:t>
      </w:r>
      <w:r>
        <w:t>lack of options available.</w:t>
      </w:r>
    </w:p>
    <w:p w14:paraId="382B4E87" w14:textId="77777777" w:rsidR="0015664E" w:rsidRDefault="0015664E" w:rsidP="00D54990">
      <w:pPr>
        <w:pStyle w:val="Heading2"/>
        <w:spacing w:line="480" w:lineRule="auto"/>
      </w:pPr>
      <w:r>
        <w:t>Global Macro Stock Portfolio</w:t>
      </w:r>
    </w:p>
    <w:p w14:paraId="57FE40F1" w14:textId="1C97AEE9"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w:t>
      </w:r>
      <w:r>
        <w:lastRenderedPageBreak/>
        <w:t xml:space="preserve">selection criteria </w:t>
      </w:r>
      <w:proofErr w:type="gramStart"/>
      <w:r w:rsidR="00D67025">
        <w:t>is</w:t>
      </w:r>
      <w:proofErr w:type="gramEnd"/>
      <w:r>
        <w:t xml:space="preserve"> as follows, the portfolio was split evenly across US and non-US stocks</w:t>
      </w:r>
      <w:proofErr w:type="gramStart"/>
      <w:r>
        <w:t>, the</w:t>
      </w:r>
      <w:proofErr w:type="gramEnd"/>
      <w:r>
        <w:t xml:space="preserve"> companies selected needed to have IPO dates at least </w:t>
      </w:r>
      <w:r w:rsidR="0054030F">
        <w:t>2</w:t>
      </w:r>
      <w:r>
        <w:t xml:space="preserve">0 years ago, and the Market Capitalization needed to be greater than 10 billion. </w:t>
      </w:r>
      <w:r w:rsidR="00580958" w:rsidRPr="00580958">
        <w:rPr>
          <w:highlight w:val="cyan"/>
        </w:rPr>
        <w:t>Selection size</w:t>
      </w:r>
    </w:p>
    <w:p w14:paraId="04326BD1" w14:textId="5E1B4A4C" w:rsidR="00C2030C" w:rsidRPr="00C2030C" w:rsidRDefault="00C2030C" w:rsidP="00040E8C">
      <w:pPr>
        <w:pStyle w:val="Heading1"/>
        <w:spacing w:line="480" w:lineRule="auto"/>
        <w:jc w:val="center"/>
      </w:pPr>
      <w:r>
        <w:t>Data and Descriptive Statistics</w:t>
      </w:r>
      <w:bookmarkEnd w:id="8"/>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9" w:name="_Toc15050151"/>
      <w:r>
        <w:t>Data Sources</w:t>
      </w:r>
      <w:bookmarkEnd w:id="9"/>
    </w:p>
    <w:p w14:paraId="463B8C2B" w14:textId="77777777" w:rsidR="00C2030C" w:rsidRDefault="00C2030C" w:rsidP="00D54990">
      <w:pPr>
        <w:spacing w:line="480" w:lineRule="auto"/>
      </w:pPr>
      <w:r>
        <w:t xml:space="preserve">The market data comprises daily adjusted closing prices for a selection of exchange-traded funds (ETFs), downloaded using the </w:t>
      </w:r>
      <w:proofErr w:type="spellStart"/>
      <w:r>
        <w:t>yfinance</w:t>
      </w:r>
      <w:proofErr w:type="spellEnd"/>
      <w:r>
        <w:t xml:space="preserv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0" w:name="_Toc888823867"/>
      <w:r>
        <w:t>Feature Engineering</w:t>
      </w:r>
      <w:bookmarkEnd w:id="10"/>
    </w:p>
    <w:p w14:paraId="75C1A6B9" w14:textId="77777777" w:rsidR="00C2030C" w:rsidRPr="00C2030C" w:rsidRDefault="00C2030C" w:rsidP="00D54990">
      <w:pPr>
        <w:spacing w:line="480" w:lineRule="auto"/>
      </w:pPr>
      <w:r w:rsidRPr="00C2030C">
        <w:t>The model uses three engineered features:</w:t>
      </w:r>
    </w:p>
    <w:p w14:paraId="2126040A" w14:textId="201E2507" w:rsidR="00C2030C" w:rsidRPr="00C2030C" w:rsidRDefault="00C2030C" w:rsidP="00D54990">
      <w:pPr>
        <w:spacing w:line="480" w:lineRule="auto"/>
      </w:pPr>
      <w:r w:rsidRPr="00C2030C">
        <w:lastRenderedPageBreak/>
        <w:t xml:space="preserve">Momentum: Calculated as the average of compounded returns over multiple time horizons (typically </w:t>
      </w:r>
      <w:r w:rsidR="00000830">
        <w:t xml:space="preserve">1, </w:t>
      </w:r>
      <w:r w:rsidRPr="00C2030C">
        <w:t xml:space="preserve">3, </w:t>
      </w:r>
      <w:r w:rsidR="005E5CDA" w:rsidRPr="00C2030C">
        <w:t xml:space="preserve">6, </w:t>
      </w:r>
      <w:r w:rsidR="005E5CDA">
        <w:t>and</w:t>
      </w:r>
      <w:r w:rsidR="00000830">
        <w:t xml:space="preserve"> </w:t>
      </w:r>
      <w:r w:rsidRPr="00C2030C">
        <w:t>9</w:t>
      </w:r>
      <w:r w:rsidR="00000830">
        <w:t xml:space="preserve"> months</w:t>
      </w:r>
      <w:r w:rsidRPr="00C2030C">
        <w:t>).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1" w:name="_Toc508496265"/>
      <w:r>
        <w:t>Normalization and Dataset Splitting</w:t>
      </w:r>
      <w:bookmarkEnd w:id="11"/>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w:t>
      </w:r>
      <w:proofErr w:type="gramStart"/>
      <w:r w:rsidRPr="00C2030C">
        <w:t>mean</w:t>
      </w:r>
      <w:proofErr w:type="gramEnd"/>
      <w:r w:rsidRPr="00C2030C">
        <w:t xml:space="preserve">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w:t>
      </w:r>
      <w:proofErr w:type="gramStart"/>
      <w:r w:rsidRPr="00C2030C">
        <w:t>to</w:t>
      </w:r>
      <w:proofErr w:type="gramEnd"/>
      <w:r w:rsidRPr="00C2030C">
        <w:t xml:space="preserve"> recent trends and can generalize across unseen data.</w:t>
      </w:r>
    </w:p>
    <w:p w14:paraId="217CE483" w14:textId="10F34263" w:rsidR="002937F9" w:rsidRPr="002937F9" w:rsidRDefault="002937F9" w:rsidP="00040E8C">
      <w:pPr>
        <w:pStyle w:val="Heading1"/>
        <w:spacing w:line="480" w:lineRule="auto"/>
        <w:jc w:val="center"/>
      </w:pPr>
      <w:bookmarkStart w:id="12" w:name="_Toc1351696132"/>
      <w:r>
        <w:lastRenderedPageBreak/>
        <w:t>Methodology</w:t>
      </w:r>
      <w:bookmarkEnd w:id="12"/>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bookmarkStart w:id="13" w:name="_Toc202029292"/>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 xml:space="preserve">To compute the initial covariance structure, we estimated a diagonal covariance matrix for each state based on the data points assigned to that cluster. For each cluster, if it contained more than one data point, the feature-wise variances were computed across those </w:t>
      </w:r>
      <w:proofErr w:type="gramStart"/>
      <w:r w:rsidRPr="00D92339">
        <w:t>points</w:t>
      </w:r>
      <w:proofErr w:type="gramEnd"/>
      <w:r w:rsidRPr="00D92339">
        <w:t xml:space="preserve">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r>
        <w:lastRenderedPageBreak/>
        <w:t>Model Architecture</w:t>
      </w:r>
      <w:bookmarkEnd w:id="13"/>
    </w:p>
    <w:p w14:paraId="014C2661" w14:textId="03B05AFC" w:rsidR="002176EE" w:rsidRPr="002176EE" w:rsidRDefault="002176EE" w:rsidP="00D54990">
      <w:pPr>
        <w:pStyle w:val="Heading3"/>
        <w:spacing w:line="480" w:lineRule="auto"/>
      </w:pPr>
      <w:r>
        <w:t>HMM Model</w:t>
      </w:r>
    </w:p>
    <w:p w14:paraId="0EEB6F3A" w14:textId="77777777" w:rsidR="00FE79E1" w:rsidRPr="00FE79E1" w:rsidRDefault="00FE79E1" w:rsidP="00FE79E1">
      <w:pPr>
        <w:pStyle w:val="Heading3"/>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FE79E1">
      <w:pPr>
        <w:pStyle w:val="Heading3"/>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FE79E1">
      <w:pPr>
        <w:pStyle w:val="Heading3"/>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FE79E1">
      <w:pPr>
        <w:pStyle w:val="Heading3"/>
        <w:spacing w:line="480" w:lineRule="auto"/>
      </w:pPr>
      <w:r w:rsidRPr="00FE79E1">
        <w:lastRenderedPageBreak/>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r>
        <w:t>Rolling Training Window</w:t>
      </w:r>
    </w:p>
    <w:p w14:paraId="7165EBDC" w14:textId="77777777" w:rsidR="00FE79E1" w:rsidRPr="00FE79E1" w:rsidRDefault="00FE79E1" w:rsidP="00FE79E1">
      <w:pPr>
        <w:spacing w:line="480" w:lineRule="auto"/>
      </w:pPr>
      <w:bookmarkStart w:id="14" w:name="_Toc93369718"/>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FE79E1">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FE79E1">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r>
        <w:lastRenderedPageBreak/>
        <w:t>Model Initialization and Training</w:t>
      </w:r>
      <w:bookmarkEnd w:id="14"/>
    </w:p>
    <w:p w14:paraId="097444AF" w14:textId="3331A38A" w:rsidR="002937F9" w:rsidRPr="002937F9" w:rsidRDefault="002937F9" w:rsidP="00D54990">
      <w:pPr>
        <w:spacing w:line="480" w:lineRule="auto"/>
      </w:pPr>
      <w:r w:rsidRPr="002937F9">
        <w:t xml:space="preserve">To initialize the </w:t>
      </w:r>
      <w:r w:rsidR="00E3184D">
        <w:t xml:space="preserve">Gaussian </w:t>
      </w:r>
      <w:r w:rsidRPr="002937F9">
        <w:t xml:space="preserve">HMM, </w:t>
      </w:r>
      <w:r w:rsidR="00710E61" w:rsidRPr="00710E61">
        <w:t>K</w:t>
      </w:r>
      <w:r w:rsidRPr="00710E61">
        <w:t>-means</w:t>
      </w:r>
      <w:r w:rsidRPr="002937F9">
        <w:t xml:space="preserve">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r>
        <w:t>State Labeling</w:t>
      </w:r>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lastRenderedPageBreak/>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r w:rsidRPr="00501B6C">
        <w:rPr>
          <w:rStyle w:val="Heading2Char"/>
        </w:rPr>
        <w:t>State Inference</w:t>
      </w:r>
      <w:r w:rsidRPr="00FB7478">
        <w:br/>
        <w:t xml:space="preserve">Once the Hidden Markov Model (HMM) is trained, it is used to infer the most probable sequence of latent regimes (or hidden states) that could have produced the observed data. This step is crucial for understanding how the underlying dynamics evolve over time. The inference is typically performed using the </w:t>
      </w:r>
      <w:r w:rsidRPr="00FB7478">
        <w:rPr>
          <w:bCs/>
        </w:rPr>
        <w:t>Viterbi algorithm</w:t>
      </w:r>
      <w:r w:rsidRPr="00FB7478">
        <w:t xml:space="preserve">, a dynamic programming technique that computes the single most likely sequence of hidden states given the observed sequence and the trained model parameters (transition probabilities, emission probabilities, and initial state distribution). The Viterbi algorithm operates efficiently </w:t>
      </w:r>
      <w:proofErr w:type="gramStart"/>
      <w:r w:rsidRPr="00FB7478">
        <w:t>by recursively</w:t>
      </w:r>
      <w:proofErr w:type="gramEnd"/>
      <w:r w:rsidRPr="00FB7478">
        <w:t xml:space="preserve">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r>
        <w:t>State Forecasting</w:t>
      </w:r>
    </w:p>
    <w:p w14:paraId="6B249F46" w14:textId="46BAF59D" w:rsidR="003172D3" w:rsidRDefault="003172D3" w:rsidP="00D54990">
      <w:pPr>
        <w:spacing w:line="480" w:lineRule="auto"/>
        <w:rPr>
          <w:b/>
        </w:rPr>
      </w:pPr>
      <w:bookmarkStart w:id="15" w:name="_Toc220477276"/>
      <w:r w:rsidRPr="003172D3">
        <w:t xml:space="preserve">This process involves projecting the future state distribution of a Hidden Markov Model (HMM) over a fixed time horizon, specifically </w:t>
      </w:r>
      <w:proofErr w:type="gramStart"/>
      <w:r w:rsidRPr="003172D3">
        <w:t>21</w:t>
      </w:r>
      <w:r w:rsidR="00D621B5">
        <w:t xml:space="preserve"> time</w:t>
      </w:r>
      <w:proofErr w:type="gramEnd"/>
      <w:r w:rsidRPr="003172D3">
        <w:t xml:space="preserve"> steps ahead</w:t>
      </w:r>
      <w:r w:rsidR="00D621B5">
        <w:t xml:space="preserve"> (1 trading month)</w:t>
      </w:r>
      <w:r w:rsidRPr="003172D3">
        <w:t xml:space="preserve">. It begins with the </w:t>
      </w:r>
      <w:r w:rsidRPr="003172D3">
        <w:lastRenderedPageBreak/>
        <w:t xml:space="preserve">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bookmarkEnd w:id="15"/>
    <w:p w14:paraId="2DF09310" w14:textId="2DD75767" w:rsidR="002937F9" w:rsidRPr="002937F9" w:rsidRDefault="002937F9" w:rsidP="00D54990">
      <w:pPr>
        <w:spacing w:line="480" w:lineRule="auto"/>
      </w:pPr>
      <w:r>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007A0918" w14:textId="4D9CF90B" w:rsidR="464DE786" w:rsidRDefault="464DE786" w:rsidP="00F7540A">
      <w:pPr>
        <w:pStyle w:val="Heading1"/>
        <w:spacing w:line="480" w:lineRule="auto"/>
        <w:jc w:val="center"/>
      </w:pPr>
      <w:bookmarkStart w:id="16" w:name="_Toc343834519"/>
      <w:r>
        <w:t>Risk Management</w:t>
      </w:r>
      <w:bookmarkEnd w:id="16"/>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17" w:name="_Toc428345420"/>
      <w:r>
        <w:lastRenderedPageBreak/>
        <w:t>Results</w:t>
      </w:r>
      <w:bookmarkEnd w:id="17"/>
    </w:p>
    <w:p w14:paraId="0BB139B3" w14:textId="6AB81659" w:rsidR="003E2B6C" w:rsidRDefault="003C73D7" w:rsidP="00F7540A">
      <w:pPr>
        <w:pStyle w:val="Heading1"/>
        <w:spacing w:line="480" w:lineRule="auto"/>
        <w:jc w:val="center"/>
      </w:pPr>
      <w:bookmarkStart w:id="18" w:name="_Toc1658654325"/>
      <w:r>
        <w:t>Discussion</w:t>
      </w:r>
      <w:bookmarkEnd w:id="18"/>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proofErr w:type="gramStart"/>
      <w:r>
        <w:t>The</w:t>
      </w:r>
      <w:proofErr w:type="gramEnd"/>
      <w:r>
        <w:t xml:space="preserve"> demonstrated the differentiation power that would be expected this was demonstrated </w:t>
      </w:r>
      <w:proofErr w:type="gramStart"/>
      <w:r>
        <w:t>through the use of</w:t>
      </w:r>
      <w:proofErr w:type="gramEnd"/>
      <w:r>
        <w:t xml:space="preserve"> ETFs and individual stocks representing the same breakdown of equities.</w:t>
      </w:r>
    </w:p>
    <w:p w14:paraId="4A98AE38" w14:textId="643F550B" w:rsidR="00C7341A" w:rsidRDefault="00205EE2" w:rsidP="00D54990">
      <w:pPr>
        <w:spacing w:line="480" w:lineRule="auto"/>
      </w:pPr>
      <w:r>
        <w:t xml:space="preserve">The model </w:t>
      </w:r>
      <w:proofErr w:type="gramStart"/>
      <w:r>
        <w:t>is able to</w:t>
      </w:r>
      <w:proofErr w:type="gramEnd"/>
      <w:r>
        <w:t xml:space="preserve">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19" w:name="_Toc1308539034"/>
      <w:r>
        <w:t>Conclusion</w:t>
      </w:r>
      <w:bookmarkEnd w:id="19"/>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0" w:name="_Toc1284752432"/>
      <w:r>
        <w:lastRenderedPageBreak/>
        <w:t>References</w:t>
      </w:r>
      <w:bookmarkEnd w:id="20"/>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proofErr w:type="spellStart"/>
      <w:r w:rsidRPr="00F95A4A">
        <w:t>Guidolin</w:t>
      </w:r>
      <w:proofErr w:type="spellEnd"/>
      <w:r w:rsidRPr="00F95A4A">
        <w:t xml:space="preserve">,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proofErr w:type="spellStart"/>
      <w:r w:rsidRPr="00F95A4A">
        <w:rPr>
          <w:i/>
          <w:iCs/>
        </w:rPr>
        <w:t>Econometrica</w:t>
      </w:r>
      <w:proofErr w:type="spellEnd"/>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1" w:name="_Toc1665238934"/>
      <w:r>
        <w:lastRenderedPageBreak/>
        <w:t>Appendix A: ETF Indices</w:t>
      </w:r>
      <w:bookmarkEnd w:id="21"/>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 xml:space="preserve">Emerging, FTSE Emerging Markets All Cap China </w:t>
      </w:r>
      <w:proofErr w:type="gramStart"/>
      <w:r w:rsidRPr="288D0E4F">
        <w:t>A</w:t>
      </w:r>
      <w:proofErr w:type="gramEnd"/>
      <w:r w:rsidRPr="288D0E4F">
        <w:t xml:space="preserve">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w:t>
      </w:r>
      <w:proofErr w:type="gramStart"/>
      <w:r w:rsidRPr="288D0E4F">
        <w:rPr>
          <w:rFonts w:eastAsia="Times New Roman" w:cs="Times New Roman"/>
        </w:rPr>
        <w:t>3 year</w:t>
      </w:r>
      <w:proofErr w:type="gramEnd"/>
      <w:r w:rsidRPr="288D0E4F">
        <w:rPr>
          <w:rFonts w:eastAsia="Times New Roman" w:cs="Times New Roman"/>
        </w:rPr>
        <w:t xml:space="preserve">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w:t>
      </w:r>
      <w:proofErr w:type="gramStart"/>
      <w:r w:rsidRPr="288D0E4F">
        <w:rPr>
          <w:rFonts w:eastAsia="Times New Roman" w:cs="Times New Roman"/>
        </w:rPr>
        <w:t>7 year</w:t>
      </w:r>
      <w:proofErr w:type="gramEnd"/>
      <w:r w:rsidRPr="288D0E4F">
        <w:rPr>
          <w:rFonts w:eastAsia="Times New Roman" w:cs="Times New Roman"/>
        </w:rPr>
        <w:t xml:space="preserve">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7"/>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673B3" w14:textId="77777777" w:rsidR="00F05FC1" w:rsidRDefault="00F05FC1" w:rsidP="008D2000">
      <w:pPr>
        <w:spacing w:after="0" w:line="240" w:lineRule="auto"/>
      </w:pPr>
      <w:r>
        <w:separator/>
      </w:r>
    </w:p>
  </w:endnote>
  <w:endnote w:type="continuationSeparator" w:id="0">
    <w:p w14:paraId="51CEE599" w14:textId="77777777" w:rsidR="00F05FC1" w:rsidRDefault="00F05FC1"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92DAF" w14:textId="77777777" w:rsidR="00F05FC1" w:rsidRDefault="00F05FC1" w:rsidP="008D2000">
      <w:pPr>
        <w:spacing w:after="0" w:line="240" w:lineRule="auto"/>
      </w:pPr>
      <w:r>
        <w:separator/>
      </w:r>
    </w:p>
  </w:footnote>
  <w:footnote w:type="continuationSeparator" w:id="0">
    <w:p w14:paraId="6F14685C" w14:textId="77777777" w:rsidR="00F05FC1" w:rsidRDefault="00F05FC1"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0830"/>
    <w:rsid w:val="0000577C"/>
    <w:rsid w:val="00040E8C"/>
    <w:rsid w:val="00042F16"/>
    <w:rsid w:val="00051E04"/>
    <w:rsid w:val="00074247"/>
    <w:rsid w:val="000847EE"/>
    <w:rsid w:val="00085864"/>
    <w:rsid w:val="000B6E12"/>
    <w:rsid w:val="000C2D23"/>
    <w:rsid w:val="000C789E"/>
    <w:rsid w:val="000D0599"/>
    <w:rsid w:val="000D1EFC"/>
    <w:rsid w:val="000E514D"/>
    <w:rsid w:val="000F1742"/>
    <w:rsid w:val="00100189"/>
    <w:rsid w:val="00117181"/>
    <w:rsid w:val="00131500"/>
    <w:rsid w:val="00146C02"/>
    <w:rsid w:val="00152F51"/>
    <w:rsid w:val="0015664E"/>
    <w:rsid w:val="0017038D"/>
    <w:rsid w:val="00175C23"/>
    <w:rsid w:val="0018081E"/>
    <w:rsid w:val="00183E2F"/>
    <w:rsid w:val="001B0334"/>
    <w:rsid w:val="001D5F51"/>
    <w:rsid w:val="001E545E"/>
    <w:rsid w:val="00205C1F"/>
    <w:rsid w:val="00205EE2"/>
    <w:rsid w:val="002176EE"/>
    <w:rsid w:val="002278F7"/>
    <w:rsid w:val="002354A8"/>
    <w:rsid w:val="0024671C"/>
    <w:rsid w:val="00250930"/>
    <w:rsid w:val="002937F9"/>
    <w:rsid w:val="00294FB9"/>
    <w:rsid w:val="002B07EE"/>
    <w:rsid w:val="002C04BA"/>
    <w:rsid w:val="002D0DC0"/>
    <w:rsid w:val="002E20F4"/>
    <w:rsid w:val="002E519A"/>
    <w:rsid w:val="00300D50"/>
    <w:rsid w:val="00311B0C"/>
    <w:rsid w:val="003172D3"/>
    <w:rsid w:val="00321FC6"/>
    <w:rsid w:val="00343614"/>
    <w:rsid w:val="0035345E"/>
    <w:rsid w:val="00362836"/>
    <w:rsid w:val="003912C2"/>
    <w:rsid w:val="00392A48"/>
    <w:rsid w:val="00392F74"/>
    <w:rsid w:val="003A4E4F"/>
    <w:rsid w:val="003C73D7"/>
    <w:rsid w:val="003D07DB"/>
    <w:rsid w:val="003D60A6"/>
    <w:rsid w:val="003E2B6C"/>
    <w:rsid w:val="003E3A6B"/>
    <w:rsid w:val="003E4853"/>
    <w:rsid w:val="003E6299"/>
    <w:rsid w:val="00414CF6"/>
    <w:rsid w:val="004172C9"/>
    <w:rsid w:val="004336B9"/>
    <w:rsid w:val="00450BE0"/>
    <w:rsid w:val="0046265C"/>
    <w:rsid w:val="00467D40"/>
    <w:rsid w:val="004C40D5"/>
    <w:rsid w:val="004E6530"/>
    <w:rsid w:val="004F5824"/>
    <w:rsid w:val="00501B6C"/>
    <w:rsid w:val="00504F66"/>
    <w:rsid w:val="00505C99"/>
    <w:rsid w:val="0054030F"/>
    <w:rsid w:val="0056236D"/>
    <w:rsid w:val="00564941"/>
    <w:rsid w:val="00571EF1"/>
    <w:rsid w:val="00577041"/>
    <w:rsid w:val="00580958"/>
    <w:rsid w:val="005B24B8"/>
    <w:rsid w:val="005B7CD0"/>
    <w:rsid w:val="005C1ED2"/>
    <w:rsid w:val="005C3CF9"/>
    <w:rsid w:val="005D1A99"/>
    <w:rsid w:val="005D3A73"/>
    <w:rsid w:val="005D577F"/>
    <w:rsid w:val="005E28E3"/>
    <w:rsid w:val="005E5CDA"/>
    <w:rsid w:val="005E7C62"/>
    <w:rsid w:val="00625CB9"/>
    <w:rsid w:val="00646171"/>
    <w:rsid w:val="00692568"/>
    <w:rsid w:val="00693174"/>
    <w:rsid w:val="006E407A"/>
    <w:rsid w:val="006E754B"/>
    <w:rsid w:val="006F4B89"/>
    <w:rsid w:val="00710E61"/>
    <w:rsid w:val="00713A2C"/>
    <w:rsid w:val="00735FB5"/>
    <w:rsid w:val="00772A8A"/>
    <w:rsid w:val="007874A5"/>
    <w:rsid w:val="007A79BB"/>
    <w:rsid w:val="007D1631"/>
    <w:rsid w:val="007E5608"/>
    <w:rsid w:val="00804BEA"/>
    <w:rsid w:val="00814FDC"/>
    <w:rsid w:val="0082115D"/>
    <w:rsid w:val="00827F5E"/>
    <w:rsid w:val="00831CB7"/>
    <w:rsid w:val="0084113E"/>
    <w:rsid w:val="00845572"/>
    <w:rsid w:val="0084724E"/>
    <w:rsid w:val="00864AEB"/>
    <w:rsid w:val="00865A84"/>
    <w:rsid w:val="0088748F"/>
    <w:rsid w:val="00893D6D"/>
    <w:rsid w:val="008A4D4A"/>
    <w:rsid w:val="008B2A9B"/>
    <w:rsid w:val="008B7333"/>
    <w:rsid w:val="008C0ACA"/>
    <w:rsid w:val="008D2000"/>
    <w:rsid w:val="008D7437"/>
    <w:rsid w:val="00915FF7"/>
    <w:rsid w:val="00920677"/>
    <w:rsid w:val="00921051"/>
    <w:rsid w:val="0092313C"/>
    <w:rsid w:val="00932CA0"/>
    <w:rsid w:val="00943AAA"/>
    <w:rsid w:val="009464E6"/>
    <w:rsid w:val="009A672A"/>
    <w:rsid w:val="009C0E46"/>
    <w:rsid w:val="009C5146"/>
    <w:rsid w:val="009E637C"/>
    <w:rsid w:val="009E6A0E"/>
    <w:rsid w:val="00A1342A"/>
    <w:rsid w:val="00A25490"/>
    <w:rsid w:val="00A52457"/>
    <w:rsid w:val="00A579B3"/>
    <w:rsid w:val="00A8630C"/>
    <w:rsid w:val="00A9430F"/>
    <w:rsid w:val="00AA3F4C"/>
    <w:rsid w:val="00AC639D"/>
    <w:rsid w:val="00AD32ED"/>
    <w:rsid w:val="00AD512C"/>
    <w:rsid w:val="00AD57D6"/>
    <w:rsid w:val="00AE093B"/>
    <w:rsid w:val="00AE6217"/>
    <w:rsid w:val="00AF60B4"/>
    <w:rsid w:val="00B23550"/>
    <w:rsid w:val="00B30FB8"/>
    <w:rsid w:val="00B502DC"/>
    <w:rsid w:val="00B9686B"/>
    <w:rsid w:val="00BA787B"/>
    <w:rsid w:val="00BB2E8D"/>
    <w:rsid w:val="00BE1740"/>
    <w:rsid w:val="00BE6427"/>
    <w:rsid w:val="00C048BF"/>
    <w:rsid w:val="00C14913"/>
    <w:rsid w:val="00C1718A"/>
    <w:rsid w:val="00C2030C"/>
    <w:rsid w:val="00C273E9"/>
    <w:rsid w:val="00C41A55"/>
    <w:rsid w:val="00C7341A"/>
    <w:rsid w:val="00C73ACE"/>
    <w:rsid w:val="00C77502"/>
    <w:rsid w:val="00C827D0"/>
    <w:rsid w:val="00C9609D"/>
    <w:rsid w:val="00CA2A7D"/>
    <w:rsid w:val="00CC21BF"/>
    <w:rsid w:val="00CC5A11"/>
    <w:rsid w:val="00CD7B35"/>
    <w:rsid w:val="00CE0A25"/>
    <w:rsid w:val="00D24374"/>
    <w:rsid w:val="00D54990"/>
    <w:rsid w:val="00D54A73"/>
    <w:rsid w:val="00D6051A"/>
    <w:rsid w:val="00D621B5"/>
    <w:rsid w:val="00D67025"/>
    <w:rsid w:val="00D716CF"/>
    <w:rsid w:val="00D77F6F"/>
    <w:rsid w:val="00D92339"/>
    <w:rsid w:val="00DB0DC7"/>
    <w:rsid w:val="00DB10B0"/>
    <w:rsid w:val="00DB1E68"/>
    <w:rsid w:val="00DB4308"/>
    <w:rsid w:val="00DD3262"/>
    <w:rsid w:val="00DE4D2F"/>
    <w:rsid w:val="00DE5F48"/>
    <w:rsid w:val="00DF1631"/>
    <w:rsid w:val="00DF5E42"/>
    <w:rsid w:val="00E055CF"/>
    <w:rsid w:val="00E0C184"/>
    <w:rsid w:val="00E21B79"/>
    <w:rsid w:val="00E3184D"/>
    <w:rsid w:val="00E948B8"/>
    <w:rsid w:val="00EB4739"/>
    <w:rsid w:val="00EB5F8B"/>
    <w:rsid w:val="00EC3D8A"/>
    <w:rsid w:val="00EC446F"/>
    <w:rsid w:val="00EC5481"/>
    <w:rsid w:val="00EF04C5"/>
    <w:rsid w:val="00EF2807"/>
    <w:rsid w:val="00EF3F52"/>
    <w:rsid w:val="00F05FC1"/>
    <w:rsid w:val="00F158D6"/>
    <w:rsid w:val="00F17A3F"/>
    <w:rsid w:val="00F264F6"/>
    <w:rsid w:val="00F43C6B"/>
    <w:rsid w:val="00F618A7"/>
    <w:rsid w:val="00F64B33"/>
    <w:rsid w:val="00F64DF2"/>
    <w:rsid w:val="00F7540A"/>
    <w:rsid w:val="00F82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22</Pages>
  <Words>4530</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203</cp:revision>
  <dcterms:created xsi:type="dcterms:W3CDTF">2025-06-01T11:07:00Z</dcterms:created>
  <dcterms:modified xsi:type="dcterms:W3CDTF">2025-06-21T17:12:00Z</dcterms:modified>
</cp:coreProperties>
</file>