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35FE645C" w:rsidR="00814FDC" w:rsidRDefault="006E754B" w:rsidP="009A672A">
      <w:pPr>
        <w:pStyle w:val="Title"/>
      </w:pPr>
      <w:r>
        <w:t xml:space="preserve">Dynamic Allocation Based </w:t>
      </w:r>
      <w:proofErr w:type="gramStart"/>
      <w:r w:rsidR="00321FC6">
        <w:t>O</w:t>
      </w:r>
      <w:r>
        <w:t>n</w:t>
      </w:r>
      <w:proofErr w:type="gramEnd"/>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2F16">
      <w:pPr>
        <w:pStyle w:val="Heading1"/>
        <w:spacing w:line="480" w:lineRule="auto"/>
      </w:pPr>
      <w:bookmarkStart w:id="1" w:name="_Toc977646978"/>
      <w:r>
        <w:lastRenderedPageBreak/>
        <w:t>Abstract</w:t>
      </w:r>
      <w:bookmarkEnd w:id="1"/>
    </w:p>
    <w:p w14:paraId="44B34A8E" w14:textId="77777777" w:rsidR="00183E2F" w:rsidRPr="00183E2F" w:rsidRDefault="00183E2F" w:rsidP="00042F16">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042F16">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042F16">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B502DC">
      <w:pPr>
        <w:pStyle w:val="Heading1"/>
        <w:spacing w:line="240" w:lineRule="auto"/>
      </w:pPr>
      <w:bookmarkStart w:id="2" w:name="_Toc900516071"/>
      <w:r>
        <w:t>Introduction</w:t>
      </w:r>
      <w:bookmarkEnd w:id="2"/>
    </w:p>
    <w:p w14:paraId="417D5CCC" w14:textId="77777777" w:rsidR="00692568" w:rsidRPr="00692568" w:rsidRDefault="00692568" w:rsidP="00042F16">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042F16">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042F16">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042F16">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042F16">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B502DC">
      <w:pPr>
        <w:pStyle w:val="Heading1"/>
        <w:spacing w:line="240" w:lineRule="auto"/>
      </w:pPr>
      <w:bookmarkStart w:id="3" w:name="_Toc1212047012"/>
      <w:r>
        <w:t>Literature Review</w:t>
      </w:r>
      <w:bookmarkEnd w:id="3"/>
    </w:p>
    <w:p w14:paraId="5A5C5691" w14:textId="77777777" w:rsidR="00CA2A7D" w:rsidRPr="00CA2A7D" w:rsidRDefault="00CA2A7D" w:rsidP="00042F16">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B502DC">
      <w:pPr>
        <w:pStyle w:val="Heading2"/>
        <w:spacing w:line="240" w:lineRule="auto"/>
      </w:pPr>
      <w:bookmarkStart w:id="4" w:name="_Toc504987161"/>
      <w:r>
        <w:t>Regime-Switching Models in Financial Markets</w:t>
      </w:r>
      <w:bookmarkEnd w:id="4"/>
    </w:p>
    <w:p w14:paraId="61245DEF" w14:textId="77777777" w:rsidR="00CA2A7D" w:rsidRPr="00CA2A7D" w:rsidRDefault="00CA2A7D" w:rsidP="00042F16">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in financial time series analysis, enabling models to capture nonlinear dynamics associated with </w:t>
      </w:r>
      <w:r w:rsidRPr="00CA2A7D">
        <w:lastRenderedPageBreak/>
        <w:t>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042F16">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B502DC">
      <w:pPr>
        <w:pStyle w:val="Heading2"/>
        <w:spacing w:line="240" w:lineRule="auto"/>
      </w:pPr>
      <w:bookmarkStart w:id="5" w:name="_Toc191261284"/>
      <w:r>
        <w:t>Volatility and Momentum as Informative Features</w:t>
      </w:r>
      <w:bookmarkEnd w:id="5"/>
    </w:p>
    <w:p w14:paraId="72194CB2" w14:textId="77777777" w:rsidR="00CA2A7D" w:rsidRPr="00CA2A7D" w:rsidRDefault="00CA2A7D" w:rsidP="00042F16">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042F16">
      <w:pPr>
        <w:spacing w:line="480" w:lineRule="auto"/>
      </w:pPr>
      <w:r w:rsidRPr="00CA2A7D">
        <w:t xml:space="preserve">To model the persistence and long-range dependence in volatility, Corsi (2009) proposed a heterogeneous autoregressive (HAR) framework. His approach captures realized volatility across multiple time scales and has proven to be both theoretically sound and practically effective. </w:t>
      </w:r>
      <w:r w:rsidRPr="00CA2A7D">
        <w:lastRenderedPageBreak/>
        <w:t xml:space="preserve">These insights inform </w:t>
      </w:r>
      <w:proofErr w:type="gramStart"/>
      <w:r w:rsidRPr="00CA2A7D">
        <w:t>our</w:t>
      </w:r>
      <w:proofErr w:type="gramEnd"/>
      <w:r w:rsidRPr="00CA2A7D">
        <w:t xml:space="preserve"> use of multiscale volatility measures, normalized for comparability, to enhance the HMM’s capacity for regime separation.</w:t>
      </w:r>
    </w:p>
    <w:p w14:paraId="5320DE15" w14:textId="0117FE1F" w:rsidR="00CA2A7D" w:rsidRPr="00CA2A7D" w:rsidRDefault="00CA2A7D" w:rsidP="00B502DC">
      <w:pPr>
        <w:pStyle w:val="Heading2"/>
        <w:spacing w:line="240" w:lineRule="auto"/>
      </w:pPr>
      <w:bookmarkStart w:id="6" w:name="_Toc1125397396"/>
      <w:r>
        <w:t>Hidden Markov Models and Extensions</w:t>
      </w:r>
      <w:bookmarkEnd w:id="6"/>
    </w:p>
    <w:p w14:paraId="2EF4A698" w14:textId="77777777" w:rsidR="00CA2A7D" w:rsidRPr="00CA2A7D" w:rsidRDefault="00CA2A7D" w:rsidP="00042F16">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042F16">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B502DC">
      <w:pPr>
        <w:pStyle w:val="Heading2"/>
        <w:spacing w:line="240" w:lineRule="auto"/>
      </w:pPr>
      <w:bookmarkStart w:id="7" w:name="_Toc447447806"/>
      <w:r>
        <w:t>Forecasting, Risk Management, and Implementation</w:t>
      </w:r>
      <w:bookmarkEnd w:id="7"/>
    </w:p>
    <w:p w14:paraId="159AE9FD" w14:textId="77777777" w:rsidR="00CA2A7D" w:rsidRPr="00CA2A7D" w:rsidRDefault="00CA2A7D" w:rsidP="00042F16">
      <w:pPr>
        <w:spacing w:line="480" w:lineRule="auto"/>
      </w:pPr>
      <w:r w:rsidRPr="00CA2A7D">
        <w:t>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builds on this literature by integrating unsupervised clustering to identify structural commonalities among assets and applying directional risk filters to improve portfolio resilience.</w:t>
      </w:r>
    </w:p>
    <w:p w14:paraId="04326BD1" w14:textId="36C31BF2" w:rsidR="00C2030C" w:rsidRPr="00C2030C" w:rsidRDefault="00C2030C" w:rsidP="00B502DC">
      <w:pPr>
        <w:pStyle w:val="Heading1"/>
        <w:spacing w:line="240" w:lineRule="auto"/>
      </w:pPr>
      <w:bookmarkStart w:id="8" w:name="_Toc1400423196"/>
      <w:r>
        <w:lastRenderedPageBreak/>
        <w:t>Data and Descriptive Statistics</w:t>
      </w:r>
      <w:bookmarkEnd w:id="8"/>
    </w:p>
    <w:p w14:paraId="1D5EE36E" w14:textId="77777777" w:rsidR="00C2030C" w:rsidRPr="00C2030C" w:rsidRDefault="00C2030C" w:rsidP="00042F16">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B502DC">
      <w:pPr>
        <w:pStyle w:val="Heading2"/>
        <w:spacing w:line="240" w:lineRule="auto"/>
      </w:pPr>
      <w:bookmarkStart w:id="9" w:name="_Toc15050151"/>
      <w:r>
        <w:t>Data Sources</w:t>
      </w:r>
      <w:bookmarkEnd w:id="9"/>
    </w:p>
    <w:p w14:paraId="463B8C2B" w14:textId="77777777" w:rsidR="00C2030C" w:rsidRPr="00C2030C" w:rsidRDefault="00C2030C" w:rsidP="00042F16">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4A172013" w14:textId="4C6ADBE5" w:rsidR="6FD9F2A6" w:rsidRDefault="6FD9F2A6" w:rsidP="288D0E4F">
      <w:pPr>
        <w:spacing w:line="480" w:lineRule="auto"/>
      </w:pPr>
      <w:r>
        <w:t>For the ETF portfolio as</w:t>
      </w:r>
      <w:r w:rsidR="4771CBE7">
        <w:t xml:space="preserve">sets </w:t>
      </w:r>
      <w:proofErr w:type="gramStart"/>
      <w:r w:rsidR="4771CBE7">
        <w:t>where</w:t>
      </w:r>
      <w:proofErr w:type="gramEnd"/>
      <w:r w:rsidR="4771CBE7">
        <w:t xml:space="preserve"> selected to represent a global macro portfolio ex global currency. </w:t>
      </w:r>
    </w:p>
    <w:p w14:paraId="1B6D5A26" w14:textId="35E4193B" w:rsidR="7402CD25" w:rsidRDefault="7402CD25" w:rsidP="288D0E4F">
      <w:pPr>
        <w:spacing w:line="480" w:lineRule="auto"/>
      </w:pPr>
      <w:r>
        <w:t xml:space="preserve">For the stock portfolio assets </w:t>
      </w:r>
      <w:r w:rsidR="7604535C">
        <w:t>criteria</w:t>
      </w:r>
      <w:r>
        <w:t xml:space="preserve"> was that the portfolio needed to be split evenly across US and </w:t>
      </w:r>
      <w:r w:rsidR="64DBBC8B">
        <w:t>non-US</w:t>
      </w:r>
      <w:r>
        <w:t xml:space="preserve"> stocks, </w:t>
      </w:r>
      <w:r w:rsidR="7D590570">
        <w:t xml:space="preserve">the company needed to have IPO at least 10 years ago, and the </w:t>
      </w:r>
      <w:r w:rsidR="3078523E">
        <w:t xml:space="preserve">Market Capitalization needed to be greater than 10 billion. </w:t>
      </w:r>
      <w:r w:rsidR="31D13C59">
        <w:t xml:space="preserve">Include non-stock assets for further diversification throughout all cycles. </w:t>
      </w:r>
    </w:p>
    <w:p w14:paraId="757D16F9" w14:textId="77777777" w:rsidR="00C2030C" w:rsidRPr="00C2030C" w:rsidRDefault="00C2030C" w:rsidP="00042F16">
      <w:pPr>
        <w:spacing w:line="480" w:lineRule="auto"/>
      </w:pPr>
      <w:r w:rsidRPr="00C2030C">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B502DC">
      <w:pPr>
        <w:pStyle w:val="Heading2"/>
        <w:spacing w:line="240" w:lineRule="auto"/>
      </w:pPr>
      <w:bookmarkStart w:id="10" w:name="_Toc888823867"/>
      <w:r>
        <w:t>Feature Engineering</w:t>
      </w:r>
      <w:bookmarkEnd w:id="10"/>
    </w:p>
    <w:p w14:paraId="75C1A6B9" w14:textId="77777777" w:rsidR="00C2030C" w:rsidRPr="00C2030C" w:rsidRDefault="00C2030C" w:rsidP="00042F16">
      <w:pPr>
        <w:spacing w:line="480" w:lineRule="auto"/>
      </w:pPr>
      <w:r w:rsidRPr="00C2030C">
        <w:t>The model uses three engineered features:</w:t>
      </w:r>
    </w:p>
    <w:p w14:paraId="2126040A" w14:textId="77777777" w:rsidR="00C2030C" w:rsidRPr="00C2030C" w:rsidRDefault="00C2030C" w:rsidP="00042F16">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042F16">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042F16">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042F16">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B502DC">
      <w:pPr>
        <w:pStyle w:val="Heading2"/>
        <w:spacing w:line="240" w:lineRule="auto"/>
      </w:pPr>
      <w:bookmarkStart w:id="11" w:name="_Toc508496265"/>
      <w:r>
        <w:t>Normalization and Dataset Splitting</w:t>
      </w:r>
      <w:bookmarkEnd w:id="11"/>
    </w:p>
    <w:p w14:paraId="00A7D92A" w14:textId="77777777" w:rsidR="00C2030C" w:rsidRPr="00C2030C" w:rsidRDefault="00C2030C" w:rsidP="00042F16">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042F16">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w:t>
      </w:r>
      <w:proofErr w:type="gramStart"/>
      <w:r w:rsidRPr="00C2030C">
        <w:t>to</w:t>
      </w:r>
      <w:proofErr w:type="gramEnd"/>
      <w:r w:rsidRPr="00C2030C">
        <w:t xml:space="preserve"> recent trends and can generalize across unseen data.</w:t>
      </w:r>
    </w:p>
    <w:p w14:paraId="217CE483" w14:textId="10F34263" w:rsidR="002937F9" w:rsidRPr="002937F9" w:rsidRDefault="002937F9" w:rsidP="00B502DC">
      <w:pPr>
        <w:pStyle w:val="Heading1"/>
        <w:spacing w:line="240" w:lineRule="auto"/>
      </w:pPr>
      <w:bookmarkStart w:id="12" w:name="_Toc1351696132"/>
      <w:r>
        <w:lastRenderedPageBreak/>
        <w:t>Methodology</w:t>
      </w:r>
      <w:bookmarkEnd w:id="12"/>
    </w:p>
    <w:p w14:paraId="4F57422A" w14:textId="77777777" w:rsidR="002937F9" w:rsidRPr="002937F9" w:rsidRDefault="002937F9" w:rsidP="00042F16">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Pr="002937F9" w:rsidRDefault="002937F9" w:rsidP="00B502DC">
      <w:pPr>
        <w:pStyle w:val="Heading2"/>
        <w:spacing w:line="240" w:lineRule="auto"/>
      </w:pPr>
      <w:bookmarkStart w:id="13" w:name="_Toc202029292"/>
      <w:r>
        <w:t>Model Architecture</w:t>
      </w:r>
      <w:bookmarkEnd w:id="13"/>
    </w:p>
    <w:p w14:paraId="4168E998" w14:textId="77777777" w:rsidR="002937F9" w:rsidRPr="002937F9" w:rsidRDefault="002937F9" w:rsidP="00042F16">
      <w:pPr>
        <w:spacing w:line="480" w:lineRule="auto"/>
      </w:pPr>
      <w:r>
        <w:t>The central component of this framework is a Gaussian Hidden Markov Model (HMM), which assumes that observed financial features—momentum, volatility, and short-term interest rates—are generated by a sequence of unobserved, discrete market regimes. Each regime is associated with a multivariate normal distribution over the observed features, while regime transitions follow a first-order Markov process. This structure enables the model to infer hidden states over time and generate probabilistic forecasts of future regime behavior.</w:t>
      </w:r>
    </w:p>
    <w:p w14:paraId="7F6CBBF9" w14:textId="2F1ACB2A" w:rsidR="002937F9" w:rsidRPr="002937F9" w:rsidRDefault="002937F9" w:rsidP="00B502DC">
      <w:pPr>
        <w:pStyle w:val="Heading2"/>
        <w:spacing w:line="240" w:lineRule="auto"/>
      </w:pPr>
      <w:bookmarkStart w:id="14" w:name="_Toc93369718"/>
      <w:r>
        <w:t>Model Initialization and Training</w:t>
      </w:r>
      <w:bookmarkEnd w:id="14"/>
    </w:p>
    <w:p w14:paraId="097444AF" w14:textId="7F762050" w:rsidR="002937F9" w:rsidRPr="002937F9" w:rsidRDefault="002937F9" w:rsidP="00042F16">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042F16">
      <w:pPr>
        <w:spacing w:line="480" w:lineRule="auto"/>
      </w:pPr>
      <w:r w:rsidRPr="002937F9">
        <w:t>Model training proceeds using the EM algorithm, which iteratively alternates between:</w:t>
      </w:r>
    </w:p>
    <w:p w14:paraId="3DA4C3FB" w14:textId="77777777" w:rsidR="002937F9" w:rsidRPr="002937F9" w:rsidRDefault="002937F9" w:rsidP="009E6A0E">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9E6A0E">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042F16">
      <w:pPr>
        <w:spacing w:line="480" w:lineRule="auto"/>
      </w:pPr>
      <w:r w:rsidRPr="002937F9">
        <w:lastRenderedPageBreak/>
        <w:t>Training continues until the change in log-likelihood across iterations falls below a predefined threshold, indicating convergence.</w:t>
      </w:r>
    </w:p>
    <w:p w14:paraId="7B8C9D34" w14:textId="77777777" w:rsidR="00FB7478" w:rsidRPr="00FB7478" w:rsidRDefault="00FB7478" w:rsidP="00FB7478">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xml:space="preserve">, a dynamic programming technique that computes the single most likely sequence of hidden states given the observed sequence and the trained model parameters (transition probabilities, emission probabilities, and initial state distribution). The Viterbi algorithm operates efficiently </w:t>
      </w:r>
      <w:proofErr w:type="gramStart"/>
      <w:r w:rsidRPr="00FB7478">
        <w:t>by recursively</w:t>
      </w:r>
      <w:proofErr w:type="gramEnd"/>
      <w:r w:rsidRPr="00FB7478">
        <w:t xml:space="preserve"> maximizing the likelihood of state paths, avoiding the exponential complexity of brute-force enumeration.</w:t>
      </w:r>
    </w:p>
    <w:p w14:paraId="5C77C69B" w14:textId="79EA5D24" w:rsidR="00FB7478" w:rsidRPr="00FB7478" w:rsidRDefault="00FB7478" w:rsidP="00FB7478">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AE6217">
      <w:pPr>
        <w:pStyle w:val="Heading2"/>
      </w:pPr>
      <w:r>
        <w:t>State Forecasting</w:t>
      </w:r>
    </w:p>
    <w:p w14:paraId="6B249F46" w14:textId="46BAF59D" w:rsidR="003172D3" w:rsidRDefault="003172D3" w:rsidP="003172D3">
      <w:pPr>
        <w:spacing w:line="480" w:lineRule="auto"/>
        <w:rPr>
          <w:b/>
        </w:rPr>
      </w:pPr>
      <w:bookmarkStart w:id="15" w:name="_Toc220477276"/>
      <w:r w:rsidRPr="003172D3">
        <w:t xml:space="preserve">This process involves projecting the future state distribution of a Hidden Markov Model (HMM) over a fixed time horizon, specifically </w:t>
      </w:r>
      <w:proofErr w:type="gramStart"/>
      <w:r w:rsidRPr="003172D3">
        <w:t>21</w:t>
      </w:r>
      <w:r w:rsidR="00D621B5">
        <w:t xml:space="preserve"> time</w:t>
      </w:r>
      <w:proofErr w:type="gramEnd"/>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w:t>
      </w:r>
      <w:r w:rsidRPr="003172D3">
        <w:lastRenderedPageBreak/>
        <w:t xml:space="preserve">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08805C50" w14:textId="6D081BEF" w:rsidR="002937F9" w:rsidRPr="002937F9" w:rsidRDefault="002937F9" w:rsidP="00B502DC">
      <w:pPr>
        <w:pStyle w:val="Heading2"/>
        <w:spacing w:line="240" w:lineRule="auto"/>
      </w:pPr>
      <w:r>
        <w:t>Regime Labeling</w:t>
      </w:r>
      <w:bookmarkEnd w:id="15"/>
    </w:p>
    <w:p w14:paraId="74B425AB" w14:textId="77777777" w:rsidR="00EC3D8A" w:rsidRPr="00EC3D8A" w:rsidRDefault="00EC3D8A" w:rsidP="00042F16">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042F16">
      <w:pPr>
        <w:spacing w:line="480" w:lineRule="auto"/>
      </w:pPr>
      <w:r w:rsidRPr="00EC3D8A">
        <w:t>For each inferred state, the average momentum value is computed based on the observations assigned to that state. These average returns are standardized using z-scores to enable consistent ranking across states. States are then sorted from lowest to highest standardized return, and labels are assigned accordingly:</w:t>
      </w:r>
    </w:p>
    <w:p w14:paraId="6E4A7E6A" w14:textId="77777777" w:rsidR="00EC3D8A" w:rsidRPr="00EC3D8A" w:rsidRDefault="00EC3D8A" w:rsidP="00042F16">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042F16">
      <w:pPr>
        <w:spacing w:line="480" w:lineRule="auto"/>
      </w:pPr>
      <w:r w:rsidRPr="00EC3D8A">
        <w:t xml:space="preserve">The middle-ranked state is labeled </w:t>
      </w:r>
      <w:r w:rsidRPr="00EC3D8A">
        <w:rPr>
          <w:b/>
          <w:bCs/>
        </w:rPr>
        <w:t>Neutral</w:t>
      </w:r>
    </w:p>
    <w:p w14:paraId="580E3BEE" w14:textId="77777777" w:rsidR="00EC3D8A" w:rsidRPr="00EC3D8A" w:rsidRDefault="00EC3D8A" w:rsidP="00042F16">
      <w:pPr>
        <w:spacing w:line="480" w:lineRule="auto"/>
      </w:pPr>
      <w:r w:rsidRPr="00EC3D8A">
        <w:t xml:space="preserve">The highest is labeled </w:t>
      </w:r>
      <w:r w:rsidRPr="00EC3D8A">
        <w:rPr>
          <w:b/>
          <w:bCs/>
        </w:rPr>
        <w:t>Bullish</w:t>
      </w:r>
    </w:p>
    <w:p w14:paraId="351DF420" w14:textId="77777777" w:rsidR="00EC3D8A" w:rsidRPr="00EC3D8A" w:rsidRDefault="00EC3D8A" w:rsidP="00042F16">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042F16">
      <w:pPr>
        <w:spacing w:line="480" w:lineRule="auto"/>
      </w:pPr>
      <w:r w:rsidRPr="00EC3D8A">
        <w:t xml:space="preserve">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w:t>
      </w:r>
      <w:r w:rsidRPr="00EC3D8A">
        <w:lastRenderedPageBreak/>
        <w:t>are always represented, which is essential for downstream applications like forecast aggregation and portfolio construction.</w:t>
      </w:r>
    </w:p>
    <w:p w14:paraId="6B71FA20" w14:textId="77777777" w:rsidR="00EC3D8A" w:rsidRPr="00EC3D8A" w:rsidRDefault="00EC3D8A" w:rsidP="00042F16">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C77502">
      <w:r>
        <w:t>Model Validation and Stability Checks</w:t>
      </w:r>
    </w:p>
    <w:p w14:paraId="575A1CF2" w14:textId="437ACC9D" w:rsidR="00392F74" w:rsidRDefault="002937F9" w:rsidP="00042F16">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288D0E4F">
      <w:pPr>
        <w:pStyle w:val="Heading1"/>
      </w:pPr>
      <w:bookmarkStart w:id="16" w:name="_Toc343834519"/>
      <w:r>
        <w:t>Risk Management</w:t>
      </w:r>
      <w:bookmarkEnd w:id="16"/>
    </w:p>
    <w:p w14:paraId="59FC6870" w14:textId="6C0D3A9E" w:rsidR="3D46D2D9" w:rsidRDefault="3D46D2D9" w:rsidP="288D0E4F">
      <w:r>
        <w:t xml:space="preserve">To begin the risk </w:t>
      </w:r>
      <w:r w:rsidR="3001BF3F">
        <w:t>management,</w:t>
      </w:r>
      <w:r>
        <w:t xml:space="preserve"> </w:t>
      </w:r>
      <w:proofErr w:type="gramStart"/>
      <w:r>
        <w:t>process</w:t>
      </w:r>
      <w:proofErr w:type="gramEnd"/>
      <w:r>
        <w:t xml:space="preserve"> a threshold is set based on forecasted future bearish </w:t>
      </w:r>
      <w:proofErr w:type="gramStart"/>
      <w:r>
        <w:t>probability</w:t>
      </w:r>
      <w:proofErr w:type="gramEnd"/>
      <w:r>
        <w:t xml:space="preserve"> anything beyond the </w:t>
      </w:r>
      <w:r w:rsidR="495EBBBE">
        <w:t xml:space="preserve">threshold was removed from the portfolio. </w:t>
      </w:r>
    </w:p>
    <w:p w14:paraId="17DBB4C6" w14:textId="6ABBF548" w:rsidR="5F75CD8B" w:rsidRDefault="5F75CD8B" w:rsidP="288D0E4F">
      <w:r>
        <w:t xml:space="preserve">Assets are first constrained by the cluster they are grouped in with the clusters being ranked on </w:t>
      </w:r>
      <w:proofErr w:type="gramStart"/>
      <w:r>
        <w:t>bullish</w:t>
      </w:r>
      <w:proofErr w:type="gramEnd"/>
      <w:r>
        <w:t xml:space="preserve"> discount basis by subtracting bearish probability from bullish probability.</w:t>
      </w:r>
      <w:r w:rsidR="5C3626D8">
        <w:t xml:space="preserve"> If the difference was less than zero it was replaced with zero. </w:t>
      </w:r>
      <w:r w:rsidR="31E9DD3F">
        <w:t xml:space="preserve">The same constraint was applied to the assets within the cluster. </w:t>
      </w:r>
      <w:proofErr w:type="gramStart"/>
      <w:r w:rsidR="31E9DD3F">
        <w:t>These constra</w:t>
      </w:r>
      <w:r w:rsidR="4679FA32">
        <w:t>int</w:t>
      </w:r>
      <w:proofErr w:type="gramEnd"/>
      <w:r w:rsidR="4679FA32">
        <w:t xml:space="preserve"> were utilized for cases where both bullish and bearish sentiment were high and neutral was low to </w:t>
      </w:r>
      <w:r w:rsidR="77F9C50B">
        <w:t xml:space="preserve">remove error on simply focusing on bullish probability. </w:t>
      </w:r>
    </w:p>
    <w:p w14:paraId="00B5F147" w14:textId="20DF1AB7" w:rsidR="00042F16" w:rsidRDefault="003E2B6C" w:rsidP="00FA2D37">
      <w:pPr>
        <w:pStyle w:val="Heading1"/>
      </w:pPr>
      <w:bookmarkStart w:id="17" w:name="_Toc428345420"/>
      <w:r>
        <w:t>Results</w:t>
      </w:r>
      <w:bookmarkEnd w:id="17"/>
    </w:p>
    <w:p w14:paraId="0BB139B3" w14:textId="6AB81659" w:rsidR="003E2B6C" w:rsidRDefault="003C73D7" w:rsidP="00FA2D37">
      <w:pPr>
        <w:pStyle w:val="Heading1"/>
      </w:pPr>
      <w:bookmarkStart w:id="18" w:name="_Toc1658654325"/>
      <w:r>
        <w:t>Discussion</w:t>
      </w:r>
      <w:bookmarkEnd w:id="18"/>
    </w:p>
    <w:p w14:paraId="58FB4F99" w14:textId="114240CA" w:rsidR="19D014B0" w:rsidRDefault="19D014B0" w:rsidP="288D0E4F">
      <w:r>
        <w:t xml:space="preserve">For all portfolios the importance focused on </w:t>
      </w:r>
      <w:proofErr w:type="gramStart"/>
      <w:r>
        <w:t>mix</w:t>
      </w:r>
      <w:proofErr w:type="gramEnd"/>
      <w:r>
        <w:t xml:space="preserve"> of assets having enough assets to create distinct clusters of significance during any overall market regime.</w:t>
      </w:r>
    </w:p>
    <w:p w14:paraId="03B78ADC" w14:textId="372C59E1" w:rsidR="18A14B7E" w:rsidRDefault="18A14B7E" w:rsidP="288D0E4F">
      <w:r>
        <w:t xml:space="preserve">Initial testing began with only two features momentum and volatility. </w:t>
      </w:r>
      <w:proofErr w:type="gramStart"/>
      <w:r>
        <w:t>First</w:t>
      </w:r>
      <w:proofErr w:type="gramEnd"/>
      <w:r>
        <w:t xml:space="preserve"> test of this approach did prove effective at </w:t>
      </w:r>
      <w:r w:rsidR="11073E19">
        <w:t>mitigating</w:t>
      </w:r>
      <w:r>
        <w:t xml:space="preserve"> risk from the </w:t>
      </w:r>
      <w:r w:rsidR="4D0ABA2F">
        <w:t>portfolio due to the poor quality of the model. An economic indicator of the Effective FED Funds Rate</w:t>
      </w:r>
      <w:r w:rsidR="43A4C5BF">
        <w:t xml:space="preserve"> was added to the feature set to test whether a third variable that was</w:t>
      </w:r>
      <w:r w:rsidR="23194DCF">
        <w:t xml:space="preserve"> not</w:t>
      </w:r>
      <w:r w:rsidR="43A4C5BF">
        <w:t xml:space="preserve"> non-market related. </w:t>
      </w:r>
      <w:r w:rsidR="587242B3">
        <w:t xml:space="preserve">Initial tests showed significant improvement over just momentum and volatility as shown in </w:t>
      </w:r>
      <w:r w:rsidR="587242B3" w:rsidRPr="288D0E4F">
        <w:rPr>
          <w:highlight w:val="magenta"/>
        </w:rPr>
        <w:t>FIGURE REF</w:t>
      </w:r>
      <w:r w:rsidR="7D852C98">
        <w:t xml:space="preserve"> demonstrating the </w:t>
      </w:r>
      <w:proofErr w:type="gramStart"/>
      <w:r w:rsidR="7D852C98">
        <w:t>models</w:t>
      </w:r>
      <w:proofErr w:type="gramEnd"/>
      <w:r w:rsidR="7D852C98">
        <w:t xml:space="preserve"> ability to </w:t>
      </w:r>
      <w:r w:rsidR="25826446">
        <w:t>overcome</w:t>
      </w:r>
      <w:r w:rsidR="7D852C98">
        <w:t xml:space="preserve"> issues with </w:t>
      </w:r>
      <w:r w:rsidR="72433CC3">
        <w:t xml:space="preserve">shorter unexpected trends instead of longer-term </w:t>
      </w:r>
      <w:proofErr w:type="gramStart"/>
      <w:r w:rsidR="72433CC3">
        <w:t>trend based</w:t>
      </w:r>
      <w:proofErr w:type="gramEnd"/>
      <w:r w:rsidR="72433CC3">
        <w:t xml:space="preserve"> states.</w:t>
      </w:r>
      <w:r w:rsidR="51019A19">
        <w:t xml:space="preserve"> </w:t>
      </w:r>
    </w:p>
    <w:p w14:paraId="5B71C1F8" w14:textId="46CAABD0" w:rsidR="44207036" w:rsidRDefault="44207036" w:rsidP="288D0E4F">
      <w:r>
        <w:lastRenderedPageBreak/>
        <w:t xml:space="preserve">When </w:t>
      </w:r>
    </w:p>
    <w:p w14:paraId="21D86EEE" w14:textId="6D32686A" w:rsidR="288D0E4F" w:rsidRDefault="288D0E4F" w:rsidP="288D0E4F"/>
    <w:p w14:paraId="2158E9C0" w14:textId="349377EE" w:rsidR="003C73D7" w:rsidRDefault="003C73D7" w:rsidP="00FA2D37">
      <w:pPr>
        <w:pStyle w:val="Heading1"/>
      </w:pPr>
      <w:bookmarkStart w:id="19" w:name="_Toc1308539034"/>
      <w:r>
        <w:t>Conclusion</w:t>
      </w:r>
      <w:bookmarkEnd w:id="19"/>
    </w:p>
    <w:p w14:paraId="0C96D414" w14:textId="362C7516" w:rsidR="003D07DB" w:rsidRDefault="003D07DB" w:rsidP="00042F16">
      <w:pPr>
        <w:spacing w:line="480" w:lineRule="auto"/>
        <w:rPr>
          <w:rFonts w:eastAsiaTheme="majorEastAsia" w:cstheme="majorBidi"/>
          <w:b/>
          <w:color w:val="215E99" w:themeColor="text2" w:themeTint="BF"/>
          <w:sz w:val="40"/>
          <w:szCs w:val="40"/>
        </w:rPr>
      </w:pPr>
    </w:p>
    <w:p w14:paraId="76FF0CB9" w14:textId="77777777" w:rsidR="004336B9" w:rsidRDefault="004336B9" w:rsidP="288D0E4F">
      <w:pPr>
        <w:rPr>
          <w:rFonts w:eastAsiaTheme="majorEastAsia" w:cstheme="majorBidi"/>
          <w:b/>
          <w:bCs/>
          <w:sz w:val="32"/>
          <w:szCs w:val="32"/>
        </w:rPr>
      </w:pPr>
      <w:r>
        <w:br w:type="page"/>
      </w:r>
    </w:p>
    <w:p w14:paraId="13EDBA0A" w14:textId="3358F6C1" w:rsidR="003E6299" w:rsidRPr="003E6299" w:rsidRDefault="003E6299" w:rsidP="00FA2D37">
      <w:pPr>
        <w:pStyle w:val="Heading1"/>
        <w:spacing w:line="240" w:lineRule="auto"/>
      </w:pPr>
      <w:bookmarkStart w:id="20" w:name="_Toc1284752432"/>
      <w:r>
        <w:lastRenderedPageBreak/>
        <w:t>References</w:t>
      </w:r>
      <w:bookmarkEnd w:id="20"/>
    </w:p>
    <w:p w14:paraId="09BC8D91" w14:textId="77777777" w:rsidR="00F95A4A" w:rsidRPr="00F95A4A" w:rsidRDefault="00F95A4A" w:rsidP="00042F16">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042F16">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042F16">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042F16">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042F16">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042F16">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042F16">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042F16">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042F16">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042F16">
      <w:pPr>
        <w:spacing w:line="480" w:lineRule="auto"/>
        <w:ind w:left="720" w:hanging="720"/>
      </w:pPr>
      <w:r>
        <w:t xml:space="preserve">Mitra, G., &amp; Mitra, L. (Eds.). (2011). </w:t>
      </w:r>
      <w:r w:rsidRPr="288D0E4F">
        <w:rPr>
          <w:i/>
          <w:iCs/>
        </w:rPr>
        <w:t>Handbook of news analytics in finance</w:t>
      </w:r>
      <w:r>
        <w:t>. Wiley.</w:t>
      </w:r>
    </w:p>
    <w:p w14:paraId="3624BDEA" w14:textId="04672EC0" w:rsidR="288D0E4F" w:rsidRDefault="288D0E4F">
      <w:r>
        <w:lastRenderedPageBreak/>
        <w:br w:type="page"/>
      </w:r>
    </w:p>
    <w:p w14:paraId="47187AFB" w14:textId="24A9AAA1" w:rsidR="00AF60B4" w:rsidRDefault="7F030EE2" w:rsidP="288D0E4F">
      <w:pPr>
        <w:pStyle w:val="Heading1"/>
      </w:pPr>
      <w:bookmarkStart w:id="21" w:name="_Toc1665238934"/>
      <w:r>
        <w:lastRenderedPageBreak/>
        <w:t>Appendix A: ETF Indices</w:t>
      </w:r>
      <w:bookmarkEnd w:id="21"/>
    </w:p>
    <w:p w14:paraId="112C06CD" w14:textId="22198CDF" w:rsidR="2C90BB85" w:rsidRDefault="2C90BB85" w:rsidP="288D0E4F">
      <w:pPr>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288D0E4F">
      <w:pPr>
        <w:spacing w:line="480" w:lineRule="auto"/>
        <w:ind w:left="720"/>
        <w:rPr>
          <w:b/>
          <w:bCs/>
        </w:rPr>
      </w:pPr>
      <w:r w:rsidRPr="288D0E4F">
        <w:rPr>
          <w:b/>
          <w:bCs/>
        </w:rPr>
        <w:t>Global Regions:</w:t>
      </w:r>
    </w:p>
    <w:p w14:paraId="5D4227B1" w14:textId="472A46CA" w:rsidR="2C90BB85" w:rsidRDefault="2C90BB85" w:rsidP="288D0E4F">
      <w:pPr>
        <w:pStyle w:val="ListParagraph"/>
        <w:numPr>
          <w:ilvl w:val="0"/>
          <w:numId w:val="2"/>
        </w:numPr>
        <w:spacing w:line="480" w:lineRule="auto"/>
      </w:pPr>
      <w:r w:rsidRPr="288D0E4F">
        <w:t>US Growth, S&amp;P 900 Growth Index</w:t>
      </w:r>
    </w:p>
    <w:p w14:paraId="091A2E51" w14:textId="3DECEFDA" w:rsidR="2C90BB85" w:rsidRDefault="2C90BB85" w:rsidP="288D0E4F">
      <w:pPr>
        <w:pStyle w:val="ListParagraph"/>
        <w:numPr>
          <w:ilvl w:val="0"/>
          <w:numId w:val="2"/>
        </w:numPr>
        <w:spacing w:line="480" w:lineRule="auto"/>
      </w:pPr>
      <w:r w:rsidRPr="288D0E4F">
        <w:t>US Value, S&amp;P 900 Value Index</w:t>
      </w:r>
    </w:p>
    <w:p w14:paraId="0C675CB7" w14:textId="1497043F" w:rsidR="2C90BB85" w:rsidRDefault="2C90BB85" w:rsidP="288D0E4F">
      <w:pPr>
        <w:pStyle w:val="ListParagraph"/>
        <w:numPr>
          <w:ilvl w:val="0"/>
          <w:numId w:val="2"/>
        </w:numPr>
        <w:spacing w:line="480" w:lineRule="auto"/>
      </w:pPr>
      <w:r w:rsidRPr="288D0E4F">
        <w:t>Developed ex US Growth, MSCI EAFE Growth Index</w:t>
      </w:r>
    </w:p>
    <w:p w14:paraId="2D6820E8" w14:textId="53A8FDA9" w:rsidR="2C90BB85" w:rsidRDefault="2C90BB85" w:rsidP="288D0E4F">
      <w:pPr>
        <w:pStyle w:val="ListParagraph"/>
        <w:numPr>
          <w:ilvl w:val="0"/>
          <w:numId w:val="2"/>
        </w:numPr>
        <w:spacing w:line="480" w:lineRule="auto"/>
      </w:pPr>
      <w:r w:rsidRPr="288D0E4F">
        <w:t>Developed ex US Value, MSCI EAFE Value Index</w:t>
      </w:r>
    </w:p>
    <w:p w14:paraId="12AC44BC" w14:textId="2D582C16" w:rsidR="2C90BB85" w:rsidRDefault="2C90BB85" w:rsidP="288D0E4F">
      <w:pPr>
        <w:pStyle w:val="ListParagraph"/>
        <w:numPr>
          <w:ilvl w:val="0"/>
          <w:numId w:val="2"/>
        </w:numPr>
        <w:spacing w:line="480" w:lineRule="auto"/>
      </w:pPr>
      <w:r w:rsidRPr="288D0E4F">
        <w:t xml:space="preserve">Emerging, FTSE Emerging Markets All Cap China </w:t>
      </w:r>
      <w:proofErr w:type="gramStart"/>
      <w:r w:rsidRPr="288D0E4F">
        <w:t>A</w:t>
      </w:r>
      <w:proofErr w:type="gramEnd"/>
      <w:r w:rsidRPr="288D0E4F">
        <w:t xml:space="preserve"> Inclusion Index</w:t>
      </w:r>
    </w:p>
    <w:p w14:paraId="33B64C3F" w14:textId="6465F654" w:rsidR="2C90BB85" w:rsidRDefault="2C90BB85" w:rsidP="288D0E4F">
      <w:pPr>
        <w:spacing w:line="480" w:lineRule="auto"/>
        <w:ind w:left="720"/>
        <w:rPr>
          <w:b/>
          <w:bCs/>
        </w:rPr>
      </w:pPr>
      <w:r w:rsidRPr="288D0E4F">
        <w:rPr>
          <w:b/>
          <w:bCs/>
        </w:rPr>
        <w:t>Global Sectors:</w:t>
      </w:r>
    </w:p>
    <w:p w14:paraId="5E491E64" w14:textId="218387CE" w:rsidR="2C90BB85" w:rsidRDefault="2C90BB85" w:rsidP="288D0E4F">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288D0E4F">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288D0E4F">
      <w:pPr>
        <w:pStyle w:val="ListParagraph"/>
        <w:numPr>
          <w:ilvl w:val="0"/>
          <w:numId w:val="1"/>
        </w:numPr>
        <w:spacing w:line="480" w:lineRule="auto"/>
      </w:pPr>
      <w:r w:rsidRPr="288D0E4F">
        <w:t>Consumer Staples, S&amp;P Global 1200 Consumer Staples Index</w:t>
      </w:r>
    </w:p>
    <w:p w14:paraId="6EE12B6B" w14:textId="79DA6DFD" w:rsidR="2C90BB85" w:rsidRDefault="2C90BB85" w:rsidP="288D0E4F">
      <w:pPr>
        <w:pStyle w:val="ListParagraph"/>
        <w:numPr>
          <w:ilvl w:val="0"/>
          <w:numId w:val="1"/>
        </w:numPr>
        <w:spacing w:line="480" w:lineRule="auto"/>
      </w:pPr>
      <w:r w:rsidRPr="288D0E4F">
        <w:t>Energy, S&amp;P Global 1200 Energy Index</w:t>
      </w:r>
    </w:p>
    <w:p w14:paraId="38EFB594" w14:textId="138DE2AE" w:rsidR="2C90BB85" w:rsidRDefault="2C90BB85" w:rsidP="288D0E4F">
      <w:pPr>
        <w:pStyle w:val="ListParagraph"/>
        <w:numPr>
          <w:ilvl w:val="0"/>
          <w:numId w:val="1"/>
        </w:numPr>
        <w:spacing w:line="480" w:lineRule="auto"/>
      </w:pPr>
      <w:r w:rsidRPr="288D0E4F">
        <w:t>Financials, S&amp;P Global 1200 Financials Index</w:t>
      </w:r>
    </w:p>
    <w:p w14:paraId="479D7C17" w14:textId="032CC5FD" w:rsidR="2C90BB85" w:rsidRDefault="2C90BB85" w:rsidP="288D0E4F">
      <w:pPr>
        <w:pStyle w:val="ListParagraph"/>
        <w:numPr>
          <w:ilvl w:val="0"/>
          <w:numId w:val="1"/>
        </w:numPr>
        <w:spacing w:line="480" w:lineRule="auto"/>
      </w:pPr>
      <w:r w:rsidRPr="288D0E4F">
        <w:t>Health Care, S&amp;P Global 1200 Health Care Index</w:t>
      </w:r>
    </w:p>
    <w:p w14:paraId="21002C28" w14:textId="2F6BEEC2" w:rsidR="2C90BB85" w:rsidRDefault="2C90BB85" w:rsidP="288D0E4F">
      <w:pPr>
        <w:pStyle w:val="ListParagraph"/>
        <w:numPr>
          <w:ilvl w:val="0"/>
          <w:numId w:val="1"/>
        </w:numPr>
        <w:spacing w:line="480" w:lineRule="auto"/>
      </w:pPr>
      <w:r w:rsidRPr="288D0E4F">
        <w:t>Industrials, S&amp;P Global 1200 Industrials Index</w:t>
      </w:r>
    </w:p>
    <w:p w14:paraId="4D8DA9E8" w14:textId="08346B21" w:rsidR="2C90BB85" w:rsidRDefault="2C90BB85" w:rsidP="288D0E4F">
      <w:pPr>
        <w:pStyle w:val="ListParagraph"/>
        <w:numPr>
          <w:ilvl w:val="0"/>
          <w:numId w:val="1"/>
        </w:numPr>
        <w:spacing w:line="480" w:lineRule="auto"/>
      </w:pPr>
      <w:r w:rsidRPr="288D0E4F">
        <w:t>Materials, S&amp;P Global 1200 Materials Index</w:t>
      </w:r>
    </w:p>
    <w:p w14:paraId="30D65D7F" w14:textId="7BAD33CA" w:rsidR="2C90BB85" w:rsidRDefault="2C90BB85" w:rsidP="288D0E4F">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288D0E4F">
      <w:pPr>
        <w:pStyle w:val="ListParagraph"/>
        <w:numPr>
          <w:ilvl w:val="0"/>
          <w:numId w:val="1"/>
        </w:numPr>
        <w:spacing w:line="480" w:lineRule="auto"/>
      </w:pPr>
      <w:r w:rsidRPr="288D0E4F">
        <w:t>Utilities, S&amp;P Global 1200 Utilities Index</w:t>
      </w:r>
    </w:p>
    <w:p w14:paraId="51123ED1" w14:textId="568F9A59" w:rsidR="2C90BB85" w:rsidRDefault="2C90BB85" w:rsidP="288D0E4F">
      <w:pPr>
        <w:spacing w:line="480" w:lineRule="auto"/>
        <w:rPr>
          <w:b/>
          <w:bCs/>
          <w:sz w:val="28"/>
          <w:szCs w:val="28"/>
        </w:rPr>
      </w:pPr>
      <w:r w:rsidRPr="288D0E4F">
        <w:rPr>
          <w:b/>
          <w:bCs/>
          <w:sz w:val="28"/>
          <w:szCs w:val="28"/>
        </w:rPr>
        <w:t>Real Assets:</w:t>
      </w:r>
    </w:p>
    <w:p w14:paraId="073C5C32" w14:textId="6EF9862A" w:rsidR="2C90BB85" w:rsidRDefault="2C90BB85" w:rsidP="288D0E4F">
      <w:pPr>
        <w:pStyle w:val="ListParagraph"/>
        <w:numPr>
          <w:ilvl w:val="0"/>
          <w:numId w:val="6"/>
        </w:numPr>
        <w:spacing w:line="480" w:lineRule="auto"/>
        <w:rPr>
          <w:rFonts w:eastAsia="Times New Roman" w:cs="Times New Roman"/>
        </w:rPr>
      </w:pPr>
      <w:r>
        <w:t xml:space="preserve">Gold, </w:t>
      </w:r>
      <w:r w:rsidRPr="288D0E4F">
        <w:rPr>
          <w:rFonts w:eastAsia="Times New Roman" w:cs="Times New Roman"/>
        </w:rPr>
        <w:t>LBMA Gold Price PM</w:t>
      </w:r>
    </w:p>
    <w:p w14:paraId="28228D7D" w14:textId="1C61BCA9" w:rsidR="2C90BB85" w:rsidRDefault="2C90BB85" w:rsidP="288D0E4F">
      <w:pPr>
        <w:pStyle w:val="ListParagraph"/>
        <w:numPr>
          <w:ilvl w:val="0"/>
          <w:numId w:val="6"/>
        </w:numPr>
        <w:spacing w:line="480" w:lineRule="auto"/>
      </w:pPr>
      <w:r w:rsidRPr="288D0E4F">
        <w:rPr>
          <w:rFonts w:eastAsia="Times New Roman" w:cs="Times New Roman"/>
        </w:rPr>
        <w:lastRenderedPageBreak/>
        <w:t xml:space="preserve">Commodities, </w:t>
      </w:r>
      <w:r w:rsidRPr="288D0E4F">
        <w:t>DBIQ Optimum Yield Diversified Commodity Index ER</w:t>
      </w:r>
    </w:p>
    <w:p w14:paraId="2EF1800F" w14:textId="40590C6E" w:rsidR="2C90BB85" w:rsidRDefault="2C90BB85" w:rsidP="288D0E4F">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288D0E4F">
      <w:pPr>
        <w:pStyle w:val="ListParagraph"/>
        <w:numPr>
          <w:ilvl w:val="0"/>
          <w:numId w:val="6"/>
        </w:numPr>
        <w:spacing w:line="480" w:lineRule="auto"/>
      </w:pPr>
      <w:r w:rsidRPr="288D0E4F">
        <w:t>Ex-US Real Estate, S&amp;P Global ex‑U.S. Property Index</w:t>
      </w:r>
    </w:p>
    <w:p w14:paraId="0AC85BBE" w14:textId="1307F017" w:rsidR="2C90BB85" w:rsidRDefault="2C90BB85" w:rsidP="288D0E4F">
      <w:pPr>
        <w:spacing w:line="480" w:lineRule="auto"/>
        <w:rPr>
          <w:b/>
          <w:bCs/>
          <w:sz w:val="28"/>
          <w:szCs w:val="28"/>
        </w:rPr>
      </w:pPr>
      <w:r w:rsidRPr="288D0E4F">
        <w:rPr>
          <w:b/>
          <w:bCs/>
          <w:sz w:val="28"/>
          <w:szCs w:val="28"/>
        </w:rPr>
        <w:t>Bonds:</w:t>
      </w:r>
    </w:p>
    <w:p w14:paraId="715A0EAF" w14:textId="41FC1862" w:rsidR="2C90BB85" w:rsidRDefault="2C90BB85" w:rsidP="288D0E4F">
      <w:pPr>
        <w:spacing w:line="480" w:lineRule="auto"/>
        <w:ind w:left="720"/>
        <w:rPr>
          <w:b/>
          <w:bCs/>
        </w:rPr>
      </w:pPr>
      <w:r w:rsidRPr="288D0E4F">
        <w:rPr>
          <w:b/>
          <w:bCs/>
        </w:rPr>
        <w:t>Cash:</w:t>
      </w:r>
    </w:p>
    <w:p w14:paraId="4667EB23" w14:textId="323ECD9D" w:rsidR="2C90BB85" w:rsidRDefault="2C90BB85" w:rsidP="288D0E4F">
      <w:pPr>
        <w:pStyle w:val="ListParagraph"/>
        <w:numPr>
          <w:ilvl w:val="0"/>
          <w:numId w:val="5"/>
        </w:numPr>
        <w:spacing w:line="480" w:lineRule="auto"/>
      </w:pPr>
      <w:r w:rsidRPr="288D0E4F">
        <w:t>U.S. Treasury short-term maturity index</w:t>
      </w:r>
    </w:p>
    <w:p w14:paraId="499D1099" w14:textId="2A751019" w:rsidR="2C90BB85" w:rsidRDefault="2C90BB85" w:rsidP="288D0E4F">
      <w:pPr>
        <w:spacing w:line="480" w:lineRule="auto"/>
        <w:ind w:left="720"/>
        <w:rPr>
          <w:b/>
          <w:bCs/>
        </w:rPr>
      </w:pPr>
      <w:r w:rsidRPr="288D0E4F">
        <w:rPr>
          <w:b/>
          <w:bCs/>
        </w:rPr>
        <w:t>US Treasuries:</w:t>
      </w:r>
    </w:p>
    <w:p w14:paraId="0EC7C615" w14:textId="41800D6A"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U.S. Treasuries with 1–</w:t>
      </w:r>
      <w:proofErr w:type="gramStart"/>
      <w:r w:rsidRPr="288D0E4F">
        <w:rPr>
          <w:rFonts w:eastAsia="Times New Roman" w:cs="Times New Roman"/>
        </w:rPr>
        <w:t>3 year</w:t>
      </w:r>
      <w:proofErr w:type="gramEnd"/>
      <w:r w:rsidRPr="288D0E4F">
        <w:rPr>
          <w:rFonts w:eastAsia="Times New Roman" w:cs="Times New Roman"/>
        </w:rPr>
        <w:t xml:space="preserve"> maturities</w:t>
      </w:r>
    </w:p>
    <w:p w14:paraId="2E87750B" w14:textId="6BA02840"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U.S. Treasuries with 3–</w:t>
      </w:r>
      <w:proofErr w:type="gramStart"/>
      <w:r w:rsidRPr="288D0E4F">
        <w:rPr>
          <w:rFonts w:eastAsia="Times New Roman" w:cs="Times New Roman"/>
        </w:rPr>
        <w:t>7 year</w:t>
      </w:r>
      <w:proofErr w:type="gramEnd"/>
      <w:r w:rsidRPr="288D0E4F">
        <w:rPr>
          <w:rFonts w:eastAsia="Times New Roman" w:cs="Times New Roman"/>
        </w:rPr>
        <w:t xml:space="preserve"> maturities</w:t>
      </w:r>
    </w:p>
    <w:p w14:paraId="1B46D06D" w14:textId="0C2E3644"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288D0E4F">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288D0E4F">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288D0E4F">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288D0E4F">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288D0E4F">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DA24D" w14:textId="77777777" w:rsidR="009C0E46" w:rsidRDefault="009C0E46" w:rsidP="008D2000">
      <w:pPr>
        <w:spacing w:after="0" w:line="240" w:lineRule="auto"/>
      </w:pPr>
      <w:r>
        <w:separator/>
      </w:r>
    </w:p>
  </w:endnote>
  <w:endnote w:type="continuationSeparator" w:id="0">
    <w:p w14:paraId="4165D973" w14:textId="77777777" w:rsidR="009C0E46" w:rsidRDefault="009C0E46"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FDC84" w14:textId="77777777" w:rsidR="009C0E46" w:rsidRDefault="009C0E46" w:rsidP="008D2000">
      <w:pPr>
        <w:spacing w:after="0" w:line="240" w:lineRule="auto"/>
      </w:pPr>
      <w:r>
        <w:separator/>
      </w:r>
    </w:p>
  </w:footnote>
  <w:footnote w:type="continuationSeparator" w:id="0">
    <w:p w14:paraId="18E57037" w14:textId="77777777" w:rsidR="009C0E46" w:rsidRDefault="009C0E46"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4"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7"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7"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49"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6"/>
  </w:num>
  <w:num w:numId="3" w16cid:durableId="69350765">
    <w:abstractNumId w:val="2"/>
  </w:num>
  <w:num w:numId="4" w16cid:durableId="1942566554">
    <w:abstractNumId w:val="36"/>
  </w:num>
  <w:num w:numId="5" w16cid:durableId="424152753">
    <w:abstractNumId w:val="48"/>
  </w:num>
  <w:num w:numId="6" w16cid:durableId="1925915032">
    <w:abstractNumId w:val="33"/>
  </w:num>
  <w:num w:numId="7" w16cid:durableId="1180848656">
    <w:abstractNumId w:val="41"/>
  </w:num>
  <w:num w:numId="8" w16cid:durableId="79566433">
    <w:abstractNumId w:val="37"/>
  </w:num>
  <w:num w:numId="9" w16cid:durableId="1958288636">
    <w:abstractNumId w:val="21"/>
  </w:num>
  <w:num w:numId="10" w16cid:durableId="1113744250">
    <w:abstractNumId w:val="20"/>
  </w:num>
  <w:num w:numId="11" w16cid:durableId="765999799">
    <w:abstractNumId w:val="44"/>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0"/>
  </w:num>
  <w:num w:numId="19" w16cid:durableId="588927524">
    <w:abstractNumId w:val="14"/>
  </w:num>
  <w:num w:numId="20" w16cid:durableId="1547915069">
    <w:abstractNumId w:val="0"/>
  </w:num>
  <w:num w:numId="21" w16cid:durableId="537745683">
    <w:abstractNumId w:val="9"/>
  </w:num>
  <w:num w:numId="22" w16cid:durableId="1662350580">
    <w:abstractNumId w:val="42"/>
  </w:num>
  <w:num w:numId="23" w16cid:durableId="1648978132">
    <w:abstractNumId w:val="5"/>
  </w:num>
  <w:num w:numId="24" w16cid:durableId="835340334">
    <w:abstractNumId w:val="29"/>
  </w:num>
  <w:num w:numId="25" w16cid:durableId="188614475">
    <w:abstractNumId w:val="26"/>
  </w:num>
  <w:num w:numId="26" w16cid:durableId="495145283">
    <w:abstractNumId w:val="38"/>
  </w:num>
  <w:num w:numId="27" w16cid:durableId="967055747">
    <w:abstractNumId w:val="23"/>
  </w:num>
  <w:num w:numId="28" w16cid:durableId="748893687">
    <w:abstractNumId w:val="35"/>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39"/>
  </w:num>
  <w:num w:numId="37" w16cid:durableId="1674988876">
    <w:abstractNumId w:val="49"/>
  </w:num>
  <w:num w:numId="38" w16cid:durableId="244804303">
    <w:abstractNumId w:val="16"/>
  </w:num>
  <w:num w:numId="39" w16cid:durableId="638997936">
    <w:abstractNumId w:val="32"/>
  </w:num>
  <w:num w:numId="40" w16cid:durableId="1731920467">
    <w:abstractNumId w:val="43"/>
  </w:num>
  <w:num w:numId="41" w16cid:durableId="1541360860">
    <w:abstractNumId w:val="31"/>
  </w:num>
  <w:num w:numId="42" w16cid:durableId="1137452435">
    <w:abstractNumId w:val="30"/>
  </w:num>
  <w:num w:numId="43" w16cid:durableId="96147654">
    <w:abstractNumId w:val="34"/>
  </w:num>
  <w:num w:numId="44" w16cid:durableId="1849444622">
    <w:abstractNumId w:val="24"/>
  </w:num>
  <w:num w:numId="45" w16cid:durableId="740492992">
    <w:abstractNumId w:val="27"/>
  </w:num>
  <w:num w:numId="46" w16cid:durableId="290672177">
    <w:abstractNumId w:val="45"/>
  </w:num>
  <w:num w:numId="47" w16cid:durableId="1124008367">
    <w:abstractNumId w:val="4"/>
  </w:num>
  <w:num w:numId="48" w16cid:durableId="1661932939">
    <w:abstractNumId w:val="28"/>
  </w:num>
  <w:num w:numId="49" w16cid:durableId="1202791050">
    <w:abstractNumId w:val="47"/>
  </w:num>
  <w:num w:numId="50" w16cid:durableId="3399670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2F16"/>
    <w:rsid w:val="00074247"/>
    <w:rsid w:val="000847EE"/>
    <w:rsid w:val="000C2D23"/>
    <w:rsid w:val="000D1EFC"/>
    <w:rsid w:val="00100189"/>
    <w:rsid w:val="00117181"/>
    <w:rsid w:val="00146C02"/>
    <w:rsid w:val="0017038D"/>
    <w:rsid w:val="0018081E"/>
    <w:rsid w:val="00183E2F"/>
    <w:rsid w:val="001E545E"/>
    <w:rsid w:val="00205C1F"/>
    <w:rsid w:val="00250930"/>
    <w:rsid w:val="002937F9"/>
    <w:rsid w:val="002E20F4"/>
    <w:rsid w:val="00300D50"/>
    <w:rsid w:val="003172D3"/>
    <w:rsid w:val="00321FC6"/>
    <w:rsid w:val="00343614"/>
    <w:rsid w:val="0035345E"/>
    <w:rsid w:val="00362836"/>
    <w:rsid w:val="00392F74"/>
    <w:rsid w:val="003C73D7"/>
    <w:rsid w:val="003D07DB"/>
    <w:rsid w:val="003D60A6"/>
    <w:rsid w:val="003E2B6C"/>
    <w:rsid w:val="003E3A6B"/>
    <w:rsid w:val="003E4853"/>
    <w:rsid w:val="003E6299"/>
    <w:rsid w:val="004172C9"/>
    <w:rsid w:val="004336B9"/>
    <w:rsid w:val="004C40D5"/>
    <w:rsid w:val="004E6530"/>
    <w:rsid w:val="00501B6C"/>
    <w:rsid w:val="00504F66"/>
    <w:rsid w:val="00505C99"/>
    <w:rsid w:val="0056236D"/>
    <w:rsid w:val="00571EF1"/>
    <w:rsid w:val="005C1ED2"/>
    <w:rsid w:val="005C3CF9"/>
    <w:rsid w:val="005D1A99"/>
    <w:rsid w:val="005D3A73"/>
    <w:rsid w:val="005E28E3"/>
    <w:rsid w:val="00692568"/>
    <w:rsid w:val="006E754B"/>
    <w:rsid w:val="007A79BB"/>
    <w:rsid w:val="007D1631"/>
    <w:rsid w:val="007E5608"/>
    <w:rsid w:val="00814FDC"/>
    <w:rsid w:val="00831CB7"/>
    <w:rsid w:val="0084113E"/>
    <w:rsid w:val="00845572"/>
    <w:rsid w:val="00865A84"/>
    <w:rsid w:val="00893D6D"/>
    <w:rsid w:val="008B2A9B"/>
    <w:rsid w:val="008B7333"/>
    <w:rsid w:val="008C0ACA"/>
    <w:rsid w:val="008D2000"/>
    <w:rsid w:val="00932CA0"/>
    <w:rsid w:val="009A672A"/>
    <w:rsid w:val="009C0E46"/>
    <w:rsid w:val="009C5146"/>
    <w:rsid w:val="009E637C"/>
    <w:rsid w:val="009E6A0E"/>
    <w:rsid w:val="00A1342A"/>
    <w:rsid w:val="00A52457"/>
    <w:rsid w:val="00A579B3"/>
    <w:rsid w:val="00A8630C"/>
    <w:rsid w:val="00AC639D"/>
    <w:rsid w:val="00AD512C"/>
    <w:rsid w:val="00AE6217"/>
    <w:rsid w:val="00AF60B4"/>
    <w:rsid w:val="00B502DC"/>
    <w:rsid w:val="00BA787B"/>
    <w:rsid w:val="00BE6427"/>
    <w:rsid w:val="00C14913"/>
    <w:rsid w:val="00C2030C"/>
    <w:rsid w:val="00C273E9"/>
    <w:rsid w:val="00C73ACE"/>
    <w:rsid w:val="00C77502"/>
    <w:rsid w:val="00C827D0"/>
    <w:rsid w:val="00CA2A7D"/>
    <w:rsid w:val="00CC21BF"/>
    <w:rsid w:val="00CC5A11"/>
    <w:rsid w:val="00D621B5"/>
    <w:rsid w:val="00DB0DC7"/>
    <w:rsid w:val="00DB1E68"/>
    <w:rsid w:val="00DD3262"/>
    <w:rsid w:val="00DE4D2F"/>
    <w:rsid w:val="00DE5F48"/>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95A4A"/>
    <w:rsid w:val="00FA2A96"/>
    <w:rsid w:val="00FA2D37"/>
    <w:rsid w:val="00FB162B"/>
    <w:rsid w:val="00FB7478"/>
    <w:rsid w:val="00FD122D"/>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3699</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112</cp:revision>
  <dcterms:created xsi:type="dcterms:W3CDTF">2025-06-01T11:07:00Z</dcterms:created>
  <dcterms:modified xsi:type="dcterms:W3CDTF">2025-06-11T05:21:00Z</dcterms:modified>
</cp:coreProperties>
</file>