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CC09" w14:textId="77777777" w:rsidR="00322D05" w:rsidRPr="00253D0E" w:rsidRDefault="006D2C14" w:rsidP="00253D0E">
      <w:pPr>
        <w:pStyle w:val="Title"/>
      </w:pPr>
      <w:r w:rsidRPr="00253D0E">
        <w:t>Zephyr Macro Allocator: A Regime-Aware Multi-Asset Allocation Framework</w:t>
      </w:r>
    </w:p>
    <w:p w14:paraId="0C413470" w14:textId="77777777" w:rsidR="00322D05" w:rsidRDefault="006D2C14">
      <w:pPr>
        <w:pStyle w:val="Author"/>
      </w:pPr>
      <w:r>
        <w:t>Quantitative Research Team</w:t>
      </w:r>
    </w:p>
    <w:p w14:paraId="4B345D40" w14:textId="77777777" w:rsidR="00253D0E" w:rsidRDefault="00253D0E">
      <w:pPr>
        <w:pStyle w:val="Heading1"/>
      </w:pPr>
      <w:bookmarkStart w:id="0" w:name="executive-summary"/>
    </w:p>
    <w:p w14:paraId="57B1C4B0" w14:textId="77777777" w:rsidR="00CC40A3" w:rsidRPr="00CC40A3" w:rsidRDefault="00CC40A3" w:rsidP="00CC40A3">
      <w:pPr>
        <w:pStyle w:val="BodyText"/>
      </w:pPr>
    </w:p>
    <w:p w14:paraId="61B47424" w14:textId="77777777" w:rsidR="00253D0E" w:rsidRDefault="00253D0E">
      <w:pPr>
        <w:pStyle w:val="Heading1"/>
      </w:pPr>
    </w:p>
    <w:p w14:paraId="27316B2D" w14:textId="77777777" w:rsidR="00253D0E" w:rsidRDefault="00253D0E">
      <w:pPr>
        <w:pStyle w:val="Heading1"/>
      </w:pPr>
    </w:p>
    <w:p w14:paraId="6E2719C8" w14:textId="77777777" w:rsidR="00253D0E" w:rsidRDefault="00253D0E">
      <w:pPr>
        <w:pStyle w:val="Heading1"/>
      </w:pPr>
    </w:p>
    <w:p w14:paraId="5B9F0438" w14:textId="77777777" w:rsidR="00253D0E" w:rsidRDefault="00253D0E">
      <w:pPr>
        <w:pStyle w:val="Heading1"/>
      </w:pPr>
    </w:p>
    <w:p w14:paraId="6D73E839" w14:textId="77777777" w:rsidR="00253D0E" w:rsidRDefault="00253D0E">
      <w:pPr>
        <w:pStyle w:val="Heading1"/>
      </w:pPr>
    </w:p>
    <w:p w14:paraId="3CB71E30" w14:textId="77777777" w:rsidR="00253D0E" w:rsidRDefault="00253D0E">
      <w:pPr>
        <w:pStyle w:val="Heading1"/>
      </w:pPr>
    </w:p>
    <w:p w14:paraId="298F26BC" w14:textId="77777777" w:rsidR="00253D0E" w:rsidRDefault="00253D0E">
      <w:pPr>
        <w:pStyle w:val="Heading1"/>
      </w:pPr>
    </w:p>
    <w:p w14:paraId="37A1134C" w14:textId="77777777" w:rsidR="00253D0E" w:rsidRDefault="00253D0E">
      <w:pPr>
        <w:pStyle w:val="Heading1"/>
      </w:pPr>
    </w:p>
    <w:p w14:paraId="4F8AB7B1" w14:textId="77777777" w:rsidR="00253D0E" w:rsidRDefault="00253D0E">
      <w:pPr>
        <w:pStyle w:val="Heading1"/>
      </w:pPr>
    </w:p>
    <w:p w14:paraId="3F8D3390" w14:textId="77777777" w:rsidR="00253D0E" w:rsidRDefault="00253D0E">
      <w:pPr>
        <w:pStyle w:val="Heading1"/>
      </w:pPr>
    </w:p>
    <w:p w14:paraId="227FD66E" w14:textId="77777777" w:rsidR="00CC40A3" w:rsidRPr="00CC40A3" w:rsidRDefault="00CC40A3" w:rsidP="00CC40A3">
      <w:pPr>
        <w:pStyle w:val="BodyText"/>
      </w:pPr>
    </w:p>
    <w:sdt>
      <w:sdtPr>
        <w:rPr>
          <w:rFonts w:ascii="Times New Roman" w:eastAsiaTheme="minorHAnsi" w:hAnsi="Times New Roman" w:cstheme="minorBidi"/>
          <w:color w:val="auto"/>
          <w:sz w:val="24"/>
          <w:szCs w:val="24"/>
        </w:rPr>
        <w:id w:val="-563878355"/>
        <w:docPartObj>
          <w:docPartGallery w:val="Table of Contents"/>
          <w:docPartUnique/>
        </w:docPartObj>
      </w:sdtPr>
      <w:sdtEndPr>
        <w:rPr>
          <w:b/>
          <w:bCs/>
          <w:noProof/>
        </w:rPr>
      </w:sdtEndPr>
      <w:sdtContent>
        <w:p w14:paraId="7152D345" w14:textId="79E51407" w:rsidR="00253D0E" w:rsidRDefault="00253D0E">
          <w:pPr>
            <w:pStyle w:val="TOCHeading"/>
          </w:pPr>
          <w:r>
            <w:t>Table of Contents</w:t>
          </w:r>
        </w:p>
        <w:p w14:paraId="2C73E876" w14:textId="47C79440" w:rsidR="0048110D" w:rsidRDefault="00253D0E">
          <w:pPr>
            <w:pStyle w:val="TOC1"/>
            <w:tabs>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21348783" w:history="1">
            <w:r w:rsidR="0048110D" w:rsidRPr="007F6CCD">
              <w:rPr>
                <w:rStyle w:val="Hyperlink"/>
                <w:noProof/>
              </w:rPr>
              <w:t>Executive Summary</w:t>
            </w:r>
            <w:r w:rsidR="0048110D">
              <w:rPr>
                <w:noProof/>
                <w:webHidden/>
              </w:rPr>
              <w:tab/>
            </w:r>
            <w:r w:rsidR="0048110D">
              <w:rPr>
                <w:noProof/>
                <w:webHidden/>
              </w:rPr>
              <w:fldChar w:fldCharType="begin"/>
            </w:r>
            <w:r w:rsidR="0048110D">
              <w:rPr>
                <w:noProof/>
                <w:webHidden/>
              </w:rPr>
              <w:instrText xml:space="preserve"> PAGEREF _Toc221348783 \h </w:instrText>
            </w:r>
            <w:r w:rsidR="0048110D">
              <w:rPr>
                <w:noProof/>
                <w:webHidden/>
              </w:rPr>
            </w:r>
            <w:r w:rsidR="0048110D">
              <w:rPr>
                <w:noProof/>
                <w:webHidden/>
              </w:rPr>
              <w:fldChar w:fldCharType="separate"/>
            </w:r>
            <w:r w:rsidR="0048110D">
              <w:rPr>
                <w:noProof/>
                <w:webHidden/>
              </w:rPr>
              <w:t>3</w:t>
            </w:r>
            <w:r w:rsidR="0048110D">
              <w:rPr>
                <w:noProof/>
                <w:webHidden/>
              </w:rPr>
              <w:fldChar w:fldCharType="end"/>
            </w:r>
          </w:hyperlink>
        </w:p>
        <w:p w14:paraId="75A9C131" w14:textId="684A95A3"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784" w:history="1">
            <w:r w:rsidRPr="007F6CCD">
              <w:rPr>
                <w:rStyle w:val="Hyperlink"/>
                <w:noProof/>
              </w:rPr>
              <w:t>Algorithm Architecture</w:t>
            </w:r>
            <w:r>
              <w:rPr>
                <w:noProof/>
                <w:webHidden/>
              </w:rPr>
              <w:tab/>
            </w:r>
            <w:r>
              <w:rPr>
                <w:noProof/>
                <w:webHidden/>
              </w:rPr>
              <w:fldChar w:fldCharType="begin"/>
            </w:r>
            <w:r>
              <w:rPr>
                <w:noProof/>
                <w:webHidden/>
              </w:rPr>
              <w:instrText xml:space="preserve"> PAGEREF _Toc221348784 \h </w:instrText>
            </w:r>
            <w:r>
              <w:rPr>
                <w:noProof/>
                <w:webHidden/>
              </w:rPr>
            </w:r>
            <w:r>
              <w:rPr>
                <w:noProof/>
                <w:webHidden/>
              </w:rPr>
              <w:fldChar w:fldCharType="separate"/>
            </w:r>
            <w:r>
              <w:rPr>
                <w:noProof/>
                <w:webHidden/>
              </w:rPr>
              <w:t>3</w:t>
            </w:r>
            <w:r>
              <w:rPr>
                <w:noProof/>
                <w:webHidden/>
              </w:rPr>
              <w:fldChar w:fldCharType="end"/>
            </w:r>
          </w:hyperlink>
        </w:p>
        <w:p w14:paraId="0C657C33" w14:textId="1EE1852E"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85" w:history="1">
            <w:r w:rsidRPr="007F6CCD">
              <w:rPr>
                <w:rStyle w:val="Hyperlink"/>
                <w:noProof/>
              </w:rPr>
              <w:t>Core Design Philosophy</w:t>
            </w:r>
            <w:r>
              <w:rPr>
                <w:noProof/>
                <w:webHidden/>
              </w:rPr>
              <w:tab/>
            </w:r>
            <w:r>
              <w:rPr>
                <w:noProof/>
                <w:webHidden/>
              </w:rPr>
              <w:fldChar w:fldCharType="begin"/>
            </w:r>
            <w:r>
              <w:rPr>
                <w:noProof/>
                <w:webHidden/>
              </w:rPr>
              <w:instrText xml:space="preserve"> PAGEREF _Toc221348785 \h </w:instrText>
            </w:r>
            <w:r>
              <w:rPr>
                <w:noProof/>
                <w:webHidden/>
              </w:rPr>
            </w:r>
            <w:r>
              <w:rPr>
                <w:noProof/>
                <w:webHidden/>
              </w:rPr>
              <w:fldChar w:fldCharType="separate"/>
            </w:r>
            <w:r>
              <w:rPr>
                <w:noProof/>
                <w:webHidden/>
              </w:rPr>
              <w:t>3</w:t>
            </w:r>
            <w:r>
              <w:rPr>
                <w:noProof/>
                <w:webHidden/>
              </w:rPr>
              <w:fldChar w:fldCharType="end"/>
            </w:r>
          </w:hyperlink>
        </w:p>
        <w:p w14:paraId="2C5A6CB2" w14:textId="5718192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86" w:history="1">
            <w:r w:rsidRPr="007F6CCD">
              <w:rPr>
                <w:rStyle w:val="Hyperlink"/>
                <w:noProof/>
              </w:rPr>
              <w:t>Multi-Layer Architecture Components</w:t>
            </w:r>
            <w:r>
              <w:rPr>
                <w:noProof/>
                <w:webHidden/>
              </w:rPr>
              <w:tab/>
            </w:r>
            <w:r>
              <w:rPr>
                <w:noProof/>
                <w:webHidden/>
              </w:rPr>
              <w:fldChar w:fldCharType="begin"/>
            </w:r>
            <w:r>
              <w:rPr>
                <w:noProof/>
                <w:webHidden/>
              </w:rPr>
              <w:instrText xml:space="preserve"> PAGEREF _Toc221348786 \h </w:instrText>
            </w:r>
            <w:r>
              <w:rPr>
                <w:noProof/>
                <w:webHidden/>
              </w:rPr>
            </w:r>
            <w:r>
              <w:rPr>
                <w:noProof/>
                <w:webHidden/>
              </w:rPr>
              <w:fldChar w:fldCharType="separate"/>
            </w:r>
            <w:r>
              <w:rPr>
                <w:noProof/>
                <w:webHidden/>
              </w:rPr>
              <w:t>4</w:t>
            </w:r>
            <w:r>
              <w:rPr>
                <w:noProof/>
                <w:webHidden/>
              </w:rPr>
              <w:fldChar w:fldCharType="end"/>
            </w:r>
          </w:hyperlink>
        </w:p>
        <w:p w14:paraId="2408BD09" w14:textId="1BDB0325"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87" w:history="1">
            <w:r w:rsidRPr="007F6CCD">
              <w:rPr>
                <w:rStyle w:val="Hyperlink"/>
                <w:noProof/>
              </w:rPr>
              <w:t>Asset Universe Structure</w:t>
            </w:r>
            <w:r>
              <w:rPr>
                <w:noProof/>
                <w:webHidden/>
              </w:rPr>
              <w:tab/>
            </w:r>
            <w:r>
              <w:rPr>
                <w:noProof/>
                <w:webHidden/>
              </w:rPr>
              <w:fldChar w:fldCharType="begin"/>
            </w:r>
            <w:r>
              <w:rPr>
                <w:noProof/>
                <w:webHidden/>
              </w:rPr>
              <w:instrText xml:space="preserve"> PAGEREF _Toc221348787 \h </w:instrText>
            </w:r>
            <w:r>
              <w:rPr>
                <w:noProof/>
                <w:webHidden/>
              </w:rPr>
            </w:r>
            <w:r>
              <w:rPr>
                <w:noProof/>
                <w:webHidden/>
              </w:rPr>
              <w:fldChar w:fldCharType="separate"/>
            </w:r>
            <w:r>
              <w:rPr>
                <w:noProof/>
                <w:webHidden/>
              </w:rPr>
              <w:t>5</w:t>
            </w:r>
            <w:r>
              <w:rPr>
                <w:noProof/>
                <w:webHidden/>
              </w:rPr>
              <w:fldChar w:fldCharType="end"/>
            </w:r>
          </w:hyperlink>
        </w:p>
        <w:p w14:paraId="7E48C9F9" w14:textId="74F9F57A"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788" w:history="1">
            <w:r w:rsidRPr="007F6CCD">
              <w:rPr>
                <w:rStyle w:val="Hyperlink"/>
                <w:noProof/>
              </w:rPr>
              <w:t>Mathematical Framework</w:t>
            </w:r>
            <w:r>
              <w:rPr>
                <w:noProof/>
                <w:webHidden/>
              </w:rPr>
              <w:tab/>
            </w:r>
            <w:r>
              <w:rPr>
                <w:noProof/>
                <w:webHidden/>
              </w:rPr>
              <w:fldChar w:fldCharType="begin"/>
            </w:r>
            <w:r>
              <w:rPr>
                <w:noProof/>
                <w:webHidden/>
              </w:rPr>
              <w:instrText xml:space="preserve"> PAGEREF _Toc221348788 \h </w:instrText>
            </w:r>
            <w:r>
              <w:rPr>
                <w:noProof/>
                <w:webHidden/>
              </w:rPr>
            </w:r>
            <w:r>
              <w:rPr>
                <w:noProof/>
                <w:webHidden/>
              </w:rPr>
              <w:fldChar w:fldCharType="separate"/>
            </w:r>
            <w:r>
              <w:rPr>
                <w:noProof/>
                <w:webHidden/>
              </w:rPr>
              <w:t>6</w:t>
            </w:r>
            <w:r>
              <w:rPr>
                <w:noProof/>
                <w:webHidden/>
              </w:rPr>
              <w:fldChar w:fldCharType="end"/>
            </w:r>
          </w:hyperlink>
        </w:p>
        <w:p w14:paraId="49794F24" w14:textId="46C9516E"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89" w:history="1">
            <w:r w:rsidRPr="007F6CCD">
              <w:rPr>
                <w:rStyle w:val="Hyperlink"/>
                <w:noProof/>
              </w:rPr>
              <w:t>Notation and Definitions</w:t>
            </w:r>
            <w:r>
              <w:rPr>
                <w:noProof/>
                <w:webHidden/>
              </w:rPr>
              <w:tab/>
            </w:r>
            <w:r>
              <w:rPr>
                <w:noProof/>
                <w:webHidden/>
              </w:rPr>
              <w:fldChar w:fldCharType="begin"/>
            </w:r>
            <w:r>
              <w:rPr>
                <w:noProof/>
                <w:webHidden/>
              </w:rPr>
              <w:instrText xml:space="preserve"> PAGEREF _Toc221348789 \h </w:instrText>
            </w:r>
            <w:r>
              <w:rPr>
                <w:noProof/>
                <w:webHidden/>
              </w:rPr>
            </w:r>
            <w:r>
              <w:rPr>
                <w:noProof/>
                <w:webHidden/>
              </w:rPr>
              <w:fldChar w:fldCharType="separate"/>
            </w:r>
            <w:r>
              <w:rPr>
                <w:noProof/>
                <w:webHidden/>
              </w:rPr>
              <w:t>6</w:t>
            </w:r>
            <w:r>
              <w:rPr>
                <w:noProof/>
                <w:webHidden/>
              </w:rPr>
              <w:fldChar w:fldCharType="end"/>
            </w:r>
          </w:hyperlink>
        </w:p>
        <w:p w14:paraId="4DDDF151" w14:textId="7385A1AF"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0" w:history="1">
            <w:r w:rsidRPr="007F6CCD">
              <w:rPr>
                <w:rStyle w:val="Hyperlink"/>
                <w:noProof/>
              </w:rPr>
              <w:t>Momentum Score Calculation</w:t>
            </w:r>
            <w:r>
              <w:rPr>
                <w:noProof/>
                <w:webHidden/>
              </w:rPr>
              <w:tab/>
            </w:r>
            <w:r>
              <w:rPr>
                <w:noProof/>
                <w:webHidden/>
              </w:rPr>
              <w:fldChar w:fldCharType="begin"/>
            </w:r>
            <w:r>
              <w:rPr>
                <w:noProof/>
                <w:webHidden/>
              </w:rPr>
              <w:instrText xml:space="preserve"> PAGEREF _Toc221348790 \h </w:instrText>
            </w:r>
            <w:r>
              <w:rPr>
                <w:noProof/>
                <w:webHidden/>
              </w:rPr>
            </w:r>
            <w:r>
              <w:rPr>
                <w:noProof/>
                <w:webHidden/>
              </w:rPr>
              <w:fldChar w:fldCharType="separate"/>
            </w:r>
            <w:r>
              <w:rPr>
                <w:noProof/>
                <w:webHidden/>
              </w:rPr>
              <w:t>6</w:t>
            </w:r>
            <w:r>
              <w:rPr>
                <w:noProof/>
                <w:webHidden/>
              </w:rPr>
              <w:fldChar w:fldCharType="end"/>
            </w:r>
          </w:hyperlink>
        </w:p>
        <w:p w14:paraId="567F9714" w14:textId="455B2575"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1" w:history="1">
            <w:r w:rsidRPr="007F6CCD">
              <w:rPr>
                <w:rStyle w:val="Hyperlink"/>
                <w:noProof/>
              </w:rPr>
              <w:t>Trend Filter Implementation</w:t>
            </w:r>
            <w:r>
              <w:rPr>
                <w:noProof/>
                <w:webHidden/>
              </w:rPr>
              <w:tab/>
            </w:r>
            <w:r>
              <w:rPr>
                <w:noProof/>
                <w:webHidden/>
              </w:rPr>
              <w:fldChar w:fldCharType="begin"/>
            </w:r>
            <w:r>
              <w:rPr>
                <w:noProof/>
                <w:webHidden/>
              </w:rPr>
              <w:instrText xml:space="preserve"> PAGEREF _Toc221348791 \h </w:instrText>
            </w:r>
            <w:r>
              <w:rPr>
                <w:noProof/>
                <w:webHidden/>
              </w:rPr>
            </w:r>
            <w:r>
              <w:rPr>
                <w:noProof/>
                <w:webHidden/>
              </w:rPr>
              <w:fldChar w:fldCharType="separate"/>
            </w:r>
            <w:r>
              <w:rPr>
                <w:noProof/>
                <w:webHidden/>
              </w:rPr>
              <w:t>6</w:t>
            </w:r>
            <w:r>
              <w:rPr>
                <w:noProof/>
                <w:webHidden/>
              </w:rPr>
              <w:fldChar w:fldCharType="end"/>
            </w:r>
          </w:hyperlink>
        </w:p>
        <w:p w14:paraId="77D3AE42" w14:textId="50ECD003"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2" w:history="1">
            <w:r w:rsidRPr="007F6CCD">
              <w:rPr>
                <w:rStyle w:val="Hyperlink"/>
                <w:noProof/>
              </w:rPr>
              <w:t>Win-Rate Calculation</w:t>
            </w:r>
            <w:r>
              <w:rPr>
                <w:noProof/>
                <w:webHidden/>
              </w:rPr>
              <w:tab/>
            </w:r>
            <w:r>
              <w:rPr>
                <w:noProof/>
                <w:webHidden/>
              </w:rPr>
              <w:fldChar w:fldCharType="begin"/>
            </w:r>
            <w:r>
              <w:rPr>
                <w:noProof/>
                <w:webHidden/>
              </w:rPr>
              <w:instrText xml:space="preserve"> PAGEREF _Toc221348792 \h </w:instrText>
            </w:r>
            <w:r>
              <w:rPr>
                <w:noProof/>
                <w:webHidden/>
              </w:rPr>
            </w:r>
            <w:r>
              <w:rPr>
                <w:noProof/>
                <w:webHidden/>
              </w:rPr>
              <w:fldChar w:fldCharType="separate"/>
            </w:r>
            <w:r>
              <w:rPr>
                <w:noProof/>
                <w:webHidden/>
              </w:rPr>
              <w:t>7</w:t>
            </w:r>
            <w:r>
              <w:rPr>
                <w:noProof/>
                <w:webHidden/>
              </w:rPr>
              <w:fldChar w:fldCharType="end"/>
            </w:r>
          </w:hyperlink>
        </w:p>
        <w:p w14:paraId="0ED10B92" w14:textId="787040C2"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3" w:history="1">
            <w:r w:rsidRPr="007F6CCD">
              <w:rPr>
                <w:rStyle w:val="Hyperlink"/>
                <w:noProof/>
              </w:rPr>
              <w:t>Volatility-Adjusted Confidence Score</w:t>
            </w:r>
            <w:r>
              <w:rPr>
                <w:noProof/>
                <w:webHidden/>
              </w:rPr>
              <w:tab/>
            </w:r>
            <w:r>
              <w:rPr>
                <w:noProof/>
                <w:webHidden/>
              </w:rPr>
              <w:fldChar w:fldCharType="begin"/>
            </w:r>
            <w:r>
              <w:rPr>
                <w:noProof/>
                <w:webHidden/>
              </w:rPr>
              <w:instrText xml:space="preserve"> PAGEREF _Toc221348793 \h </w:instrText>
            </w:r>
            <w:r>
              <w:rPr>
                <w:noProof/>
                <w:webHidden/>
              </w:rPr>
            </w:r>
            <w:r>
              <w:rPr>
                <w:noProof/>
                <w:webHidden/>
              </w:rPr>
              <w:fldChar w:fldCharType="separate"/>
            </w:r>
            <w:r>
              <w:rPr>
                <w:noProof/>
                <w:webHidden/>
              </w:rPr>
              <w:t>7</w:t>
            </w:r>
            <w:r>
              <w:rPr>
                <w:noProof/>
                <w:webHidden/>
              </w:rPr>
              <w:fldChar w:fldCharType="end"/>
            </w:r>
          </w:hyperlink>
        </w:p>
        <w:p w14:paraId="04B5A19B" w14:textId="66B757F4"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794" w:history="1">
            <w:r w:rsidRPr="007F6CCD">
              <w:rPr>
                <w:rStyle w:val="Hyperlink"/>
                <w:noProof/>
              </w:rPr>
              <w:t>Momentum Calculation Engine</w:t>
            </w:r>
            <w:r>
              <w:rPr>
                <w:noProof/>
                <w:webHidden/>
              </w:rPr>
              <w:tab/>
            </w:r>
            <w:r>
              <w:rPr>
                <w:noProof/>
                <w:webHidden/>
              </w:rPr>
              <w:fldChar w:fldCharType="begin"/>
            </w:r>
            <w:r>
              <w:rPr>
                <w:noProof/>
                <w:webHidden/>
              </w:rPr>
              <w:instrText xml:space="preserve"> PAGEREF _Toc221348794 \h </w:instrText>
            </w:r>
            <w:r>
              <w:rPr>
                <w:noProof/>
                <w:webHidden/>
              </w:rPr>
            </w:r>
            <w:r>
              <w:rPr>
                <w:noProof/>
                <w:webHidden/>
              </w:rPr>
              <w:fldChar w:fldCharType="separate"/>
            </w:r>
            <w:r>
              <w:rPr>
                <w:noProof/>
                <w:webHidden/>
              </w:rPr>
              <w:t>7</w:t>
            </w:r>
            <w:r>
              <w:rPr>
                <w:noProof/>
                <w:webHidden/>
              </w:rPr>
              <w:fldChar w:fldCharType="end"/>
            </w:r>
          </w:hyperlink>
        </w:p>
        <w:p w14:paraId="47056850" w14:textId="4060FEC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5" w:history="1">
            <w:r w:rsidRPr="007F6CCD">
              <w:rPr>
                <w:rStyle w:val="Hyperlink"/>
                <w:noProof/>
              </w:rPr>
              <w:t>Multi-Horizon Aggregation Methodology</w:t>
            </w:r>
            <w:r>
              <w:rPr>
                <w:noProof/>
                <w:webHidden/>
              </w:rPr>
              <w:tab/>
            </w:r>
            <w:r>
              <w:rPr>
                <w:noProof/>
                <w:webHidden/>
              </w:rPr>
              <w:fldChar w:fldCharType="begin"/>
            </w:r>
            <w:r>
              <w:rPr>
                <w:noProof/>
                <w:webHidden/>
              </w:rPr>
              <w:instrText xml:space="preserve"> PAGEREF _Toc221348795 \h </w:instrText>
            </w:r>
            <w:r>
              <w:rPr>
                <w:noProof/>
                <w:webHidden/>
              </w:rPr>
            </w:r>
            <w:r>
              <w:rPr>
                <w:noProof/>
                <w:webHidden/>
              </w:rPr>
              <w:fldChar w:fldCharType="separate"/>
            </w:r>
            <w:r>
              <w:rPr>
                <w:noProof/>
                <w:webHidden/>
              </w:rPr>
              <w:t>7</w:t>
            </w:r>
            <w:r>
              <w:rPr>
                <w:noProof/>
                <w:webHidden/>
              </w:rPr>
              <w:fldChar w:fldCharType="end"/>
            </w:r>
          </w:hyperlink>
        </w:p>
        <w:p w14:paraId="357F96F6" w14:textId="09F2EE4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6" w:history="1">
            <w:r w:rsidRPr="007F6CCD">
              <w:rPr>
                <w:rStyle w:val="Hyperlink"/>
                <w:noProof/>
              </w:rPr>
              <w:t>Asset-Level Momentum Processing</w:t>
            </w:r>
            <w:r>
              <w:rPr>
                <w:noProof/>
                <w:webHidden/>
              </w:rPr>
              <w:tab/>
            </w:r>
            <w:r>
              <w:rPr>
                <w:noProof/>
                <w:webHidden/>
              </w:rPr>
              <w:fldChar w:fldCharType="begin"/>
            </w:r>
            <w:r>
              <w:rPr>
                <w:noProof/>
                <w:webHidden/>
              </w:rPr>
              <w:instrText xml:space="preserve"> PAGEREF _Toc221348796 \h </w:instrText>
            </w:r>
            <w:r>
              <w:rPr>
                <w:noProof/>
                <w:webHidden/>
              </w:rPr>
            </w:r>
            <w:r>
              <w:rPr>
                <w:noProof/>
                <w:webHidden/>
              </w:rPr>
              <w:fldChar w:fldCharType="separate"/>
            </w:r>
            <w:r>
              <w:rPr>
                <w:noProof/>
                <w:webHidden/>
              </w:rPr>
              <w:t>8</w:t>
            </w:r>
            <w:r>
              <w:rPr>
                <w:noProof/>
                <w:webHidden/>
              </w:rPr>
              <w:fldChar w:fldCharType="end"/>
            </w:r>
          </w:hyperlink>
        </w:p>
        <w:p w14:paraId="7ACF234C" w14:textId="34AF8C4C"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7" w:history="1">
            <w:r w:rsidRPr="007F6CCD">
              <w:rPr>
                <w:rStyle w:val="Hyperlink"/>
                <w:noProof/>
              </w:rPr>
              <w:t>Group-Level Momentum Aggregation</w:t>
            </w:r>
            <w:r>
              <w:rPr>
                <w:noProof/>
                <w:webHidden/>
              </w:rPr>
              <w:tab/>
            </w:r>
            <w:r>
              <w:rPr>
                <w:noProof/>
                <w:webHidden/>
              </w:rPr>
              <w:fldChar w:fldCharType="begin"/>
            </w:r>
            <w:r>
              <w:rPr>
                <w:noProof/>
                <w:webHidden/>
              </w:rPr>
              <w:instrText xml:space="preserve"> PAGEREF _Toc221348797 \h </w:instrText>
            </w:r>
            <w:r>
              <w:rPr>
                <w:noProof/>
                <w:webHidden/>
              </w:rPr>
            </w:r>
            <w:r>
              <w:rPr>
                <w:noProof/>
                <w:webHidden/>
              </w:rPr>
              <w:fldChar w:fldCharType="separate"/>
            </w:r>
            <w:r>
              <w:rPr>
                <w:noProof/>
                <w:webHidden/>
              </w:rPr>
              <w:t>9</w:t>
            </w:r>
            <w:r>
              <w:rPr>
                <w:noProof/>
                <w:webHidden/>
              </w:rPr>
              <w:fldChar w:fldCharType="end"/>
            </w:r>
          </w:hyperlink>
        </w:p>
        <w:p w14:paraId="778A02D5" w14:textId="7400B26D"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8" w:history="1">
            <w:r w:rsidRPr="007F6CCD">
              <w:rPr>
                <w:rStyle w:val="Hyperlink"/>
                <w:noProof/>
              </w:rPr>
              <w:t>Momentum Signal Validation</w:t>
            </w:r>
            <w:r>
              <w:rPr>
                <w:noProof/>
                <w:webHidden/>
              </w:rPr>
              <w:tab/>
            </w:r>
            <w:r>
              <w:rPr>
                <w:noProof/>
                <w:webHidden/>
              </w:rPr>
              <w:fldChar w:fldCharType="begin"/>
            </w:r>
            <w:r>
              <w:rPr>
                <w:noProof/>
                <w:webHidden/>
              </w:rPr>
              <w:instrText xml:space="preserve"> PAGEREF _Toc221348798 \h </w:instrText>
            </w:r>
            <w:r>
              <w:rPr>
                <w:noProof/>
                <w:webHidden/>
              </w:rPr>
            </w:r>
            <w:r>
              <w:rPr>
                <w:noProof/>
                <w:webHidden/>
              </w:rPr>
              <w:fldChar w:fldCharType="separate"/>
            </w:r>
            <w:r>
              <w:rPr>
                <w:noProof/>
                <w:webHidden/>
              </w:rPr>
              <w:t>9</w:t>
            </w:r>
            <w:r>
              <w:rPr>
                <w:noProof/>
                <w:webHidden/>
              </w:rPr>
              <w:fldChar w:fldCharType="end"/>
            </w:r>
          </w:hyperlink>
        </w:p>
        <w:p w14:paraId="049B98B3" w14:textId="347E57C5"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799" w:history="1">
            <w:r w:rsidRPr="007F6CCD">
              <w:rPr>
                <w:rStyle w:val="Hyperlink"/>
                <w:noProof/>
              </w:rPr>
              <w:t>Regime Detection and Risk Management</w:t>
            </w:r>
            <w:r>
              <w:rPr>
                <w:noProof/>
                <w:webHidden/>
              </w:rPr>
              <w:tab/>
            </w:r>
            <w:r>
              <w:rPr>
                <w:noProof/>
                <w:webHidden/>
              </w:rPr>
              <w:fldChar w:fldCharType="begin"/>
            </w:r>
            <w:r>
              <w:rPr>
                <w:noProof/>
                <w:webHidden/>
              </w:rPr>
              <w:instrText xml:space="preserve"> PAGEREF _Toc221348799 \h </w:instrText>
            </w:r>
            <w:r>
              <w:rPr>
                <w:noProof/>
                <w:webHidden/>
              </w:rPr>
            </w:r>
            <w:r>
              <w:rPr>
                <w:noProof/>
                <w:webHidden/>
              </w:rPr>
              <w:fldChar w:fldCharType="separate"/>
            </w:r>
            <w:r>
              <w:rPr>
                <w:noProof/>
                <w:webHidden/>
              </w:rPr>
              <w:t>10</w:t>
            </w:r>
            <w:r>
              <w:rPr>
                <w:noProof/>
                <w:webHidden/>
              </w:rPr>
              <w:fldChar w:fldCharType="end"/>
            </w:r>
          </w:hyperlink>
        </w:p>
        <w:p w14:paraId="603DAD1E" w14:textId="2A55D5F7"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0" w:history="1">
            <w:r w:rsidRPr="007F6CCD">
              <w:rPr>
                <w:rStyle w:val="Hyperlink"/>
                <w:noProof/>
              </w:rPr>
              <w:t>Treasury Kill Switch Mechanism</w:t>
            </w:r>
            <w:r>
              <w:rPr>
                <w:noProof/>
                <w:webHidden/>
              </w:rPr>
              <w:tab/>
            </w:r>
            <w:r>
              <w:rPr>
                <w:noProof/>
                <w:webHidden/>
              </w:rPr>
              <w:fldChar w:fldCharType="begin"/>
            </w:r>
            <w:r>
              <w:rPr>
                <w:noProof/>
                <w:webHidden/>
              </w:rPr>
              <w:instrText xml:space="preserve"> PAGEREF _Toc221348800 \h </w:instrText>
            </w:r>
            <w:r>
              <w:rPr>
                <w:noProof/>
                <w:webHidden/>
              </w:rPr>
            </w:r>
            <w:r>
              <w:rPr>
                <w:noProof/>
                <w:webHidden/>
              </w:rPr>
              <w:fldChar w:fldCharType="separate"/>
            </w:r>
            <w:r>
              <w:rPr>
                <w:noProof/>
                <w:webHidden/>
              </w:rPr>
              <w:t>10</w:t>
            </w:r>
            <w:r>
              <w:rPr>
                <w:noProof/>
                <w:webHidden/>
              </w:rPr>
              <w:fldChar w:fldCharType="end"/>
            </w:r>
          </w:hyperlink>
        </w:p>
        <w:p w14:paraId="39274A8A" w14:textId="6477B4F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1" w:history="1">
            <w:r w:rsidRPr="007F6CCD">
              <w:rPr>
                <w:rStyle w:val="Hyperlink"/>
                <w:noProof/>
              </w:rPr>
              <w:t>Advanced Trend Filtering System</w:t>
            </w:r>
            <w:r>
              <w:rPr>
                <w:noProof/>
                <w:webHidden/>
              </w:rPr>
              <w:tab/>
            </w:r>
            <w:r>
              <w:rPr>
                <w:noProof/>
                <w:webHidden/>
              </w:rPr>
              <w:fldChar w:fldCharType="begin"/>
            </w:r>
            <w:r>
              <w:rPr>
                <w:noProof/>
                <w:webHidden/>
              </w:rPr>
              <w:instrText xml:space="preserve"> PAGEREF _Toc221348801 \h </w:instrText>
            </w:r>
            <w:r>
              <w:rPr>
                <w:noProof/>
                <w:webHidden/>
              </w:rPr>
            </w:r>
            <w:r>
              <w:rPr>
                <w:noProof/>
                <w:webHidden/>
              </w:rPr>
              <w:fldChar w:fldCharType="separate"/>
            </w:r>
            <w:r>
              <w:rPr>
                <w:noProof/>
                <w:webHidden/>
              </w:rPr>
              <w:t>11</w:t>
            </w:r>
            <w:r>
              <w:rPr>
                <w:noProof/>
                <w:webHidden/>
              </w:rPr>
              <w:fldChar w:fldCharType="end"/>
            </w:r>
          </w:hyperlink>
        </w:p>
        <w:p w14:paraId="33636687" w14:textId="027285F7"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2" w:history="1">
            <w:r w:rsidRPr="007F6CCD">
              <w:rPr>
                <w:rStyle w:val="Hyperlink"/>
                <w:noProof/>
              </w:rPr>
              <w:t>Duration Regime Selection Logic</w:t>
            </w:r>
            <w:r>
              <w:rPr>
                <w:noProof/>
                <w:webHidden/>
              </w:rPr>
              <w:tab/>
            </w:r>
            <w:r>
              <w:rPr>
                <w:noProof/>
                <w:webHidden/>
              </w:rPr>
              <w:fldChar w:fldCharType="begin"/>
            </w:r>
            <w:r>
              <w:rPr>
                <w:noProof/>
                <w:webHidden/>
              </w:rPr>
              <w:instrText xml:space="preserve"> PAGEREF _Toc221348802 \h </w:instrText>
            </w:r>
            <w:r>
              <w:rPr>
                <w:noProof/>
                <w:webHidden/>
              </w:rPr>
            </w:r>
            <w:r>
              <w:rPr>
                <w:noProof/>
                <w:webHidden/>
              </w:rPr>
              <w:fldChar w:fldCharType="separate"/>
            </w:r>
            <w:r>
              <w:rPr>
                <w:noProof/>
                <w:webHidden/>
              </w:rPr>
              <w:t>11</w:t>
            </w:r>
            <w:r>
              <w:rPr>
                <w:noProof/>
                <w:webHidden/>
              </w:rPr>
              <w:fldChar w:fldCharType="end"/>
            </w:r>
          </w:hyperlink>
        </w:p>
        <w:p w14:paraId="07610D15" w14:textId="12C54FC6"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03" w:history="1">
            <w:r w:rsidRPr="007F6CCD">
              <w:rPr>
                <w:rStyle w:val="Hyperlink"/>
                <w:noProof/>
              </w:rPr>
              <w:t>Portfolio Construction Methodology</w:t>
            </w:r>
            <w:r>
              <w:rPr>
                <w:noProof/>
                <w:webHidden/>
              </w:rPr>
              <w:tab/>
            </w:r>
            <w:r>
              <w:rPr>
                <w:noProof/>
                <w:webHidden/>
              </w:rPr>
              <w:fldChar w:fldCharType="begin"/>
            </w:r>
            <w:r>
              <w:rPr>
                <w:noProof/>
                <w:webHidden/>
              </w:rPr>
              <w:instrText xml:space="preserve"> PAGEREF _Toc221348803 \h </w:instrText>
            </w:r>
            <w:r>
              <w:rPr>
                <w:noProof/>
                <w:webHidden/>
              </w:rPr>
            </w:r>
            <w:r>
              <w:rPr>
                <w:noProof/>
                <w:webHidden/>
              </w:rPr>
              <w:fldChar w:fldCharType="separate"/>
            </w:r>
            <w:r>
              <w:rPr>
                <w:noProof/>
                <w:webHidden/>
              </w:rPr>
              <w:t>12</w:t>
            </w:r>
            <w:r>
              <w:rPr>
                <w:noProof/>
                <w:webHidden/>
              </w:rPr>
              <w:fldChar w:fldCharType="end"/>
            </w:r>
          </w:hyperlink>
        </w:p>
        <w:p w14:paraId="313F8F69" w14:textId="1D06EF63"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4" w:history="1">
            <w:r w:rsidRPr="007F6CCD">
              <w:rPr>
                <w:rStyle w:val="Hyperlink"/>
                <w:noProof/>
              </w:rPr>
              <w:t>Edge-Based Allocation Framework</w:t>
            </w:r>
            <w:r>
              <w:rPr>
                <w:noProof/>
                <w:webHidden/>
              </w:rPr>
              <w:tab/>
            </w:r>
            <w:r>
              <w:rPr>
                <w:noProof/>
                <w:webHidden/>
              </w:rPr>
              <w:fldChar w:fldCharType="begin"/>
            </w:r>
            <w:r>
              <w:rPr>
                <w:noProof/>
                <w:webHidden/>
              </w:rPr>
              <w:instrText xml:space="preserve"> PAGEREF _Toc221348804 \h </w:instrText>
            </w:r>
            <w:r>
              <w:rPr>
                <w:noProof/>
                <w:webHidden/>
              </w:rPr>
            </w:r>
            <w:r>
              <w:rPr>
                <w:noProof/>
                <w:webHidden/>
              </w:rPr>
              <w:fldChar w:fldCharType="separate"/>
            </w:r>
            <w:r>
              <w:rPr>
                <w:noProof/>
                <w:webHidden/>
              </w:rPr>
              <w:t>12</w:t>
            </w:r>
            <w:r>
              <w:rPr>
                <w:noProof/>
                <w:webHidden/>
              </w:rPr>
              <w:fldChar w:fldCharType="end"/>
            </w:r>
          </w:hyperlink>
        </w:p>
        <w:p w14:paraId="6E6D6C22" w14:textId="45E5DAE0"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5" w:history="1">
            <w:r w:rsidRPr="007F6CCD">
              <w:rPr>
                <w:rStyle w:val="Hyperlink"/>
                <w:noProof/>
              </w:rPr>
              <w:t>Group Weight Determination</w:t>
            </w:r>
            <w:r>
              <w:rPr>
                <w:noProof/>
                <w:webHidden/>
              </w:rPr>
              <w:tab/>
            </w:r>
            <w:r>
              <w:rPr>
                <w:noProof/>
                <w:webHidden/>
              </w:rPr>
              <w:fldChar w:fldCharType="begin"/>
            </w:r>
            <w:r>
              <w:rPr>
                <w:noProof/>
                <w:webHidden/>
              </w:rPr>
              <w:instrText xml:space="preserve"> PAGEREF _Toc221348805 \h </w:instrText>
            </w:r>
            <w:r>
              <w:rPr>
                <w:noProof/>
                <w:webHidden/>
              </w:rPr>
            </w:r>
            <w:r>
              <w:rPr>
                <w:noProof/>
                <w:webHidden/>
              </w:rPr>
              <w:fldChar w:fldCharType="separate"/>
            </w:r>
            <w:r>
              <w:rPr>
                <w:noProof/>
                <w:webHidden/>
              </w:rPr>
              <w:t>12</w:t>
            </w:r>
            <w:r>
              <w:rPr>
                <w:noProof/>
                <w:webHidden/>
              </w:rPr>
              <w:fldChar w:fldCharType="end"/>
            </w:r>
          </w:hyperlink>
        </w:p>
        <w:p w14:paraId="76DA4F02" w14:textId="192F8DCB"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6" w:history="1">
            <w:r w:rsidRPr="007F6CCD">
              <w:rPr>
                <w:rStyle w:val="Hyperlink"/>
                <w:noProof/>
              </w:rPr>
              <w:t>Cryptocurrency Exposure Management</w:t>
            </w:r>
            <w:r>
              <w:rPr>
                <w:noProof/>
                <w:webHidden/>
              </w:rPr>
              <w:tab/>
            </w:r>
            <w:r>
              <w:rPr>
                <w:noProof/>
                <w:webHidden/>
              </w:rPr>
              <w:fldChar w:fldCharType="begin"/>
            </w:r>
            <w:r>
              <w:rPr>
                <w:noProof/>
                <w:webHidden/>
              </w:rPr>
              <w:instrText xml:space="preserve"> PAGEREF _Toc221348806 \h </w:instrText>
            </w:r>
            <w:r>
              <w:rPr>
                <w:noProof/>
                <w:webHidden/>
              </w:rPr>
            </w:r>
            <w:r>
              <w:rPr>
                <w:noProof/>
                <w:webHidden/>
              </w:rPr>
              <w:fldChar w:fldCharType="separate"/>
            </w:r>
            <w:r>
              <w:rPr>
                <w:noProof/>
                <w:webHidden/>
              </w:rPr>
              <w:t>13</w:t>
            </w:r>
            <w:r>
              <w:rPr>
                <w:noProof/>
                <w:webHidden/>
              </w:rPr>
              <w:fldChar w:fldCharType="end"/>
            </w:r>
          </w:hyperlink>
        </w:p>
        <w:p w14:paraId="3015E6E7" w14:textId="749496B4"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7" w:history="1">
            <w:r w:rsidRPr="007F6CCD">
              <w:rPr>
                <w:rStyle w:val="Hyperlink"/>
                <w:noProof/>
              </w:rPr>
              <w:t>Intra-Group Allocation Optimization</w:t>
            </w:r>
            <w:r>
              <w:rPr>
                <w:noProof/>
                <w:webHidden/>
              </w:rPr>
              <w:tab/>
            </w:r>
            <w:r>
              <w:rPr>
                <w:noProof/>
                <w:webHidden/>
              </w:rPr>
              <w:fldChar w:fldCharType="begin"/>
            </w:r>
            <w:r>
              <w:rPr>
                <w:noProof/>
                <w:webHidden/>
              </w:rPr>
              <w:instrText xml:space="preserve"> PAGEREF _Toc221348807 \h </w:instrText>
            </w:r>
            <w:r>
              <w:rPr>
                <w:noProof/>
                <w:webHidden/>
              </w:rPr>
            </w:r>
            <w:r>
              <w:rPr>
                <w:noProof/>
                <w:webHidden/>
              </w:rPr>
              <w:fldChar w:fldCharType="separate"/>
            </w:r>
            <w:r>
              <w:rPr>
                <w:noProof/>
                <w:webHidden/>
              </w:rPr>
              <w:t>13</w:t>
            </w:r>
            <w:r>
              <w:rPr>
                <w:noProof/>
                <w:webHidden/>
              </w:rPr>
              <w:fldChar w:fldCharType="end"/>
            </w:r>
          </w:hyperlink>
        </w:p>
        <w:p w14:paraId="53480A67" w14:textId="0C93D924"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08" w:history="1">
            <w:r w:rsidRPr="007F6CCD">
              <w:rPr>
                <w:rStyle w:val="Hyperlink"/>
                <w:noProof/>
              </w:rPr>
              <w:t>Implementation Specifications</w:t>
            </w:r>
            <w:r>
              <w:rPr>
                <w:noProof/>
                <w:webHidden/>
              </w:rPr>
              <w:tab/>
            </w:r>
            <w:r>
              <w:rPr>
                <w:noProof/>
                <w:webHidden/>
              </w:rPr>
              <w:fldChar w:fldCharType="begin"/>
            </w:r>
            <w:r>
              <w:rPr>
                <w:noProof/>
                <w:webHidden/>
              </w:rPr>
              <w:instrText xml:space="preserve"> PAGEREF _Toc221348808 \h </w:instrText>
            </w:r>
            <w:r>
              <w:rPr>
                <w:noProof/>
                <w:webHidden/>
              </w:rPr>
            </w:r>
            <w:r>
              <w:rPr>
                <w:noProof/>
                <w:webHidden/>
              </w:rPr>
              <w:fldChar w:fldCharType="separate"/>
            </w:r>
            <w:r>
              <w:rPr>
                <w:noProof/>
                <w:webHidden/>
              </w:rPr>
              <w:t>14</w:t>
            </w:r>
            <w:r>
              <w:rPr>
                <w:noProof/>
                <w:webHidden/>
              </w:rPr>
              <w:fldChar w:fldCharType="end"/>
            </w:r>
          </w:hyperlink>
        </w:p>
        <w:p w14:paraId="0DC3ED22" w14:textId="113E335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9" w:history="1">
            <w:r w:rsidRPr="007F6CCD">
              <w:rPr>
                <w:rStyle w:val="Hyperlink"/>
                <w:noProof/>
              </w:rPr>
              <w:t>Rebalancing Protocol</w:t>
            </w:r>
            <w:r>
              <w:rPr>
                <w:noProof/>
                <w:webHidden/>
              </w:rPr>
              <w:tab/>
            </w:r>
            <w:r>
              <w:rPr>
                <w:noProof/>
                <w:webHidden/>
              </w:rPr>
              <w:fldChar w:fldCharType="begin"/>
            </w:r>
            <w:r>
              <w:rPr>
                <w:noProof/>
                <w:webHidden/>
              </w:rPr>
              <w:instrText xml:space="preserve"> PAGEREF _Toc221348809 \h </w:instrText>
            </w:r>
            <w:r>
              <w:rPr>
                <w:noProof/>
                <w:webHidden/>
              </w:rPr>
            </w:r>
            <w:r>
              <w:rPr>
                <w:noProof/>
                <w:webHidden/>
              </w:rPr>
              <w:fldChar w:fldCharType="separate"/>
            </w:r>
            <w:r>
              <w:rPr>
                <w:noProof/>
                <w:webHidden/>
              </w:rPr>
              <w:t>14</w:t>
            </w:r>
            <w:r>
              <w:rPr>
                <w:noProof/>
                <w:webHidden/>
              </w:rPr>
              <w:fldChar w:fldCharType="end"/>
            </w:r>
          </w:hyperlink>
        </w:p>
        <w:p w14:paraId="306CF16B" w14:textId="5B02AFD5"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0" w:history="1">
            <w:r w:rsidRPr="007F6CCD">
              <w:rPr>
                <w:rStyle w:val="Hyperlink"/>
                <w:noProof/>
              </w:rPr>
              <w:t>Data Requirements and Processing</w:t>
            </w:r>
            <w:r>
              <w:rPr>
                <w:noProof/>
                <w:webHidden/>
              </w:rPr>
              <w:tab/>
            </w:r>
            <w:r>
              <w:rPr>
                <w:noProof/>
                <w:webHidden/>
              </w:rPr>
              <w:fldChar w:fldCharType="begin"/>
            </w:r>
            <w:r>
              <w:rPr>
                <w:noProof/>
                <w:webHidden/>
              </w:rPr>
              <w:instrText xml:space="preserve"> PAGEREF _Toc221348810 \h </w:instrText>
            </w:r>
            <w:r>
              <w:rPr>
                <w:noProof/>
                <w:webHidden/>
              </w:rPr>
            </w:r>
            <w:r>
              <w:rPr>
                <w:noProof/>
                <w:webHidden/>
              </w:rPr>
              <w:fldChar w:fldCharType="separate"/>
            </w:r>
            <w:r>
              <w:rPr>
                <w:noProof/>
                <w:webHidden/>
              </w:rPr>
              <w:t>15</w:t>
            </w:r>
            <w:r>
              <w:rPr>
                <w:noProof/>
                <w:webHidden/>
              </w:rPr>
              <w:fldChar w:fldCharType="end"/>
            </w:r>
          </w:hyperlink>
        </w:p>
        <w:p w14:paraId="5E7654F6" w14:textId="24E1A01B"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1" w:history="1">
            <w:r w:rsidRPr="007F6CCD">
              <w:rPr>
                <w:rStyle w:val="Hyperlink"/>
                <w:noProof/>
              </w:rPr>
              <w:t>Performance Monitoring and Validation</w:t>
            </w:r>
            <w:r>
              <w:rPr>
                <w:noProof/>
                <w:webHidden/>
              </w:rPr>
              <w:tab/>
            </w:r>
            <w:r>
              <w:rPr>
                <w:noProof/>
                <w:webHidden/>
              </w:rPr>
              <w:fldChar w:fldCharType="begin"/>
            </w:r>
            <w:r>
              <w:rPr>
                <w:noProof/>
                <w:webHidden/>
              </w:rPr>
              <w:instrText xml:space="preserve"> PAGEREF _Toc221348811 \h </w:instrText>
            </w:r>
            <w:r>
              <w:rPr>
                <w:noProof/>
                <w:webHidden/>
              </w:rPr>
            </w:r>
            <w:r>
              <w:rPr>
                <w:noProof/>
                <w:webHidden/>
              </w:rPr>
              <w:fldChar w:fldCharType="separate"/>
            </w:r>
            <w:r>
              <w:rPr>
                <w:noProof/>
                <w:webHidden/>
              </w:rPr>
              <w:t>16</w:t>
            </w:r>
            <w:r>
              <w:rPr>
                <w:noProof/>
                <w:webHidden/>
              </w:rPr>
              <w:fldChar w:fldCharType="end"/>
            </w:r>
          </w:hyperlink>
        </w:p>
        <w:p w14:paraId="7CA638F4" w14:textId="59B5ECAD"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12" w:history="1">
            <w:r w:rsidRPr="007F6CCD">
              <w:rPr>
                <w:rStyle w:val="Hyperlink"/>
                <w:noProof/>
              </w:rPr>
              <w:t>Risk Management Framework</w:t>
            </w:r>
            <w:r>
              <w:rPr>
                <w:noProof/>
                <w:webHidden/>
              </w:rPr>
              <w:tab/>
            </w:r>
            <w:r>
              <w:rPr>
                <w:noProof/>
                <w:webHidden/>
              </w:rPr>
              <w:fldChar w:fldCharType="begin"/>
            </w:r>
            <w:r>
              <w:rPr>
                <w:noProof/>
                <w:webHidden/>
              </w:rPr>
              <w:instrText xml:space="preserve"> PAGEREF _Toc221348812 \h </w:instrText>
            </w:r>
            <w:r>
              <w:rPr>
                <w:noProof/>
                <w:webHidden/>
              </w:rPr>
            </w:r>
            <w:r>
              <w:rPr>
                <w:noProof/>
                <w:webHidden/>
              </w:rPr>
              <w:fldChar w:fldCharType="separate"/>
            </w:r>
            <w:r>
              <w:rPr>
                <w:noProof/>
                <w:webHidden/>
              </w:rPr>
              <w:t>17</w:t>
            </w:r>
            <w:r>
              <w:rPr>
                <w:noProof/>
                <w:webHidden/>
              </w:rPr>
              <w:fldChar w:fldCharType="end"/>
            </w:r>
          </w:hyperlink>
        </w:p>
        <w:p w14:paraId="0FE3F5CF" w14:textId="0CF86882"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3" w:history="1">
            <w:r w:rsidRPr="007F6CCD">
              <w:rPr>
                <w:rStyle w:val="Hyperlink"/>
                <w:noProof/>
              </w:rPr>
              <w:t>Multi-Layer Risk Control Architecture</w:t>
            </w:r>
            <w:r>
              <w:rPr>
                <w:noProof/>
                <w:webHidden/>
              </w:rPr>
              <w:tab/>
            </w:r>
            <w:r>
              <w:rPr>
                <w:noProof/>
                <w:webHidden/>
              </w:rPr>
              <w:fldChar w:fldCharType="begin"/>
            </w:r>
            <w:r>
              <w:rPr>
                <w:noProof/>
                <w:webHidden/>
              </w:rPr>
              <w:instrText xml:space="preserve"> PAGEREF _Toc221348813 \h </w:instrText>
            </w:r>
            <w:r>
              <w:rPr>
                <w:noProof/>
                <w:webHidden/>
              </w:rPr>
            </w:r>
            <w:r>
              <w:rPr>
                <w:noProof/>
                <w:webHidden/>
              </w:rPr>
              <w:fldChar w:fldCharType="separate"/>
            </w:r>
            <w:r>
              <w:rPr>
                <w:noProof/>
                <w:webHidden/>
              </w:rPr>
              <w:t>17</w:t>
            </w:r>
            <w:r>
              <w:rPr>
                <w:noProof/>
                <w:webHidden/>
              </w:rPr>
              <w:fldChar w:fldCharType="end"/>
            </w:r>
          </w:hyperlink>
        </w:p>
        <w:p w14:paraId="3759C1C5" w14:textId="6AD9CDE7"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4" w:history="1">
            <w:r w:rsidRPr="007F6CCD">
              <w:rPr>
                <w:rStyle w:val="Hyperlink"/>
                <w:noProof/>
              </w:rPr>
              <w:t>Drawdown Management</w:t>
            </w:r>
            <w:r>
              <w:rPr>
                <w:noProof/>
                <w:webHidden/>
              </w:rPr>
              <w:tab/>
            </w:r>
            <w:r>
              <w:rPr>
                <w:noProof/>
                <w:webHidden/>
              </w:rPr>
              <w:fldChar w:fldCharType="begin"/>
            </w:r>
            <w:r>
              <w:rPr>
                <w:noProof/>
                <w:webHidden/>
              </w:rPr>
              <w:instrText xml:space="preserve"> PAGEREF _Toc221348814 \h </w:instrText>
            </w:r>
            <w:r>
              <w:rPr>
                <w:noProof/>
                <w:webHidden/>
              </w:rPr>
            </w:r>
            <w:r>
              <w:rPr>
                <w:noProof/>
                <w:webHidden/>
              </w:rPr>
              <w:fldChar w:fldCharType="separate"/>
            </w:r>
            <w:r>
              <w:rPr>
                <w:noProof/>
                <w:webHidden/>
              </w:rPr>
              <w:t>18</w:t>
            </w:r>
            <w:r>
              <w:rPr>
                <w:noProof/>
                <w:webHidden/>
              </w:rPr>
              <w:fldChar w:fldCharType="end"/>
            </w:r>
          </w:hyperlink>
        </w:p>
        <w:p w14:paraId="096B658E" w14:textId="2DE577C6"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5" w:history="1">
            <w:r w:rsidRPr="007F6CCD">
              <w:rPr>
                <w:rStyle w:val="Hyperlink"/>
                <w:noProof/>
              </w:rPr>
              <w:t>Stress Testing Framework</w:t>
            </w:r>
            <w:r>
              <w:rPr>
                <w:noProof/>
                <w:webHidden/>
              </w:rPr>
              <w:tab/>
            </w:r>
            <w:r>
              <w:rPr>
                <w:noProof/>
                <w:webHidden/>
              </w:rPr>
              <w:fldChar w:fldCharType="begin"/>
            </w:r>
            <w:r>
              <w:rPr>
                <w:noProof/>
                <w:webHidden/>
              </w:rPr>
              <w:instrText xml:space="preserve"> PAGEREF _Toc221348815 \h </w:instrText>
            </w:r>
            <w:r>
              <w:rPr>
                <w:noProof/>
                <w:webHidden/>
              </w:rPr>
            </w:r>
            <w:r>
              <w:rPr>
                <w:noProof/>
                <w:webHidden/>
              </w:rPr>
              <w:fldChar w:fldCharType="separate"/>
            </w:r>
            <w:r>
              <w:rPr>
                <w:noProof/>
                <w:webHidden/>
              </w:rPr>
              <w:t>19</w:t>
            </w:r>
            <w:r>
              <w:rPr>
                <w:noProof/>
                <w:webHidden/>
              </w:rPr>
              <w:fldChar w:fldCharType="end"/>
            </w:r>
          </w:hyperlink>
        </w:p>
        <w:p w14:paraId="7823BAE5" w14:textId="01B6D5E5"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16" w:history="1">
            <w:r w:rsidRPr="007F6CCD">
              <w:rPr>
                <w:rStyle w:val="Hyperlink"/>
                <w:noProof/>
              </w:rPr>
              <w:t>Performance Analysis</w:t>
            </w:r>
            <w:r>
              <w:rPr>
                <w:noProof/>
                <w:webHidden/>
              </w:rPr>
              <w:tab/>
            </w:r>
            <w:r>
              <w:rPr>
                <w:noProof/>
                <w:webHidden/>
              </w:rPr>
              <w:fldChar w:fldCharType="begin"/>
            </w:r>
            <w:r>
              <w:rPr>
                <w:noProof/>
                <w:webHidden/>
              </w:rPr>
              <w:instrText xml:space="preserve"> PAGEREF _Toc221348816 \h </w:instrText>
            </w:r>
            <w:r>
              <w:rPr>
                <w:noProof/>
                <w:webHidden/>
              </w:rPr>
            </w:r>
            <w:r>
              <w:rPr>
                <w:noProof/>
                <w:webHidden/>
              </w:rPr>
              <w:fldChar w:fldCharType="separate"/>
            </w:r>
            <w:r>
              <w:rPr>
                <w:noProof/>
                <w:webHidden/>
              </w:rPr>
              <w:t>20</w:t>
            </w:r>
            <w:r>
              <w:rPr>
                <w:noProof/>
                <w:webHidden/>
              </w:rPr>
              <w:fldChar w:fldCharType="end"/>
            </w:r>
          </w:hyperlink>
        </w:p>
        <w:p w14:paraId="0DC5D9E2" w14:textId="3173A765"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7" w:history="1">
            <w:r w:rsidRPr="007F6CCD">
              <w:rPr>
                <w:rStyle w:val="Hyperlink"/>
                <w:noProof/>
              </w:rPr>
              <w:t>Expected Performance Characteristics</w:t>
            </w:r>
            <w:r>
              <w:rPr>
                <w:noProof/>
                <w:webHidden/>
              </w:rPr>
              <w:tab/>
            </w:r>
            <w:r>
              <w:rPr>
                <w:noProof/>
                <w:webHidden/>
              </w:rPr>
              <w:fldChar w:fldCharType="begin"/>
            </w:r>
            <w:r>
              <w:rPr>
                <w:noProof/>
                <w:webHidden/>
              </w:rPr>
              <w:instrText xml:space="preserve"> PAGEREF _Toc221348817 \h </w:instrText>
            </w:r>
            <w:r>
              <w:rPr>
                <w:noProof/>
                <w:webHidden/>
              </w:rPr>
            </w:r>
            <w:r>
              <w:rPr>
                <w:noProof/>
                <w:webHidden/>
              </w:rPr>
              <w:fldChar w:fldCharType="separate"/>
            </w:r>
            <w:r>
              <w:rPr>
                <w:noProof/>
                <w:webHidden/>
              </w:rPr>
              <w:t>20</w:t>
            </w:r>
            <w:r>
              <w:rPr>
                <w:noProof/>
                <w:webHidden/>
              </w:rPr>
              <w:fldChar w:fldCharType="end"/>
            </w:r>
          </w:hyperlink>
        </w:p>
        <w:p w14:paraId="7A445BC9" w14:textId="6ABB9ED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8" w:history="1">
            <w:r w:rsidRPr="007F6CCD">
              <w:rPr>
                <w:rStyle w:val="Hyperlink"/>
                <w:noProof/>
              </w:rPr>
              <w:t>Performance Attribution Framework</w:t>
            </w:r>
            <w:r>
              <w:rPr>
                <w:noProof/>
                <w:webHidden/>
              </w:rPr>
              <w:tab/>
            </w:r>
            <w:r>
              <w:rPr>
                <w:noProof/>
                <w:webHidden/>
              </w:rPr>
              <w:fldChar w:fldCharType="begin"/>
            </w:r>
            <w:r>
              <w:rPr>
                <w:noProof/>
                <w:webHidden/>
              </w:rPr>
              <w:instrText xml:space="preserve"> PAGEREF _Toc221348818 \h </w:instrText>
            </w:r>
            <w:r>
              <w:rPr>
                <w:noProof/>
                <w:webHidden/>
              </w:rPr>
            </w:r>
            <w:r>
              <w:rPr>
                <w:noProof/>
                <w:webHidden/>
              </w:rPr>
              <w:fldChar w:fldCharType="separate"/>
            </w:r>
            <w:r>
              <w:rPr>
                <w:noProof/>
                <w:webHidden/>
              </w:rPr>
              <w:t>21</w:t>
            </w:r>
            <w:r>
              <w:rPr>
                <w:noProof/>
                <w:webHidden/>
              </w:rPr>
              <w:fldChar w:fldCharType="end"/>
            </w:r>
          </w:hyperlink>
        </w:p>
        <w:p w14:paraId="2B822010" w14:textId="72EDE009"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9" w:history="1">
            <w:r w:rsidRPr="007F6CCD">
              <w:rPr>
                <w:rStyle w:val="Hyperlink"/>
                <w:noProof/>
              </w:rPr>
              <w:t>Benchmark Comparison Framework</w:t>
            </w:r>
            <w:r>
              <w:rPr>
                <w:noProof/>
                <w:webHidden/>
              </w:rPr>
              <w:tab/>
            </w:r>
            <w:r>
              <w:rPr>
                <w:noProof/>
                <w:webHidden/>
              </w:rPr>
              <w:fldChar w:fldCharType="begin"/>
            </w:r>
            <w:r>
              <w:rPr>
                <w:noProof/>
                <w:webHidden/>
              </w:rPr>
              <w:instrText xml:space="preserve"> PAGEREF _Toc221348819 \h </w:instrText>
            </w:r>
            <w:r>
              <w:rPr>
                <w:noProof/>
                <w:webHidden/>
              </w:rPr>
            </w:r>
            <w:r>
              <w:rPr>
                <w:noProof/>
                <w:webHidden/>
              </w:rPr>
              <w:fldChar w:fldCharType="separate"/>
            </w:r>
            <w:r>
              <w:rPr>
                <w:noProof/>
                <w:webHidden/>
              </w:rPr>
              <w:t>22</w:t>
            </w:r>
            <w:r>
              <w:rPr>
                <w:noProof/>
                <w:webHidden/>
              </w:rPr>
              <w:fldChar w:fldCharType="end"/>
            </w:r>
          </w:hyperlink>
        </w:p>
        <w:p w14:paraId="3A14CAF9" w14:textId="0CBE5C8D"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20" w:history="1">
            <w:r w:rsidRPr="007F6CCD">
              <w:rPr>
                <w:rStyle w:val="Hyperlink"/>
                <w:noProof/>
              </w:rPr>
              <w:t>Implementation Considerations</w:t>
            </w:r>
            <w:r>
              <w:rPr>
                <w:noProof/>
                <w:webHidden/>
              </w:rPr>
              <w:tab/>
            </w:r>
            <w:r>
              <w:rPr>
                <w:noProof/>
                <w:webHidden/>
              </w:rPr>
              <w:fldChar w:fldCharType="begin"/>
            </w:r>
            <w:r>
              <w:rPr>
                <w:noProof/>
                <w:webHidden/>
              </w:rPr>
              <w:instrText xml:space="preserve"> PAGEREF _Toc221348820 \h </w:instrText>
            </w:r>
            <w:r>
              <w:rPr>
                <w:noProof/>
                <w:webHidden/>
              </w:rPr>
            </w:r>
            <w:r>
              <w:rPr>
                <w:noProof/>
                <w:webHidden/>
              </w:rPr>
              <w:fldChar w:fldCharType="separate"/>
            </w:r>
            <w:r>
              <w:rPr>
                <w:noProof/>
                <w:webHidden/>
              </w:rPr>
              <w:t>23</w:t>
            </w:r>
            <w:r>
              <w:rPr>
                <w:noProof/>
                <w:webHidden/>
              </w:rPr>
              <w:fldChar w:fldCharType="end"/>
            </w:r>
          </w:hyperlink>
        </w:p>
        <w:p w14:paraId="4ABB7F09" w14:textId="2BB63FEA"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21" w:history="1">
            <w:r w:rsidRPr="007F6CCD">
              <w:rPr>
                <w:rStyle w:val="Hyperlink"/>
                <w:noProof/>
              </w:rPr>
              <w:t>References</w:t>
            </w:r>
            <w:r>
              <w:rPr>
                <w:noProof/>
                <w:webHidden/>
              </w:rPr>
              <w:tab/>
            </w:r>
            <w:r>
              <w:rPr>
                <w:noProof/>
                <w:webHidden/>
              </w:rPr>
              <w:fldChar w:fldCharType="begin"/>
            </w:r>
            <w:r>
              <w:rPr>
                <w:noProof/>
                <w:webHidden/>
              </w:rPr>
              <w:instrText xml:space="preserve"> PAGEREF _Toc221348821 \h </w:instrText>
            </w:r>
            <w:r>
              <w:rPr>
                <w:noProof/>
                <w:webHidden/>
              </w:rPr>
            </w:r>
            <w:r>
              <w:rPr>
                <w:noProof/>
                <w:webHidden/>
              </w:rPr>
              <w:fldChar w:fldCharType="separate"/>
            </w:r>
            <w:r>
              <w:rPr>
                <w:noProof/>
                <w:webHidden/>
              </w:rPr>
              <w:t>23</w:t>
            </w:r>
            <w:r>
              <w:rPr>
                <w:noProof/>
                <w:webHidden/>
              </w:rPr>
              <w:fldChar w:fldCharType="end"/>
            </w:r>
          </w:hyperlink>
        </w:p>
        <w:p w14:paraId="117FE2B3" w14:textId="1605482D" w:rsidR="00253D0E" w:rsidRDefault="00253D0E">
          <w:r>
            <w:rPr>
              <w:b/>
              <w:bCs/>
              <w:noProof/>
            </w:rPr>
            <w:fldChar w:fldCharType="end"/>
          </w:r>
        </w:p>
      </w:sdtContent>
    </w:sdt>
    <w:p w14:paraId="647C14C8" w14:textId="6FB9A21D" w:rsidR="00322D05" w:rsidRDefault="006D2C14">
      <w:pPr>
        <w:pStyle w:val="Heading1"/>
      </w:pPr>
      <w:bookmarkStart w:id="1" w:name="_Toc221348783"/>
      <w:r>
        <w:t>Executive Summary</w:t>
      </w:r>
      <w:bookmarkEnd w:id="1"/>
    </w:p>
    <w:p w14:paraId="07361EF7" w14:textId="77777777" w:rsidR="00322D05" w:rsidRDefault="006D2C14">
      <w:pPr>
        <w:pStyle w:val="FirstParagraph"/>
      </w:pPr>
      <w:r>
        <w:t>The Zephyr Macro Allocator represents a sophisticated quantitative investment strategy that combines multi-horizon momentum analysis, regime-aware asset selection, and volatility-adjusted confidence scoring to construct diversified portfolios across multiple asset classes. This framework addresses key challenges in systematic portfolio management by integrating trend filtering mechanisms, treasury-based risk controls, and dynamic allocation methodologies that adapt to changing market conditions.</w:t>
      </w:r>
    </w:p>
    <w:p w14:paraId="424EA932" w14:textId="77777777" w:rsidR="00322D05" w:rsidRDefault="006D2C14">
      <w:pPr>
        <w:pStyle w:val="BodyText"/>
      </w:pPr>
      <w:r>
        <w:t>The algorithm operates on a monthly rebalancing schedule and allocates capital across seven distinct asset groups: real assets, corporate bonds, treasury bonds, high-yield bonds, equities, cryptocurrencies, and cash equivalents. The strategy employs a multi-layered approach to risk management, incorporating both asset-level trend filters and portfolio-level regime detection mechanisms. The core innovation lies in its ability to dynamically adjust portfolio composition based on momentum signals across multiple time horizons while maintaining strict risk controls through a treasury-based kill switch mechanism.</w:t>
      </w:r>
    </w:p>
    <w:p w14:paraId="5EBDB73B" w14:textId="77777777" w:rsidR="00322D05" w:rsidRDefault="006D2C14">
      <w:pPr>
        <w:pStyle w:val="BodyText"/>
      </w:pPr>
      <w:r>
        <w:t>Key performance drivers include multi-horizon momentum aggregation across five distinct time periods ranging from 21 to 252 trading days, volatility-adjusted confidence scoring that integrates win-rate analysis with momentum strength, treasury-based macro regime detection that triggers defensive positioning during systemic stress, and dynamic intra-group allocation that favors assets with superior relative momentum characteristics. The framework represents a significant advancement in systematic portfolio management by combining traditional momentum investing principles with modern regime detection techniques and sophisticated risk management protocols.</w:t>
      </w:r>
    </w:p>
    <w:p w14:paraId="7803FDC5" w14:textId="77777777" w:rsidR="00322D05" w:rsidRDefault="006D2C14">
      <w:pPr>
        <w:pStyle w:val="Heading1"/>
      </w:pPr>
      <w:bookmarkStart w:id="2" w:name="_Toc221348784"/>
      <w:bookmarkStart w:id="3" w:name="algorithm-architecture"/>
      <w:bookmarkEnd w:id="0"/>
      <w:r>
        <w:t>Algorithm Architecture</w:t>
      </w:r>
      <w:bookmarkEnd w:id="2"/>
    </w:p>
    <w:p w14:paraId="4C2B7211" w14:textId="77777777" w:rsidR="00322D05" w:rsidRDefault="006D2C14">
      <w:pPr>
        <w:pStyle w:val="Heading2"/>
      </w:pPr>
      <w:bookmarkStart w:id="4" w:name="_Toc221348785"/>
      <w:bookmarkStart w:id="5" w:name="core-design-philosophy"/>
      <w:r>
        <w:t>Core Design Philosophy</w:t>
      </w:r>
      <w:bookmarkEnd w:id="4"/>
    </w:p>
    <w:p w14:paraId="39C3C7A0" w14:textId="77777777" w:rsidR="00322D05" w:rsidRDefault="006D2C14">
      <w:pPr>
        <w:pStyle w:val="FirstParagraph"/>
      </w:pPr>
      <w:r>
        <w:t xml:space="preserve">The Zephyr Macro Allocator is built on the principle that momentum is a fundamentally multidimensional factor that requires sophisticated measurement and application </w:t>
      </w:r>
      <w:hyperlink w:anchor="ref-1">
        <w:r>
          <w:rPr>
            <w:rStyle w:val="Hyperlink"/>
          </w:rPr>
          <w:t>[1]</w:t>
        </w:r>
      </w:hyperlink>
      <w:r>
        <w:t xml:space="preserve">. Recent research demonstrates that momentum strategies achieve robust empirical support across domestic and global markets spanning up to 150 years of data, establishing momentum's resilience against data mining concerns. This extensive historical validation provides confidence </w:t>
      </w:r>
      <w:r>
        <w:lastRenderedPageBreak/>
        <w:t>that the momentum factor represents a genuine market anomaly rather than a statistical artifact, making it suitable as a foundation for systematic investment strategies.</w:t>
      </w:r>
    </w:p>
    <w:p w14:paraId="26CE099C" w14:textId="77777777" w:rsidR="00322D05" w:rsidRDefault="006D2C14">
      <w:pPr>
        <w:pStyle w:val="BodyText"/>
      </w:pPr>
      <w:r>
        <w:t>The algorithm's architecture implements a hierarchical decision-making process that flows from market data input through trend filtering, momentum calculation, regime detection, confidence scoring, portfolio allocation, and finally risk controls. This sequential approach ensures that each stage of the decision-making process builds upon validated signals from previous stages, creating a robust framework that can adapt to changing market conditions while maintaining consistent risk management protocols.</w:t>
      </w:r>
    </w:p>
    <w:p w14:paraId="49538043" w14:textId="77777777" w:rsidR="00322D05" w:rsidRDefault="006D2C14">
      <w:pPr>
        <w:pStyle w:val="Heading2"/>
      </w:pPr>
      <w:bookmarkStart w:id="6" w:name="_Toc221348786"/>
      <w:bookmarkStart w:id="7" w:name="multi-layer-architecture-components"/>
      <w:bookmarkEnd w:id="5"/>
      <w:r>
        <w:t>Multi-Layer Architecture Components</w:t>
      </w:r>
      <w:bookmarkEnd w:id="6"/>
    </w:p>
    <w:p w14:paraId="236C54F8" w14:textId="77777777" w:rsidR="00322D05" w:rsidRDefault="006D2C14">
      <w:pPr>
        <w:pStyle w:val="FirstParagraph"/>
      </w:pPr>
      <w:r>
        <w:t>The first layer focuses on data processing and validation, ensuring that all market data meets quality standards before entering the analytical framework. This stage involves total return price series normalization to account for dividends and distributions, missing data handling through forward-filling techniques, outlier detection and treatment to prevent erroneous signals, and lookback period validation to ensure sufficient historical data for reliable calculations. The data processing layer serves as the foundation for all subsequent analysis, and its robustness directly impacts the quality of investment decisions.</w:t>
      </w:r>
    </w:p>
    <w:p w14:paraId="0E0484A4" w14:textId="77777777" w:rsidR="00322D05" w:rsidRDefault="006D2C14">
      <w:pPr>
        <w:pStyle w:val="BodyText"/>
      </w:pPr>
      <w:r>
        <w:t>The second layer handles technical indicator computation, calculating the various metrics required for portfolio construction decisions. This includes Simple Moving Average calculation with differentiated periods based on asset class characteristics, multi-horizon momentum score aggregation across five distinct time periods, volatility estimation using log returns to capture risk characteristics, and win-rate calculation over rolling windows to assess signal reliability. These technical indicators form the core analytical toolkit that drives asset selection and allocation decisions.</w:t>
      </w:r>
    </w:p>
    <w:p w14:paraId="5E61332F" w14:textId="77777777" w:rsidR="00322D05" w:rsidRDefault="006D2C14">
      <w:pPr>
        <w:pStyle w:val="BodyText"/>
      </w:pPr>
      <w:r>
        <w:t>The third layer implements asset selection and filtering mechanisms that determine which assets are eligible for portfolio inclusion. This stage applies trend filters requiring prices to trade above their respective SMAs, enforces momentum threshold requirements ensuring only assets with positive momentum are considered, compares relative performance against risk-free rates to identify superior opportunities, and determines asset group eligibility based on the combined criteria. This filtering process significantly reduces the investment universe to focus on assets with favorable technical characteristics.</w:t>
      </w:r>
    </w:p>
    <w:p w14:paraId="51F58756" w14:textId="77777777" w:rsidR="00322D05" w:rsidRDefault="006D2C14">
      <w:pPr>
        <w:pStyle w:val="BodyText"/>
      </w:pPr>
      <w:r>
        <w:t>The fourth layer manages portfolio construction through group-level edge calculation that determines the relative attractiveness of different asset classes, intra-group weight determination that allocates capital within selected asset groups, cryptocurrency exposure capping to manage extreme volatility risks, and cash allocation residual calculation to ensure full capital deployment. This layer translates analytical signals into concrete portfolio positions while respecting risk management constraints.</w:t>
      </w:r>
    </w:p>
    <w:p w14:paraId="5355D258" w14:textId="77777777" w:rsidR="00322D05" w:rsidRDefault="006D2C14">
      <w:pPr>
        <w:pStyle w:val="BodyText"/>
      </w:pPr>
      <w:r>
        <w:t>The fifth and final layer provides risk management overlay through treasury kill switch monitoring that can trigger defensive positioning, position size validation to ensure compliance with risk limits, exposure limit enforcement to prevent excessive concentration, and rebalancing execution to implement portfolio changes. This layer serves as the ultimate safeguard against excessive risk-taking and ensures that the strategy operates within acceptable risk parameters.</w:t>
      </w:r>
    </w:p>
    <w:p w14:paraId="1E736D96" w14:textId="77777777" w:rsidR="00322D05" w:rsidRDefault="006D2C14">
      <w:pPr>
        <w:pStyle w:val="Heading2"/>
      </w:pPr>
      <w:bookmarkStart w:id="8" w:name="_Toc221348787"/>
      <w:bookmarkStart w:id="9" w:name="asset-universe-structure"/>
      <w:bookmarkEnd w:id="7"/>
      <w:r>
        <w:lastRenderedPageBreak/>
        <w:t>Asset Universe Structure</w:t>
      </w:r>
      <w:bookmarkEnd w:id="8"/>
    </w:p>
    <w:p w14:paraId="4D3FD162" w14:textId="77777777" w:rsidR="00322D05" w:rsidRDefault="006D2C14">
      <w:pPr>
        <w:pStyle w:val="FirstParagraph"/>
      </w:pPr>
      <w:r>
        <w:t>The strategy operates across seven carefully selected asset groups, each serving a specific role in the portfolio construction process. Real assets, represented by GLD and DBC, provide inflation hedge and commodity exposure through equal momentum weighting allocation logic. These assets typically perform well during inflationary periods and provide diversification benefits during equity market stress, making them valuable portfolio components during regime shifts.</w:t>
      </w:r>
    </w:p>
    <w:p w14:paraId="245077CB" w14:textId="77777777" w:rsidR="00322D05" w:rsidRDefault="006D2C14">
      <w:pPr>
        <w:pStyle w:val="BodyText"/>
      </w:pPr>
      <w:r>
        <w:t>Corporate bonds, including VCSH, VCIT, and VCLT, offer credit risk and duration diversification through duration regime selection logic that dynamically adjusts interest rate sensitivity based on market conditions. This asset group provides steady income generation while offering the flexibility to adjust duration exposure as interest rate environments change, allowing the strategy to adapt to different monetary policy regimes.</w:t>
      </w:r>
    </w:p>
    <w:p w14:paraId="3E105C65" w14:textId="77777777" w:rsidR="00322D05" w:rsidRDefault="006D2C14">
      <w:pPr>
        <w:pStyle w:val="BodyText"/>
      </w:pPr>
      <w:r>
        <w:t>Treasury bonds, comprising VGSH, VGIT, and VGLT, serve dual purposes as risk-free rate exposure and regime detection instruments through duration regime selection. These assets not only provide portfolio stability during market stress but also serve as the foundation for the treasury kill switch mechanism that triggers defensive positioning during systemic crises. Their role as both portfolio components and risk management tools makes them central to the strategy's operation.</w:t>
      </w:r>
    </w:p>
    <w:p w14:paraId="14B56AA2" w14:textId="77777777" w:rsidR="00322D05" w:rsidRDefault="006D2C14">
      <w:pPr>
        <w:pStyle w:val="BodyText"/>
      </w:pPr>
      <w:r>
        <w:t>High-yield bonds, represented by SHYG and HYG, focus on credit spread capture through equal momentum weighting. These assets offer higher yields than investment-grade bonds while providing exposure to credit risk premiums that can enhance portfolio returns during favorable credit environments. Their inclusion allows the strategy to benefit from credit cycle dynamics while maintaining diversification across fixed-income sectors.</w:t>
      </w:r>
    </w:p>
    <w:p w14:paraId="0EC87776" w14:textId="77777777" w:rsidR="00322D05" w:rsidRDefault="006D2C14">
      <w:pPr>
        <w:pStyle w:val="BodyText"/>
      </w:pPr>
      <w:r>
        <w:t>Equities, including VTI, VEA, and VWO, provide growth and risk premium exposure through geographic momentum weighting that favors regions with superior momentum characteristics. This asset group represents the primary growth engine of the portfolio, offering exposure to long-term wealth creation while benefiting from momentum-based geographic allocation that can enhance returns by overweighting outperforming regions.</w:t>
      </w:r>
    </w:p>
    <w:p w14:paraId="3B9B9C98" w14:textId="77777777" w:rsidR="00322D05" w:rsidRDefault="006D2C14">
      <w:pPr>
        <w:pStyle w:val="BodyText"/>
      </w:pPr>
      <w:r>
        <w:t>Cryptocurrencies, consisting of BTCUSD and ETHUSD, serve as alternative risk assets through momentum weighting subject to a strict 10% portfolio cap. These assets offer exposure to digital asset innovation and can provide significant diversification benefits due to their low correlation with traditional assets, though their extreme volatility necessitates careful position sizing to prevent excessive portfolio risk.</w:t>
      </w:r>
    </w:p>
    <w:p w14:paraId="5BD34BEF" w14:textId="77777777" w:rsidR="00322D05" w:rsidRDefault="006D2C14">
      <w:pPr>
        <w:pStyle w:val="BodyText"/>
      </w:pPr>
      <w:r>
        <w:t>Cash equivalents, represented by SHV, provide liquidity and capital preservation through residual allocation that automatically increases during unfavorable market conditions. This asset group serves as the portfolio's defensive anchor, providing stability during market stress and ensuring sufficient liquidity for rebalancing activities while earning risk-free returns during defensive positioning periods.</w:t>
      </w:r>
    </w:p>
    <w:p w14:paraId="5414EC0F" w14:textId="77777777" w:rsidR="00322D05" w:rsidRDefault="006D2C14">
      <w:pPr>
        <w:pStyle w:val="Heading1"/>
      </w:pPr>
      <w:bookmarkStart w:id="10" w:name="_Toc221348788"/>
      <w:bookmarkStart w:id="11" w:name="mathematical-framework"/>
      <w:bookmarkEnd w:id="3"/>
      <w:bookmarkEnd w:id="9"/>
      <w:r>
        <w:lastRenderedPageBreak/>
        <w:t>Mathematical Framework</w:t>
      </w:r>
      <w:bookmarkEnd w:id="10"/>
    </w:p>
    <w:p w14:paraId="41B0EC4B" w14:textId="77777777" w:rsidR="00322D05" w:rsidRDefault="006D2C14">
      <w:pPr>
        <w:pStyle w:val="Heading2"/>
      </w:pPr>
      <w:bookmarkStart w:id="12" w:name="_Toc221348789"/>
      <w:bookmarkStart w:id="13" w:name="notation-and-definitions"/>
      <w:r>
        <w:t>Notation and Definitions</w:t>
      </w:r>
      <w:bookmarkEnd w:id="12"/>
    </w:p>
    <w:p w14:paraId="3B65C1DA" w14:textId="77777777" w:rsidR="00322D05" w:rsidRDefault="006D2C14">
      <w:pPr>
        <w:pStyle w:val="FirstParagraph"/>
      </w:pPr>
      <w:r>
        <w:t xml:space="preserve">The mathematical framework underlying the Zephyr Macro Allocator employs rigorous notation to ensure precise implementation and analysis. Let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denote the total return price of asset </w:t>
      </w:r>
      <m:oMath>
        <m:r>
          <w:rPr>
            <w:rFonts w:ascii="Cambria Math" w:hAnsi="Cambria Math"/>
          </w:rPr>
          <m:t>i</m:t>
        </m:r>
      </m:oMath>
      <w:r>
        <w:t xml:space="preserve"> at time </w:t>
      </w:r>
      <m:oMath>
        <m:r>
          <w:rPr>
            <w:rFonts w:ascii="Cambria Math" w:hAnsi="Cambria Math"/>
          </w:rPr>
          <m:t>t</m:t>
        </m:r>
      </m:oMath>
      <w:r>
        <w:t xml:space="preserve">, 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represents the asset universe and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represents the time series. This notation captures the complete return characteristics of each asset, including price appreciation, dividend payments, and other distributions that contribute to total investor returns.</w:t>
      </w:r>
    </w:p>
    <w:p w14:paraId="49CAA269" w14:textId="77777777" w:rsidR="00322D05" w:rsidRDefault="006D2C14">
      <w:pPr>
        <w:pStyle w:val="BodyText"/>
      </w:pPr>
      <w:r>
        <w:t xml:space="preserve">Key variables include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w:r>
        <w:t xml:space="preserve"> representing the log return of asset </w:t>
      </w:r>
      <m:oMath>
        <m:r>
          <w:rPr>
            <w:rFonts w:ascii="Cambria Math" w:hAnsi="Cambria Math"/>
          </w:rPr>
          <m:t>i</m:t>
        </m:r>
      </m:oMath>
      <w:r>
        <w:t xml:space="preserve"> at time </w:t>
      </w:r>
      <m:oMath>
        <m:r>
          <w:rPr>
            <w:rFonts w:ascii="Cambria Math" w:hAnsi="Cambria Math"/>
          </w:rPr>
          <m:t>t</m:t>
        </m:r>
      </m:oMath>
      <w:r>
        <w:t xml:space="preserve">, which provides superior mathematical properties for aggregation and statistical analysis compared to simple returns. The set </w:t>
      </w:r>
      <m:oMath>
        <m:r>
          <w:rPr>
            <w:rFonts w:ascii="Cambria Math" w:hAnsi="Cambria Math"/>
          </w:rPr>
          <m:t>τ</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63</m:t>
        </m:r>
        <m:r>
          <m:rPr>
            <m:sty m:val="p"/>
          </m:rPr>
          <w:rPr>
            <w:rFonts w:ascii="Cambria Math" w:hAnsi="Cambria Math"/>
          </w:rPr>
          <m:t>,</m:t>
        </m:r>
        <m:r>
          <w:rPr>
            <w:rFonts w:ascii="Cambria Math" w:hAnsi="Cambria Math"/>
          </w:rPr>
          <m:t>126</m:t>
        </m:r>
        <m:r>
          <m:rPr>
            <m:sty m:val="p"/>
          </m:rPr>
          <w:rPr>
            <w:rFonts w:ascii="Cambria Math" w:hAnsi="Cambria Math"/>
          </w:rPr>
          <m:t>,</m:t>
        </m:r>
        <m:r>
          <w:rPr>
            <w:rFonts w:ascii="Cambria Math" w:hAnsi="Cambria Math"/>
          </w:rPr>
          <m:t>189</m:t>
        </m:r>
        <m:r>
          <m:rPr>
            <m:sty m:val="p"/>
          </m:rPr>
          <w:rPr>
            <w:rFonts w:ascii="Cambria Math" w:hAnsi="Cambria Math"/>
          </w:rPr>
          <m:t>,</m:t>
        </m:r>
        <m:r>
          <w:rPr>
            <w:rFonts w:ascii="Cambria Math" w:hAnsi="Cambria Math"/>
          </w:rPr>
          <m:t>252</m:t>
        </m:r>
        <m:r>
          <m:rPr>
            <m:sty m:val="p"/>
          </m:rPr>
          <w:rPr>
            <w:rFonts w:ascii="Cambria Math" w:hAnsi="Cambria Math"/>
          </w:rPr>
          <m:t>}</m:t>
        </m:r>
      </m:oMath>
      <w:r>
        <w:t xml:space="preserve"> defines the momentum lookback periods measured in trading days, spanning from one month to one year to capture momentum signals across multiple time horizons. SMA periods are differentiated by asset class, with </w:t>
      </w:r>
      <m:oMath>
        <m:sSub>
          <m:sSubPr>
            <m:ctrlPr>
              <w:rPr>
                <w:rFonts w:ascii="Cambria Math" w:hAnsi="Cambria Math"/>
              </w:rPr>
            </m:ctrlPr>
          </m:sSubPr>
          <m:e>
            <m:r>
              <w:rPr>
                <w:rFonts w:ascii="Cambria Math" w:hAnsi="Cambria Math"/>
              </w:rPr>
              <m:t>L</m:t>
            </m:r>
          </m:e>
          <m:sub>
            <m:r>
              <w:rPr>
                <w:rFonts w:ascii="Cambria Math" w:hAnsi="Cambria Math"/>
              </w:rPr>
              <m:t>sma</m:t>
            </m:r>
          </m:sub>
        </m:sSub>
        <m:r>
          <m:rPr>
            <m:sty m:val="p"/>
          </m:rPr>
          <w:rPr>
            <w:rFonts w:ascii="Cambria Math" w:hAnsi="Cambria Math"/>
          </w:rPr>
          <m:t>=</m:t>
        </m:r>
        <m:r>
          <w:rPr>
            <w:rFonts w:ascii="Cambria Math" w:hAnsi="Cambria Math"/>
          </w:rPr>
          <m:t>147</m:t>
        </m:r>
      </m:oMath>
      <w:r>
        <w:t xml:space="preserve"> for equities and </w:t>
      </w:r>
      <m:oMath>
        <m:sSub>
          <m:sSubPr>
            <m:ctrlPr>
              <w:rPr>
                <w:rFonts w:ascii="Cambria Math" w:hAnsi="Cambria Math"/>
              </w:rPr>
            </m:ctrlPr>
          </m:sSubPr>
          <m:e>
            <m:r>
              <w:rPr>
                <w:rFonts w:ascii="Cambria Math" w:hAnsi="Cambria Math"/>
              </w:rPr>
              <m:t>L</m:t>
            </m:r>
          </m:e>
          <m:sub>
            <m:r>
              <w:rPr>
                <w:rFonts w:ascii="Cambria Math" w:hAnsi="Cambria Math"/>
              </w:rPr>
              <m:t>bond</m:t>
            </m:r>
          </m:sub>
        </m:sSub>
        <m:r>
          <m:rPr>
            <m:sty m:val="p"/>
          </m:rPr>
          <w:rPr>
            <w:rFonts w:ascii="Cambria Math" w:hAnsi="Cambria Math"/>
          </w:rPr>
          <m:t>=</m:t>
        </m:r>
        <m:r>
          <w:rPr>
            <w:rFonts w:ascii="Cambria Math" w:hAnsi="Cambria Math"/>
          </w:rPr>
          <m:t>126</m:t>
        </m:r>
      </m:oMath>
      <w:r>
        <w:t xml:space="preserve"> for bonds, reflecting the different trend persistence characteristics of these asset classes.</w:t>
      </w:r>
    </w:p>
    <w:p w14:paraId="7DC5644B" w14:textId="77777777" w:rsidR="00322D05" w:rsidRDefault="006D2C14">
      <w:pPr>
        <w:pStyle w:val="BodyText"/>
      </w:pPr>
      <w:r>
        <w:t xml:space="preserve">The framework also defines </w:t>
      </w:r>
      <m:oMath>
        <m:sSub>
          <m:sSubPr>
            <m:ctrlPr>
              <w:rPr>
                <w:rFonts w:ascii="Cambria Math" w:hAnsi="Cambria Math"/>
              </w:rPr>
            </m:ctrlPr>
          </m:sSubPr>
          <m:e>
            <m:r>
              <w:rPr>
                <w:rFonts w:ascii="Cambria Math" w:hAnsi="Cambria Math"/>
              </w:rPr>
              <m:t>L</m:t>
            </m:r>
          </m:e>
          <m:sub>
            <m:r>
              <w:rPr>
                <w:rFonts w:ascii="Cambria Math" w:hAnsi="Cambria Math"/>
              </w:rPr>
              <m:t>win</m:t>
            </m:r>
          </m:sub>
        </m:sSub>
        <m:r>
          <m:rPr>
            <m:sty m:val="p"/>
          </m:rPr>
          <w:rPr>
            <w:rFonts w:ascii="Cambria Math" w:hAnsi="Cambria Math"/>
          </w:rPr>
          <m:t>=</m:t>
        </m:r>
        <m:r>
          <w:rPr>
            <w:rFonts w:ascii="Cambria Math" w:hAnsi="Cambria Math"/>
          </w:rPr>
          <m:t>126</m:t>
        </m:r>
      </m:oMath>
      <w:r>
        <w:t xml:space="preserve"> as the win-rate lookback period and </w:t>
      </w:r>
      <m:oMath>
        <m:sSub>
          <m:sSubPr>
            <m:ctrlPr>
              <w:rPr>
                <w:rFonts w:ascii="Cambria Math" w:hAnsi="Cambria Math"/>
              </w:rPr>
            </m:ctrlPr>
          </m:sSubPr>
          <m:e>
            <m:r>
              <w:rPr>
                <w:rFonts w:ascii="Cambria Math" w:hAnsi="Cambria Math"/>
              </w:rPr>
              <m:t>L</m:t>
            </m:r>
          </m:e>
          <m:sub>
            <m:r>
              <w:rPr>
                <w:rFonts w:ascii="Cambria Math" w:hAnsi="Cambria Math"/>
              </w:rPr>
              <m:t>vol</m:t>
            </m:r>
          </m:sub>
        </m:sSub>
        <m:r>
          <m:rPr>
            <m:sty m:val="p"/>
          </m:rPr>
          <w:rPr>
            <w:rFonts w:ascii="Cambria Math" w:hAnsi="Cambria Math"/>
          </w:rPr>
          <m:t>=</m:t>
        </m:r>
        <m:r>
          <w:rPr>
            <w:rFonts w:ascii="Cambria Math" w:hAnsi="Cambria Math"/>
          </w:rPr>
          <m:t>126</m:t>
        </m:r>
      </m:oMath>
      <w:r>
        <w:t xml:space="preserve"> as the volatility lookback period, both corresponding to approximately six months of trading data. These parameters balance the need for sufficient statistical significance with responsiveness to changing market conditions, ensuring that the algorithm can adapt to evolving market dynamics while maintaining robust signal quality.</w:t>
      </w:r>
    </w:p>
    <w:p w14:paraId="18A57C65" w14:textId="77777777" w:rsidR="00322D05" w:rsidRDefault="006D2C14">
      <w:pPr>
        <w:pStyle w:val="Heading2"/>
      </w:pPr>
      <w:bookmarkStart w:id="14" w:name="_Toc221348790"/>
      <w:bookmarkStart w:id="15" w:name="momentum-score-calculation"/>
      <w:bookmarkEnd w:id="13"/>
      <w:r>
        <w:t>Momentum Score Calculation</w:t>
      </w:r>
      <w:bookmarkEnd w:id="14"/>
    </w:p>
    <w:p w14:paraId="1FA1FEF1" w14:textId="77777777" w:rsidR="00322D05" w:rsidRDefault="006D2C14">
      <w:pPr>
        <w:pStyle w:val="FirstParagraph"/>
      </w:pPr>
      <w:r>
        <w:t xml:space="preserve">The multi-horizon momentum score for asset </w:t>
      </w:r>
      <m:oMath>
        <m:r>
          <w:rPr>
            <w:rFonts w:ascii="Cambria Math" w:hAnsi="Cambria Math"/>
          </w:rPr>
          <m:t>i</m:t>
        </m:r>
      </m:oMath>
      <w:r>
        <w:t xml:space="preserve"> at time </w:t>
      </w:r>
      <m:oMath>
        <m:r>
          <w:rPr>
            <w:rFonts w:ascii="Cambria Math" w:hAnsi="Cambria Math"/>
          </w:rPr>
          <m:t>t</m:t>
        </m:r>
      </m:oMath>
      <w:r>
        <w:t xml:space="preserve"> is defined as </w:t>
      </w:r>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τ</m:t>
                </m:r>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τ</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den>
            </m:f>
          </m:e>
        </m:nary>
        <m:r>
          <m:rPr>
            <m:sty m:val="p"/>
          </m:rPr>
          <w:rPr>
            <w:rFonts w:ascii="Cambria Math" w:hAnsi="Cambria Math"/>
          </w:rPr>
          <m:t>-</m:t>
        </m:r>
        <m:r>
          <w:rPr>
            <w:rFonts w:ascii="Cambria Math" w:hAnsi="Cambria Math"/>
          </w:rPr>
          <m:t>1</m:t>
        </m:r>
      </m:oMath>
      <w:r>
        <w:t>, which averages momentum signals across multiple time horizons to provide a more robust measure than single-period momentum calculations. This formulation recognizes that momentum can manifest across different time scales, and by aggregating signals across multiple horizons, the algorithm reduces the impact of temporary price fluctuations while capturing persistent trends.</w:t>
      </w:r>
    </w:p>
    <w:p w14:paraId="24BE2BA2" w14:textId="77777777" w:rsidR="00322D05" w:rsidRDefault="006D2C14">
      <w:pPr>
        <w:pStyle w:val="BodyText"/>
      </w:pPr>
      <w:r>
        <w:t>The equal weighting of different momentum horizons reflects the empirical finding that various momentum periods contribute valuable information to investment decisions. Short-term momentum captures recent price action and market sentiment shifts, while longer-term momentum identifies persistent trends that may continue. By combining these signals, the algorithm creates a comprehensive momentum measure that is less susceptible to noise while remaining responsive to genuine trend changes.</w:t>
      </w:r>
    </w:p>
    <w:p w14:paraId="2E9CB5A7" w14:textId="77777777" w:rsidR="00322D05" w:rsidRDefault="006D2C14">
      <w:pPr>
        <w:pStyle w:val="Heading2"/>
      </w:pPr>
      <w:bookmarkStart w:id="16" w:name="_Toc221348791"/>
      <w:bookmarkStart w:id="17" w:name="trend-filter-implementation"/>
      <w:bookmarkEnd w:id="15"/>
      <w:r>
        <w:t>Trend Filter Implementation</w:t>
      </w:r>
      <w:bookmarkEnd w:id="16"/>
    </w:p>
    <w:p w14:paraId="4CF18C4D" w14:textId="77777777" w:rsidR="00322D05" w:rsidRDefault="006D2C14">
      <w:pPr>
        <w:pStyle w:val="FirstParagraph"/>
      </w:pPr>
      <w:r>
        <w:t xml:space="preserve">The trend filter for asset </w:t>
      </w:r>
      <m:oMath>
        <m:r>
          <w:rPr>
            <w:rFonts w:ascii="Cambria Math" w:hAnsi="Cambria Math"/>
          </w:rPr>
          <m:t>i</m:t>
        </m:r>
      </m:oMath>
      <w:r>
        <w:t xml:space="preserve"> at time </w:t>
      </w:r>
      <m:oMath>
        <m:r>
          <w:rPr>
            <w:rFonts w:ascii="Cambria Math" w:hAnsi="Cambria Math"/>
          </w:rPr>
          <m:t>t</m:t>
        </m:r>
      </m:oMath>
      <w:r>
        <w:t xml:space="preserve"> is defined as </w:t>
      </w: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t</m:t>
            </m:r>
          </m:sub>
        </m:sSub>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&gt;</m:t>
            </m:r>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L</m:t>
                </m:r>
              </m:e>
            </m:d>
          </m:e>
        </m:d>
      </m:oMath>
      <w:r>
        <w:t xml:space="preserve">, where </w:t>
      </w:r>
      <m:oMath>
        <m:r>
          <m:rPr>
            <m:scr m:val="double-struck"/>
            <m:sty m:val="p"/>
          </m:rPr>
          <w:rPr>
            <w:rFonts w:ascii="Cambria Math" w:hAnsi="Cambria Math"/>
          </w:rPr>
          <m:t>I</m:t>
        </m:r>
        <m:d>
          <m:dPr>
            <m:ctrlPr>
              <w:rPr>
                <w:rFonts w:ascii="Cambria Math" w:hAnsi="Cambria Math"/>
              </w:rPr>
            </m:ctrlPr>
          </m:dPr>
          <m:e>
            <m:r>
              <m:rPr>
                <m:sty m:val="p"/>
              </m:rPr>
              <w:rPr>
                <w:rFonts w:ascii="Cambria Math" w:hAnsi="Cambria Math"/>
              </w:rPr>
              <m:t>⋅</m:t>
            </m:r>
          </m:e>
        </m:d>
      </m:oMath>
      <w:r>
        <w:t xml:space="preserve"> is the indicator function that equals one when the condition is true and zero otherwise. The Simple Moving Average is calculated as </w:t>
      </w:r>
      <m:oMath>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ub>
            </m:sSub>
          </m:e>
        </m:nary>
      </m:oMath>
      <w:r>
        <w:t xml:space="preserve">, providing a smoothed representation </w:t>
      </w:r>
      <w:r>
        <w:lastRenderedPageBreak/>
        <w:t>of recent price action that filters out short-term noise while preserving longer-term trend information.</w:t>
      </w:r>
    </w:p>
    <w:p w14:paraId="69A04E7F" w14:textId="77777777" w:rsidR="00322D05" w:rsidRDefault="006D2C14">
      <w:pPr>
        <w:pStyle w:val="BodyText"/>
      </w:pPr>
      <w:r>
        <w:t>This trend filtering mechanism serves as a crucial risk management tool by preventing investment in assets that are in clear downtrends. The requirement that current prices exceed their moving averages ensures that the algorithm only invests in assets with positive technical momentum, reducing the likelihood of investing in declining assets that may continue to underperform.</w:t>
      </w:r>
    </w:p>
    <w:p w14:paraId="45F046E3" w14:textId="77777777" w:rsidR="00322D05" w:rsidRDefault="006D2C14">
      <w:pPr>
        <w:pStyle w:val="Heading2"/>
      </w:pPr>
      <w:bookmarkStart w:id="18" w:name="_Toc221348792"/>
      <w:bookmarkStart w:id="19" w:name="win-rate-calculation"/>
      <w:bookmarkEnd w:id="17"/>
      <w:r>
        <w:t>Win-Rate Calculation</w:t>
      </w:r>
      <w:bookmarkEnd w:id="18"/>
    </w:p>
    <w:p w14:paraId="2DDC49C2" w14:textId="77777777" w:rsidR="00322D05" w:rsidRDefault="006D2C14">
      <w:pPr>
        <w:pStyle w:val="FirstParagraph"/>
      </w:pPr>
      <w:r>
        <w:t xml:space="preserve">The win-rate for asset group </w:t>
      </w:r>
      <m:oMath>
        <m:r>
          <w:rPr>
            <w:rFonts w:ascii="Cambria Math" w:hAnsi="Cambria Math"/>
          </w:rPr>
          <m:t>g</m:t>
        </m:r>
      </m:oMath>
      <w:r>
        <w:t xml:space="preserve"> at time </w:t>
      </w:r>
      <m:oMath>
        <m:r>
          <w:rPr>
            <w:rFonts w:ascii="Cambria Math" w:hAnsi="Cambria Math"/>
          </w:rPr>
          <m:t>t</m:t>
        </m:r>
      </m:oMath>
      <w:r>
        <w:t xml:space="preserve"> is calculated as </w:t>
      </w:r>
      <m:oMath>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win</m:t>
                </m:r>
              </m:sub>
            </m:sSub>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win</m:t>
                </m:r>
              </m:sub>
            </m:sSub>
          </m:sup>
          <m:e>
            <m:r>
              <m:rPr>
                <m:scr m:val="double-struck"/>
                <m:sty m:val="p"/>
              </m:rP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0</m:t>
            </m:r>
          </m:e>
        </m:d>
      </m:oMath>
      <w:r>
        <w:t xml:space="preserve">, measuring the proportion of positive return days over the lookback period. The group return </w:t>
      </w: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sub>
        </m:sSub>
      </m:oMath>
      <w:r>
        <w:t xml:space="preserve"> represents the equally-weighted group return calculated as </w:t>
      </w: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g</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e>
        </m:nary>
      </m:oMath>
      <w:r>
        <w:t xml:space="preserve">, where </w:t>
      </w:r>
      <m:oMath>
        <m:sSub>
          <m:sSubPr>
            <m:ctrlPr>
              <w:rPr>
                <w:rFonts w:ascii="Cambria Math" w:hAnsi="Cambria Math"/>
              </w:rPr>
            </m:ctrlPr>
          </m:sSubPr>
          <m:e>
            <m:r>
              <w:rPr>
                <w:rFonts w:ascii="Cambria Math" w:hAnsi="Cambria Math"/>
              </w:rPr>
              <m:t>G</m:t>
            </m:r>
          </m:e>
          <m:sub>
            <m:r>
              <w:rPr>
                <w:rFonts w:ascii="Cambria Math" w:hAnsi="Cambria Math"/>
              </w:rPr>
              <m:t>g</m:t>
            </m:r>
          </m:sub>
        </m:sSub>
      </m:oMath>
      <w:r>
        <w:t xml:space="preserve"> denotes the set of assets in group </w:t>
      </w:r>
      <m:oMath>
        <m:r>
          <w:rPr>
            <w:rFonts w:ascii="Cambria Math" w:hAnsi="Cambria Math"/>
          </w:rPr>
          <m:t>g</m:t>
        </m:r>
      </m:oMath>
      <w:r>
        <w:t>.</w:t>
      </w:r>
    </w:p>
    <w:p w14:paraId="77066267" w14:textId="77777777" w:rsidR="00322D05" w:rsidRDefault="006D2C14">
      <w:pPr>
        <w:pStyle w:val="BodyText"/>
      </w:pPr>
      <w:r>
        <w:t>This win-rate calculation provides insight into the consistency of positive returns for each asset group, complementing momentum measures by focusing on the frequency of positive outcomes rather than just the magnitude of returns. Asset groups with higher win-rates demonstrate more consistent positive performance, which can be particularly valuable during volatile market periods when return consistency becomes more important than absolute return magnitude.</w:t>
      </w:r>
    </w:p>
    <w:p w14:paraId="4AF9FBD5" w14:textId="77777777" w:rsidR="00322D05" w:rsidRDefault="006D2C14">
      <w:pPr>
        <w:pStyle w:val="Heading2"/>
      </w:pPr>
      <w:bookmarkStart w:id="20" w:name="_Toc221348793"/>
      <w:bookmarkStart w:id="21" w:name="volatility-adjusted-confidence-score"/>
      <w:bookmarkEnd w:id="19"/>
      <w:r>
        <w:t>Volatility-Adjusted Confidence Score</w:t>
      </w:r>
      <w:bookmarkEnd w:id="20"/>
    </w:p>
    <w:p w14:paraId="733F024D" w14:textId="77777777" w:rsidR="00322D05" w:rsidRDefault="006D2C14">
      <w:pPr>
        <w:pStyle w:val="FirstParagraph"/>
      </w:pPr>
      <w:r>
        <w:t xml:space="preserve">The confidence score for asset group </w:t>
      </w:r>
      <m:oMath>
        <m:r>
          <w:rPr>
            <w:rFonts w:ascii="Cambria Math" w:hAnsi="Cambria Math"/>
          </w:rPr>
          <m:t>g</m:t>
        </m:r>
      </m:oMath>
      <w:r>
        <w:t xml:space="preserve"> at time </w:t>
      </w:r>
      <m:oMath>
        <m:r>
          <w:rPr>
            <w:rFonts w:ascii="Cambria Math" w:hAnsi="Cambria Math"/>
          </w:rPr>
          <m:t>t</m:t>
        </m:r>
      </m:oMath>
      <w:r>
        <w:t xml:space="preserve"> combines momentum and volatility through the formula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ϵ</m:t>
            </m:r>
          </m:den>
        </m:f>
      </m:oMath>
      <w:r>
        <w:t xml:space="preserve">, where the annualized volatility is calculated as </w:t>
      </w:r>
      <m:oMath>
        <m:sSub>
          <m:sSubPr>
            <m:ctrlPr>
              <w:rPr>
                <w:rFonts w:ascii="Cambria Math" w:hAnsi="Cambria Math"/>
              </w:rPr>
            </m:ctrlPr>
          </m:sSub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vol</m:t>
                    </m:r>
                  </m:sub>
                </m:sSub>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vol</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g</m:t>
                            </m:r>
                            <m:r>
                              <m:rPr>
                                <m:sty m:val="p"/>
                              </m:rPr>
                              <w:rPr>
                                <w:rFonts w:ascii="Cambria Math" w:hAnsi="Cambria Math"/>
                              </w:rPr>
                              <m:t>,</m:t>
                            </m:r>
                            <m:r>
                              <w:rPr>
                                <w:rFonts w:ascii="Cambria Math" w:hAnsi="Cambria Math"/>
                              </w:rPr>
                              <m:t>t</m:t>
                            </m:r>
                          </m:sub>
                        </m:sSub>
                      </m:e>
                    </m:d>
                  </m:e>
                  <m:sup>
                    <m:r>
                      <w:rPr>
                        <w:rFonts w:ascii="Cambria Math" w:hAnsi="Cambria Math"/>
                      </w:rPr>
                      <m:t>2</m:t>
                    </m:r>
                  </m:sup>
                </m:sSup>
              </m:e>
            </m:nary>
          </m:e>
        </m:rad>
      </m:oMath>
      <w:r>
        <w:t xml:space="preserve"> and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prevents division by zero.</w:t>
      </w:r>
    </w:p>
    <w:p w14:paraId="534841B4" w14:textId="77777777" w:rsidR="00322D05" w:rsidRDefault="006D2C14">
      <w:pPr>
        <w:pStyle w:val="BodyText"/>
      </w:pPr>
      <w:r>
        <w:t>This confidence score represents a significant innovation in momentum-based investing by explicitly penalizing momentum signals that are accompanied by high volatility. The rationale is that momentum signals generated in high-volatility environments are more likely to be noise rather than genuine trend signals, and therefore should receive lower confidence scores. By adjusting momentum for volatility, the algorithm can distinguish between high-quality momentum signals that emerge from stable trending behavior and low-quality signals that result from erratic price movements.</w:t>
      </w:r>
    </w:p>
    <w:p w14:paraId="160D6871" w14:textId="77777777" w:rsidR="00322D05" w:rsidRDefault="006D2C14">
      <w:pPr>
        <w:pStyle w:val="Heading1"/>
      </w:pPr>
      <w:bookmarkStart w:id="22" w:name="_Toc221348794"/>
      <w:bookmarkStart w:id="23" w:name="momentum-calculation-engine"/>
      <w:bookmarkEnd w:id="11"/>
      <w:bookmarkEnd w:id="21"/>
      <w:r>
        <w:t>Momentum Calculation Engine</w:t>
      </w:r>
      <w:bookmarkEnd w:id="22"/>
    </w:p>
    <w:p w14:paraId="1B6C668F" w14:textId="77777777" w:rsidR="00322D05" w:rsidRDefault="006D2C14">
      <w:pPr>
        <w:pStyle w:val="Heading2"/>
      </w:pPr>
      <w:bookmarkStart w:id="24" w:name="_Toc221348795"/>
      <w:bookmarkStart w:id="25" w:name="multi-horizon-aggregation-methodology"/>
      <w:r>
        <w:t>Multi-Horizon Aggregation Methodology</w:t>
      </w:r>
      <w:bookmarkEnd w:id="24"/>
    </w:p>
    <w:p w14:paraId="28A73592" w14:textId="77777777" w:rsidR="00322D05" w:rsidRDefault="006D2C14">
      <w:pPr>
        <w:pStyle w:val="FirstParagraph"/>
      </w:pPr>
      <w:r>
        <w:t xml:space="preserve">The momentum calculation engine represents a significant advancement over traditional single-period momentum measures, incorporating insights from research demonstrating that enhanced momentum strategies decrease momentum crashes and lead to higher risk-adjusted returns </w:t>
      </w:r>
      <w:hyperlink w:anchor="ref-2">
        <w:r>
          <w:rPr>
            <w:rStyle w:val="Hyperlink"/>
          </w:rPr>
          <w:t>[2]</w:t>
        </w:r>
      </w:hyperlink>
      <w:r>
        <w:t xml:space="preserve">. The multi-horizon approach recognizes that momentum can manifest across different time scales, </w:t>
      </w:r>
      <w:r>
        <w:lastRenderedPageBreak/>
        <w:t>and that combining signals from multiple horizons can improve both signal quality and risk characteristics.</w:t>
      </w:r>
    </w:p>
    <w:p w14:paraId="31BEEFAA" w14:textId="77777777" w:rsidR="00322D05" w:rsidRDefault="006D2C14">
      <w:pPr>
        <w:pStyle w:val="BodyText"/>
      </w:pPr>
      <w:r>
        <w:t>The selection of lookback periods reflects careful consideration of market dynamics and behavioral factors. The 21-day period captures short-term price momentum and recent trend changes, often driven by earnings announcements, news events, and short-term sentiment shifts. This short-term component ensures that the algorithm can respond quickly to changing market conditions while avoiding excessive trading based on daily noise.</w:t>
      </w:r>
    </w:p>
    <w:p w14:paraId="04FD2D7F" w14:textId="77777777" w:rsidR="00322D05" w:rsidRDefault="006D2C14">
      <w:pPr>
        <w:pStyle w:val="BodyText"/>
      </w:pPr>
      <w:r>
        <w:t>The 63-day period aligns with quarterly momentum patterns that correspond to earnings cycles and quarterly reporting periods. This horizon captures medium-term trends that often persist beyond short-term volatility while remaining responsive to fundamental changes in business conditions. The quarterly alignment also corresponds to institutional rebalancing cycles, potentially capturing momentum effects driven by systematic investment flows.</w:t>
      </w:r>
    </w:p>
    <w:p w14:paraId="7FC7015A" w14:textId="77777777" w:rsidR="00322D05" w:rsidRDefault="006D2C14">
      <w:pPr>
        <w:pStyle w:val="BodyText"/>
      </w:pPr>
      <w:r>
        <w:t>The 126-day period represents semi-annual momentum that captures medium-term trends spanning multiple earnings cycles and seasonal patterns. This horizon is particularly effective at identifying persistent trends that have survived multiple potential reversal points, suggesting genuine underlying momentum rather than temporary price movements. The six-month period also aligns with many institutional investment review cycles.</w:t>
      </w:r>
    </w:p>
    <w:p w14:paraId="108BDDF2" w14:textId="77777777" w:rsidR="00322D05" w:rsidRDefault="006D2C14">
      <w:pPr>
        <w:pStyle w:val="BodyText"/>
      </w:pPr>
      <w:r>
        <w:t>The 189-day period provides extended momentum analysis for trend persistence, capturing trends that have demonstrated remarkable durability across multiple market cycles and potential reversal points. This longer horizon helps identify assets that have established strong fundamental momentum that may continue for extended periods, though it is less responsive to recent changes in market conditions.</w:t>
      </w:r>
    </w:p>
    <w:p w14:paraId="60CE5751" w14:textId="77777777" w:rsidR="00322D05" w:rsidRDefault="006D2C14">
      <w:pPr>
        <w:pStyle w:val="BodyText"/>
      </w:pPr>
      <w:r>
        <w:t>The 252-day period corresponds to annual momentum for long-term trend identification, capturing the full cycle of seasonal patterns, annual reporting cycles, and long-term business trends. This longest horizon provides stability to the momentum calculation while ensuring that the algorithm considers the full range of historical performance when making allocation decisions.</w:t>
      </w:r>
    </w:p>
    <w:p w14:paraId="66F8A66D" w14:textId="77777777" w:rsidR="00322D05" w:rsidRDefault="006D2C14">
      <w:pPr>
        <w:pStyle w:val="Heading2"/>
      </w:pPr>
      <w:bookmarkStart w:id="26" w:name="_Toc221348796"/>
      <w:bookmarkStart w:id="27" w:name="asset-level-momentum-processing"/>
      <w:bookmarkEnd w:id="25"/>
      <w:r>
        <w:t>Asset-Level Momentum Processing</w:t>
      </w:r>
      <w:bookmarkEnd w:id="26"/>
    </w:p>
    <w:p w14:paraId="6C1581EE" w14:textId="77777777" w:rsidR="00322D05" w:rsidRDefault="006D2C14">
      <w:pPr>
        <w:pStyle w:val="FirstParagraph"/>
      </w:pPr>
      <w:r>
        <w:t>For each asset, the momentum calculation follows a rigorous process that begins with price series validation to ensure sufficient data availability across all lookback periods. This validation step is crucial because incomplete data can lead to biased momentum calculations that may result in poor investment decisions. The algorithm requires complete price histories across all momentum horizons before including an asset in the investment universe.</w:t>
      </w:r>
    </w:p>
    <w:p w14:paraId="10267B9A" w14:textId="77777777" w:rsidR="00322D05" w:rsidRDefault="006D2C14">
      <w:pPr>
        <w:pStyle w:val="BodyText"/>
      </w:pPr>
      <w:r>
        <w:t>Total return adjustment represents a critical component of the momentum calculation, incorporating dividends and distributions in the price series to ensure that momentum calculations reflect the complete investor experience. This adjustment is particularly important for dividend-paying stocks and interest-bearing bonds, where ignoring income components would significantly understate total returns and potentially lead to incorrect momentum assessments.</w:t>
      </w:r>
    </w:p>
    <w:p w14:paraId="2F608B67" w14:textId="77777777" w:rsidR="00322D05" w:rsidRDefault="006D2C14">
      <w:pPr>
        <w:pStyle w:val="BodyText"/>
      </w:pPr>
      <w:r>
        <w:lastRenderedPageBreak/>
        <w:t xml:space="preserve">The multi-horizon calculation computes momentum for each lookback period in the set </w:t>
      </w:r>
      <m:oMath>
        <m:r>
          <w:rPr>
            <w:rFonts w:ascii="Cambria Math" w:hAnsi="Cambria Math"/>
          </w:rPr>
          <m:t>τ</m:t>
        </m:r>
      </m:oMath>
      <w:r>
        <w:t>, creating a comprehensive picture of momentum characteristics across different time scales. This calculation process ensures that each horizon receives equal weight in the final momentum score, preventing any single time period from dominating the momentum assessment while allowing the algorithm to benefit from the diversification effects of multiple momentum signals.</w:t>
      </w:r>
    </w:p>
    <w:p w14:paraId="25D0BAB2" w14:textId="77777777" w:rsidR="00322D05" w:rsidRDefault="006D2C14">
      <w:pPr>
        <w:pStyle w:val="BodyText"/>
      </w:pPr>
      <w:r>
        <w:t>The aggregation process averages momentum signals across all horizons with equal weighting, reflecting the empirical finding that different momentum periods contribute valuable but distinct information to investment decisions. This equal weighting approach avoids the need to optimize weights across different horizons, which could lead to overfitting and reduced out-of-sample performance.</w:t>
      </w:r>
    </w:p>
    <w:p w14:paraId="5397150E" w14:textId="77777777" w:rsidR="00322D05" w:rsidRDefault="006D2C14">
      <w:pPr>
        <w:pStyle w:val="BodyText"/>
      </w:pPr>
      <w:r>
        <w:t>The threshold application requires positive momentum scores for asset inclusion, effectively filtering out assets exhibiting negative price trends across the aggregated momentum calculation. This requirement ensures that the algorithm only invests in assets with positive momentum characteristics, reducing the likelihood of investing in declining assets that may continue to underperform.</w:t>
      </w:r>
    </w:p>
    <w:p w14:paraId="660FA47B" w14:textId="77777777" w:rsidR="00322D05" w:rsidRDefault="006D2C14">
      <w:pPr>
        <w:pStyle w:val="Heading2"/>
      </w:pPr>
      <w:bookmarkStart w:id="28" w:name="_Toc221348797"/>
      <w:bookmarkStart w:id="29" w:name="group-level-momentum-aggregation"/>
      <w:bookmarkEnd w:id="27"/>
      <w:r>
        <w:t>Group-Level Momentum Aggregation</w:t>
      </w:r>
      <w:bookmarkEnd w:id="28"/>
    </w:p>
    <w:p w14:paraId="01260031" w14:textId="77777777" w:rsidR="00322D05" w:rsidRDefault="006D2C14">
      <w:pPr>
        <w:pStyle w:val="FirstParagraph"/>
      </w:pPr>
      <w:r>
        <w:t xml:space="preserve">When the algorithm operates in group momentum mode, it calculates group-level momentum using equally-weighted constituent returns according to the formula </w:t>
      </w:r>
      <m:oMath>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τ</m:t>
                </m:r>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τ</m:t>
            </m:r>
          </m:sub>
          <m:sup>
            <m:r>
              <w:rPr>
                <w:rFonts w:ascii="Cambria Math" w:hAnsi="Cambria Math"/>
              </w:rPr>
              <m:t>​</m:t>
            </m:r>
          </m:sup>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e>
                    </m:d>
                  </m:e>
                </m:nary>
                <m:r>
                  <m:rPr>
                    <m:sty m:val="p"/>
                  </m:rPr>
                  <w:rPr>
                    <w:rFonts w:ascii="Cambria Math" w:hAnsi="Cambria Math"/>
                  </w:rPr>
                  <m:t>-</m:t>
                </m:r>
                <m:r>
                  <w:rPr>
                    <w:rFonts w:ascii="Cambria Math" w:hAnsi="Cambria Math"/>
                  </w:rPr>
                  <m:t>1</m:t>
                </m:r>
              </m:e>
            </m:d>
          </m:e>
        </m:nary>
      </m:oMath>
      <w:r>
        <w:t>. This approach provides more stable momentum signals that are less susceptible to individual asset volatility spikes while maintaining the multi-horizon framework that characterizes the overall strategy.</w:t>
      </w:r>
    </w:p>
    <w:p w14:paraId="29E214CB" w14:textId="77777777" w:rsidR="00322D05" w:rsidRDefault="006D2C14">
      <w:pPr>
        <w:pStyle w:val="BodyText"/>
      </w:pPr>
      <w:r>
        <w:t>Group-level momentum aggregation offers several advantages over individual asset momentum calculations. First, it reduces the impact of idiosyncratic asset-specific events that may create temporary momentum signals unrelated to broader market trends. Second, it provides more stable signals that are less likely to trigger excessive trading based on temporary price movements in individual assets. Third, it allows the algorithm to capture broad sector or asset class momentum that may not be apparent when examining individual assets in isolation.</w:t>
      </w:r>
    </w:p>
    <w:p w14:paraId="6144840A" w14:textId="77777777" w:rsidR="00322D05" w:rsidRDefault="006D2C14">
      <w:pPr>
        <w:pStyle w:val="BodyText"/>
      </w:pPr>
      <w:r>
        <w:t>The equally-weighted approach to group construction ensures that each asset within a group contributes equally to the group momentum calculation, preventing large-cap assets from dominating the momentum signal. This approach is particularly important in equity groups where market capitalization differences could otherwise skew momentum calculations toward the largest companies, potentially missing important momentum signals from smaller but more dynamic assets.</w:t>
      </w:r>
    </w:p>
    <w:p w14:paraId="1C8A663D" w14:textId="77777777" w:rsidR="00322D05" w:rsidRDefault="006D2C14">
      <w:pPr>
        <w:pStyle w:val="Heading2"/>
      </w:pPr>
      <w:bookmarkStart w:id="30" w:name="_Toc221348798"/>
      <w:bookmarkStart w:id="31" w:name="momentum-signal-validation"/>
      <w:bookmarkEnd w:id="29"/>
      <w:r>
        <w:t>Momentum Signal Validation</w:t>
      </w:r>
      <w:bookmarkEnd w:id="30"/>
    </w:p>
    <w:p w14:paraId="0480F1DA" w14:textId="77777777" w:rsidR="00322D05" w:rsidRDefault="006D2C14">
      <w:pPr>
        <w:pStyle w:val="FirstParagraph"/>
      </w:pPr>
      <w:r>
        <w:t>The algorithm implements comprehensive validation checks to ensure signal quality and reliability. Finite value checks ensure that all momentum calculations produce valid numerical results, preventing computational errors from propagating through the investment process. This validation is particularly important when dealing with assets that may have experienced corporate actions, trading halts, or other events that could disrupt normal price series.</w:t>
      </w:r>
    </w:p>
    <w:p w14:paraId="61CAFACE" w14:textId="77777777" w:rsidR="00322D05" w:rsidRDefault="006D2C14">
      <w:pPr>
        <w:pStyle w:val="BodyText"/>
      </w:pPr>
      <w:r>
        <w:lastRenderedPageBreak/>
        <w:t>The positive momentum filter excludes assets with momentum scores less than or equal to zero, ensuring that the algorithm only considers assets with favorable momentum characteristics. This filter serves as a fundamental risk management tool by preventing investment in assets that have demonstrated negative price trends across the multi-horizon momentum calculation.</w:t>
      </w:r>
    </w:p>
    <w:p w14:paraId="43049D08" w14:textId="77777777" w:rsidR="00322D05" w:rsidRDefault="006D2C14">
      <w:pPr>
        <w:pStyle w:val="BodyText"/>
      </w:pPr>
      <w:r>
        <w:t>Relative performance requirements mandate that asset six-month returns exceed treasury six-month returns, ensuring that momentum assets are not only trending positively but are also outperforming risk-free alternatives. This requirement helps identify assets that offer genuine risk premiums rather than simply positive returns that may not compensate investors for the additional risk undertaken.</w:t>
      </w:r>
    </w:p>
    <w:p w14:paraId="230920D6" w14:textId="77777777" w:rsidR="00322D05" w:rsidRDefault="006D2C14">
      <w:pPr>
        <w:pStyle w:val="BodyText"/>
      </w:pPr>
      <w:r>
        <w:t>Data sufficiency checks verify minimum data requirements across all lookback periods, ensuring that momentum calculations are based on adequate historical information. This validation prevents the algorithm from making investment decisions based on insufficient data that could lead to unreliable momentum assessments and poor investment outcomes.</w:t>
      </w:r>
    </w:p>
    <w:p w14:paraId="303D7EEB" w14:textId="77777777" w:rsidR="00322D05" w:rsidRDefault="006D2C14">
      <w:pPr>
        <w:pStyle w:val="Heading1"/>
      </w:pPr>
      <w:bookmarkStart w:id="32" w:name="_Toc221348799"/>
      <w:bookmarkStart w:id="33" w:name="regime-detection-and-risk-management"/>
      <w:bookmarkEnd w:id="23"/>
      <w:bookmarkEnd w:id="31"/>
      <w:r>
        <w:t>Regime Detection and Risk Management</w:t>
      </w:r>
      <w:bookmarkEnd w:id="32"/>
    </w:p>
    <w:p w14:paraId="423ADAA8" w14:textId="77777777" w:rsidR="00322D05" w:rsidRDefault="006D2C14">
      <w:pPr>
        <w:pStyle w:val="Heading2"/>
      </w:pPr>
      <w:bookmarkStart w:id="34" w:name="_Toc221348800"/>
      <w:bookmarkStart w:id="35" w:name="treasury-kill-switch-mechanism"/>
      <w:r>
        <w:t>Treasury Kill Switch Mechanism</w:t>
      </w:r>
      <w:bookmarkEnd w:id="34"/>
    </w:p>
    <w:p w14:paraId="66E33E57" w14:textId="77777777" w:rsidR="00322D05" w:rsidRDefault="006D2C14">
      <w:pPr>
        <w:pStyle w:val="FirstParagraph"/>
      </w:pPr>
      <w:r>
        <w:t xml:space="preserve">The algorithm implements a sophisticated treasury-only kill switch that represents a significant advancement in regime-aware portfolio management. This mechanism monitors the trend status of all treasury bond assets and triggers defensive positioning when systemic stress is detected. The mathematical formulation activates the kill switch when </w:t>
      </w:r>
      <m:oMath>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treasury</m:t>
                </m:r>
              </m:sub>
            </m:sSub>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t</m:t>
                    </m:r>
                  </m:sub>
                </m:sSub>
              </m:e>
            </m:d>
          </m:e>
        </m:nary>
        <m:r>
          <m:rPr>
            <m:sty m:val="p"/>
          </m:rPr>
          <w:rPr>
            <w:rFonts w:ascii="Cambria Math" w:hAnsi="Cambria Math"/>
          </w:rPr>
          <m:t>=</m:t>
        </m:r>
        <m:r>
          <w:rPr>
            <w:rFonts w:ascii="Cambria Math" w:hAnsi="Cambria Math"/>
          </w:rPr>
          <m:t>1</m:t>
        </m:r>
      </m:oMath>
      <w:r>
        <w:t>, which occurs when all treasury bonds simultaneously fail their respective trend filters.</w:t>
      </w:r>
    </w:p>
    <w:p w14:paraId="36DB6B3E" w14:textId="77777777" w:rsidR="00322D05" w:rsidRDefault="006D2C14">
      <w:pPr>
        <w:pStyle w:val="BodyText"/>
      </w:pPr>
      <w:r>
        <w:t>This condition represents an extremely rare and significant market event that typically indicates severe systemic stress. Treasury bonds serve as the ultimate safe haven asset in most market environments, and their collective trend failure signals fundamental disruptions in financial markets that warrant immediate defensive action. The kill switch mechanism recognizes that when even government bonds cannot maintain positive trends, traditional risk assets are likely to face severe headwinds that could result in significant portfolio losses.</w:t>
      </w:r>
    </w:p>
    <w:p w14:paraId="1AAE08FC" w14:textId="77777777" w:rsidR="00322D05" w:rsidRDefault="006D2C14">
      <w:pPr>
        <w:pStyle w:val="BodyText"/>
      </w:pPr>
      <w:r>
        <w:t>The theoretical foundation for this approach rests on the unique role of treasury bonds in financial markets. These instruments serve as the risk-free benchmark against which all other assets are evaluated, and they typically benefit from flight-to-quality flows during market stress. When treasury bonds fail to maintain positive trends, it suggests that fundamental factors such as Federal Reserve policy uncertainty, inflation expectations disruption, credit market stress, systemic liquidity concerns, or flight-to-quality reversals are creating unprecedented market conditions.</w:t>
      </w:r>
    </w:p>
    <w:p w14:paraId="219B6EC2" w14:textId="77777777" w:rsidR="00322D05" w:rsidRDefault="006D2C14">
      <w:pPr>
        <w:pStyle w:val="BodyText"/>
      </w:pPr>
      <w:r>
        <w:t>The kill switch activation triggers immediate liquidation of all risk assets and allocation of 100% of portfolio capital to cash equivalents. This defensive positioning protects the portfolio from continued losses during extreme market stress while preserving capital for redeployment when market conditions stabilize. The mechanism represents a form of systematic crisis management that can protect portfolios during tail risk events that might otherwise cause severe damage.</w:t>
      </w:r>
    </w:p>
    <w:p w14:paraId="62F4DFB1" w14:textId="77777777" w:rsidR="00322D05" w:rsidRDefault="006D2C14">
      <w:pPr>
        <w:pStyle w:val="Heading2"/>
      </w:pPr>
      <w:bookmarkStart w:id="36" w:name="_Toc221348801"/>
      <w:bookmarkStart w:id="37" w:name="advanced-trend-filtering-system"/>
      <w:bookmarkEnd w:id="35"/>
      <w:r>
        <w:lastRenderedPageBreak/>
        <w:t>Advanced Trend Filtering System</w:t>
      </w:r>
      <w:bookmarkEnd w:id="36"/>
    </w:p>
    <w:p w14:paraId="6736739F" w14:textId="77777777" w:rsidR="00322D05" w:rsidRDefault="006D2C14">
      <w:pPr>
        <w:pStyle w:val="FirstParagraph"/>
      </w:pPr>
      <w:r>
        <w:t>The trend filtering system employs differentiated SMA periods optimized for asset class characteristics, recognizing that different asset classes exhibit distinct trend persistence patterns. Equity assets utilize a 147-day SMA period that captures approximately seven months of price action, balancing responsiveness with noise reduction while aligning with typical equity trend persistence characteristics. This period length reflects empirical research showing that equity trends often persist for several months but can reverse more quickly than bond trends.</w:t>
      </w:r>
    </w:p>
    <w:p w14:paraId="2EFE914D" w14:textId="77777777" w:rsidR="00322D05" w:rsidRDefault="006D2C14">
      <w:pPr>
        <w:pStyle w:val="BodyText"/>
      </w:pPr>
      <w:r>
        <w:t>Bond assets employ a 126-day SMA period that reflects six-month interest rate cycle sensitivity and accounts for Federal Reserve meeting schedules. This shorter period recognizes that bond prices are more sensitive to interest rate changes and monetary policy shifts, requiring more responsive trend detection to avoid holding bonds during adverse interest rate environments. The six-month period also aligns with typical Federal Reserve policy review cycles.</w:t>
      </w:r>
    </w:p>
    <w:p w14:paraId="7718F815" w14:textId="77777777" w:rsidR="00322D05" w:rsidRDefault="006D2C14">
      <w:pPr>
        <w:pStyle w:val="BodyText"/>
      </w:pPr>
      <w:r>
        <w:t>The algorithm tracks filter effectiveness through multiple metrics that assess the quality and reliability of trend signals. Whipsaw ratio measures the frequency of false trend signals that result in premature position changes, helping to evaluate whether the chosen SMA periods provide appropriate signal stability. Trend persistence tracks the average duration of confirmed trends, providing insight into whether the trend filters are capturing genuine trend changes or responding to temporary price movements.</w:t>
      </w:r>
    </w:p>
    <w:p w14:paraId="13F237EA" w14:textId="77777777" w:rsidR="00322D05" w:rsidRDefault="006D2C14">
      <w:pPr>
        <w:pStyle w:val="BodyText"/>
      </w:pPr>
      <w:r>
        <w:t>Signal quality assessment examines the correlation between trend signals and subsequent returns, validating that trend filters are providing predictive value rather than simply reflecting past price movements. This analysis helps ensure that the trend filtering system contributes positively to investment performance rather than simply adding complexity to the decision-making process.</w:t>
      </w:r>
    </w:p>
    <w:p w14:paraId="4E57D044" w14:textId="77777777" w:rsidR="00322D05" w:rsidRDefault="006D2C14">
      <w:pPr>
        <w:pStyle w:val="Heading2"/>
      </w:pPr>
      <w:bookmarkStart w:id="38" w:name="_Toc221348802"/>
      <w:bookmarkStart w:id="39" w:name="duration-regime-selection-logic"/>
      <w:bookmarkEnd w:id="37"/>
      <w:r>
        <w:t>Duration Regime Selection Logic</w:t>
      </w:r>
      <w:bookmarkEnd w:id="38"/>
    </w:p>
    <w:p w14:paraId="19DDACC1" w14:textId="77777777" w:rsidR="00322D05" w:rsidRDefault="006D2C14">
      <w:pPr>
        <w:pStyle w:val="FirstParagraph"/>
      </w:pPr>
      <w:r>
        <w:t>For bond asset groups, the algorithm implements dynamic duration selection that adapts interest rate sensitivity based on prevailing market conditions. This sophisticated approach recognizes that optimal duration exposure varies significantly across different interest rate environments, and that static duration allocation may result in suboptimal performance during regime changes.</w:t>
      </w:r>
    </w:p>
    <w:p w14:paraId="683918BD" w14:textId="77777777" w:rsidR="00322D05" w:rsidRDefault="006D2C14">
      <w:pPr>
        <w:pStyle w:val="BodyText"/>
      </w:pPr>
      <w:r>
        <w:t>The duration regime selection process analyzes yield curve slope and volatility patterns to determine the most appropriate duration exposure for current market conditions. During periods of steep yield curves and stable interest rate environments, longer duration bonds may offer attractive risk-adjusted returns. Conversely, during periods of yield curve flattening or rising rate expectations, shorter duration exposure may provide better risk management.</w:t>
      </w:r>
    </w:p>
    <w:p w14:paraId="71770670" w14:textId="77777777" w:rsidR="00322D05" w:rsidRDefault="006D2C14">
      <w:pPr>
        <w:pStyle w:val="BodyText"/>
      </w:pPr>
      <w:r>
        <w:t>The algorithm considers Federal Reserve policy stance as a key input to duration regime selection, recognizing that monetary policy changes can have profound impacts on bond performance across different duration segments. During periods of accommodative monetary policy, longer duration bonds may benefit from declining rates, while during tightening cycles, shorter duration bonds may provide better protection against rising rates.</w:t>
      </w:r>
    </w:p>
    <w:p w14:paraId="7E3EF995" w14:textId="77777777" w:rsidR="00322D05" w:rsidRDefault="006D2C14">
      <w:pPr>
        <w:pStyle w:val="BodyText"/>
      </w:pPr>
      <w:r>
        <w:t xml:space="preserve">Term structure momentum analysis examines the relative performance of different duration segments to identify which portions of the yield curve are exhibiting the strongest momentum </w:t>
      </w:r>
      <w:r>
        <w:lastRenderedPageBreak/>
        <w:t>characteristics. This analysis helps the algorithm select duration exposures that align with current market trends while avoiding duration segments that may be experiencing adverse momentum.</w:t>
      </w:r>
    </w:p>
    <w:p w14:paraId="50F9D5EB" w14:textId="77777777" w:rsidR="00322D05" w:rsidRDefault="006D2C14">
      <w:pPr>
        <w:pStyle w:val="Heading1"/>
      </w:pPr>
      <w:bookmarkStart w:id="40" w:name="_Toc221348803"/>
      <w:bookmarkStart w:id="41" w:name="portfolio-construction-methodology"/>
      <w:bookmarkEnd w:id="33"/>
      <w:bookmarkEnd w:id="39"/>
      <w:r>
        <w:t>Portfolio Construction Methodology</w:t>
      </w:r>
      <w:bookmarkEnd w:id="40"/>
    </w:p>
    <w:p w14:paraId="1B907DE7" w14:textId="77777777" w:rsidR="00322D05" w:rsidRDefault="006D2C14">
      <w:pPr>
        <w:pStyle w:val="Heading2"/>
      </w:pPr>
      <w:bookmarkStart w:id="42" w:name="_Toc221348804"/>
      <w:bookmarkStart w:id="43" w:name="edge-based-allocation-framework"/>
      <w:r>
        <w:t>Edge-Based Allocation Framework</w:t>
      </w:r>
      <w:bookmarkEnd w:id="42"/>
    </w:p>
    <w:p w14:paraId="113ABF1E" w14:textId="77777777" w:rsidR="00322D05" w:rsidRDefault="006D2C14">
      <w:pPr>
        <w:pStyle w:val="FirstParagraph"/>
      </w:pPr>
      <w:r>
        <w:t xml:space="preserve">The algorithm's allocation methodology represents a significant innovation in quantitative portfolio construction, moving beyond simple momentum-based allocation to incorporate volatility-adjusted confidence scoring that penalizes noisy signals while preserving strong momentum signals. The standard edge calculation for each asset group follows the formula </w:t>
      </w:r>
      <m:oMath>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t</m:t>
                </m:r>
              </m:sub>
            </m:sSub>
          </m:e>
        </m:d>
      </m:oMath>
      <w:r>
        <w:t>, which combines the win-rate component representing historical success probability with a confidence multiplier that reflects volatility-adjusted momentum strength.</w:t>
      </w:r>
    </w:p>
    <w:p w14:paraId="15C29E38" w14:textId="77777777" w:rsidR="00322D05" w:rsidRDefault="006D2C14">
      <w:pPr>
        <w:pStyle w:val="BodyText"/>
      </w:pPr>
      <w:r>
        <w:t>This formulation recognizes that momentum signals vary significantly in their reliability and predictive power. High-quality momentum signals emerge from stable, persistent trends that demonstrate consistent directional movement with relatively low volatility. In contrast, low-quality momentum signals may result from erratic price movements that create apparent trends but lack the stability necessary for reliable investment decisions.</w:t>
      </w:r>
    </w:p>
    <w:p w14:paraId="663C8649" w14:textId="77777777" w:rsidR="00322D05" w:rsidRDefault="006D2C14">
      <w:pPr>
        <w:pStyle w:val="BodyText"/>
      </w:pPr>
      <w:r>
        <w:t>The win-rate component provides crucial information about the consistency of positive returns for each asset group, complementing pure momentum measures by focusing on the frequency of positive outcomes rather than just the magnitude of returns. Asset groups with higher win-rates demonstrate more consistent positive performance, which can be particularly valuable during volatile market periods when return consistency becomes more important than absolute return magnitude.</w:t>
      </w:r>
    </w:p>
    <w:p w14:paraId="3AF88459" w14:textId="77777777" w:rsidR="00322D05" w:rsidRDefault="006D2C14">
      <w:pPr>
        <w:pStyle w:val="BodyText"/>
      </w:pPr>
      <w:r>
        <w:t>The confidence multiplier adjusts the win-rate based on the volatility-adjusted momentum strength, ensuring that asset groups with strong momentum but high volatility receive appropriate risk adjustments. This approach helps prevent the algorithm from overallocating to assets that may have attractive momentum characteristics but exhibit excessive volatility that could result in poor risk-adjusted returns.</w:t>
      </w:r>
    </w:p>
    <w:p w14:paraId="6AFA1E66" w14:textId="77777777" w:rsidR="00322D05" w:rsidRDefault="006D2C14">
      <w:pPr>
        <w:pStyle w:val="BodyText"/>
      </w:pPr>
      <w:r>
        <w:t xml:space="preserve">When the algorithm operates in group momentum mode, the edge calculation simplifies to </w:t>
      </w:r>
      <m:oMath>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t</m:t>
            </m:r>
          </m:sub>
        </m:sSub>
      </m:oMath>
      <w:r>
        <w:t>, focusing purely on momentum strength without win-rate adjustments. This alternative approach may be appropriate for investors who prefer to maximize momentum exposure without the moderating influence of win-rate considerations, though it may result in higher portfolio volatility and potentially larger drawdowns during momentum reversals.</w:t>
      </w:r>
    </w:p>
    <w:p w14:paraId="186D279E" w14:textId="77777777" w:rsidR="00322D05" w:rsidRDefault="006D2C14">
      <w:pPr>
        <w:pStyle w:val="Heading2"/>
      </w:pPr>
      <w:bookmarkStart w:id="44" w:name="_Toc221348805"/>
      <w:bookmarkStart w:id="45" w:name="group-weight-determination"/>
      <w:bookmarkEnd w:id="43"/>
      <w:r>
        <w:t>Group Weight Determination</w:t>
      </w:r>
      <w:bookmarkEnd w:id="44"/>
    </w:p>
    <w:p w14:paraId="2E9595EA" w14:textId="77777777" w:rsidR="00322D05" w:rsidRDefault="006D2C14">
      <w:pPr>
        <w:pStyle w:val="FirstParagraph"/>
      </w:pPr>
      <w:r>
        <w:t xml:space="preserve">Group weights are calculated using proportional allocation according to the formula </w:t>
      </w:r>
      <m:oMath>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t</m:t>
                </m:r>
              </m:sub>
            </m:sSub>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h</m:t>
                    </m:r>
                    <m:r>
                      <m:rPr>
                        <m:sty m:val="p"/>
                      </m:rPr>
                      <w:rPr>
                        <w:rFonts w:ascii="Cambria Math" w:hAnsi="Cambria Math"/>
                      </w:rPr>
                      <m:t>,</m:t>
                    </m:r>
                    <m:r>
                      <w:rPr>
                        <w:rFonts w:ascii="Cambria Math" w:hAnsi="Cambria Math"/>
                      </w:rPr>
                      <m:t>t</m:t>
                    </m:r>
                  </m:sub>
                </m:sSub>
              </m:e>
            </m:nary>
          </m:den>
        </m:f>
      </m:oMath>
      <w:r>
        <w:t xml:space="preserve">, where </w:t>
      </w:r>
      <m:oMath>
        <m:r>
          <w:rPr>
            <w:rFonts w:ascii="Cambria Math" w:hAnsi="Cambria Math"/>
          </w:rPr>
          <m:t>G</m:t>
        </m:r>
      </m:oMath>
      <w:r>
        <w:t xml:space="preserve"> represents the set of all eligible asset groups at time </w:t>
      </w:r>
      <m:oMath>
        <m:r>
          <w:rPr>
            <w:rFonts w:ascii="Cambria Math" w:hAnsi="Cambria Math"/>
          </w:rPr>
          <m:t>t</m:t>
        </m:r>
      </m:oMath>
      <w:r>
        <w:t>. This proportional approach ensures that asset groups with higher edge scores receive larger portfolio allocations, while maintaining full capital deployment across all eligible groups.</w:t>
      </w:r>
    </w:p>
    <w:p w14:paraId="3BA510B8" w14:textId="77777777" w:rsidR="00322D05" w:rsidRDefault="006D2C14">
      <w:pPr>
        <w:pStyle w:val="BodyText"/>
      </w:pPr>
      <w:r>
        <w:lastRenderedPageBreak/>
        <w:t>The proportional allocation methodology provides several important advantages over alternative weighting schemes. First, it ensures that the portfolio allocation reflects the relative attractiveness of different asset groups based on their momentum and risk characteristics. Second, it automatically adjusts allocations as edge scores change over time, allowing the portfolio to adapt to changing market conditions without requiring explicit rebalancing rules.</w:t>
      </w:r>
    </w:p>
    <w:p w14:paraId="467F2D19" w14:textId="77777777" w:rsidR="00322D05" w:rsidRDefault="006D2C14">
      <w:pPr>
        <w:pStyle w:val="BodyText"/>
      </w:pPr>
      <w:r>
        <w:t>The approach also maintains diversification across multiple asset groups even when some groups demonstrate superior characteristics, preventing excessive concentration in any single asset class. This diversification benefit is particularly important during regime changes when previously attractive asset groups may suddenly become less favorable, and broad diversification can help protect portfolio performance.</w:t>
      </w:r>
    </w:p>
    <w:p w14:paraId="17F1F226" w14:textId="77777777" w:rsidR="00322D05" w:rsidRDefault="006D2C14">
      <w:pPr>
        <w:pStyle w:val="Heading2"/>
      </w:pPr>
      <w:bookmarkStart w:id="46" w:name="_Toc221348806"/>
      <w:bookmarkStart w:id="47" w:name="cryptocurrency-exposure-management"/>
      <w:bookmarkEnd w:id="45"/>
      <w:r>
        <w:t>Cryptocurrency Exposure Management</w:t>
      </w:r>
      <w:bookmarkEnd w:id="46"/>
    </w:p>
    <w:p w14:paraId="37E35C05" w14:textId="77777777" w:rsidR="00322D05" w:rsidRDefault="006D2C14">
      <w:pPr>
        <w:pStyle w:val="FirstParagraph"/>
      </w:pPr>
      <w:r>
        <w:t>The algorithm implements a sophisticated cryptocurrency capping mechanism that recognizes the unique risk characteristics of digital assets while allowing for meaningful exposure to this emerging asset class. The process begins with calculating unconstrained crypto weight based on the standard edge calculation, then applies a 10% cap if the unconstrained weight exceeds this threshold, and finally redistributes any excess proportionally among other asset groups.</w:t>
      </w:r>
    </w:p>
    <w:p w14:paraId="284DF8D8" w14:textId="77777777" w:rsidR="00322D05" w:rsidRDefault="006D2C14">
      <w:pPr>
        <w:pStyle w:val="BodyText"/>
      </w:pPr>
      <w:r>
        <w:t>The mathematical implementation follows a systematic approach when the unconstrained cryptocurrency weight exceeds 10%. The excess amount is calculated as the difference between the unconstrained weight and the 10% cap, and this excess is then distributed proportionally among other asset groups based on their relative edge scores. The final weight for each non-crypto group is calculated as the initial weight plus the proportional share of the excess cryptocurrency allocation.</w:t>
      </w:r>
    </w:p>
    <w:p w14:paraId="525045D1" w14:textId="77777777" w:rsidR="00322D05" w:rsidRDefault="006D2C14">
      <w:pPr>
        <w:pStyle w:val="BodyText"/>
      </w:pPr>
      <w:r>
        <w:t>This capping mechanism serves multiple important purposes in portfolio risk management. First, it prevents excessive exposure to an asset class characterized by extreme volatility and limited historical data. Second, it ensures that cryptocurrency exposure remains at levels that are unlikely to dominate portfolio performance, allowing other asset classes to contribute meaningfully to returns and risk characteristics.</w:t>
      </w:r>
    </w:p>
    <w:p w14:paraId="6C934A79" w14:textId="77777777" w:rsidR="00322D05" w:rsidRDefault="006D2C14">
      <w:pPr>
        <w:pStyle w:val="BodyText"/>
      </w:pPr>
      <w:r>
        <w:t>The proportional redistribution of excess cryptocurrency allocation ensures that the capping mechanism does not arbitrarily favor any particular asset group, instead distributing the excess based on the relative attractiveness of other asset groups as measured by their edge scores. This approach maintains the integrity of the allocation methodology while implementing necessary risk controls.</w:t>
      </w:r>
    </w:p>
    <w:p w14:paraId="699D0535" w14:textId="77777777" w:rsidR="00322D05" w:rsidRDefault="006D2C14">
      <w:pPr>
        <w:pStyle w:val="Heading2"/>
      </w:pPr>
      <w:bookmarkStart w:id="48" w:name="_Toc221348807"/>
      <w:bookmarkStart w:id="49" w:name="intra-group-allocation-optimization"/>
      <w:bookmarkEnd w:id="47"/>
      <w:r>
        <w:t>Intra-Group Allocation Optimization</w:t>
      </w:r>
      <w:bookmarkEnd w:id="48"/>
    </w:p>
    <w:p w14:paraId="47DDA8D5" w14:textId="77777777" w:rsidR="00322D05" w:rsidRDefault="006D2C14">
      <w:pPr>
        <w:pStyle w:val="FirstParagraph"/>
      </w:pPr>
      <w:r>
        <w:t xml:space="preserve">Within each selected asset group, capital allocation follows momentum-weighted distribution according to the formula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Sub>
              </m:e>
            </m:nary>
          </m:den>
        </m:f>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oMath>
      <w:r>
        <w:t xml:space="preserve"> represents the individual asset edge score. This approach ensures that assets with superior momentum characteristics within each group receive larger allocations while maintaining diversification across multiple assets within each group.</w:t>
      </w:r>
    </w:p>
    <w:p w14:paraId="1DA2C068" w14:textId="77777777" w:rsidR="00322D05" w:rsidRDefault="006D2C14">
      <w:pPr>
        <w:pStyle w:val="BodyText"/>
      </w:pPr>
      <w:r>
        <w:lastRenderedPageBreak/>
        <w:t xml:space="preserve">The asset-level edge calculation follows the formula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t</m:t>
            </m:r>
          </m:sub>
        </m:sSub>
        <m:r>
          <m:rPr>
            <m:scr m:val="double-struck"/>
            <m:sty m:val="p"/>
          </m:rP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6m</m:t>
                </m:r>
              </m:sup>
            </m:sSubSup>
            <m:r>
              <m:rPr>
                <m:sty m:val="p"/>
              </m:rPr>
              <w:rPr>
                <w:rFonts w:ascii="Cambria Math" w:hAnsi="Cambria Math"/>
              </w:rPr>
              <m:t>&gt;</m:t>
            </m:r>
            <m:sSubSup>
              <m:sSubSupPr>
                <m:ctrlPr>
                  <w:rPr>
                    <w:rFonts w:ascii="Cambria Math" w:hAnsi="Cambria Math"/>
                  </w:rPr>
                </m:ctrlPr>
              </m:sSubSupPr>
              <m:e>
                <m:r>
                  <w:rPr>
                    <w:rFonts w:ascii="Cambria Math" w:hAnsi="Cambria Math"/>
                  </w:rPr>
                  <m:t>R</m:t>
                </m:r>
              </m:e>
              <m:sub>
                <m:r>
                  <w:rPr>
                    <w:rFonts w:ascii="Cambria Math" w:hAnsi="Cambria Math"/>
                  </w:rPr>
                  <m:t>treasury</m:t>
                </m:r>
                <m:r>
                  <m:rPr>
                    <m:sty m:val="p"/>
                  </m:rPr>
                  <w:rPr>
                    <w:rFonts w:ascii="Cambria Math" w:hAnsi="Cambria Math"/>
                  </w:rPr>
                  <m:t>,</m:t>
                </m:r>
                <m:r>
                  <w:rPr>
                    <w:rFonts w:ascii="Cambria Math" w:hAnsi="Cambria Math"/>
                  </w:rPr>
                  <m:t>t</m:t>
                </m:r>
              </m:sub>
              <m:sup>
                <m:r>
                  <w:rPr>
                    <w:rFonts w:ascii="Cambria Math" w:hAnsi="Cambria Math"/>
                  </w:rPr>
                  <m:t>6m</m:t>
                </m:r>
              </m:sup>
            </m:sSubSup>
          </m:e>
        </m:d>
      </m:oMath>
      <w:r>
        <w:t>, which combines momentum strength with trend filter status and relative performance requirements. This comprehensive approach ensures that only assets meeting all criteria receive allocations, while those with superior characteristics receive proportionally larger allocations.</w:t>
      </w:r>
    </w:p>
    <w:p w14:paraId="07BC2522" w14:textId="77777777" w:rsidR="00322D05" w:rsidRDefault="006D2C14">
      <w:pPr>
        <w:pStyle w:val="BodyText"/>
      </w:pPr>
      <w:r>
        <w:t>The intra-group allocation methodology provides several important benefits for portfolio construction. First, it ensures that capital is allocated to the most attractive assets within each group, potentially enhancing returns compared to equal-weight allocation within groups. Second, it maintains diversification within each asset group, reducing the impact of individual asset-specific risks on group performance.</w:t>
      </w:r>
    </w:p>
    <w:p w14:paraId="57E94A8A" w14:textId="77777777" w:rsidR="00322D05" w:rsidRDefault="006D2C14">
      <w:pPr>
        <w:pStyle w:val="BodyText"/>
      </w:pPr>
      <w:r>
        <w:t>The approach also allows the algorithm to adapt to changing relative performance within asset groups, automatically increasing allocations to assets that develop superior momentum characteristics while reducing allocations to assets that lose momentum. This dynamic allocation can help capture relative value opportunities within asset groups while maintaining the overall group allocation framework.</w:t>
      </w:r>
    </w:p>
    <w:p w14:paraId="2BDD6B06" w14:textId="77777777" w:rsidR="00322D05" w:rsidRDefault="006D2C14">
      <w:pPr>
        <w:pStyle w:val="Heading1"/>
      </w:pPr>
      <w:bookmarkStart w:id="50" w:name="_Toc221348808"/>
      <w:bookmarkStart w:id="51" w:name="implementation-specifications"/>
      <w:bookmarkEnd w:id="41"/>
      <w:bookmarkEnd w:id="49"/>
      <w:r>
        <w:t>Implementation Specifications</w:t>
      </w:r>
      <w:bookmarkEnd w:id="50"/>
    </w:p>
    <w:p w14:paraId="685F8551" w14:textId="77777777" w:rsidR="00322D05" w:rsidRDefault="006D2C14">
      <w:pPr>
        <w:pStyle w:val="Heading2"/>
      </w:pPr>
      <w:bookmarkStart w:id="52" w:name="_Toc221348809"/>
      <w:bookmarkStart w:id="53" w:name="rebalancing-protocol"/>
      <w:r>
        <w:t>Rebalancing Protocol</w:t>
      </w:r>
      <w:bookmarkEnd w:id="52"/>
    </w:p>
    <w:p w14:paraId="338A60D9" w14:textId="77777777" w:rsidR="00322D05" w:rsidRDefault="006D2C14">
      <w:pPr>
        <w:pStyle w:val="FirstParagraph"/>
      </w:pPr>
      <w:r>
        <w:t>The strategy operates on a monthly rebalancing schedule with specific timing requirements designed to optimize execution quality while minimizing market impact. The rebalancing trigger occurs on the last trading day of each month, providing a systematic and predictable schedule that allows for proper preparation and execution planning. The execution window is set for five minutes before market close, taking advantage of higher liquidity during closing periods while avoiding the potential volatility of the final minutes of trading.</w:t>
      </w:r>
    </w:p>
    <w:p w14:paraId="5EB2384D" w14:textId="77777777" w:rsidR="00322D05" w:rsidRDefault="006D2C14">
      <w:pPr>
        <w:pStyle w:val="BodyText"/>
      </w:pPr>
      <w:r>
        <w:t>The data cutoff uses end-of-day prices for all calculations, ensuring that rebalancing decisions are based on complete and final market data rather than intraday prices that may not reflect true closing values. This approach provides consistency and reliability in the calculation process while avoiding potential issues with preliminary or adjusted closing prices that might be revised after initial publication.</w:t>
      </w:r>
    </w:p>
    <w:p w14:paraId="7626C925" w14:textId="77777777" w:rsidR="00322D05" w:rsidRDefault="006D2C14">
      <w:pPr>
        <w:pStyle w:val="BodyText"/>
      </w:pPr>
      <w:r>
        <w:t>Settlement timing follows standard market conventions with T+1 settlement for equity trades and T+3 settlement for bond trades, requiring careful cash management to ensure sufficient liquidity for all planned transactions. The algorithm must account for these different settlement periods when planning rebalancing activities to avoid overdrafts or failed trades due to insufficient settled cash.</w:t>
      </w:r>
    </w:p>
    <w:p w14:paraId="48FF9537" w14:textId="77777777" w:rsidR="00322D05" w:rsidRDefault="006D2C14">
      <w:pPr>
        <w:pStyle w:val="BodyText"/>
      </w:pPr>
      <w:r>
        <w:t>The rebalancing process follows a systematic sequence that begins with complete portfolio liquidation to close all existing positions and create a clean slate for new allocations. This approach simplifies the rebalancing process and ensures that the new portfolio composition exactly matches the target allocation without being constrained by existing positions that might be difficult to adjust incrementally.</w:t>
      </w:r>
    </w:p>
    <w:p w14:paraId="100C33BA" w14:textId="77777777" w:rsidR="00322D05" w:rsidRDefault="006D2C14">
      <w:pPr>
        <w:pStyle w:val="BodyText"/>
      </w:pPr>
      <w:r>
        <w:t xml:space="preserve">Data collection occurs immediately after liquidation, gathering all required price history and market data necessary for signal generation and allocation calculations. This step ensures that all </w:t>
      </w:r>
      <w:r>
        <w:lastRenderedPageBreak/>
        <w:t>calculations are based on the most recent available data, incorporating any market developments that occurred since the previous rebalancing period.</w:t>
      </w:r>
    </w:p>
    <w:p w14:paraId="3F292AC1" w14:textId="77777777" w:rsidR="00322D05" w:rsidRDefault="006D2C14">
      <w:pPr>
        <w:pStyle w:val="BodyText"/>
      </w:pPr>
      <w:r>
        <w:t>Signal generation calculates all indicators and filters based on the collected data, including momentum scores, trend filter status, win-rates, volatility measures, and confidence scores. This comprehensive calculation process ensures that allocation decisions reflect all relevant market information and technical indicators that drive the investment strategy.</w:t>
      </w:r>
    </w:p>
    <w:p w14:paraId="295A1331" w14:textId="77777777" w:rsidR="00322D05" w:rsidRDefault="006D2C14">
      <w:pPr>
        <w:pStyle w:val="BodyText"/>
      </w:pPr>
      <w:r>
        <w:t>Allocation determination computes target weights for all asset groups and individual assets based on the generated signals and the algorithm's allocation methodology. This step translates the analytical signals into concrete portfolio positions while respecting all risk management constraints and exposure limits.</w:t>
      </w:r>
    </w:p>
    <w:p w14:paraId="7F9F19E9" w14:textId="77777777" w:rsidR="00322D05" w:rsidRDefault="006D2C14">
      <w:pPr>
        <w:pStyle w:val="BodyText"/>
      </w:pPr>
      <w:r>
        <w:t>Order execution places market orders for all new positions simultaneously to minimize timing differences and ensure that the portfolio achieves the target allocation as closely as possible. The use of market orders prioritizes execution certainty over price optimization, recognizing that the monthly rebalancing frequency makes execution speed more important than minor price improvements.</w:t>
      </w:r>
    </w:p>
    <w:p w14:paraId="15B1FB0E" w14:textId="77777777" w:rsidR="00322D05" w:rsidRDefault="006D2C14">
      <w:pPr>
        <w:pStyle w:val="BodyText"/>
      </w:pPr>
      <w:r>
        <w:t>Validation confirms successful execution and performs reconciliation between target and actual positions, identifying any discrepancies that may require correction. This final step ensures that the portfolio implementation matches the intended allocation and that any execution issues are identified and addressed promptly.</w:t>
      </w:r>
    </w:p>
    <w:p w14:paraId="67F901DB" w14:textId="77777777" w:rsidR="00322D05" w:rsidRDefault="006D2C14">
      <w:pPr>
        <w:pStyle w:val="Heading2"/>
      </w:pPr>
      <w:bookmarkStart w:id="54" w:name="_Toc221348810"/>
      <w:bookmarkStart w:id="55" w:name="data-requirements-and-processing"/>
      <w:bookmarkEnd w:id="53"/>
      <w:r>
        <w:t>Data Requirements and Processing</w:t>
      </w:r>
      <w:bookmarkEnd w:id="54"/>
    </w:p>
    <w:p w14:paraId="56C90A1F" w14:textId="77777777" w:rsidR="00322D05" w:rsidRDefault="006D2C14">
      <w:pPr>
        <w:pStyle w:val="FirstParagraph"/>
      </w:pPr>
      <w:r>
        <w:t>The algorithm requires extensive historical data to support its multi-horizon momentum calculations and technical indicator generation. Minimum data requirements include historical depth of 252 trading days plus the maximum SMA period to ensure sufficient data for all calculations, daily closing prices with total return adjustments to capture the complete investor experience, quality standards allowing no more than 5% missing data points to maintain calculation reliability, and full adjustment for corporate actions including splits, dividends, and distributions.</w:t>
      </w:r>
    </w:p>
    <w:p w14:paraId="79961FC0" w14:textId="77777777" w:rsidR="00322D05" w:rsidRDefault="006D2C14">
      <w:pPr>
        <w:pStyle w:val="BodyText"/>
      </w:pPr>
      <w:r>
        <w:t>The data processing pipeline implements a systematic approach to ensure data quality and consistency. The first step validates data completeness by checking for missing values, data gaps, and sufficient historical depth across all required assets and time periods. This validation prevents the algorithm from making decisions based on incomplete or unreliable data that could lead to poor investment outcomes.</w:t>
      </w:r>
    </w:p>
    <w:p w14:paraId="0F4CF673" w14:textId="77777777" w:rsidR="00322D05" w:rsidRDefault="006D2C14">
      <w:pPr>
        <w:pStyle w:val="BodyText"/>
      </w:pPr>
      <w:r>
        <w:t>Total return adjustments incorporate all dividend payments, interest payments, and other distributions into the price series, ensuring that momentum and return calculations reflect the complete investor experience. This adjustment is particularly critical for dividend-paying stocks and interest-bearing bonds where ignoring income components would significantly distort performance assessments.</w:t>
      </w:r>
    </w:p>
    <w:p w14:paraId="16974A42" w14:textId="77777777" w:rsidR="00322D05" w:rsidRDefault="006D2C14">
      <w:pPr>
        <w:pStyle w:val="BodyText"/>
      </w:pPr>
      <w:r>
        <w:t xml:space="preserve">Missing data handling employs forward-filling techniques to address minor data gaps while maintaining the integrity of the time series. This approach assumes that missing values are most </w:t>
      </w:r>
      <w:r>
        <w:lastRenderedPageBreak/>
        <w:t>likely to equal the last known value, which is generally reasonable for short gaps in financial time series data.</w:t>
      </w:r>
    </w:p>
    <w:p w14:paraId="45088D75" w14:textId="77777777" w:rsidR="00322D05" w:rsidRDefault="006D2C14">
      <w:pPr>
        <w:pStyle w:val="BodyText"/>
      </w:pPr>
      <w:r>
        <w:t>Technical indicator calculation processes all required momentum scores, moving averages, volatility measures, and other analytical metrics based on the cleaned and adjusted data. This step ensures that all indicators are calculated consistently and accurately, providing reliable inputs for the allocation decision process.</w:t>
      </w:r>
    </w:p>
    <w:p w14:paraId="7427A648" w14:textId="77777777" w:rsidR="00322D05" w:rsidRDefault="006D2C14">
      <w:pPr>
        <w:pStyle w:val="BodyText"/>
      </w:pPr>
      <w:r>
        <w:t>Indicator readiness validation confirms that all technical indicators have sufficient data and are producing valid results before proceeding with allocation calculations. This final validation step prevents the algorithm from making decisions based on incomplete or unreliable indicator values that could result in poor investment choices.</w:t>
      </w:r>
    </w:p>
    <w:p w14:paraId="3022FDC3" w14:textId="77777777" w:rsidR="00322D05" w:rsidRDefault="006D2C14">
      <w:pPr>
        <w:pStyle w:val="Heading2"/>
      </w:pPr>
      <w:bookmarkStart w:id="56" w:name="_Toc221348811"/>
      <w:bookmarkStart w:id="57" w:name="performance-monitoring-and-validation"/>
      <w:bookmarkEnd w:id="55"/>
      <w:r>
        <w:t>Performance Monitoring and Validation</w:t>
      </w:r>
      <w:bookmarkEnd w:id="56"/>
    </w:p>
    <w:p w14:paraId="496DE101" w14:textId="77777777" w:rsidR="00322D05" w:rsidRDefault="006D2C14">
      <w:pPr>
        <w:pStyle w:val="FirstParagraph"/>
      </w:pPr>
      <w:r>
        <w:t>Real-time monitoring systems track multiple aspects of strategy performance and implementation quality to ensure that the algorithm operates as intended and achieves its performance objectives. Position tracking monitors actual versus target allocations on a continuous basis, identifying any deviations that may result from execution issues, market movements, or other factors that could cause the portfolio to drift from its intended composition.</w:t>
      </w:r>
    </w:p>
    <w:p w14:paraId="175DC1ED" w14:textId="77777777" w:rsidR="00322D05" w:rsidRDefault="006D2C14">
      <w:pPr>
        <w:pStyle w:val="BodyText"/>
      </w:pPr>
      <w:r>
        <w:t>Risk metrics monitoring tracks portfolio volatility, drawdown characteristics, and correlation patterns to ensure that the portfolio maintains appropriate risk characteristics and that risk management systems are functioning effectively. This monitoring helps identify potential issues before they result in significant performance impacts or risk management failures.</w:t>
      </w:r>
    </w:p>
    <w:p w14:paraId="02E55D6B" w14:textId="77777777" w:rsidR="00322D05" w:rsidRDefault="006D2C14">
      <w:pPr>
        <w:pStyle w:val="BodyText"/>
      </w:pPr>
      <w:r>
        <w:t>Signal quality monitoring assesses the effectiveness and stability of technical indicators and allocation signals, tracking metrics such as signal persistence, predictive accuracy, and stability over time. This analysis helps identify potential degradation in signal quality that might require adjustments to the algorithm or its parameters.</w:t>
      </w:r>
    </w:p>
    <w:p w14:paraId="343D8DD1" w14:textId="77777777" w:rsidR="00322D05" w:rsidRDefault="006D2C14">
      <w:pPr>
        <w:pStyle w:val="BodyText"/>
      </w:pPr>
      <w:r>
        <w:t>Execution quality tracking monitors slippage, timing differences, and implementation costs to assess how effectively the algorithm translates analytical signals into actual portfolio positions. This analysis helps identify opportunities to improve execution processes and reduce implementation costs that can erode strategy performance.</w:t>
      </w:r>
    </w:p>
    <w:p w14:paraId="38764A65" w14:textId="77777777" w:rsidR="00322D05" w:rsidRDefault="006D2C14">
      <w:pPr>
        <w:pStyle w:val="BodyText"/>
      </w:pPr>
      <w:r>
        <w:t>Validation checks ensure ongoing compliance with all strategy constraints and requirements. Weight constraints verification ensures that all portfolio weights sum to 1.0 and that no computational errors have resulted in invalid allocations. Exposure limits validation confirms compliance with the cryptocurrency cap and other risk management constraints.</w:t>
      </w:r>
    </w:p>
    <w:p w14:paraId="2D10C967" w14:textId="77777777" w:rsidR="00322D05" w:rsidRDefault="006D2C14">
      <w:pPr>
        <w:pStyle w:val="BodyText"/>
      </w:pPr>
      <w:r>
        <w:t>Risk controls confirmation verifies that the treasury kill switch and other risk management mechanisms are functioning properly and would activate appropriately during adverse market conditions. Data integrity verification ensures that all input data meets quality standards and that indicator calculations are producing valid results.</w:t>
      </w:r>
    </w:p>
    <w:p w14:paraId="780B3D8B" w14:textId="77777777" w:rsidR="00322D05" w:rsidRDefault="006D2C14">
      <w:pPr>
        <w:pStyle w:val="Heading1"/>
      </w:pPr>
      <w:bookmarkStart w:id="58" w:name="_Toc221348812"/>
      <w:bookmarkStart w:id="59" w:name="risk-management-framework"/>
      <w:bookmarkEnd w:id="51"/>
      <w:bookmarkEnd w:id="57"/>
      <w:r>
        <w:lastRenderedPageBreak/>
        <w:t>Risk Management Framework</w:t>
      </w:r>
      <w:bookmarkEnd w:id="58"/>
    </w:p>
    <w:p w14:paraId="6245087C" w14:textId="77777777" w:rsidR="00322D05" w:rsidRDefault="006D2C14">
      <w:pPr>
        <w:pStyle w:val="Heading2"/>
      </w:pPr>
      <w:bookmarkStart w:id="60" w:name="_Toc221348813"/>
      <w:bookmarkStart w:id="61" w:name="multi-layer-risk-control-architecture"/>
      <w:r>
        <w:t>Multi-Layer Risk Control Architecture</w:t>
      </w:r>
      <w:bookmarkEnd w:id="60"/>
    </w:p>
    <w:p w14:paraId="0D637B28" w14:textId="77777777" w:rsidR="00322D05" w:rsidRDefault="006D2C14">
      <w:pPr>
        <w:pStyle w:val="FirstParagraph"/>
      </w:pPr>
      <w:r>
        <w:t>The Zephyr Macro Allocator implements a comprehensive risk management framework with multiple layers of protection designed to address different types of risks at various levels of the investment process. This multi-layered approach recognizes that effective risk management requires controls at every stage of the investment process, from individual asset selection through portfolio-level risk management and regime-level crisis response.</w:t>
      </w:r>
    </w:p>
    <w:p w14:paraId="3C78558B" w14:textId="77777777" w:rsidR="00322D05" w:rsidRDefault="006D2C14">
      <w:pPr>
        <w:pStyle w:val="BodyText"/>
      </w:pPr>
      <w:r>
        <w:t>Asset-level controls form the foundation of the risk management framework, implementing trend filter enforcement that requires all assets to trade above their respective SMAs before being eligible for investment. This requirement helps prevent investment in assets that are in clear downtrends and may continue to decline. Momentum threshold requirements ensure that only assets with positive momentum characteristics are considered for investment, filtering out assets that may be experiencing negative price trends across multiple time horizons.</w:t>
      </w:r>
    </w:p>
    <w:p w14:paraId="6F768F2F" w14:textId="77777777" w:rsidR="00322D05" w:rsidRDefault="006D2C14">
      <w:pPr>
        <w:pStyle w:val="BodyText"/>
      </w:pPr>
      <w:r>
        <w:t>Relative performance filters require that asset returns exceed treasury returns over relevant time periods, ensuring that momentum assets are providing genuine risk premiums rather than simply positive returns that may not adequately compensate for additional risk. Individual position size limits are implemented implicitly through the group allocation methodology, preventing excessive concentration in any single asset while maintaining diversification across multiple securities within each asset group.</w:t>
      </w:r>
    </w:p>
    <w:p w14:paraId="325FE82D" w14:textId="77777777" w:rsidR="00322D05" w:rsidRDefault="006D2C14">
      <w:pPr>
        <w:pStyle w:val="BodyText"/>
      </w:pPr>
      <w:r>
        <w:t>Group-level controls provide the next layer of risk management, implementing cryptocurrency exposure caps that limit allocation to this highly volatile asset class to no more than 10% of total portfolio value. Group momentum requirements ensure that asset groups demonstrate positive momentum characteristics before receiving allocations, preventing investment in asset classes that may be experiencing broad-based declines.</w:t>
      </w:r>
    </w:p>
    <w:p w14:paraId="245AC19E" w14:textId="77777777" w:rsidR="00322D05" w:rsidRDefault="006D2C14">
      <w:pPr>
        <w:pStyle w:val="BodyText"/>
      </w:pPr>
      <w:r>
        <w:t>Win-rate threshold enforcement ensures that asset groups demonstrate consistent positive performance before receiving significant allocations, complementing momentum requirements by focusing on the reliability of positive returns rather than just their magnitude. Volatility-adjusted confidence scoring penalizes asset groups that exhibit high volatility relative to their momentum strength, helping to identify high-quality momentum signals while avoiding allocation to assets with erratic price behavior.</w:t>
      </w:r>
    </w:p>
    <w:p w14:paraId="48C297E0" w14:textId="77777777" w:rsidR="00322D05" w:rsidRDefault="006D2C14">
      <w:pPr>
        <w:pStyle w:val="BodyText"/>
      </w:pPr>
      <w:r>
        <w:t>Portfolio-level controls address risks that may not be apparent at the individual asset or group level, implementing the treasury kill switch activation mechanism that can trigger immediate defensive positioning when systemic stress is detected. Total portfolio leverage constraints ensure that the strategy never exceeds 100% investment, maintaining conservative leverage policies that prevent excessive risk-taking.</w:t>
      </w:r>
    </w:p>
    <w:p w14:paraId="6C493F2B" w14:textId="77777777" w:rsidR="00322D05" w:rsidRDefault="006D2C14">
      <w:pPr>
        <w:pStyle w:val="BodyText"/>
      </w:pPr>
      <w:r>
        <w:t>Cash allocation floors are implemented through residual allocation methodology that automatically increases cash holdings when fewer asset groups meet investment criteria, providing automatic defensive positioning during adverse market conditions. Correlation-based diversification monitoring tracks the correlation structure of portfolio holdings to ensure that diversification benefits are maintained and that the portfolio is not inadvertently concentrated in highly correlated assets.</w:t>
      </w:r>
    </w:p>
    <w:p w14:paraId="510949CF" w14:textId="77777777" w:rsidR="00322D05" w:rsidRDefault="006D2C14">
      <w:pPr>
        <w:pStyle w:val="BodyText"/>
      </w:pPr>
      <w:r>
        <w:lastRenderedPageBreak/>
        <w:t>Regime-level controls provide the highest level of risk management, implementing macro-economic regime detection through treasury bond trend analysis that can identify systemic market stress before it fully manifests in other asset classes. Systematic risk monitoring tracks broad market indicators and stress measures that may signal impending regime changes or crisis conditions.</w:t>
      </w:r>
    </w:p>
    <w:p w14:paraId="6C616755" w14:textId="77777777" w:rsidR="00322D05" w:rsidRDefault="006D2C14">
      <w:pPr>
        <w:pStyle w:val="BodyText"/>
      </w:pPr>
      <w:r>
        <w:t>Market stress indicators incorporate multiple measures of market functioning and stability, including volatility indices, credit spreads, and liquidity measures that can provide early warning of deteriorating market conditions. Defensive positioning triggers automatically activate when multiple stress indicators reach predetermined thresholds, providing systematic crisis response that does not depend on discretionary decision-making during stressful periods.</w:t>
      </w:r>
    </w:p>
    <w:p w14:paraId="6FC61F9D" w14:textId="77777777" w:rsidR="00322D05" w:rsidRDefault="006D2C14">
      <w:pPr>
        <w:pStyle w:val="Heading2"/>
      </w:pPr>
      <w:bookmarkStart w:id="62" w:name="_Toc221348814"/>
      <w:bookmarkStart w:id="63" w:name="drawdown-management"/>
      <w:bookmarkEnd w:id="61"/>
      <w:r>
        <w:t>Drawdown Management</w:t>
      </w:r>
      <w:bookmarkEnd w:id="62"/>
    </w:p>
    <w:p w14:paraId="1EB7AE11" w14:textId="77777777" w:rsidR="00322D05" w:rsidRDefault="006D2C14">
      <w:pPr>
        <w:pStyle w:val="FirstParagraph"/>
      </w:pPr>
      <w:r>
        <w:t>The algorithm incorporates comprehensive mechanisms to manage portfolio drawdowns through both proactive measures that prevent excessive losses and reactive measures that respond to adverse market conditions. Proactive measures focus on preventing drawdowns before they occur by implementing systematic trend following that provides automatic exit from declining assets before losses become severe.</w:t>
      </w:r>
    </w:p>
    <w:p w14:paraId="079D888A" w14:textId="77777777" w:rsidR="00322D05" w:rsidRDefault="006D2C14">
      <w:pPr>
        <w:pStyle w:val="BodyText"/>
      </w:pPr>
      <w:r>
        <w:t>Trend following mechanisms ensure that the algorithm systematically reduces exposure to assets that begin to exhibit negative momentum characteristics, providing automatic risk reduction that does not require discretionary intervention. This systematic approach helps prevent the behavioral biases that often lead investors to hold declining assets too long in the hope of recovery.</w:t>
      </w:r>
    </w:p>
    <w:p w14:paraId="418BB8C0" w14:textId="77777777" w:rsidR="00322D05" w:rsidRDefault="006D2C14">
      <w:pPr>
        <w:pStyle w:val="BodyText"/>
      </w:pPr>
      <w:r>
        <w:t>Volatility penalties reduce allocation to high-volatility assets during periods of market stress, recognizing that high volatility often accompanies declining markets and that reducing exposure to volatile assets can help limit drawdowns. This mechanism helps the algorithm distinguish between healthy volatility that accompanies strong trends and unhealthy volatility that may signal impending reversals.</w:t>
      </w:r>
    </w:p>
    <w:p w14:paraId="283B7472" w14:textId="77777777" w:rsidR="00322D05" w:rsidRDefault="006D2C14">
      <w:pPr>
        <w:pStyle w:val="BodyText"/>
      </w:pPr>
      <w:r>
        <w:t>Momentum diversification across multiple time horizons reduces the impact of single-period momentum reversals by ensuring that allocation decisions are based on momentum signals across multiple time scales. This diversification helps prevent excessive sensitivity to short-term momentum changes that may not reflect genuine trend reversals.</w:t>
      </w:r>
    </w:p>
    <w:p w14:paraId="0BEEF2F6" w14:textId="77777777" w:rsidR="00322D05" w:rsidRDefault="006D2C14">
      <w:pPr>
        <w:pStyle w:val="BodyText"/>
      </w:pPr>
      <w:r>
        <w:t>Asset class diversification provides natural drawdown protection by ensuring that portfolio performance is not dependent on any single asset class or market sector. This broad diversification helps ensure that adverse performance in one asset class does not dominate overall portfolio results, providing stability during periods when some asset classes may be experiencing difficulties.</w:t>
      </w:r>
    </w:p>
    <w:p w14:paraId="68EB8E06" w14:textId="77777777" w:rsidR="00322D05" w:rsidRDefault="006D2C14">
      <w:pPr>
        <w:pStyle w:val="BodyText"/>
      </w:pPr>
      <w:r>
        <w:t>Reactive measures respond to adverse market conditions that may not be prevented through proactive risk management. Kill switch activation provides immediate defensive positioning during systemic stress, protecting the portfolio from continued losses when market conditions become extremely adverse and traditional diversification may not provide adequate protection.</w:t>
      </w:r>
    </w:p>
    <w:p w14:paraId="2FB46109" w14:textId="77777777" w:rsidR="00322D05" w:rsidRDefault="006D2C14">
      <w:pPr>
        <w:pStyle w:val="BodyText"/>
      </w:pPr>
      <w:r>
        <w:lastRenderedPageBreak/>
        <w:t>Dynamic rebalancing allows the algorithm to adjust portfolio composition monthly in response to changing market conditions, ensuring that the portfolio allocation remains appropriate for current market environments rather than being locked into allocations that may have become inappropriate due to changing conditions.</w:t>
      </w:r>
    </w:p>
    <w:p w14:paraId="35FB5C7A" w14:textId="77777777" w:rsidR="00322D05" w:rsidRDefault="006D2C14">
      <w:pPr>
        <w:pStyle w:val="BodyText"/>
      </w:pPr>
      <w:r>
        <w:t>Cash allocation automatically increases during unfavorable market conditions when fewer asset groups meet the algorithm's investment criteria, providing natural defensive positioning that does not require explicit defensive decisions. This automatic mechanism ensures that the portfolio becomes more conservative when market conditions deteriorate, helping to preserve capital during adverse periods.</w:t>
      </w:r>
    </w:p>
    <w:p w14:paraId="071795BB" w14:textId="77777777" w:rsidR="00322D05" w:rsidRDefault="006D2C14">
      <w:pPr>
        <w:pStyle w:val="Heading2"/>
      </w:pPr>
      <w:bookmarkStart w:id="64" w:name="_Toc221348815"/>
      <w:bookmarkStart w:id="65" w:name="stress-testing-framework"/>
      <w:bookmarkEnd w:id="63"/>
      <w:r>
        <w:t>Stress Testing Framework</w:t>
      </w:r>
      <w:bookmarkEnd w:id="64"/>
    </w:p>
    <w:p w14:paraId="2ED7DF81" w14:textId="77777777" w:rsidR="00322D05" w:rsidRDefault="006D2C14">
      <w:pPr>
        <w:pStyle w:val="FirstParagraph"/>
      </w:pPr>
      <w:r>
        <w:t>The algorithm's stress testing framework evaluates performance under various adverse scenarios to ensure that risk management mechanisms function effectively during crisis periods. Scenario analysis examines performance during historical crisis periods including the 2008 Financial Crisis to test performance during credit market stress and banking system instability, the 2020 COVID Pandemic to evaluate response to sudden market disruption and unprecedented monetary policy responses, various interest rate cycles to analyze performance across different monetary policy environments, and inflation regimes to test real asset allocation effectiveness during periods of rising prices.</w:t>
      </w:r>
    </w:p>
    <w:p w14:paraId="2AA63706" w14:textId="77777777" w:rsidR="00322D05" w:rsidRDefault="006D2C14">
      <w:pPr>
        <w:pStyle w:val="BodyText"/>
      </w:pPr>
      <w:r>
        <w:t>These historical scenario analyses provide insight into how the algorithm's risk management mechanisms would have performed during actual crisis periods, helping to validate the effectiveness of the treasury kill switch, trend filtering, and other risk controls. The analysis also helps identify potential weaknesses in the risk management framework that might require additional controls or modifications.</w:t>
      </w:r>
    </w:p>
    <w:p w14:paraId="4599AEE1" w14:textId="77777777" w:rsidR="00322D05" w:rsidRDefault="006D2C14">
      <w:pPr>
        <w:pStyle w:val="BodyText"/>
      </w:pPr>
      <w:r>
        <w:t>Monte Carlo simulation provides forward-looking stress testing by modeling potential future market scenarios based on historical return distributions and correlation structures. Bootstrap historical returns methodology preserves the statistical characteristics of actual market data while generating thousands of potential future scenarios that can test the algorithm's performance under a wide range of market conditions.</w:t>
      </w:r>
    </w:p>
    <w:p w14:paraId="33D6D571" w14:textId="77777777" w:rsidR="00322D05" w:rsidRDefault="006D2C14">
      <w:pPr>
        <w:pStyle w:val="BodyText"/>
      </w:pPr>
      <w:r>
        <w:t>Correlation structure preservation ensures that the simulated scenarios maintain realistic relationships between different asset classes, preventing the generation of unrealistic scenarios that might provide false confidence in the algorithm's risk management capabilities. This approach helps ensure that stress testing results are relevant to actual market conditions that the algorithm might encounter.</w:t>
      </w:r>
    </w:p>
    <w:p w14:paraId="53C71283" w14:textId="77777777" w:rsidR="00322D05" w:rsidRDefault="006D2C14">
      <w:pPr>
        <w:pStyle w:val="BodyText"/>
      </w:pPr>
      <w:r>
        <w:t>Regime switching models incorporate the possibility of sudden changes in market conditions that may not be captured by simple bootstrap methods, recognizing that financial markets can experience sudden regime changes that dramatically alter risk and return characteristics. These models help test the algorithm's ability to adapt to changing market conditions and validate the effectiveness of regime detection mechanisms.</w:t>
      </w:r>
    </w:p>
    <w:p w14:paraId="171E09DA" w14:textId="77777777" w:rsidR="00322D05" w:rsidRDefault="006D2C14">
      <w:pPr>
        <w:pStyle w:val="BodyText"/>
      </w:pPr>
      <w:r>
        <w:t xml:space="preserve">Tail risk assessment focuses specifically on extreme loss scenarios that may occur with low probability but could have severe impact on portfolio performance. This analysis helps ensure </w:t>
      </w:r>
      <w:r>
        <w:lastRenderedPageBreak/>
        <w:t>that the algorithm's risk management mechanisms provide adequate protection during the most adverse market conditions, even if such conditions occur infrequently.</w:t>
      </w:r>
    </w:p>
    <w:p w14:paraId="766CB700" w14:textId="77777777" w:rsidR="00322D05" w:rsidRDefault="006D2C14">
      <w:pPr>
        <w:pStyle w:val="Heading1"/>
      </w:pPr>
      <w:bookmarkStart w:id="66" w:name="_Toc221348816"/>
      <w:bookmarkStart w:id="67" w:name="performance-analysis"/>
      <w:bookmarkEnd w:id="59"/>
      <w:bookmarkEnd w:id="65"/>
      <w:r>
        <w:t>Performance Analysis</w:t>
      </w:r>
      <w:bookmarkEnd w:id="66"/>
    </w:p>
    <w:p w14:paraId="43B56DCA" w14:textId="77777777" w:rsidR="00322D05" w:rsidRDefault="006D2C14">
      <w:pPr>
        <w:pStyle w:val="Heading2"/>
      </w:pPr>
      <w:bookmarkStart w:id="68" w:name="_Toc221348817"/>
      <w:bookmarkStart w:id="69" w:name="expected-performance-characteristics"/>
      <w:r>
        <w:t>Expected Performance Characteristics</w:t>
      </w:r>
      <w:bookmarkEnd w:id="68"/>
    </w:p>
    <w:p w14:paraId="2241C2B7" w14:textId="77777777" w:rsidR="00322D05" w:rsidRDefault="006D2C14">
      <w:pPr>
        <w:pStyle w:val="FirstParagraph"/>
      </w:pPr>
      <w:r>
        <w:t xml:space="preserve">Based on the algorithm's design principles and supporting academic research, the Zephyr Macro Allocator exhibits several expected performance characteristics that distinguish it from traditional portfolio management approaches. Research demonstrates that risk-managed momentum strategies mitigate crash risk and improve the risk efficiency of the momentum factor </w:t>
      </w:r>
      <w:hyperlink w:anchor="ref-1">
        <w:r>
          <w:rPr>
            <w:rStyle w:val="Hyperlink"/>
          </w:rPr>
          <w:t>[1]</w:t>
        </w:r>
      </w:hyperlink>
      <w:r>
        <w:t>, suggesting that the algorithm's multi-horizon approach and volatility adjustments should enhance Sharpe ratios compared to traditional momentum strategies.</w:t>
      </w:r>
    </w:p>
    <w:p w14:paraId="4FD7A246" w14:textId="77777777" w:rsidR="00322D05" w:rsidRDefault="006D2C14">
      <w:pPr>
        <w:pStyle w:val="BodyText"/>
      </w:pPr>
      <w:r>
        <w:t>The multi-horizon momentum framework should provide superior risk-adjusted returns by reducing the impact of single-period momentum reversals while capturing persistent trends across multiple time scales. This approach addresses one of the primary criticisms of momentum strategies, which is their susceptibility to sudden reversals that can cause significant losses. By aggregating momentum signals across multiple horizons, the algorithm should demonstrate more stable performance characteristics.</w:t>
      </w:r>
    </w:p>
    <w:p w14:paraId="1E792F53" w14:textId="77777777" w:rsidR="00322D05" w:rsidRDefault="006D2C14">
      <w:pPr>
        <w:pStyle w:val="BodyText"/>
      </w:pPr>
      <w:r>
        <w:t>The volatility-adjusted confidence scoring mechanism should further enhance risk-adjusted returns by reducing allocation to assets with attractive momentum but excessive volatility. This feature helps the algorithm distinguish between high-quality momentum signals that emerge from stable trends and low-quality signals that result from erratic price movements, potentially improving both returns and risk characteristics.</w:t>
      </w:r>
    </w:p>
    <w:p w14:paraId="2A19391A" w14:textId="77777777" w:rsidR="00322D05" w:rsidRDefault="006D2C14">
      <w:pPr>
        <w:pStyle w:val="BodyText"/>
      </w:pPr>
      <w:r>
        <w:t xml:space="preserve">Drawdown characteristics should benefit significantly from the treasury kill switch and trend filtering mechanisms, which provide systematic downside protection during adverse market conditions. Studies of regime-aware portfolio optimization show that such frameworks achieve lower maximum drawdowns compared to conventional approaches </w:t>
      </w:r>
      <w:hyperlink w:anchor="ref-3">
        <w:r>
          <w:rPr>
            <w:rStyle w:val="Hyperlink"/>
          </w:rPr>
          <w:t>[3]</w:t>
        </w:r>
      </w:hyperlink>
      <w:r>
        <w:t>, suggesting that the algorithm's regime detection capabilities should provide meaningful drawdown protection.</w:t>
      </w:r>
    </w:p>
    <w:p w14:paraId="24B06BE5" w14:textId="77777777" w:rsidR="00322D05" w:rsidRDefault="006D2C14">
      <w:pPr>
        <w:pStyle w:val="BodyText"/>
      </w:pPr>
      <w:r>
        <w:t>The treasury kill switch mechanism should be particularly effective during systemic crisis periods when traditional diversification may not provide adequate protection. By monitoring the trend status of treasury bonds, the algorithm can detect systemic stress before it fully manifests in other asset classes, allowing for defensive positioning that can preserve capital during crisis periods.</w:t>
      </w:r>
    </w:p>
    <w:p w14:paraId="1F27F4AE" w14:textId="77777777" w:rsidR="00322D05" w:rsidRDefault="006D2C14">
      <w:pPr>
        <w:pStyle w:val="BodyText"/>
      </w:pPr>
      <w:r>
        <w:t xml:space="preserve">Regime adaptability represents another key performance characteristic, with the algorithm's dynamic allocation methodology expected to demonstrate superior performance across different market environments. Research indicates that regime-aware frameworks achieve superior risk-adjusted returns through adaptive allocation strategies </w:t>
      </w:r>
      <w:hyperlink w:anchor="ref-3">
        <w:r>
          <w:rPr>
            <w:rStyle w:val="Hyperlink"/>
          </w:rPr>
          <w:t>[3]</w:t>
        </w:r>
      </w:hyperlink>
      <w:r>
        <w:t>, suggesting that the algorithm's ability to adjust allocations based on changing market conditions should enhance long-term performance.</w:t>
      </w:r>
    </w:p>
    <w:p w14:paraId="5AE26B6F" w14:textId="77777777" w:rsidR="00322D05" w:rsidRDefault="006D2C14">
      <w:pPr>
        <w:pStyle w:val="BodyText"/>
      </w:pPr>
      <w:r>
        <w:t xml:space="preserve">The multi-asset approach should provide diversification benefits that enhance risk-adjusted returns while reducing portfolio volatility compared to single-asset-class strategies. The </w:t>
      </w:r>
      <w:r>
        <w:lastRenderedPageBreak/>
        <w:t>inclusion of real assets, bonds, equities, and alternative investments should provide exposure to different risk premiums and return drivers, creating a more robust portfolio that can perform well across various market environments.</w:t>
      </w:r>
    </w:p>
    <w:p w14:paraId="3B407251" w14:textId="77777777" w:rsidR="00322D05" w:rsidRDefault="006D2C14">
      <w:pPr>
        <w:pStyle w:val="Heading2"/>
      </w:pPr>
      <w:bookmarkStart w:id="70" w:name="_Toc221348818"/>
      <w:bookmarkStart w:id="71" w:name="performance-attribution-framework"/>
      <w:bookmarkEnd w:id="69"/>
      <w:r>
        <w:t>Performance Attribution Framework</w:t>
      </w:r>
      <w:bookmarkEnd w:id="70"/>
    </w:p>
    <w:p w14:paraId="326E63F8" w14:textId="77777777" w:rsidR="00322D05" w:rsidRDefault="006D2C14">
      <w:pPr>
        <w:pStyle w:val="FirstParagraph"/>
      </w:pPr>
      <w:r>
        <w:t>The performance attribution framework decomposes portfolio returns into their constituent sources to provide insight into the drivers of strategy performance and identify areas for potential improvement. Return decomposition analysis separates the contribution of asset selection decisions from timing effects, allocation impacts, and risk management contributions, providing a comprehensive understanding of how different strategy components contribute to overall performance.</w:t>
      </w:r>
    </w:p>
    <w:p w14:paraId="4FFDF311" w14:textId="77777777" w:rsidR="00322D05" w:rsidRDefault="006D2C14">
      <w:pPr>
        <w:pStyle w:val="BodyText"/>
      </w:pPr>
      <w:r>
        <w:t>Asset selection contribution measures the impact of the algorithm's momentum-based asset selection process, comparing the performance of selected assets to the performance of the broader asset universe. This analysis helps validate the effectiveness of the momentum calculation methodology and trend filtering mechanisms in identifying superior investment opportunities.</w:t>
      </w:r>
    </w:p>
    <w:p w14:paraId="5C62A213" w14:textId="77777777" w:rsidR="00322D05" w:rsidRDefault="006D2C14">
      <w:pPr>
        <w:pStyle w:val="BodyText"/>
      </w:pPr>
      <w:r>
        <w:t>Timing contribution examines the impact of monthly rebalancing and trend filtering on portfolio performance, comparing the returns achieved through systematic rebalancing to the returns that would have been achieved through buy-and-hold strategies. This analysis helps quantify the value added by the algorithm's systematic approach to portfolio management.</w:t>
      </w:r>
    </w:p>
    <w:p w14:paraId="4EF09702" w14:textId="77777777" w:rsidR="00322D05" w:rsidRDefault="006D2C14">
      <w:pPr>
        <w:pStyle w:val="BodyText"/>
      </w:pPr>
      <w:r>
        <w:t>Allocation contribution measures the effect of the volatility-adjusted weight determination process, comparing the performance achieved through the algorithm's allocation methodology to the performance that would have been achieved through equal-weight or other allocation schemes. This analysis helps validate the effectiveness of the edge-based allocation framework.</w:t>
      </w:r>
    </w:p>
    <w:p w14:paraId="7EDDF4F9" w14:textId="77777777" w:rsidR="00322D05" w:rsidRDefault="006D2C14">
      <w:pPr>
        <w:pStyle w:val="BodyText"/>
      </w:pPr>
      <w:r>
        <w:t>Risk management contribution assesses the impact of defensive positioning and the kill switch mechanism on portfolio performance, measuring both the opportunity costs of defensive positioning and the protection provided during adverse market conditions. This analysis is particularly important for understanding the trade-offs inherent in systematic risk management approaches.</w:t>
      </w:r>
    </w:p>
    <w:p w14:paraId="240BFF14" w14:textId="77777777" w:rsidR="00322D05" w:rsidRDefault="006D2C14">
      <w:pPr>
        <w:pStyle w:val="BodyText"/>
      </w:pPr>
      <w:r>
        <w:t>Risk attribution analysis decomposes portfolio risk into its constituent sources, providing insight into the risk characteristics of the strategy and identifying potential areas of concern. Systematic risk analysis measures the portfolio's exposure to broad market factors and economic cycles, helping to understand how the strategy performs relative to overall market conditions.</w:t>
      </w:r>
    </w:p>
    <w:p w14:paraId="7B45573D" w14:textId="77777777" w:rsidR="00322D05" w:rsidRDefault="006D2C14">
      <w:pPr>
        <w:pStyle w:val="BodyText"/>
      </w:pPr>
      <w:r>
        <w:t>Idiosyncratic risk analysis examines the contribution of asset-specific risks to overall portfolio volatility, helping to assess whether the diversification mechanisms are effectively reducing non-systematic risks. This analysis can identify whether the portfolio is inadvertently concentrated in assets with similar risk characteristics.</w:t>
      </w:r>
    </w:p>
    <w:p w14:paraId="2E30A91C" w14:textId="77777777" w:rsidR="00322D05" w:rsidRDefault="006D2C14">
      <w:pPr>
        <w:pStyle w:val="BodyText"/>
      </w:pPr>
      <w:r>
        <w:t>Concentration risk analysis measures the impact of group and individual position concentration on portfolio risk, ensuring that the diversification mechanisms are functioning effectively and that the portfolio is not excessively dependent on any single asset or asset class for its performance.</w:t>
      </w:r>
    </w:p>
    <w:p w14:paraId="1BD46B05" w14:textId="77777777" w:rsidR="00322D05" w:rsidRDefault="006D2C14">
      <w:pPr>
        <w:pStyle w:val="BodyText"/>
      </w:pPr>
      <w:r>
        <w:lastRenderedPageBreak/>
        <w:t>Tail risk analysis focuses on the portfolio's exposure to extreme loss scenarios, examining the effectiveness of risk management mechanisms in protecting against severe adverse outcomes. This analysis is particularly important for understanding the portfolio's behavior during crisis periods and validating the effectiveness of the treasury kill switch mechanism.</w:t>
      </w:r>
    </w:p>
    <w:p w14:paraId="3F1A5C1C" w14:textId="77777777" w:rsidR="00322D05" w:rsidRDefault="006D2C14">
      <w:pPr>
        <w:pStyle w:val="Heading2"/>
      </w:pPr>
      <w:bookmarkStart w:id="72" w:name="_Toc221348819"/>
      <w:bookmarkStart w:id="73" w:name="benchmark-comparison-framework"/>
      <w:bookmarkEnd w:id="71"/>
      <w:r>
        <w:t>Benchmark Comparison Framework</w:t>
      </w:r>
      <w:bookmarkEnd w:id="72"/>
    </w:p>
    <w:p w14:paraId="714C67F9" w14:textId="77777777" w:rsidR="00322D05" w:rsidRDefault="006D2C14">
      <w:pPr>
        <w:pStyle w:val="FirstParagraph"/>
      </w:pPr>
      <w:r>
        <w:t>The benchmark comparison framework evaluates the algorithm's performance against relevant alternatives to provide context for performance assessment and validate the value added by the strategy's sophisticated methodology. Primary benchmarks include traditional 60/40 stock/bond portfolios that represent conventional asset allocation approaches, equal-weight portfolios that provide naive diversification across all asset classes, buy-and-hold strategies that eliminate timing effects, and single-horizon momentum strategies that isolate the impact of the multi-horizon approach.</w:t>
      </w:r>
    </w:p>
    <w:p w14:paraId="1B3DB871" w14:textId="77777777" w:rsidR="00322D05" w:rsidRDefault="006D2C14">
      <w:pPr>
        <w:pStyle w:val="BodyText"/>
      </w:pPr>
      <w:r>
        <w:t>The 60/40 portfolio comparison provides insight into how the algorithm performs relative to traditional balanced portfolio approaches, helping to quantify the value added by dynamic allocation and momentum-based asset selection. This comparison is particularly relevant for institutional investors who may be considering alternatives to traditional strategic asset allocation approaches.</w:t>
      </w:r>
    </w:p>
    <w:p w14:paraId="29D979A1" w14:textId="77777777" w:rsidR="00322D05" w:rsidRDefault="006D2C14">
      <w:pPr>
        <w:pStyle w:val="BodyText"/>
      </w:pPr>
      <w:r>
        <w:t>Equal-weight portfolio comparison isolates the impact of the algorithm's allocation methodology by comparing performance to a strategy that provides equal exposure to all asset classes without regard to momentum or other selection criteria. This comparison helps quantify the value added by the sophisticated allocation framework.</w:t>
      </w:r>
    </w:p>
    <w:p w14:paraId="171BE045" w14:textId="77777777" w:rsidR="00322D05" w:rsidRDefault="006D2C14">
      <w:pPr>
        <w:pStyle w:val="BodyText"/>
      </w:pPr>
      <w:r>
        <w:t>Buy-and-hold comparison eliminates the impact of rebalancing and timing decisions, helping to isolate the contribution of the algorithm's dynamic allocation approach. This comparison can help identify whether the monthly rebalancing frequency adds value or whether simpler approaches might achieve similar results.</w:t>
      </w:r>
    </w:p>
    <w:p w14:paraId="2377752F" w14:textId="77777777" w:rsidR="00322D05" w:rsidRDefault="006D2C14">
      <w:pPr>
        <w:pStyle w:val="BodyText"/>
      </w:pPr>
      <w:r>
        <w:t>Single-horizon momentum comparison isolates the impact of the multi-horizon momentum framework by comparing performance to strategies that use traditional single-period momentum calculations. This comparison helps validate the value of the sophisticated momentum calculation methodology.</w:t>
      </w:r>
    </w:p>
    <w:p w14:paraId="38D755CE" w14:textId="77777777" w:rsidR="00322D05" w:rsidRDefault="006D2C14">
      <w:pPr>
        <w:pStyle w:val="BodyText"/>
      </w:pPr>
      <w:r>
        <w:t>Performance metrics encompass comprehensive measures of risk and return characteristics including total return over various evaluation periods, Sharpe ratio for risk-adjusted return assessment, maximum drawdown for downside risk evaluation, Calmar ratio for return-to-drawdown assessment, win rate for consistency measurement, and tail ratio for asymmetric return analysis.</w:t>
      </w:r>
    </w:p>
    <w:p w14:paraId="38038F7C" w14:textId="77777777" w:rsidR="00322D05" w:rsidRDefault="006D2C14">
      <w:pPr>
        <w:pStyle w:val="BodyText"/>
      </w:pPr>
      <w:r>
        <w:t>These metrics provide a comprehensive assessment of strategy performance that goes beyond simple return comparisons to examine risk characteristics, consistency, and downside protection. The combination of these metrics helps provide a complete picture of strategy performance that can inform investment decisions and strategy refinements.</w:t>
      </w:r>
    </w:p>
    <w:p w14:paraId="7BA4651B" w14:textId="77777777" w:rsidR="00322D05" w:rsidRDefault="006D2C14">
      <w:pPr>
        <w:pStyle w:val="Heading2"/>
      </w:pPr>
      <w:bookmarkStart w:id="74" w:name="_Toc221348820"/>
      <w:bookmarkStart w:id="75" w:name="implementation-considerations"/>
      <w:bookmarkEnd w:id="73"/>
      <w:r>
        <w:lastRenderedPageBreak/>
        <w:t>Implementation Considerations</w:t>
      </w:r>
      <w:bookmarkEnd w:id="74"/>
    </w:p>
    <w:p w14:paraId="6CC7AD93" w14:textId="77777777" w:rsidR="00322D05" w:rsidRDefault="006D2C14">
      <w:pPr>
        <w:pStyle w:val="FirstParagraph"/>
      </w:pPr>
      <w:r>
        <w:t>Implementation considerations address the practical challenges of translating the theoretical algorithm into a live trading strategy, recognizing that real-world implementation involves costs and constraints that may not be fully captured in backtesting environments. Transaction costs represent a significant implementation challenge, with expected costs including 5-10 basis points per trade for equity transactions, 10-25 basis points per trade for bond transactions, 25-50 basis points per trade for cryptocurrency transactions, and additional market impact costs for large positions that may move prices during execution.</w:t>
      </w:r>
    </w:p>
    <w:p w14:paraId="435AC87A" w14:textId="77777777" w:rsidR="00322D05" w:rsidRDefault="006D2C14">
      <w:pPr>
        <w:pStyle w:val="BodyText"/>
      </w:pPr>
      <w:r>
        <w:t>These transaction costs can significantly impact strategy performance, particularly given the monthly rebalancing frequency and the potential for significant portfolio turnover when market conditions change. The algorithm's performance analysis should incorporate realistic transaction cost assumptions to provide accurate expectations for live implementation.</w:t>
      </w:r>
    </w:p>
    <w:p w14:paraId="0CC9D5B4" w14:textId="77777777" w:rsidR="00322D05" w:rsidRDefault="006D2C14">
      <w:pPr>
        <w:pStyle w:val="BodyText"/>
      </w:pPr>
      <w:r>
        <w:t>Capacity constraints represent another important implementation consideration, with strategy capacity depending on asset liquidity measured by daily trading volume requirements, market impact from large trades that may move prices unfavorably, rebalancing frequency implications for turnover and trading costs, and asset universe breadth that determines the availability of suitable investment opportunities.</w:t>
      </w:r>
    </w:p>
    <w:p w14:paraId="361804A7" w14:textId="77777777" w:rsidR="00322D05" w:rsidRDefault="006D2C14">
      <w:pPr>
        <w:pStyle w:val="BodyText"/>
      </w:pPr>
      <w:r>
        <w:t>Large-scale implementation may require modifications to the algorithm to account for capacity constraints, potentially including longer rebalancing periods, broader asset universes, or modified allocation methodologies that reduce turnover and market impact.</w:t>
      </w:r>
    </w:p>
    <w:p w14:paraId="52773F3A" w14:textId="77777777" w:rsidR="00322D05" w:rsidRDefault="006D2C14">
      <w:pPr>
        <w:pStyle w:val="BodyText"/>
      </w:pPr>
      <w:r>
        <w:t>Operational requirements for live implementation include comprehensive data infrastructure for real-time and historical data feeds, multi-asset execution platforms capable of handling trades across different asset classes, real-time risk monitoring systems for position and risk tracking, and compliance systems for regulatory reporting and constraint monitoring.</w:t>
      </w:r>
    </w:p>
    <w:p w14:paraId="43C175A1" w14:textId="77777777" w:rsidR="00322D05" w:rsidRDefault="006D2C14">
      <w:pPr>
        <w:pStyle w:val="BodyText"/>
      </w:pPr>
      <w:r>
        <w:t>These operational requirements represent significant infrastructure investments that must be considered when evaluating the feasibility of implementing the algorithm in live trading environments. The complexity of the multi-asset approach requires sophisticated operational capabilities that may not be available to all potential users.</w:t>
      </w:r>
    </w:p>
    <w:p w14:paraId="6FCA67FE" w14:textId="77777777" w:rsidR="00322D05" w:rsidRDefault="006D2C14">
      <w:pPr>
        <w:pStyle w:val="BodyText"/>
      </w:pPr>
      <w:r>
        <w:t>The algorithm's live performance will depend significantly on execution quality, data accuracy, market conditions, and operational effectiveness, factors that may not be fully captured in backtesting environments. Potential users should carefully consider these implementation challenges when evaluating the algorithm for live trading applications and should expect that live performance may differ from backtested results due to these practical considerations.</w:t>
      </w:r>
    </w:p>
    <w:p w14:paraId="4304788E" w14:textId="6F77C32F" w:rsidR="00322D05" w:rsidRDefault="006D2C14">
      <w:pPr>
        <w:pStyle w:val="Heading1"/>
      </w:pPr>
      <w:bookmarkStart w:id="76" w:name="_Toc221348821"/>
      <w:bookmarkStart w:id="77" w:name="references"/>
      <w:bookmarkEnd w:id="67"/>
      <w:bookmarkEnd w:id="75"/>
      <w:r>
        <w:t>References</w:t>
      </w:r>
      <w:bookmarkEnd w:id="76"/>
    </w:p>
    <w:p w14:paraId="1D91AE0A" w14:textId="77777777" w:rsidR="00322D05" w:rsidRDefault="006D2C14">
      <w:pPr>
        <w:pStyle w:val="FirstParagraph"/>
      </w:pPr>
      <w:bookmarkStart w:id="78" w:name="ref-1"/>
      <w:bookmarkEnd w:id="78"/>
      <w:r>
        <w:t xml:space="preserve">[1] Portfolio Management Research. (2025). </w:t>
      </w:r>
      <w:r>
        <w:rPr>
          <w:i/>
          <w:iCs/>
        </w:rPr>
        <w:t>Momentum Factor Investing: Evidence and Evolution</w:t>
      </w:r>
      <w:r>
        <w:t xml:space="preserve">. </w:t>
      </w:r>
      <w:hyperlink r:id="rId8">
        <w:r>
          <w:rPr>
            <w:rStyle w:val="Hyperlink"/>
          </w:rPr>
          <w:t>https://www.pm-research.com/index.php/content/iijpormgmt/early/2025/12/09/jpm20251797</w:t>
        </w:r>
      </w:hyperlink>
    </w:p>
    <w:p w14:paraId="78CE6FED" w14:textId="77777777" w:rsidR="00322D05" w:rsidRDefault="006D2C14">
      <w:pPr>
        <w:pStyle w:val="BodyText"/>
      </w:pPr>
      <w:bookmarkStart w:id="79" w:name="ref-2"/>
      <w:bookmarkEnd w:id="79"/>
      <w:r>
        <w:lastRenderedPageBreak/>
        <w:t xml:space="preserve">[2] ScienceDirect. (2022). </w:t>
      </w:r>
      <w:r>
        <w:rPr>
          <w:i/>
          <w:iCs/>
        </w:rPr>
        <w:t>Enhanced momentum strategies</w:t>
      </w:r>
      <w:r>
        <w:t xml:space="preserve">. </w:t>
      </w:r>
      <w:hyperlink r:id="rId9">
        <w:r>
          <w:rPr>
            <w:rStyle w:val="Hyperlink"/>
          </w:rPr>
          <w:t>https://www.sciencedirect.com/science/article/pii/S0378426622002928</w:t>
        </w:r>
      </w:hyperlink>
    </w:p>
    <w:p w14:paraId="22A8BD14" w14:textId="77777777" w:rsidR="00322D05" w:rsidRDefault="006D2C14">
      <w:pPr>
        <w:pStyle w:val="BodyText"/>
      </w:pPr>
      <w:bookmarkStart w:id="80" w:name="ref-3"/>
      <w:bookmarkEnd w:id="80"/>
      <w:r>
        <w:t xml:space="preserve">[3] IEEE Xplore. (2024). </w:t>
      </w:r>
      <w:r>
        <w:rPr>
          <w:i/>
          <w:iCs/>
        </w:rPr>
        <w:t>RegimeFolio: A Regime Aware ML System for Sectoral Portfolio Optimization in Dynamic Markets</w:t>
      </w:r>
      <w:r>
        <w:t xml:space="preserve">. </w:t>
      </w:r>
      <w:hyperlink r:id="rId10">
        <w:r>
          <w:rPr>
            <w:rStyle w:val="Hyperlink"/>
          </w:rPr>
          <w:t>https://ieeexplore.ieee.org/abstract/document/11215751</w:t>
        </w:r>
      </w:hyperlink>
      <w:bookmarkEnd w:id="77"/>
    </w:p>
    <w:sectPr w:rsidR="00322D0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389C1" w14:textId="77777777" w:rsidR="005D7381" w:rsidRDefault="005D7381">
      <w:pPr>
        <w:spacing w:after="0"/>
      </w:pPr>
      <w:r>
        <w:separator/>
      </w:r>
    </w:p>
  </w:endnote>
  <w:endnote w:type="continuationSeparator" w:id="0">
    <w:p w14:paraId="0F6C8D84" w14:textId="77777777" w:rsidR="005D7381" w:rsidRDefault="005D73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A8D6" w14:textId="77777777" w:rsidR="005D7381" w:rsidRDefault="005D7381">
      <w:r>
        <w:separator/>
      </w:r>
    </w:p>
  </w:footnote>
  <w:footnote w:type="continuationSeparator" w:id="0">
    <w:p w14:paraId="1E9AD586" w14:textId="77777777" w:rsidR="005D7381" w:rsidRDefault="005D7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5C6B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23828D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9511680">
    <w:abstractNumId w:val="0"/>
  </w:num>
  <w:num w:numId="2" w16cid:durableId="1637024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2D05"/>
    <w:rsid w:val="00024CE5"/>
    <w:rsid w:val="00035201"/>
    <w:rsid w:val="00161BBA"/>
    <w:rsid w:val="00253D0E"/>
    <w:rsid w:val="002E3879"/>
    <w:rsid w:val="00322D05"/>
    <w:rsid w:val="003664F6"/>
    <w:rsid w:val="0042378E"/>
    <w:rsid w:val="0048110D"/>
    <w:rsid w:val="0051746F"/>
    <w:rsid w:val="0056642A"/>
    <w:rsid w:val="005C1ADC"/>
    <w:rsid w:val="005C4E18"/>
    <w:rsid w:val="005D7381"/>
    <w:rsid w:val="006D2C14"/>
    <w:rsid w:val="007D3D4C"/>
    <w:rsid w:val="00817454"/>
    <w:rsid w:val="00984FB9"/>
    <w:rsid w:val="00B64C96"/>
    <w:rsid w:val="00CA4679"/>
    <w:rsid w:val="00CC40A3"/>
    <w:rsid w:val="00FE5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9815"/>
  <w15:docId w15:val="{466B8098-BB10-490F-8A8B-6AF6E285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4679"/>
    <w:rPr>
      <w:rFonts w:ascii="Times New Roman" w:hAnsi="Times New Roman"/>
    </w:rPr>
  </w:style>
  <w:style w:type="paragraph" w:styleId="Heading1">
    <w:name w:val="heading 1"/>
    <w:basedOn w:val="Normal"/>
    <w:next w:val="BodyText"/>
    <w:uiPriority w:val="9"/>
    <w:qFormat/>
    <w:rsid w:val="00CA4679"/>
    <w:pPr>
      <w:keepNext/>
      <w:keepLines/>
      <w:spacing w:before="480" w:after="0"/>
      <w:outlineLvl w:val="0"/>
    </w:pPr>
    <w:rPr>
      <w:rFonts w:eastAsiaTheme="majorEastAsia" w:cstheme="majorBidi"/>
      <w:b/>
      <w:bCs/>
      <w:color w:val="17365D" w:themeColor="text2" w:themeShade="BF"/>
      <w:sz w:val="32"/>
      <w:szCs w:val="32"/>
    </w:rPr>
  </w:style>
  <w:style w:type="paragraph" w:styleId="Heading2">
    <w:name w:val="heading 2"/>
    <w:basedOn w:val="Normal"/>
    <w:next w:val="BodyText"/>
    <w:uiPriority w:val="9"/>
    <w:unhideWhenUsed/>
    <w:qFormat/>
    <w:rsid w:val="00CA4679"/>
    <w:pPr>
      <w:keepNext/>
      <w:keepLines/>
      <w:spacing w:before="200" w:after="0"/>
      <w:outlineLvl w:val="1"/>
    </w:pPr>
    <w:rPr>
      <w:rFonts w:eastAsiaTheme="majorEastAsia" w:cstheme="majorBidi"/>
      <w:b/>
      <w:bCs/>
      <w:color w:val="17365D" w:themeColor="text2" w:themeShade="BF"/>
      <w:sz w:val="28"/>
      <w:szCs w:val="28"/>
    </w:rPr>
  </w:style>
  <w:style w:type="paragraph" w:styleId="Heading3">
    <w:name w:val="heading 3"/>
    <w:basedOn w:val="Normal"/>
    <w:next w:val="BodyText"/>
    <w:uiPriority w:val="9"/>
    <w:unhideWhenUsed/>
    <w:qFormat/>
    <w:rsid w:val="00CA4679"/>
    <w:pPr>
      <w:keepNext/>
      <w:keepLines/>
      <w:spacing w:before="200" w:after="0"/>
      <w:outlineLvl w:val="2"/>
    </w:pPr>
    <w:rPr>
      <w:rFonts w:eastAsiaTheme="majorEastAsia" w:cstheme="majorBidi"/>
      <w:bCs/>
      <w:color w:val="17365D" w:themeColor="text2" w:themeShade="BF"/>
      <w:sz w:val="26"/>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CA4679"/>
    <w:pPr>
      <w:keepNext/>
      <w:keepLines/>
      <w:spacing w:before="480" w:after="240"/>
      <w:jc w:val="center"/>
    </w:pPr>
    <w:rPr>
      <w:rFonts w:eastAsiaTheme="majorEastAsia" w:cstheme="majorBidi"/>
      <w:b/>
      <w:bCs/>
      <w:color w:val="17365D" w:themeColor="text2" w:themeShade="BF"/>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53D0E"/>
    <w:pPr>
      <w:spacing w:after="100"/>
    </w:pPr>
  </w:style>
  <w:style w:type="paragraph" w:styleId="TOC2">
    <w:name w:val="toc 2"/>
    <w:basedOn w:val="Normal"/>
    <w:next w:val="Normal"/>
    <w:autoRedefine/>
    <w:uiPriority w:val="39"/>
    <w:rsid w:val="00253D0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m-research.com/index.php/content/iijpormgmt/early/2025/12/09/jpm202517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eeexplore.ieee.org/abstract/document/11215751" TargetMode="External"/><Relationship Id="rId4" Type="http://schemas.openxmlformats.org/officeDocument/2006/relationships/settings" Target="settings.xml"/><Relationship Id="rId9" Type="http://schemas.openxmlformats.org/officeDocument/2006/relationships/hyperlink" Target="https://www.sciencedirect.com/science/article/pii/S0378426622002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7BDB1-489E-4678-A37F-6A3504EA7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9018</Words>
  <Characters>60965</Characters>
  <Application>Microsoft Office Word</Application>
  <DocSecurity>0</DocSecurity>
  <Lines>909</Lines>
  <Paragraphs>279</Paragraphs>
  <ScaleCrop>false</ScaleCrop>
  <Company/>
  <LinksUpToDate>false</LinksUpToDate>
  <CharactersWithSpaces>69704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Zephyr Macro Allocator: A Regime-Aware Multi-Asset Allocation Framework</dc:title>
  <dc:creator>Quantitative Research Team</dc:creator>
  <cp:keywords/>
  <cp:lastModifiedBy>Monica Whiteside</cp:lastModifiedBy>
  <cp:revision>7</cp:revision>
  <dcterms:created xsi:type="dcterms:W3CDTF">2026-02-07T17:38:00Z</dcterms:created>
  <dcterms:modified xsi:type="dcterms:W3CDTF">2026-02-08T02:46:00Z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2026-02-07</vt:lpwstr>
  </property>
</Properties>
</file>