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4FEBC" w14:textId="77777777" w:rsidR="00725918" w:rsidRDefault="00000000">
      <w:pPr>
        <w:spacing w:after="40"/>
      </w:pPr>
      <w:r>
        <w:rPr>
          <w:b/>
          <w:color w:val="173F57"/>
          <w:sz w:val="44"/>
        </w:rPr>
        <w:t>Predicting Smartwatch Adoption</w:t>
      </w:r>
    </w:p>
    <w:p w14:paraId="215D2ACC" w14:textId="77777777" w:rsidR="00725918" w:rsidRDefault="00000000">
      <w:pPr>
        <w:spacing w:after="160"/>
      </w:pPr>
      <w:r>
        <w:rPr>
          <w:color w:val="555555"/>
          <w:sz w:val="22"/>
        </w:rPr>
        <w:t>A supervised classification project — Logistic, Ridge, Lasso, and Random Forest models</w:t>
      </w:r>
      <w:r>
        <w:rPr>
          <w:color w:val="555555"/>
          <w:sz w:val="22"/>
        </w:rPr>
        <w:br/>
        <w:t>compared on 120,000 customer records</w:t>
      </w:r>
    </w:p>
    <w:p w14:paraId="0E3F85F1" w14:textId="77777777" w:rsidR="00725918" w:rsidRDefault="00000000">
      <w:pPr>
        <w:spacing w:after="40"/>
      </w:pPr>
      <w:r>
        <w:rPr>
          <w:color w:val="C8D0D6"/>
        </w:rPr>
        <w:t>─────────────────────────────────────────────────────────────────────────────────────────────────────────</w:t>
      </w:r>
    </w:p>
    <w:p w14:paraId="36021A03" w14:textId="77777777" w:rsidR="00725918" w:rsidRDefault="00000000">
      <w:pPr>
        <w:spacing w:before="140" w:after="100"/>
      </w:pPr>
      <w:r>
        <w:rPr>
          <w:b/>
          <w:color w:val="173F57"/>
          <w:sz w:val="30"/>
        </w:rPr>
        <w:t>1. Project Overview</w:t>
      </w:r>
    </w:p>
    <w:p w14:paraId="09ACA60E" w14:textId="77777777" w:rsidR="00725918" w:rsidRDefault="00000000">
      <w:pPr>
        <w:spacing w:after="100" w:line="259" w:lineRule="auto"/>
      </w:pPr>
      <w:r>
        <w:t>This project builds a binary classifier to predict whether a customer adopts (purchases) a newly launched smartwatch, using a dataset of 120,000 customers and 40 variables covering demographics, purchase history, health metrics, and marketing exposure. Four models were trained and compared on a held-out test set: unregularized Logistic Regression, Ridge (L2) Logistic Regression, Lasso (L1) Logistic Regression, and a Random Forest Classifier (100 trees).</w:t>
      </w:r>
    </w:p>
    <w:p w14:paraId="3F6B2D12" w14:textId="77777777" w:rsidR="00725918" w:rsidRDefault="00000000">
      <w:pPr>
        <w:spacing w:before="140" w:after="100"/>
      </w:pPr>
      <w:r>
        <w:rPr>
          <w:b/>
          <w:color w:val="173F57"/>
          <w:sz w:val="30"/>
        </w:rPr>
        <w:t>2. Dataset</w:t>
      </w:r>
    </w:p>
    <w:p w14:paraId="0DACD80B" w14:textId="77777777" w:rsidR="00725918" w:rsidRDefault="00000000">
      <w:pPr>
        <w:spacing w:after="100" w:line="259" w:lineRule="auto"/>
      </w:pPr>
      <w:r>
        <w:t>120,000 rows × 40 columns, no missing values. Target variable Adopt is close to balanced (53.2% did not adopt / 46.8% adopted). Predictors include:</w:t>
      </w:r>
    </w:p>
    <w:p w14:paraId="3AE8E2EE" w14:textId="77777777" w:rsidR="00725918" w:rsidRDefault="00000000">
      <w:pPr>
        <w:spacing w:after="80" w:line="252" w:lineRule="auto"/>
        <w:ind w:left="259" w:hanging="202"/>
      </w:pPr>
      <w:r>
        <w:rPr>
          <w:color w:val="2E6F91"/>
        </w:rPr>
        <w:t xml:space="preserve">• </w:t>
      </w:r>
      <w:r>
        <w:rPr>
          <w:b/>
        </w:rPr>
        <w:t xml:space="preserve">Demographics: </w:t>
      </w:r>
      <w:r>
        <w:t>Age, Gender</w:t>
      </w:r>
    </w:p>
    <w:p w14:paraId="1356A280" w14:textId="77777777" w:rsidR="00725918" w:rsidRDefault="00000000">
      <w:pPr>
        <w:spacing w:after="80" w:line="252" w:lineRule="auto"/>
        <w:ind w:left="259" w:hanging="202"/>
      </w:pPr>
      <w:r>
        <w:rPr>
          <w:color w:val="2E6F91"/>
        </w:rPr>
        <w:t xml:space="preserve">• </w:t>
      </w:r>
      <w:r>
        <w:rPr>
          <w:b/>
        </w:rPr>
        <w:t xml:space="preserve">Relationship history: </w:t>
      </w:r>
      <w:r>
        <w:t>Recency, Tenure, TreatCampaign (marketing email exposure)</w:t>
      </w:r>
    </w:p>
    <w:p w14:paraId="7DA4BA66" w14:textId="77777777" w:rsidR="00725918" w:rsidRDefault="00000000">
      <w:pPr>
        <w:spacing w:after="80" w:line="252" w:lineRule="auto"/>
        <w:ind w:left="259" w:hanging="202"/>
      </w:pPr>
      <w:r>
        <w:rPr>
          <w:color w:val="2E6F91"/>
        </w:rPr>
        <w:t xml:space="preserve">• </w:t>
      </w:r>
      <w:r>
        <w:rPr>
          <w:b/>
        </w:rPr>
        <w:t xml:space="preserve">Purchase behavior: </w:t>
      </w:r>
      <w:r>
        <w:t>value/number/quantity of health purchases and returns (online &amp; overall), QtyPerOrder, BOGOUsed, Discounts</w:t>
      </w:r>
    </w:p>
    <w:p w14:paraId="338FDA36" w14:textId="77777777" w:rsidR="00725918" w:rsidRDefault="00000000">
      <w:pPr>
        <w:spacing w:after="80" w:line="252" w:lineRule="auto"/>
        <w:ind w:left="259" w:hanging="202"/>
      </w:pPr>
      <w:r>
        <w:rPr>
          <w:color w:val="2E6F91"/>
        </w:rPr>
        <w:t xml:space="preserve">• </w:t>
      </w:r>
      <w:r>
        <w:rPr>
          <w:b/>
        </w:rPr>
        <w:t xml:space="preserve">Geography: </w:t>
      </w:r>
      <w:r>
        <w:t>Ngyms (gyms in zip code), Areapopl, DistGym</w:t>
      </w:r>
    </w:p>
    <w:p w14:paraId="30B30689" w14:textId="77777777" w:rsidR="00725918" w:rsidRDefault="00000000">
      <w:pPr>
        <w:spacing w:after="80" w:line="252" w:lineRule="auto"/>
        <w:ind w:left="259" w:hanging="202"/>
      </w:pPr>
      <w:r>
        <w:rPr>
          <w:color w:val="2E6F91"/>
        </w:rPr>
        <w:t xml:space="preserve">• </w:t>
      </w:r>
      <w:r>
        <w:rPr>
          <w:b/>
        </w:rPr>
        <w:t xml:space="preserve">Health &amp; lifestyle: </w:t>
      </w:r>
      <w:r>
        <w:t>GymMemberOrNot, CardiacRisk, NonSmoker, BMI, DoctorFam, Adfootsteps, ADSleep, ADCal, ADBPM, OtherHealthDevices</w:t>
      </w:r>
    </w:p>
    <w:p w14:paraId="5F0E8318" w14:textId="77777777" w:rsidR="00725918" w:rsidRDefault="00000000">
      <w:pPr>
        <w:spacing w:after="80" w:line="252" w:lineRule="auto"/>
        <w:ind w:left="259" w:hanging="202"/>
      </w:pPr>
      <w:r>
        <w:rPr>
          <w:color w:val="2E6F91"/>
        </w:rPr>
        <w:t xml:space="preserve">• </w:t>
      </w:r>
      <w:r>
        <w:rPr>
          <w:b/>
        </w:rPr>
        <w:t xml:space="preserve">Noise controls: </w:t>
      </w:r>
      <w:r>
        <w:t>9 random variables (RP1–RP9) with no real relationship to adoption, included to test whether the models pick up on spurious features</w:t>
      </w:r>
    </w:p>
    <w:p w14:paraId="4AC81AF1" w14:textId="77777777" w:rsidR="00725918" w:rsidRDefault="00000000">
      <w:pPr>
        <w:spacing w:after="100" w:line="259" w:lineRule="auto"/>
      </w:pPr>
      <w:r>
        <w:t>Data was split 70/30 into training (84,000 rows) and test (36,000 rows) sets. Models were fit on the training set and evaluated only on the held-out test set.</w:t>
      </w:r>
    </w:p>
    <w:p w14:paraId="79BE669D" w14:textId="77777777" w:rsidR="00725918" w:rsidRDefault="00000000">
      <w:pPr>
        <w:spacing w:before="140" w:after="100"/>
      </w:pPr>
      <w:r>
        <w:rPr>
          <w:b/>
          <w:color w:val="173F57"/>
          <w:sz w:val="30"/>
        </w:rPr>
        <w:t>3. Model Results</w:t>
      </w:r>
    </w:p>
    <w:p w14:paraId="187397CA" w14:textId="77777777" w:rsidR="00725918" w:rsidRDefault="00000000">
      <w:pPr>
        <w:spacing w:after="80" w:line="259" w:lineRule="auto"/>
      </w:pPr>
      <w:r>
        <w:rPr>
          <w:sz w:val="17"/>
        </w:rPr>
        <w:t>All figures below are test-set metrics from this run of the notebook.</w:t>
      </w:r>
    </w:p>
    <w:tbl>
      <w:tblPr>
        <w:tblW w:w="0" w:type="auto"/>
        <w:jc w:val="center"/>
        <w:tblLook w:val="04A0" w:firstRow="1" w:lastRow="0" w:firstColumn="1" w:lastColumn="0" w:noHBand="0" w:noVBand="1"/>
      </w:tblPr>
      <w:tblGrid>
        <w:gridCol w:w="1776"/>
        <w:gridCol w:w="1776"/>
        <w:gridCol w:w="1776"/>
        <w:gridCol w:w="1776"/>
        <w:gridCol w:w="1776"/>
        <w:gridCol w:w="1776"/>
      </w:tblGrid>
      <w:tr w:rsidR="00725918" w14:paraId="5D25D5E5" w14:textId="77777777">
        <w:trPr>
          <w:jc w:val="center"/>
        </w:trPr>
        <w:tc>
          <w:tcPr>
            <w:tcW w:w="1776" w:type="dxa"/>
            <w:shd w:val="clear" w:color="auto" w:fill="173F57"/>
            <w:vAlign w:val="center"/>
          </w:tcPr>
          <w:p w14:paraId="2592D283" w14:textId="77777777" w:rsidR="00725918" w:rsidRDefault="00000000">
            <w:r>
              <w:rPr>
                <w:b/>
                <w:color w:val="FFFFFF"/>
                <w:sz w:val="17"/>
              </w:rPr>
              <w:t>Model</w:t>
            </w:r>
          </w:p>
        </w:tc>
        <w:tc>
          <w:tcPr>
            <w:tcW w:w="1776" w:type="dxa"/>
            <w:shd w:val="clear" w:color="auto" w:fill="173F57"/>
            <w:vAlign w:val="center"/>
          </w:tcPr>
          <w:p w14:paraId="0CA2B2ED" w14:textId="77777777" w:rsidR="00725918" w:rsidRDefault="00000000">
            <w:r>
              <w:rPr>
                <w:b/>
                <w:color w:val="FFFFFF"/>
                <w:sz w:val="17"/>
              </w:rPr>
              <w:t>Accuracy</w:t>
            </w:r>
          </w:p>
        </w:tc>
        <w:tc>
          <w:tcPr>
            <w:tcW w:w="1776" w:type="dxa"/>
            <w:shd w:val="clear" w:color="auto" w:fill="173F57"/>
            <w:vAlign w:val="center"/>
          </w:tcPr>
          <w:p w14:paraId="58B6DE93" w14:textId="77777777" w:rsidR="00725918" w:rsidRDefault="00000000">
            <w:r>
              <w:rPr>
                <w:b/>
                <w:color w:val="FFFFFF"/>
                <w:sz w:val="17"/>
              </w:rPr>
              <w:t>Precision</w:t>
            </w:r>
          </w:p>
        </w:tc>
        <w:tc>
          <w:tcPr>
            <w:tcW w:w="1776" w:type="dxa"/>
            <w:shd w:val="clear" w:color="auto" w:fill="173F57"/>
            <w:vAlign w:val="center"/>
          </w:tcPr>
          <w:p w14:paraId="7A859B3E" w14:textId="77777777" w:rsidR="00725918" w:rsidRDefault="00000000">
            <w:r>
              <w:rPr>
                <w:b/>
                <w:color w:val="FFFFFF"/>
                <w:sz w:val="17"/>
              </w:rPr>
              <w:t>Recall</w:t>
            </w:r>
          </w:p>
        </w:tc>
        <w:tc>
          <w:tcPr>
            <w:tcW w:w="1776" w:type="dxa"/>
            <w:shd w:val="clear" w:color="auto" w:fill="173F57"/>
            <w:vAlign w:val="center"/>
          </w:tcPr>
          <w:p w14:paraId="72A1A4AA" w14:textId="77777777" w:rsidR="00725918" w:rsidRDefault="00000000">
            <w:r>
              <w:rPr>
                <w:b/>
                <w:color w:val="FFFFFF"/>
                <w:sz w:val="17"/>
              </w:rPr>
              <w:t>F1</w:t>
            </w:r>
          </w:p>
        </w:tc>
        <w:tc>
          <w:tcPr>
            <w:tcW w:w="1776" w:type="dxa"/>
            <w:shd w:val="clear" w:color="auto" w:fill="173F57"/>
            <w:vAlign w:val="center"/>
          </w:tcPr>
          <w:p w14:paraId="3E36F370" w14:textId="77777777" w:rsidR="00725918" w:rsidRDefault="00000000">
            <w:r>
              <w:rPr>
                <w:b/>
                <w:color w:val="FFFFFF"/>
                <w:sz w:val="17"/>
              </w:rPr>
              <w:t>ROC AUC</w:t>
            </w:r>
          </w:p>
        </w:tc>
      </w:tr>
      <w:tr w:rsidR="00725918" w14:paraId="482AA508" w14:textId="77777777">
        <w:trPr>
          <w:jc w:val="center"/>
        </w:trPr>
        <w:tc>
          <w:tcPr>
            <w:tcW w:w="1776" w:type="dxa"/>
            <w:tcBorders>
              <w:top w:val="single" w:sz="4" w:space="0" w:color="C8D0D6"/>
              <w:left w:val="single" w:sz="4" w:space="0" w:color="C8D0D6"/>
              <w:bottom w:val="single" w:sz="4" w:space="0" w:color="C8D0D6"/>
              <w:right w:val="single" w:sz="4" w:space="0" w:color="C8D0D6"/>
            </w:tcBorders>
            <w:shd w:val="clear" w:color="auto" w:fill="FFFFFF"/>
            <w:tcMar>
              <w:top w:w="80" w:type="dxa"/>
              <w:left w:w="100" w:type="dxa"/>
              <w:bottom w:w="80" w:type="dxa"/>
              <w:right w:w="100" w:type="dxa"/>
            </w:tcMar>
            <w:vAlign w:val="center"/>
          </w:tcPr>
          <w:p w14:paraId="0F8B939A" w14:textId="77777777" w:rsidR="00725918" w:rsidRDefault="00000000">
            <w:r>
              <w:rPr>
                <w:sz w:val="17"/>
              </w:rPr>
              <w:t>Logistic (no penalty)</w:t>
            </w:r>
          </w:p>
        </w:tc>
        <w:tc>
          <w:tcPr>
            <w:tcW w:w="1776" w:type="dxa"/>
            <w:tcBorders>
              <w:top w:val="single" w:sz="4" w:space="0" w:color="C8D0D6"/>
              <w:left w:val="single" w:sz="4" w:space="0" w:color="C8D0D6"/>
              <w:bottom w:val="single" w:sz="4" w:space="0" w:color="C8D0D6"/>
              <w:right w:val="single" w:sz="4" w:space="0" w:color="C8D0D6"/>
            </w:tcBorders>
            <w:shd w:val="clear" w:color="auto" w:fill="FFFFFF"/>
            <w:tcMar>
              <w:top w:w="80" w:type="dxa"/>
              <w:left w:w="100" w:type="dxa"/>
              <w:bottom w:w="80" w:type="dxa"/>
              <w:right w:w="100" w:type="dxa"/>
            </w:tcMar>
            <w:vAlign w:val="center"/>
          </w:tcPr>
          <w:p w14:paraId="78AA3383" w14:textId="77777777" w:rsidR="00725918" w:rsidRDefault="00000000">
            <w:r>
              <w:rPr>
                <w:sz w:val="17"/>
              </w:rPr>
              <w:t>72.9%</w:t>
            </w:r>
          </w:p>
        </w:tc>
        <w:tc>
          <w:tcPr>
            <w:tcW w:w="1776" w:type="dxa"/>
            <w:tcBorders>
              <w:top w:val="single" w:sz="4" w:space="0" w:color="C8D0D6"/>
              <w:left w:val="single" w:sz="4" w:space="0" w:color="C8D0D6"/>
              <w:bottom w:val="single" w:sz="4" w:space="0" w:color="C8D0D6"/>
              <w:right w:val="single" w:sz="4" w:space="0" w:color="C8D0D6"/>
            </w:tcBorders>
            <w:shd w:val="clear" w:color="auto" w:fill="FFFFFF"/>
            <w:tcMar>
              <w:top w:w="80" w:type="dxa"/>
              <w:left w:w="100" w:type="dxa"/>
              <w:bottom w:w="80" w:type="dxa"/>
              <w:right w:w="100" w:type="dxa"/>
            </w:tcMar>
            <w:vAlign w:val="center"/>
          </w:tcPr>
          <w:p w14:paraId="34872E1D" w14:textId="77777777" w:rsidR="00725918" w:rsidRDefault="00000000">
            <w:r>
              <w:rPr>
                <w:sz w:val="17"/>
              </w:rPr>
              <w:t>72.5%</w:t>
            </w:r>
          </w:p>
        </w:tc>
        <w:tc>
          <w:tcPr>
            <w:tcW w:w="1776" w:type="dxa"/>
            <w:tcBorders>
              <w:top w:val="single" w:sz="4" w:space="0" w:color="C8D0D6"/>
              <w:left w:val="single" w:sz="4" w:space="0" w:color="C8D0D6"/>
              <w:bottom w:val="single" w:sz="4" w:space="0" w:color="C8D0D6"/>
              <w:right w:val="single" w:sz="4" w:space="0" w:color="C8D0D6"/>
            </w:tcBorders>
            <w:shd w:val="clear" w:color="auto" w:fill="FFFFFF"/>
            <w:tcMar>
              <w:top w:w="80" w:type="dxa"/>
              <w:left w:w="100" w:type="dxa"/>
              <w:bottom w:w="80" w:type="dxa"/>
              <w:right w:w="100" w:type="dxa"/>
            </w:tcMar>
            <w:vAlign w:val="center"/>
          </w:tcPr>
          <w:p w14:paraId="4100DC63" w14:textId="77777777" w:rsidR="00725918" w:rsidRDefault="00000000">
            <w:r>
              <w:rPr>
                <w:sz w:val="17"/>
              </w:rPr>
              <w:t>68.7%</w:t>
            </w:r>
          </w:p>
        </w:tc>
        <w:tc>
          <w:tcPr>
            <w:tcW w:w="1776" w:type="dxa"/>
            <w:tcBorders>
              <w:top w:val="single" w:sz="4" w:space="0" w:color="C8D0D6"/>
              <w:left w:val="single" w:sz="4" w:space="0" w:color="C8D0D6"/>
              <w:bottom w:val="single" w:sz="4" w:space="0" w:color="C8D0D6"/>
              <w:right w:val="single" w:sz="4" w:space="0" w:color="C8D0D6"/>
            </w:tcBorders>
            <w:shd w:val="clear" w:color="auto" w:fill="FFFFFF"/>
            <w:tcMar>
              <w:top w:w="80" w:type="dxa"/>
              <w:left w:w="100" w:type="dxa"/>
              <w:bottom w:w="80" w:type="dxa"/>
              <w:right w:w="100" w:type="dxa"/>
            </w:tcMar>
            <w:vAlign w:val="center"/>
          </w:tcPr>
          <w:p w14:paraId="5913913D" w14:textId="77777777" w:rsidR="00725918" w:rsidRDefault="00000000">
            <w:r>
              <w:rPr>
                <w:sz w:val="17"/>
              </w:rPr>
              <w:t>70.6%</w:t>
            </w:r>
          </w:p>
        </w:tc>
        <w:tc>
          <w:tcPr>
            <w:tcW w:w="1776" w:type="dxa"/>
            <w:tcBorders>
              <w:top w:val="single" w:sz="4" w:space="0" w:color="C8D0D6"/>
              <w:left w:val="single" w:sz="4" w:space="0" w:color="C8D0D6"/>
              <w:bottom w:val="single" w:sz="4" w:space="0" w:color="C8D0D6"/>
              <w:right w:val="single" w:sz="4" w:space="0" w:color="C8D0D6"/>
            </w:tcBorders>
            <w:shd w:val="clear" w:color="auto" w:fill="FFFFFF"/>
            <w:tcMar>
              <w:top w:w="80" w:type="dxa"/>
              <w:left w:w="100" w:type="dxa"/>
              <w:bottom w:w="80" w:type="dxa"/>
              <w:right w:w="100" w:type="dxa"/>
            </w:tcMar>
            <w:vAlign w:val="center"/>
          </w:tcPr>
          <w:p w14:paraId="5EB7B1BE" w14:textId="77777777" w:rsidR="00725918" w:rsidRDefault="00000000">
            <w:r>
              <w:rPr>
                <w:sz w:val="17"/>
              </w:rPr>
              <w:t>0.810</w:t>
            </w:r>
          </w:p>
        </w:tc>
      </w:tr>
      <w:tr w:rsidR="00725918" w14:paraId="7B7E193A" w14:textId="77777777">
        <w:trPr>
          <w:jc w:val="center"/>
        </w:trPr>
        <w:tc>
          <w:tcPr>
            <w:tcW w:w="1776" w:type="dxa"/>
            <w:tcBorders>
              <w:top w:val="single" w:sz="4" w:space="0" w:color="C8D0D6"/>
              <w:left w:val="single" w:sz="4" w:space="0" w:color="C8D0D6"/>
              <w:bottom w:val="single" w:sz="4" w:space="0" w:color="C8D0D6"/>
              <w:right w:val="single" w:sz="4" w:space="0" w:color="C8D0D6"/>
            </w:tcBorders>
            <w:shd w:val="clear" w:color="auto" w:fill="F5F7F9"/>
            <w:tcMar>
              <w:top w:w="80" w:type="dxa"/>
              <w:left w:w="100" w:type="dxa"/>
              <w:bottom w:w="80" w:type="dxa"/>
              <w:right w:w="100" w:type="dxa"/>
            </w:tcMar>
            <w:vAlign w:val="center"/>
          </w:tcPr>
          <w:p w14:paraId="270A0A09" w14:textId="77777777" w:rsidR="00725918" w:rsidRDefault="00000000">
            <w:r>
              <w:rPr>
                <w:sz w:val="17"/>
              </w:rPr>
              <w:t>Ridge (L2)</w:t>
            </w:r>
          </w:p>
        </w:tc>
        <w:tc>
          <w:tcPr>
            <w:tcW w:w="1776" w:type="dxa"/>
            <w:tcBorders>
              <w:top w:val="single" w:sz="4" w:space="0" w:color="C8D0D6"/>
              <w:left w:val="single" w:sz="4" w:space="0" w:color="C8D0D6"/>
              <w:bottom w:val="single" w:sz="4" w:space="0" w:color="C8D0D6"/>
              <w:right w:val="single" w:sz="4" w:space="0" w:color="C8D0D6"/>
            </w:tcBorders>
            <w:shd w:val="clear" w:color="auto" w:fill="F5F7F9"/>
            <w:tcMar>
              <w:top w:w="80" w:type="dxa"/>
              <w:left w:w="100" w:type="dxa"/>
              <w:bottom w:w="80" w:type="dxa"/>
              <w:right w:w="100" w:type="dxa"/>
            </w:tcMar>
            <w:vAlign w:val="center"/>
          </w:tcPr>
          <w:p w14:paraId="472FC4D9" w14:textId="77777777" w:rsidR="00725918" w:rsidRDefault="00000000">
            <w:r>
              <w:rPr>
                <w:sz w:val="17"/>
              </w:rPr>
              <w:t>73.1%</w:t>
            </w:r>
          </w:p>
        </w:tc>
        <w:tc>
          <w:tcPr>
            <w:tcW w:w="1776" w:type="dxa"/>
            <w:tcBorders>
              <w:top w:val="single" w:sz="4" w:space="0" w:color="C8D0D6"/>
              <w:left w:val="single" w:sz="4" w:space="0" w:color="C8D0D6"/>
              <w:bottom w:val="single" w:sz="4" w:space="0" w:color="C8D0D6"/>
              <w:right w:val="single" w:sz="4" w:space="0" w:color="C8D0D6"/>
            </w:tcBorders>
            <w:shd w:val="clear" w:color="auto" w:fill="F5F7F9"/>
            <w:tcMar>
              <w:top w:w="80" w:type="dxa"/>
              <w:left w:w="100" w:type="dxa"/>
              <w:bottom w:w="80" w:type="dxa"/>
              <w:right w:w="100" w:type="dxa"/>
            </w:tcMar>
            <w:vAlign w:val="center"/>
          </w:tcPr>
          <w:p w14:paraId="0E9FA0E9" w14:textId="77777777" w:rsidR="00725918" w:rsidRDefault="00000000">
            <w:r>
              <w:rPr>
                <w:sz w:val="17"/>
              </w:rPr>
              <w:t>72.5%</w:t>
            </w:r>
          </w:p>
        </w:tc>
        <w:tc>
          <w:tcPr>
            <w:tcW w:w="1776" w:type="dxa"/>
            <w:tcBorders>
              <w:top w:val="single" w:sz="4" w:space="0" w:color="C8D0D6"/>
              <w:left w:val="single" w:sz="4" w:space="0" w:color="C8D0D6"/>
              <w:bottom w:val="single" w:sz="4" w:space="0" w:color="C8D0D6"/>
              <w:right w:val="single" w:sz="4" w:space="0" w:color="C8D0D6"/>
            </w:tcBorders>
            <w:shd w:val="clear" w:color="auto" w:fill="F5F7F9"/>
            <w:tcMar>
              <w:top w:w="80" w:type="dxa"/>
              <w:left w:w="100" w:type="dxa"/>
              <w:bottom w:w="80" w:type="dxa"/>
              <w:right w:w="100" w:type="dxa"/>
            </w:tcMar>
            <w:vAlign w:val="center"/>
          </w:tcPr>
          <w:p w14:paraId="1CECC996" w14:textId="77777777" w:rsidR="00725918" w:rsidRDefault="00000000">
            <w:r>
              <w:rPr>
                <w:sz w:val="17"/>
              </w:rPr>
              <w:t>69.0%</w:t>
            </w:r>
          </w:p>
        </w:tc>
        <w:tc>
          <w:tcPr>
            <w:tcW w:w="1776" w:type="dxa"/>
            <w:tcBorders>
              <w:top w:val="single" w:sz="4" w:space="0" w:color="C8D0D6"/>
              <w:left w:val="single" w:sz="4" w:space="0" w:color="C8D0D6"/>
              <w:bottom w:val="single" w:sz="4" w:space="0" w:color="C8D0D6"/>
              <w:right w:val="single" w:sz="4" w:space="0" w:color="C8D0D6"/>
            </w:tcBorders>
            <w:shd w:val="clear" w:color="auto" w:fill="F5F7F9"/>
            <w:tcMar>
              <w:top w:w="80" w:type="dxa"/>
              <w:left w:w="100" w:type="dxa"/>
              <w:bottom w:w="80" w:type="dxa"/>
              <w:right w:w="100" w:type="dxa"/>
            </w:tcMar>
            <w:vAlign w:val="center"/>
          </w:tcPr>
          <w:p w14:paraId="42FE4926" w14:textId="77777777" w:rsidR="00725918" w:rsidRDefault="00000000">
            <w:r>
              <w:rPr>
                <w:sz w:val="17"/>
              </w:rPr>
              <w:t>70.7%</w:t>
            </w:r>
          </w:p>
        </w:tc>
        <w:tc>
          <w:tcPr>
            <w:tcW w:w="1776" w:type="dxa"/>
            <w:tcBorders>
              <w:top w:val="single" w:sz="4" w:space="0" w:color="C8D0D6"/>
              <w:left w:val="single" w:sz="4" w:space="0" w:color="C8D0D6"/>
              <w:bottom w:val="single" w:sz="4" w:space="0" w:color="C8D0D6"/>
              <w:right w:val="single" w:sz="4" w:space="0" w:color="C8D0D6"/>
            </w:tcBorders>
            <w:shd w:val="clear" w:color="auto" w:fill="F5F7F9"/>
            <w:tcMar>
              <w:top w:w="80" w:type="dxa"/>
              <w:left w:w="100" w:type="dxa"/>
              <w:bottom w:w="80" w:type="dxa"/>
              <w:right w:w="100" w:type="dxa"/>
            </w:tcMar>
            <w:vAlign w:val="center"/>
          </w:tcPr>
          <w:p w14:paraId="3048FF7D" w14:textId="77777777" w:rsidR="00725918" w:rsidRDefault="00000000">
            <w:r>
              <w:rPr>
                <w:sz w:val="17"/>
              </w:rPr>
              <w:t>0.811</w:t>
            </w:r>
          </w:p>
        </w:tc>
      </w:tr>
      <w:tr w:rsidR="00725918" w14:paraId="6B4CE47D" w14:textId="77777777">
        <w:trPr>
          <w:jc w:val="center"/>
        </w:trPr>
        <w:tc>
          <w:tcPr>
            <w:tcW w:w="1776" w:type="dxa"/>
            <w:tcBorders>
              <w:top w:val="single" w:sz="4" w:space="0" w:color="C8D0D6"/>
              <w:left w:val="single" w:sz="4" w:space="0" w:color="C8D0D6"/>
              <w:bottom w:val="single" w:sz="4" w:space="0" w:color="C8D0D6"/>
              <w:right w:val="single" w:sz="4" w:space="0" w:color="C8D0D6"/>
            </w:tcBorders>
            <w:shd w:val="clear" w:color="auto" w:fill="FFFFFF"/>
            <w:tcMar>
              <w:top w:w="80" w:type="dxa"/>
              <w:left w:w="100" w:type="dxa"/>
              <w:bottom w:w="80" w:type="dxa"/>
              <w:right w:w="100" w:type="dxa"/>
            </w:tcMar>
            <w:vAlign w:val="center"/>
          </w:tcPr>
          <w:p w14:paraId="2F9AB677" w14:textId="77777777" w:rsidR="00725918" w:rsidRDefault="00000000">
            <w:r>
              <w:rPr>
                <w:sz w:val="17"/>
              </w:rPr>
              <w:t>Lasso (L1)</w:t>
            </w:r>
          </w:p>
        </w:tc>
        <w:tc>
          <w:tcPr>
            <w:tcW w:w="1776" w:type="dxa"/>
            <w:tcBorders>
              <w:top w:val="single" w:sz="4" w:space="0" w:color="C8D0D6"/>
              <w:left w:val="single" w:sz="4" w:space="0" w:color="C8D0D6"/>
              <w:bottom w:val="single" w:sz="4" w:space="0" w:color="C8D0D6"/>
              <w:right w:val="single" w:sz="4" w:space="0" w:color="C8D0D6"/>
            </w:tcBorders>
            <w:shd w:val="clear" w:color="auto" w:fill="FFFFFF"/>
            <w:tcMar>
              <w:top w:w="80" w:type="dxa"/>
              <w:left w:w="100" w:type="dxa"/>
              <w:bottom w:w="80" w:type="dxa"/>
              <w:right w:w="100" w:type="dxa"/>
            </w:tcMar>
            <w:vAlign w:val="center"/>
          </w:tcPr>
          <w:p w14:paraId="5D56B863" w14:textId="77777777" w:rsidR="00725918" w:rsidRDefault="00000000">
            <w:r>
              <w:rPr>
                <w:sz w:val="17"/>
              </w:rPr>
              <w:t>72.9%</w:t>
            </w:r>
          </w:p>
        </w:tc>
        <w:tc>
          <w:tcPr>
            <w:tcW w:w="1776" w:type="dxa"/>
            <w:tcBorders>
              <w:top w:val="single" w:sz="4" w:space="0" w:color="C8D0D6"/>
              <w:left w:val="single" w:sz="4" w:space="0" w:color="C8D0D6"/>
              <w:bottom w:val="single" w:sz="4" w:space="0" w:color="C8D0D6"/>
              <w:right w:val="single" w:sz="4" w:space="0" w:color="C8D0D6"/>
            </w:tcBorders>
            <w:shd w:val="clear" w:color="auto" w:fill="FFFFFF"/>
            <w:tcMar>
              <w:top w:w="80" w:type="dxa"/>
              <w:left w:w="100" w:type="dxa"/>
              <w:bottom w:w="80" w:type="dxa"/>
              <w:right w:w="100" w:type="dxa"/>
            </w:tcMar>
            <w:vAlign w:val="center"/>
          </w:tcPr>
          <w:p w14:paraId="62ECA0E7" w14:textId="77777777" w:rsidR="00725918" w:rsidRDefault="00000000">
            <w:r>
              <w:rPr>
                <w:sz w:val="17"/>
              </w:rPr>
              <w:t>72.1%</w:t>
            </w:r>
          </w:p>
        </w:tc>
        <w:tc>
          <w:tcPr>
            <w:tcW w:w="1776" w:type="dxa"/>
            <w:tcBorders>
              <w:top w:val="single" w:sz="4" w:space="0" w:color="C8D0D6"/>
              <w:left w:val="single" w:sz="4" w:space="0" w:color="C8D0D6"/>
              <w:bottom w:val="single" w:sz="4" w:space="0" w:color="C8D0D6"/>
              <w:right w:val="single" w:sz="4" w:space="0" w:color="C8D0D6"/>
            </w:tcBorders>
            <w:shd w:val="clear" w:color="auto" w:fill="FFFFFF"/>
            <w:tcMar>
              <w:top w:w="80" w:type="dxa"/>
              <w:left w:w="100" w:type="dxa"/>
              <w:bottom w:w="80" w:type="dxa"/>
              <w:right w:w="100" w:type="dxa"/>
            </w:tcMar>
            <w:vAlign w:val="center"/>
          </w:tcPr>
          <w:p w14:paraId="2AE5B02F" w14:textId="77777777" w:rsidR="00725918" w:rsidRDefault="00000000">
            <w:r>
              <w:rPr>
                <w:sz w:val="17"/>
              </w:rPr>
              <w:t>69.0%</w:t>
            </w:r>
          </w:p>
        </w:tc>
        <w:tc>
          <w:tcPr>
            <w:tcW w:w="1776" w:type="dxa"/>
            <w:tcBorders>
              <w:top w:val="single" w:sz="4" w:space="0" w:color="C8D0D6"/>
              <w:left w:val="single" w:sz="4" w:space="0" w:color="C8D0D6"/>
              <w:bottom w:val="single" w:sz="4" w:space="0" w:color="C8D0D6"/>
              <w:right w:val="single" w:sz="4" w:space="0" w:color="C8D0D6"/>
            </w:tcBorders>
            <w:shd w:val="clear" w:color="auto" w:fill="FFFFFF"/>
            <w:tcMar>
              <w:top w:w="80" w:type="dxa"/>
              <w:left w:w="100" w:type="dxa"/>
              <w:bottom w:w="80" w:type="dxa"/>
              <w:right w:w="100" w:type="dxa"/>
            </w:tcMar>
            <w:vAlign w:val="center"/>
          </w:tcPr>
          <w:p w14:paraId="48A4D4FD" w14:textId="77777777" w:rsidR="00725918" w:rsidRDefault="00000000">
            <w:r>
              <w:rPr>
                <w:sz w:val="17"/>
              </w:rPr>
              <w:t>70.5%</w:t>
            </w:r>
          </w:p>
        </w:tc>
        <w:tc>
          <w:tcPr>
            <w:tcW w:w="1776" w:type="dxa"/>
            <w:tcBorders>
              <w:top w:val="single" w:sz="4" w:space="0" w:color="C8D0D6"/>
              <w:left w:val="single" w:sz="4" w:space="0" w:color="C8D0D6"/>
              <w:bottom w:val="single" w:sz="4" w:space="0" w:color="C8D0D6"/>
              <w:right w:val="single" w:sz="4" w:space="0" w:color="C8D0D6"/>
            </w:tcBorders>
            <w:shd w:val="clear" w:color="auto" w:fill="FFFFFF"/>
            <w:tcMar>
              <w:top w:w="80" w:type="dxa"/>
              <w:left w:w="100" w:type="dxa"/>
              <w:bottom w:w="80" w:type="dxa"/>
              <w:right w:w="100" w:type="dxa"/>
            </w:tcMar>
            <w:vAlign w:val="center"/>
          </w:tcPr>
          <w:p w14:paraId="768BC68C" w14:textId="77777777" w:rsidR="00725918" w:rsidRDefault="00000000">
            <w:r>
              <w:rPr>
                <w:sz w:val="17"/>
              </w:rPr>
              <w:t>0.808</w:t>
            </w:r>
          </w:p>
        </w:tc>
      </w:tr>
      <w:tr w:rsidR="00725918" w14:paraId="3A2C75C6" w14:textId="77777777">
        <w:trPr>
          <w:jc w:val="center"/>
        </w:trPr>
        <w:tc>
          <w:tcPr>
            <w:tcW w:w="1776" w:type="dxa"/>
            <w:tcBorders>
              <w:top w:val="single" w:sz="4" w:space="0" w:color="C8D0D6"/>
              <w:left w:val="single" w:sz="4" w:space="0" w:color="C8D0D6"/>
              <w:bottom w:val="single" w:sz="4" w:space="0" w:color="C8D0D6"/>
              <w:right w:val="single" w:sz="4" w:space="0" w:color="C8D0D6"/>
            </w:tcBorders>
            <w:shd w:val="clear" w:color="auto" w:fill="DCECF4"/>
            <w:tcMar>
              <w:top w:w="80" w:type="dxa"/>
              <w:left w:w="100" w:type="dxa"/>
              <w:bottom w:w="80" w:type="dxa"/>
              <w:right w:w="100" w:type="dxa"/>
            </w:tcMar>
            <w:vAlign w:val="center"/>
          </w:tcPr>
          <w:p w14:paraId="7FE68485" w14:textId="77777777" w:rsidR="00725918" w:rsidRDefault="00000000">
            <w:r>
              <w:rPr>
                <w:b/>
                <w:sz w:val="17"/>
              </w:rPr>
              <w:t>Random Forest</w:t>
            </w:r>
          </w:p>
        </w:tc>
        <w:tc>
          <w:tcPr>
            <w:tcW w:w="1776" w:type="dxa"/>
            <w:tcBorders>
              <w:top w:val="single" w:sz="4" w:space="0" w:color="C8D0D6"/>
              <w:left w:val="single" w:sz="4" w:space="0" w:color="C8D0D6"/>
              <w:bottom w:val="single" w:sz="4" w:space="0" w:color="C8D0D6"/>
              <w:right w:val="single" w:sz="4" w:space="0" w:color="C8D0D6"/>
            </w:tcBorders>
            <w:shd w:val="clear" w:color="auto" w:fill="DCECF4"/>
            <w:tcMar>
              <w:top w:w="80" w:type="dxa"/>
              <w:left w:w="100" w:type="dxa"/>
              <w:bottom w:w="80" w:type="dxa"/>
              <w:right w:w="100" w:type="dxa"/>
            </w:tcMar>
            <w:vAlign w:val="center"/>
          </w:tcPr>
          <w:p w14:paraId="4976DEEC" w14:textId="77777777" w:rsidR="00725918" w:rsidRDefault="00000000">
            <w:r>
              <w:rPr>
                <w:b/>
                <w:sz w:val="17"/>
              </w:rPr>
              <w:t>84.2%</w:t>
            </w:r>
          </w:p>
        </w:tc>
        <w:tc>
          <w:tcPr>
            <w:tcW w:w="1776" w:type="dxa"/>
            <w:tcBorders>
              <w:top w:val="single" w:sz="4" w:space="0" w:color="C8D0D6"/>
              <w:left w:val="single" w:sz="4" w:space="0" w:color="C8D0D6"/>
              <w:bottom w:val="single" w:sz="4" w:space="0" w:color="C8D0D6"/>
              <w:right w:val="single" w:sz="4" w:space="0" w:color="C8D0D6"/>
            </w:tcBorders>
            <w:shd w:val="clear" w:color="auto" w:fill="DCECF4"/>
            <w:tcMar>
              <w:top w:w="80" w:type="dxa"/>
              <w:left w:w="100" w:type="dxa"/>
              <w:bottom w:w="80" w:type="dxa"/>
              <w:right w:w="100" w:type="dxa"/>
            </w:tcMar>
            <w:vAlign w:val="center"/>
          </w:tcPr>
          <w:p w14:paraId="7052E045" w14:textId="77777777" w:rsidR="00725918" w:rsidRDefault="00000000">
            <w:r>
              <w:rPr>
                <w:b/>
                <w:sz w:val="17"/>
              </w:rPr>
              <w:t>82.5%</w:t>
            </w:r>
          </w:p>
        </w:tc>
        <w:tc>
          <w:tcPr>
            <w:tcW w:w="1776" w:type="dxa"/>
            <w:tcBorders>
              <w:top w:val="single" w:sz="4" w:space="0" w:color="C8D0D6"/>
              <w:left w:val="single" w:sz="4" w:space="0" w:color="C8D0D6"/>
              <w:bottom w:val="single" w:sz="4" w:space="0" w:color="C8D0D6"/>
              <w:right w:val="single" w:sz="4" w:space="0" w:color="C8D0D6"/>
            </w:tcBorders>
            <w:shd w:val="clear" w:color="auto" w:fill="DCECF4"/>
            <w:tcMar>
              <w:top w:w="80" w:type="dxa"/>
              <w:left w:w="100" w:type="dxa"/>
              <w:bottom w:w="80" w:type="dxa"/>
              <w:right w:w="100" w:type="dxa"/>
            </w:tcMar>
            <w:vAlign w:val="center"/>
          </w:tcPr>
          <w:p w14:paraId="36729D6B" w14:textId="77777777" w:rsidR="00725918" w:rsidRDefault="00000000">
            <w:r>
              <w:rPr>
                <w:b/>
                <w:sz w:val="17"/>
              </w:rPr>
              <w:t>84.1%</w:t>
            </w:r>
          </w:p>
        </w:tc>
        <w:tc>
          <w:tcPr>
            <w:tcW w:w="1776" w:type="dxa"/>
            <w:tcBorders>
              <w:top w:val="single" w:sz="4" w:space="0" w:color="C8D0D6"/>
              <w:left w:val="single" w:sz="4" w:space="0" w:color="C8D0D6"/>
              <w:bottom w:val="single" w:sz="4" w:space="0" w:color="C8D0D6"/>
              <w:right w:val="single" w:sz="4" w:space="0" w:color="C8D0D6"/>
            </w:tcBorders>
            <w:shd w:val="clear" w:color="auto" w:fill="DCECF4"/>
            <w:tcMar>
              <w:top w:w="80" w:type="dxa"/>
              <w:left w:w="100" w:type="dxa"/>
              <w:bottom w:w="80" w:type="dxa"/>
              <w:right w:w="100" w:type="dxa"/>
            </w:tcMar>
            <w:vAlign w:val="center"/>
          </w:tcPr>
          <w:p w14:paraId="660DF081" w14:textId="77777777" w:rsidR="00725918" w:rsidRDefault="00000000">
            <w:r>
              <w:rPr>
                <w:b/>
                <w:sz w:val="17"/>
              </w:rPr>
              <w:t>83.3%</w:t>
            </w:r>
          </w:p>
        </w:tc>
        <w:tc>
          <w:tcPr>
            <w:tcW w:w="1776" w:type="dxa"/>
            <w:tcBorders>
              <w:top w:val="single" w:sz="4" w:space="0" w:color="C8D0D6"/>
              <w:left w:val="single" w:sz="4" w:space="0" w:color="C8D0D6"/>
              <w:bottom w:val="single" w:sz="4" w:space="0" w:color="C8D0D6"/>
              <w:right w:val="single" w:sz="4" w:space="0" w:color="C8D0D6"/>
            </w:tcBorders>
            <w:shd w:val="clear" w:color="auto" w:fill="DCECF4"/>
            <w:tcMar>
              <w:top w:w="80" w:type="dxa"/>
              <w:left w:w="100" w:type="dxa"/>
              <w:bottom w:w="80" w:type="dxa"/>
              <w:right w:w="100" w:type="dxa"/>
            </w:tcMar>
            <w:vAlign w:val="center"/>
          </w:tcPr>
          <w:p w14:paraId="3FD06E83" w14:textId="77777777" w:rsidR="00725918" w:rsidRDefault="00000000">
            <w:r>
              <w:rPr>
                <w:b/>
                <w:sz w:val="17"/>
              </w:rPr>
              <w:t>0.926</w:t>
            </w:r>
          </w:p>
        </w:tc>
      </w:tr>
    </w:tbl>
    <w:p w14:paraId="56AF1321" w14:textId="77777777" w:rsidR="00725918" w:rsidRDefault="00000000">
      <w:r>
        <w:br w:type="page"/>
      </w:r>
    </w:p>
    <w:p w14:paraId="157DCFE7" w14:textId="77777777" w:rsidR="00725918" w:rsidRDefault="00000000">
      <w:pPr>
        <w:spacing w:before="140" w:after="100"/>
      </w:pPr>
      <w:r>
        <w:rPr>
          <w:b/>
          <w:color w:val="173F57"/>
        </w:rPr>
        <w:lastRenderedPageBreak/>
        <w:t>Figure 1: Test accuracy by model. Random Forest is the clear top performer.</w:t>
      </w:r>
    </w:p>
    <w:p w14:paraId="169D8E83" w14:textId="77777777" w:rsidR="00725918" w:rsidRDefault="00000000">
      <w:pPr>
        <w:spacing w:after="40"/>
        <w:jc w:val="center"/>
      </w:pPr>
      <w:r>
        <w:rPr>
          <w:noProof/>
        </w:rPr>
        <w:drawing>
          <wp:inline distT="0" distB="0" distL="0" distR="0" wp14:anchorId="5BF34EE0" wp14:editId="2025CBA2">
            <wp:extent cx="5212080" cy="51269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chart_accuracy.png"/>
                    <pic:cNvPicPr/>
                  </pic:nvPicPr>
                  <pic:blipFill>
                    <a:blip r:embed="rId6"/>
                    <a:stretch>
                      <a:fillRect/>
                    </a:stretch>
                  </pic:blipFill>
                  <pic:spPr>
                    <a:xfrm>
                      <a:off x="0" y="0"/>
                      <a:ext cx="5212080" cy="5126953"/>
                    </a:xfrm>
                    <a:prstGeom prst="rect">
                      <a:avLst/>
                    </a:prstGeom>
                  </pic:spPr>
                </pic:pic>
              </a:graphicData>
            </a:graphic>
          </wp:inline>
        </w:drawing>
      </w:r>
    </w:p>
    <w:p w14:paraId="3570F6E8" w14:textId="77777777" w:rsidR="00725918" w:rsidRDefault="00000000">
      <w:pPr>
        <w:spacing w:after="120"/>
        <w:jc w:val="center"/>
      </w:pPr>
      <w:r>
        <w:rPr>
          <w:i/>
          <w:color w:val="666666"/>
          <w:sz w:val="16"/>
        </w:rPr>
        <w:t>Figure 1: Test accuracy by model. Random Forest is the clear top performer.</w:t>
      </w:r>
    </w:p>
    <w:p w14:paraId="49BCE86A" w14:textId="77777777" w:rsidR="00725918" w:rsidRDefault="00000000">
      <w:pPr>
        <w:spacing w:after="100" w:line="259" w:lineRule="auto"/>
      </w:pPr>
      <w:r>
        <w:t>Random Forest outperforms all linear models by roughly 11 percentage points of accuracy and lifts ROC AUC from ~0.81 to 0.93 — a real, verified gain from moving to a non-linear ensemble method. The three linear models (plain, Ridge, Lasso) essentially tie with each other, all around 73% accuracy, which makes sense: none of them capture the non-linear interactions that Random Forest can.</w:t>
      </w:r>
    </w:p>
    <w:p w14:paraId="6F2D04F2" w14:textId="77777777" w:rsidR="00725918" w:rsidRDefault="00000000">
      <w:r>
        <w:br w:type="page"/>
      </w:r>
    </w:p>
    <w:p w14:paraId="2D239AF9" w14:textId="77777777" w:rsidR="00725918" w:rsidRDefault="00000000">
      <w:pPr>
        <w:spacing w:before="140" w:after="100"/>
      </w:pPr>
      <w:r>
        <w:rPr>
          <w:b/>
          <w:color w:val="173F57"/>
          <w:sz w:val="30"/>
        </w:rPr>
        <w:lastRenderedPageBreak/>
        <w:t>4. What the Regularization &amp; Feature Importance Analysis Actually Shows</w:t>
      </w:r>
    </w:p>
    <w:p w14:paraId="49FCFB07" w14:textId="77777777" w:rsidR="00725918" w:rsidRDefault="00000000">
      <w:pPr>
        <w:spacing w:after="100" w:line="259" w:lineRule="auto"/>
      </w:pPr>
      <w:r>
        <w:t>A common claim in write-ups of projects like this is that Lasso "automatically selects features by driving irrelevant coefficients to exactly zero." This was checked directly against the fitted model, and it did not hold here:</w:t>
      </w:r>
    </w:p>
    <w:tbl>
      <w:tblPr>
        <w:tblW w:w="0" w:type="auto"/>
        <w:jc w:val="center"/>
        <w:tblLook w:val="04A0" w:firstRow="1" w:lastRow="0" w:firstColumn="1" w:lastColumn="0" w:noHBand="0" w:noVBand="1"/>
      </w:tblPr>
      <w:tblGrid>
        <w:gridCol w:w="10656"/>
      </w:tblGrid>
      <w:tr w:rsidR="00725918" w14:paraId="22083918" w14:textId="77777777">
        <w:trPr>
          <w:jc w:val="center"/>
        </w:trPr>
        <w:tc>
          <w:tcPr>
            <w:tcW w:w="10656" w:type="dxa"/>
            <w:tcBorders>
              <w:top w:val="single" w:sz="8" w:space="0" w:color="F2B66D"/>
              <w:left w:val="single" w:sz="8" w:space="0" w:color="F2B66D"/>
              <w:bottom w:val="single" w:sz="8" w:space="0" w:color="F2B66D"/>
              <w:right w:val="single" w:sz="8" w:space="0" w:color="F2B66D"/>
            </w:tcBorders>
            <w:shd w:val="clear" w:color="auto" w:fill="FFF4E4"/>
            <w:tcMar>
              <w:top w:w="120" w:type="dxa"/>
              <w:left w:w="140" w:type="dxa"/>
              <w:bottom w:w="120" w:type="dxa"/>
              <w:right w:w="140" w:type="dxa"/>
            </w:tcMar>
          </w:tcPr>
          <w:p w14:paraId="09371AB5" w14:textId="77777777" w:rsidR="00725918" w:rsidRDefault="00000000">
            <w:pPr>
              <w:spacing w:after="0" w:line="240" w:lineRule="auto"/>
            </w:pPr>
            <w:r>
              <w:rPr>
                <w:b/>
              </w:rPr>
              <w:t xml:space="preserve">Finding: </w:t>
            </w:r>
            <w:r>
              <w:t>none of Lasso's 39 coefficients were driven to zero. All coefficients remained non-zero, just small in magnitude (the largest, Age, was −0.008). This is expected given the features were used on their raw, unscaled ranges (e.g. Areapopl in the tens of thousands vs. NonSmoker as 0/1) — L1 regularization is scale-sensitive, and without standardizing inputs first, its default penalty strength doesn't zero anything out. So Lasso should not be described as having performed automatic feature selection on this run.</w:t>
            </w:r>
          </w:p>
        </w:tc>
      </w:tr>
    </w:tbl>
    <w:p w14:paraId="3524BD74" w14:textId="77777777" w:rsidR="006E4420" w:rsidRDefault="006E4420">
      <w:pPr>
        <w:spacing w:after="60" w:line="259" w:lineRule="auto"/>
        <w:rPr>
          <w:sz w:val="16"/>
        </w:rPr>
      </w:pPr>
    </w:p>
    <w:p w14:paraId="4D430F03" w14:textId="77777777" w:rsidR="006E4420" w:rsidRDefault="006E4420">
      <w:pPr>
        <w:spacing w:after="60" w:line="259" w:lineRule="auto"/>
        <w:rPr>
          <w:sz w:val="16"/>
        </w:rPr>
      </w:pPr>
    </w:p>
    <w:p w14:paraId="30830F0F" w14:textId="5D84DDEF" w:rsidR="00725918" w:rsidRDefault="00000000">
      <w:pPr>
        <w:spacing w:after="60" w:line="259" w:lineRule="auto"/>
      </w:pPr>
      <w:r>
        <w:rPr>
          <w:sz w:val="16"/>
        </w:rPr>
        <w:t>Figure 2: Random Forest feature importances (top 15). Noise variables (RP…) shown in red where they appear.</w:t>
      </w:r>
    </w:p>
    <w:p w14:paraId="2EE574E9" w14:textId="77777777" w:rsidR="00725918" w:rsidRDefault="00000000">
      <w:pPr>
        <w:jc w:val="center"/>
      </w:pPr>
      <w:r>
        <w:rPr>
          <w:noProof/>
        </w:rPr>
        <w:drawing>
          <wp:inline distT="0" distB="0" distL="0" distR="0" wp14:anchorId="6501BAAD" wp14:editId="44701B20">
            <wp:extent cx="5165912" cy="2318657"/>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chart_importance.png"/>
                    <pic:cNvPicPr/>
                  </pic:nvPicPr>
                  <pic:blipFill rotWithShape="1">
                    <a:blip r:embed="rId7"/>
                    <a:srcRect b="30661"/>
                    <a:stretch>
                      <a:fillRect/>
                    </a:stretch>
                  </pic:blipFill>
                  <pic:spPr bwMode="auto">
                    <a:xfrm>
                      <a:off x="0" y="0"/>
                      <a:ext cx="5166360" cy="2318858"/>
                    </a:xfrm>
                    <a:prstGeom prst="rect">
                      <a:avLst/>
                    </a:prstGeom>
                    <a:ln>
                      <a:noFill/>
                    </a:ln>
                    <a:extLst>
                      <a:ext uri="{53640926-AAD7-44D8-BBD7-CCE9431645EC}">
                        <a14:shadowObscured xmlns:a14="http://schemas.microsoft.com/office/drawing/2010/main"/>
                      </a:ext>
                    </a:extLst>
                  </pic:spPr>
                </pic:pic>
              </a:graphicData>
            </a:graphic>
          </wp:inline>
        </w:drawing>
      </w:r>
    </w:p>
    <w:p w14:paraId="33C2ECE8" w14:textId="77777777" w:rsidR="00725918" w:rsidRDefault="00000000">
      <w:pPr>
        <w:spacing w:after="100" w:line="259" w:lineRule="auto"/>
      </w:pPr>
      <w:r>
        <w:t>The Random Forest's top drivers of predicted adoption were NonSmoker, purchase-history variables (nhp_across, nip_across, vhp_across), DistGym, and CardiacRisk — a plausible, health-and-purchase-behavior-driven picture consistent with the business narrative.</w:t>
      </w:r>
    </w:p>
    <w:tbl>
      <w:tblPr>
        <w:tblW w:w="0" w:type="auto"/>
        <w:jc w:val="center"/>
        <w:tblLook w:val="04A0" w:firstRow="1" w:lastRow="0" w:firstColumn="1" w:lastColumn="0" w:noHBand="0" w:noVBand="1"/>
      </w:tblPr>
      <w:tblGrid>
        <w:gridCol w:w="10656"/>
      </w:tblGrid>
      <w:tr w:rsidR="00725918" w14:paraId="2A3F09C9" w14:textId="77777777">
        <w:trPr>
          <w:jc w:val="center"/>
        </w:trPr>
        <w:tc>
          <w:tcPr>
            <w:tcW w:w="10656" w:type="dxa"/>
            <w:tcBorders>
              <w:top w:val="single" w:sz="8" w:space="0" w:color="F2B66D"/>
              <w:left w:val="single" w:sz="8" w:space="0" w:color="F2B66D"/>
              <w:bottom w:val="single" w:sz="8" w:space="0" w:color="F2B66D"/>
              <w:right w:val="single" w:sz="8" w:space="0" w:color="F2B66D"/>
            </w:tcBorders>
            <w:shd w:val="clear" w:color="auto" w:fill="FFF4E4"/>
            <w:tcMar>
              <w:top w:w="120" w:type="dxa"/>
              <w:left w:w="140" w:type="dxa"/>
              <w:bottom w:w="120" w:type="dxa"/>
              <w:right w:w="140" w:type="dxa"/>
            </w:tcMar>
          </w:tcPr>
          <w:p w14:paraId="58074716" w14:textId="77777777" w:rsidR="00725918" w:rsidRDefault="00000000">
            <w:pPr>
              <w:spacing w:after="0" w:line="240" w:lineRule="auto"/>
            </w:pPr>
            <w:r>
              <w:rPr>
                <w:b/>
              </w:rPr>
              <w:t xml:space="preserve">Finding: </w:t>
            </w:r>
            <w:r>
              <w:t>the 9 injected noise variables (RP1–RP9) were not cleanly pushed to the bottom of the importance ranking. They landed across ranks 17 through 35 of 39 features — mostly in the lower half, but four of them (RP1, RP7, RP8, RP9) ranked above several genuine predictors such as Age, QtyPerOrder, ADBPM, and Ngyms. This is a fair and expected result for a default, untuned Random Forest (some noise features will out-rank weak real signals by chance), but it means the claim that Random Forest "robustly filters out noisy features" should be stated more carefully — it is better here than the linear models, but not a clean separation.</w:t>
            </w:r>
          </w:p>
        </w:tc>
      </w:tr>
    </w:tbl>
    <w:p w14:paraId="4F6721FC" w14:textId="77777777" w:rsidR="00725918" w:rsidRDefault="00000000">
      <w:pPr>
        <w:spacing w:before="140" w:after="100"/>
      </w:pPr>
      <w:r>
        <w:rPr>
          <w:b/>
          <w:color w:val="173F57"/>
          <w:sz w:val="30"/>
        </w:rPr>
        <w:t>5. Methodology Notes &amp; Limitations</w:t>
      </w:r>
    </w:p>
    <w:p w14:paraId="428FA2B4" w14:textId="77777777" w:rsidR="00725918" w:rsidRDefault="00000000">
      <w:pPr>
        <w:spacing w:after="80" w:line="252" w:lineRule="auto"/>
        <w:ind w:left="259" w:hanging="202"/>
      </w:pPr>
      <w:r>
        <w:rPr>
          <w:color w:val="2E6F91"/>
        </w:rPr>
        <w:t xml:space="preserve">• </w:t>
      </w:r>
      <w:r>
        <w:t>No hyperparameter tuning was performed — all models use library defaults (e.g. Random Forest: 100 trees, no max-depth limit). Accuracy may improve further with tuning.</w:t>
      </w:r>
    </w:p>
    <w:p w14:paraId="0CF4C579" w14:textId="27C527EF" w:rsidR="00725918" w:rsidRDefault="00000000" w:rsidP="006E4420">
      <w:pPr>
        <w:spacing w:after="80" w:line="252" w:lineRule="auto"/>
        <w:ind w:left="259" w:hanging="202"/>
      </w:pPr>
      <w:r>
        <w:rPr>
          <w:color w:val="2E6F91"/>
        </w:rPr>
        <w:t xml:space="preserve">• </w:t>
      </w:r>
      <w:r>
        <w:t>Features were not scaled/standardized before fitting Logistic, Ridge, or Lasso, which affects how their coefficients (and Lasso's shrinkage in particular) should be interpreted.</w:t>
      </w:r>
    </w:p>
    <w:p w14:paraId="25485E0B" w14:textId="77777777" w:rsidR="00725918" w:rsidRDefault="00000000" w:rsidP="006E4420">
      <w:pPr>
        <w:spacing w:after="80" w:line="252" w:lineRule="auto"/>
        <w:ind w:left="57"/>
      </w:pPr>
      <w:r>
        <w:rPr>
          <w:color w:val="2E6F91"/>
        </w:rPr>
        <w:t xml:space="preserve">• </w:t>
      </w:r>
      <w:r>
        <w:t>No exploratory data analysis (distributions, correlations, outlier checks) beyond confirming there are no missing values and checking the class balance.</w:t>
      </w:r>
    </w:p>
    <w:p w14:paraId="644C907B" w14:textId="77777777" w:rsidR="00725918" w:rsidRDefault="00000000">
      <w:pPr>
        <w:spacing w:after="80" w:line="252" w:lineRule="auto"/>
        <w:ind w:left="259" w:hanging="202"/>
      </w:pPr>
      <w:r>
        <w:rPr>
          <w:color w:val="2E6F91"/>
        </w:rPr>
        <w:t xml:space="preserve">• </w:t>
      </w:r>
      <w:r>
        <w:t>SVM (SVC) was imported in the working notebook but not yet trained or evaluated.</w:t>
      </w:r>
    </w:p>
    <w:p w14:paraId="684F9945" w14:textId="77777777" w:rsidR="00725918" w:rsidRDefault="00000000">
      <w:pPr>
        <w:spacing w:after="80" w:line="252" w:lineRule="auto"/>
        <w:ind w:left="259" w:hanging="202"/>
      </w:pPr>
      <w:r>
        <w:rPr>
          <w:color w:val="2E6F91"/>
        </w:rPr>
        <w:t xml:space="preserve">• </w:t>
      </w:r>
      <w:r>
        <w:t>Single train/test split (random_state=42), not cross-validated, so metrics carry some sampling variance.</w:t>
      </w:r>
    </w:p>
    <w:p w14:paraId="68212E1F" w14:textId="20A3C33A" w:rsidR="00725918" w:rsidRDefault="00725918">
      <w:pPr>
        <w:spacing w:after="0" w:line="259" w:lineRule="auto"/>
      </w:pPr>
    </w:p>
    <w:sectPr w:rsidR="00725918"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9071221">
    <w:abstractNumId w:val="8"/>
  </w:num>
  <w:num w:numId="2" w16cid:durableId="54133244">
    <w:abstractNumId w:val="6"/>
  </w:num>
  <w:num w:numId="3" w16cid:durableId="393823247">
    <w:abstractNumId w:val="5"/>
  </w:num>
  <w:num w:numId="4" w16cid:durableId="1304966315">
    <w:abstractNumId w:val="4"/>
  </w:num>
  <w:num w:numId="5" w16cid:durableId="1902867939">
    <w:abstractNumId w:val="7"/>
  </w:num>
  <w:num w:numId="6" w16cid:durableId="35811751">
    <w:abstractNumId w:val="3"/>
  </w:num>
  <w:num w:numId="7" w16cid:durableId="1531797940">
    <w:abstractNumId w:val="2"/>
  </w:num>
  <w:num w:numId="8" w16cid:durableId="532421188">
    <w:abstractNumId w:val="1"/>
  </w:num>
  <w:num w:numId="9" w16cid:durableId="1464226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4420"/>
    <w:rsid w:val="00725918"/>
    <w:rsid w:val="0094451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5F75EA"/>
  <w14:defaultImageDpi w14:val="300"/>
  <w15:docId w15:val="{25FB324A-FA8E-41B8-BABD-606BA0669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755</Words>
  <Characters>4307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Jigyasa ..</cp:lastModifiedBy>
  <cp:revision>2</cp:revision>
  <dcterms:created xsi:type="dcterms:W3CDTF">2013-12-23T23:15:00Z</dcterms:created>
  <dcterms:modified xsi:type="dcterms:W3CDTF">2026-09-13T16:21:00Z</dcterms:modified>
  <cp:category/>
</cp:coreProperties>
</file>