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397511">
      <w:pPr>
        <w:rPr>
          <w:rFonts w:eastAsia="黑体"/>
          <w:b/>
          <w:sz w:val="32"/>
          <w:lang w:eastAsia="zh-CN"/>
        </w:rPr>
      </w:pPr>
      <w:bookmarkStart w:id="0" w:name="OLE_LINK37"/>
      <w:r>
        <w:rPr>
          <w:rFonts w:eastAsia="黑体"/>
          <w:b/>
          <w:sz w:val="32"/>
        </w:rPr>
        <w:t xml:space="preserve">Effects of an 8-Week </w:t>
      </w:r>
      <w:bookmarkStart w:id="1" w:name="OLE_LINK34"/>
      <w:r>
        <w:rPr>
          <w:rFonts w:eastAsia="黑体"/>
          <w:b/>
          <w:sz w:val="32"/>
        </w:rPr>
        <w:t>Integrated Neuromuscular Training</w:t>
      </w:r>
      <w:bookmarkEnd w:id="1"/>
      <w:r>
        <w:rPr>
          <w:rFonts w:eastAsia="黑体"/>
          <w:b/>
          <w:sz w:val="32"/>
        </w:rPr>
        <w:t xml:space="preserve"> Program on Lower-Limb Explosive Power and Swimming Start Performance in Adolescent Swimmers</w:t>
      </w:r>
    </w:p>
    <w:bookmarkEnd w:id="0"/>
    <w:p w14:paraId="4C300C89">
      <w:pPr>
        <w:jc w:val="left"/>
        <w:rPr>
          <w:lang w:eastAsia="zh-CN"/>
        </w:rPr>
      </w:pPr>
      <w:r>
        <w:rPr>
          <w:rFonts w:hint="eastAsia"/>
          <w:lang w:eastAsia="zh-CN"/>
        </w:rPr>
        <w:t>Lina Xiao</w:t>
      </w:r>
      <w:r>
        <w:rPr>
          <w:rFonts w:hint="eastAsia"/>
          <w:vertAlign w:val="superscript"/>
          <w:lang w:eastAsia="zh-CN"/>
        </w:rPr>
        <w:t>1</w:t>
      </w:r>
      <w:r>
        <w:rPr>
          <w:rFonts w:hint="eastAsia"/>
          <w:lang w:eastAsia="zh-CN"/>
        </w:rPr>
        <w:t xml:space="preserve">, </w:t>
      </w:r>
      <w:r>
        <w:t>Yifei Wang</w:t>
      </w:r>
      <w:r>
        <w:rPr>
          <w:rFonts w:hint="eastAsia"/>
          <w:lang w:eastAsia="zh-CN"/>
        </w:rPr>
        <w:t xml:space="preserve">*, Xiaobin Wu* </w:t>
      </w:r>
    </w:p>
    <w:p w14:paraId="2A4B2F51">
      <w:pPr>
        <w:rPr>
          <w:lang w:eastAsia="zh-CN"/>
        </w:rPr>
      </w:pPr>
      <w:r>
        <w:rPr>
          <w:rFonts w:hint="eastAsia"/>
          <w:lang w:eastAsia="zh-CN"/>
        </w:rPr>
        <w:t xml:space="preserve">1 Chengdu Sport University, School of </w:t>
      </w:r>
      <w:r>
        <w:rPr>
          <w:lang w:eastAsia="zh-CN"/>
        </w:rPr>
        <w:t>Physical</w:t>
      </w:r>
      <w:r>
        <w:rPr>
          <w:rFonts w:hint="eastAsia"/>
          <w:lang w:eastAsia="zh-CN"/>
        </w:rPr>
        <w:t xml:space="preserve"> Education, </w:t>
      </w:r>
      <w:r>
        <w:rPr>
          <w:lang w:eastAsia="zh-CN"/>
        </w:rPr>
        <w:t>Chengdu, Sichuan</w:t>
      </w:r>
      <w:r>
        <w:rPr>
          <w:rFonts w:hint="eastAsia"/>
          <w:lang w:eastAsia="zh-CN"/>
        </w:rPr>
        <w:t xml:space="preserve"> </w:t>
      </w:r>
      <w:r>
        <w:rPr>
          <w:lang w:eastAsia="zh-CN"/>
        </w:rPr>
        <w:t>Province</w:t>
      </w:r>
      <w:r>
        <w:rPr>
          <w:rFonts w:hint="eastAsia"/>
          <w:lang w:eastAsia="zh-CN"/>
        </w:rPr>
        <w:t>, China.</w:t>
      </w:r>
    </w:p>
    <w:p w14:paraId="7E02A78C">
      <w:pPr>
        <w:rPr>
          <w:lang w:eastAsia="zh-CN"/>
        </w:rPr>
      </w:pPr>
      <w:r>
        <w:rPr>
          <w:lang w:eastAsia="zh-CN"/>
        </w:rPr>
        <w:t>C</w:t>
      </w:r>
      <w:r>
        <w:rPr>
          <w:rFonts w:hint="eastAsia"/>
          <w:lang w:eastAsia="zh-CN"/>
        </w:rPr>
        <w:t xml:space="preserve">orresponding author: Xiaobin Wu </w:t>
      </w:r>
      <w:r>
        <w:rPr>
          <w:lang w:eastAsia="zh-CN"/>
        </w:rPr>
        <w:t>38754105@qq.com; Yifei</w:t>
      </w:r>
      <w:r>
        <w:rPr>
          <w:rFonts w:hint="eastAsia"/>
          <w:lang w:eastAsia="zh-CN"/>
        </w:rPr>
        <w:t xml:space="preserve"> Wang </w:t>
      </w:r>
      <w:r>
        <w:fldChar w:fldCharType="begin"/>
      </w:r>
      <w:r>
        <w:instrText xml:space="preserve"> HYPERLINK "mailto:18683897986@163.com" </w:instrText>
      </w:r>
      <w:r>
        <w:fldChar w:fldCharType="separate"/>
      </w:r>
      <w:r>
        <w:rPr>
          <w:rStyle w:val="136"/>
          <w:rFonts w:hint="eastAsia"/>
          <w:lang w:eastAsia="zh-CN"/>
        </w:rPr>
        <w:t>18683897986@163.com</w:t>
      </w:r>
      <w:r>
        <w:rPr>
          <w:rStyle w:val="136"/>
          <w:rFonts w:hint="eastAsia"/>
          <w:lang w:eastAsia="zh-CN"/>
        </w:rPr>
        <w:fldChar w:fldCharType="end"/>
      </w:r>
    </w:p>
    <w:p w14:paraId="7E4A1F5A">
      <w:pPr>
        <w:rPr>
          <w:lang w:eastAsia="zh-CN"/>
        </w:rPr>
      </w:pPr>
      <w:r>
        <w:rPr>
          <w:lang w:eastAsia="zh-CN"/>
        </w:rPr>
        <w:t>Clinical trial number: not applicable.</w:t>
      </w:r>
    </w:p>
    <w:p w14:paraId="5C122D85">
      <w:pPr>
        <w:bidi w:val="0"/>
        <w:rPr>
          <w:rFonts w:hint="eastAsia"/>
          <w:lang w:eastAsia="zh-CN"/>
        </w:rPr>
      </w:pPr>
      <w:r>
        <w:rPr>
          <w:rFonts w:hint="eastAsia"/>
          <w:color w:val="FF0000"/>
          <w:lang w:eastAsia="zh-CN"/>
        </w:rPr>
        <w:t>Ethics approval and consent to participate: approved by the Ethics Committee of Chengdu Sport University, Sichuan, China (approval code [ETHICS APPROVAL CODE TO BE INSERTED]). Participants provided assent, and written informed consent was obtained from their parents or legal guardians before participation.</w:t>
      </w:r>
    </w:p>
    <w:p w14:paraId="33B9FA9D">
      <w:pPr>
        <w:bidi w:val="0"/>
        <w:rPr>
          <w:rFonts w:hint="eastAsia"/>
          <w:lang w:eastAsia="zh-CN"/>
        </w:rPr>
      </w:pPr>
      <w:r>
        <w:rPr>
          <w:rFonts w:hint="eastAsia"/>
          <w:color w:val="FF0000"/>
          <w:lang w:eastAsia="zh-CN"/>
        </w:rPr>
        <w:t>This study was approved by the Ethics Committee of Chengdu Sport University, Sichuan, China (approval code [ETHICS APPROVAL CODE TO BE INSERTED]). All procedures were conducted in accordance with the Declaration of Helsinki.</w:t>
      </w:r>
    </w:p>
    <w:p w14:paraId="495B9C10">
      <w:pPr>
        <w:rPr>
          <w:b/>
          <w:bCs/>
          <w:lang w:eastAsia="zh-CN"/>
        </w:rPr>
      </w:pPr>
      <w:r>
        <w:rPr>
          <w:b/>
          <w:bCs/>
          <w:lang w:eastAsia="zh-CN"/>
        </w:rPr>
        <w:t>Abstract</w:t>
      </w:r>
    </w:p>
    <w:p w14:paraId="5A7EE2E2">
      <w:pPr>
        <w:rPr>
          <w:lang w:eastAsia="zh-CN"/>
        </w:rPr>
      </w:pPr>
      <w:r>
        <w:rPr>
          <w:b/>
          <w:bCs/>
          <w:lang w:eastAsia="zh-CN"/>
        </w:rPr>
        <w:t>Background:</w:t>
      </w:r>
      <w:r>
        <w:rPr>
          <w:lang w:eastAsia="zh-CN"/>
        </w:rPr>
        <w:t> Early specialization in competitive swimming involves repetitive, buoyancy-supported training that may limit neuromuscular development and ground-based movement competence. Integrated Neuromuscular Training (INT) has emerged as a strategy to address these deficits, yet its efficacy in adolescent swimmers remains insufficiently explored.</w:t>
      </w:r>
    </w:p>
    <w:p w14:paraId="50D2E678">
      <w:pPr>
        <w:rPr>
          <w:lang w:eastAsia="zh-CN"/>
        </w:rPr>
      </w:pPr>
      <w:r>
        <w:rPr>
          <w:b/>
          <w:bCs/>
          <w:lang w:eastAsia="zh-CN"/>
        </w:rPr>
        <w:t>Objective:</w:t>
      </w:r>
      <w:r>
        <w:rPr>
          <w:lang w:eastAsia="zh-CN"/>
        </w:rPr>
        <w:t> This study aimed to investigate the effects of an 8-week INT program on lower-limb explosive power, swimming start performance, and functional movement quality in adolescent swimmers.</w:t>
      </w:r>
    </w:p>
    <w:p w14:paraId="45D9BE4B">
      <w:pPr>
        <w:bidi w:val="0"/>
        <w:rPr>
          <w:rFonts w:hint="eastAsia"/>
          <w:lang w:eastAsia="zh-CN"/>
        </w:rPr>
      </w:pPr>
      <w:bookmarkStart w:id="2" w:name="OLE_LINK38"/>
      <w:r>
        <w:rPr>
          <w:rFonts w:hint="eastAsia"/>
          <w:color w:val="FF0000"/>
          <w:lang w:eastAsia="zh-CN"/>
        </w:rPr>
        <w:t>Methods: Seventeen competitive adolescent swimmers (age: 10.5 +/- 1.4 years) were randomly assigned to either an INT group (INTG, n = 9) or a conventional training group (CON, n = 8). The INTG performed a progressive INT program twice weekly for 8 weeks, whereas the CON completed traditional strength and conditioning over the same period. Outcomes included the standard 7-item Functional Movement Screen total score (0-21), individual FMS task scores, squat jump, countermovement jump, standing long jump, and swimming-start variables. The primary analysis was a 2 x 2 mixed repeated-measures ANOVA with Group (CON vs INTG) and Visit (Pre vs Post), with the Group x Visit interaction treated as the primary effect of interest. Holm-adjusted post hoc comparisons and ANCOVA sensitivity analyses (Post ~ Group + Pre) were performed when appropriate.</w:t>
      </w:r>
    </w:p>
    <w:bookmarkEnd w:id="2"/>
    <w:p w14:paraId="4BB87EAB">
      <w:pPr>
        <w:bidi w:val="0"/>
        <w:rPr>
          <w:rFonts w:hint="eastAsia"/>
          <w:lang w:eastAsia="zh-CN"/>
        </w:rPr>
      </w:pPr>
      <w:r>
        <w:rPr>
          <w:rFonts w:hint="eastAsia"/>
          <w:color w:val="FF0000"/>
          <w:lang w:eastAsia="zh-CN"/>
        </w:rPr>
        <w:t>Results: Significant Group x Visit interactions favored INTG for 15-m sprint time, water-entry distance, horizontal displacement (Delta x), horizontal velocity, FMS Total (0-21), FMS Hurdle Step (right and left), and FMS In-line Lunge (right) (all p &lt; 0.05). ANCOVA sensitivity analyses supported these findings after baseline adjustment. No significant group-by-visit interactions were observed for the generic lower-limb explosive power outcomes.</w:t>
      </w:r>
    </w:p>
    <w:p w14:paraId="7BA074DD">
      <w:pPr>
        <w:rPr>
          <w:lang w:eastAsia="zh-CN"/>
        </w:rPr>
      </w:pPr>
      <w:r>
        <w:rPr>
          <w:b/>
          <w:bCs/>
          <w:lang w:eastAsia="zh-CN"/>
        </w:rPr>
        <w:t>Conclusion:</w:t>
      </w:r>
      <w:r>
        <w:rPr>
          <w:lang w:eastAsia="zh-CN"/>
        </w:rPr>
        <w:t> An 8-week INT program is more effective than conventional training for enhancing swimming start performance and functional movement quality in youth swimmers. These findings suggest that INT facilitates better transfer of land-based power to sport-specific explosive actions.</w:t>
      </w:r>
    </w:p>
    <w:p w14:paraId="22EBE378">
      <w:pPr>
        <w:rPr>
          <w:lang w:eastAsia="zh-CN"/>
        </w:rPr>
      </w:pPr>
      <w:r>
        <w:rPr>
          <w:lang w:eastAsia="zh-CN"/>
        </w:rPr>
        <w:t>Keywords: Adolescent; Competitive swimming; Integrated neuromuscular training; Start performance</w:t>
      </w:r>
    </w:p>
    <w:p w14:paraId="21631031">
      <w:pPr>
        <w:pStyle w:val="3"/>
      </w:pPr>
      <w:r>
        <w:rPr>
          <w:rFonts w:ascii="Times New Roman" w:hAnsi="Times New Roman" w:eastAsia="黑体"/>
        </w:rPr>
        <w:t>1. Introduction</w:t>
      </w:r>
    </w:p>
    <w:p w14:paraId="7070F280">
      <w:pPr>
        <w:ind w:firstLine="420"/>
      </w:pPr>
      <w:bookmarkStart w:id="3" w:name="OLE_LINK1"/>
      <w:r>
        <w:t>Childhood and adolescence represent a critical "window of opportunity"</w:t>
      </w:r>
      <w:bookmarkEnd w:id="3"/>
      <w:r>
        <w:t xml:space="preserve"> for motor coordination and neural adaptation, characterized by heightened nervous system plasticity</w:t>
      </w:r>
      <w:r>
        <w:fldChar w:fldCharType="begin"/>
      </w:r>
      <w:r>
        <w:instrText xml:space="preserve"> ADDIN ZOTERO_ITEM CSL_CITATION {"citationID":"vbTgdDgq","properties":{"formattedCitation":"(1)","plainCitation":"(1)","noteIndex":0},"citationItems":[{"id":483,"uris":["http://zotero.org/users/local/uTk9sRyd/items/BFHG642W"],"itemData":{"id":483,"type":"article-journal","container-title":"American journal of preventive medicine","DOI":"10.1016/S0749-3797(03)00217-4","issue":"4","journalAbbreviation":"Am. J. Prev. Med.","language":"en","page":"277–282","publisher":"Elsevier","source":"Google Scholar","title":"Evaluating a model of parental influence on youth physical activity","volume":"25","author":[{"family":"Trost","given":"Stewart G."},{"family":"Sallis","given":"James F."},{"family":"Pate","given":"Russell R."},{"family":"Freedson","given":"Patty S."},{"family":"Taylor","given":"Wendell C."},{"family":"Dowda","given":"Marsha"}],"issued":{"date-parts":[["2003"]]}}}],"schema":"https://github.com/citation-style-language/schema/raw/master/csl-citation.json"} </w:instrText>
      </w:r>
      <w:r>
        <w:fldChar w:fldCharType="separate"/>
      </w:r>
      <w:r>
        <w:rPr>
          <w:rFonts w:cs="Times New Roman"/>
        </w:rPr>
        <w:t>(1)</w:t>
      </w:r>
      <w:r>
        <w:fldChar w:fldCharType="end"/>
      </w:r>
      <w:r>
        <w:t>. According to the Youth Physical Development (YPD) model, the pre-pubertal stage (ages 9–12) is optimal for developing fundamental movement skills and neuromuscular control</w:t>
      </w:r>
      <w:r>
        <w:fldChar w:fldCharType="begin"/>
      </w:r>
      <w:r>
        <w:instrText xml:space="preserve"> ADDIN ZOTERO_ITEM CSL_CITATION {"citationID":"UorkQpMB","properties":{"formattedCitation":"(2,3)","plainCitation":"(2,3)","noteIndex":0},"citationItems":[{"id":418,"uris":["http://zotero.org/users/local/uTk9sRyd/items/DH5VPQQP"],"itemData":{"id":418,"type":"article-journal","container-title":"Strength &amp; Conditioning Journal","DOI":"10.1519/SSC.0b013e31825760ea","issue":"3","journalAbbreviation":"Strength Cond. J.","language":"en","note":"TLDR: The YOUTH PHYSICAL DEVELOPMENT MODEL provides a logical and evidence-based approach to the systematic development of physical performance in young athletes.","page":"61–72","publisher":"LWW","source":"Google Scholar","title":"The youth physical development model: a new approach to long-term athletic development","title-short":"The youth physical development model","volume":"34","author":[{"family":"Lloyd","given":"Rhodri S."},{"family":"Oliver","given":"Jon L."}],"issued":{"date-parts":[["2012"]]}}},{"id":478,"uris":["http://zotero.org/users/local/uTk9sRyd/items/LIZ3UU96"],"itemData":{"id":478,"type":"article-journal","abstract":"Long-term athletic development is important to prepare youth for sport and an active lifestyle. Several models have provided general frameworks for long-term athletic development from different perspectives that consider factors such as when to sample and specialize and what physical qualities to train and when. More recently, more specific models of long-term athletic development have emerged that focus on both specific modes of training and specific fitness qualities. This includes models focused on the development of speed, agility, power, and endurance as well as models devoted to resistance training, plyometric training, and weightlifting. These models incorporate factors such as technical competency, developmental stage, maturation, and training age to describe the long-term progression of athletic development. A challenge for the coach is to understand how these models inform one another and how they integrate into practice to allow the use of multiple modes of training to develop multiple components of fitness simultaneously throughout childhood and adolescence. This review will examine how information from various models can be integrated to maximize the physical long-term athletic development of youth.","container-title":"International Journal of Sports Science &amp; Coaching","DOI":"10.1177/1747954118785503","ISSN":"1747-9541, 2048-397X","issue":"6","journalAbbreviation":"Int. J. Sports Sci. Coach.","language":"en","note":"TLDR: This review will examine how information from various models can be integrated to maximize the physical long-term athletic development of youth.","page":"1189-1199","source":"DOI.org (Crossref)","title":"Integrating models of long-term athletic development to maximize the physical development of youth","volume":"13","author":[{"family":"Pichardo","given":"Andrew W"},{"family":"Oliver","given":"Jon L"},{"family":"Harrison","given":"Craig B"},{"family":"Maulder","given":"Peter S"},{"family":"Lloyd","given":"Rhodri S"}],"issued":{"date-parts":[["2018",12]]}}}],"schema":"https://github.com/citation-style-language/schema/raw/master/csl-citation.json"} </w:instrText>
      </w:r>
      <w:r>
        <w:fldChar w:fldCharType="separate"/>
      </w:r>
      <w:r>
        <w:rPr>
          <w:rFonts w:cs="Times New Roman"/>
        </w:rPr>
        <w:t>(2,3)</w:t>
      </w:r>
      <w:r>
        <w:fldChar w:fldCharType="end"/>
      </w:r>
      <w:r>
        <w:t xml:space="preserve">. </w:t>
      </w:r>
      <w:bookmarkStart w:id="4" w:name="OLE_LINK2"/>
      <w:r>
        <w:t>The debate over early specialization remains a focal point in youth athletic development</w:t>
      </w:r>
      <w:r>
        <w:fldChar w:fldCharType="begin"/>
      </w:r>
      <w:r>
        <w:instrText xml:space="preserve"> ADDIN ZOTERO_ITEM CSL_CITATION {"citationID":"cW2pZc1K","properties":{"formattedCitation":"(4)","plainCitation":"(4)","noteIndex":0},"citationItems":[{"id":485,"uris":["http://zotero.org/users/local/uTk9sRyd/items/W48HEKMY"],"itemData":{"id":485,"type":"article-journal","abstract":"Background:\n              Early sport specialization is not a requirement for success at the highest levels of competition and is believed to be unhealthy physically and mentally for young athletes. It also discourages unstructured free play, which has many benefits.\n            \n            \n              Purpose:\n              To review the available evidence on early sports specialization and identify areas where scientific data are lacking.\n            \n            \n              Study Design:\n              Think tank, roundtable discussion.\n            \n            \n              Results:\n              The primary outcome of this think tank was that there is no evidence that young children will benefit from early sport specialization in the majority of sports. They are subject to overuse injury and burnout from concentrated activity. Early multisport participation will not deter young athletes from long-term competitive athletic success.\n            \n            \n              Conclusion:\n              Youth advocates, parents, clinicians, and coaches need to work together with the sport governing bodies to ensure healthy environments for play and competition that do not create long-term health issues yet support athletic competition at the highest level desired.","container-title":"Orthopaedic Journal of Sports Medicine","DOI":"10.1177/2325967116644241","ISSN":"2325-9671, 2325-9671","issue":"4","journalAbbreviation":"Orthop. J. Sports Med.","language":"en","note":"TLDR: Youth advocates, parents, clinicians, and coaches need to work together with the sport governing bodies to ensure healthy environments for play and competition that do not create long-term health issues yet support athletic competition at the highest level desired.","page":"2325967116644241","source":"DOI.org (Crossref)","title":"AOSSM early sport specialization consensus statement","volume":"4","author":[{"family":"LaPrade","given":"Robert F."},{"family":"Agel","given":"Julie"},{"family":"Baker","given":"Joseph"},{"family":"Brenner","given":"Joel S."},{"family":"Cordasco","given":"Frank A."},{"family":"Côté","given":"Jean"},{"family":"Engebretsen","given":"Lars"},{"family":"Feeley","given":"Brian T."},{"family":"Gould","given":"Daniel"},{"family":"Hainline","given":"Brian"},{"family":"Hewett","given":"Timothy E."},{"family":"Jayanthi","given":"Neeru"},{"family":"Kocher","given":"Mininder S."},{"family":"Myer","given":"Gregory D."},{"family":"Nissen","given":"Carl W."},{"family":"Philippon","given":"Marc J."},{"family":"Provencher","given":"Matthew T."}],"issued":{"date-parts":[["2016",4,1]]}}}],"schema":"https://github.com/citation-style-language/schema/raw/master/csl-citation.json"} </w:instrText>
      </w:r>
      <w:r>
        <w:fldChar w:fldCharType="separate"/>
      </w:r>
      <w:r>
        <w:rPr>
          <w:rFonts w:cs="Times New Roman"/>
        </w:rPr>
        <w:t>(4)</w:t>
      </w:r>
      <w:r>
        <w:fldChar w:fldCharType="end"/>
      </w:r>
      <w:r>
        <w:t>. While intensive focus on a single sport is often pursued as a pathway to elite performance, many researchers argue that premature specialization can compromise long-term physical literacy and limit an athlete’s motor repertoire</w:t>
      </w:r>
      <w:r>
        <w:fldChar w:fldCharType="begin"/>
      </w:r>
      <w:r>
        <w:instrText xml:space="preserve"> ADDIN ZOTERO_ITEM CSL_CITATION {"citationID":"SUE8jjxA","properties":{"formattedCitation":"(5,6)","plainCitation":"(5,6)","noteIndex":0},"citationItems":[{"id":487,"uris":["http://zotero.org/users/local/uTk9sRyd/items/HK3G33B8"],"itemData":{"id":487,"type":"article-journal","container-title":"International Journal of Sport and Exercise Psychology","DOI":"10.1080/1612197X.2009.9671889","ISSN":"1612-197X, 1557-251X","issue":"1","journalAbbreviation":"Int. J. Sport Exercise Psychol.","language":"en","page":"7-17","source":"DOI.org (Crossref)","title":"ISSP position stand: to sample or to specialize? Seven postulates about youth sport activities that lead to continued participation and elite performance","title-short":"ISSP position stand","volume":"7","author":[{"family":"Côté","given":"Jean"},{"family":"Lidor","given":"Ronnie"},{"family":"Hackfort","given":"Dieter"}],"issued":{"date-parts":[["2009",1]]}}},{"id":495,"uris":["http://zotero.org/users/local/uTk9sRyd/items/Y9YSA9FX"],"itemData":{"id":495,"type":"article-journal","abstract":"Over the past 15 years, there has been an increase in youth sports participation with a concomitant increase in early year-round training in a single sport. Many factors contribute to the desire of parents and coaches to encourage early single sport specialization, including the desire to give the young athlete an edge in competition, pursuit of scholarships, and potential professional status, and the ability to label a young athlete as elite at an early age. Despite these perceived advantages, some data suggest that early sport specialization does not lead to a competitive advantage over athletes who participate in multiple sports. Although the data are limited, there is some evidence that early sport specialization may put the young athlete at risk for overuse injuries. The focus of this review is to highlight the evidence regarding early sport specialization and risk for injury; discuss the risk factors for overuse injury in high-risk sports including ice hockey, swimming, gymnastics, and baseball; and discuss future potential research that would help define the risk of injury for young athletes who participate in early sport specialization.","container-title":"The American Journal of Sports Medicine","DOI":"10.1177/0363546515576899","ISSN":"0363-5465, 1552-3365","issue":"1","journalAbbreviation":"Am. J. Sports Med.","language":"en","note":"TLDR: The focus of this review is to highlight the evidence regarding early sport specialization and risk for injury; discuss the risk factors for overuse injury in high-risk sports including ice hockey, swimming, gymnastics, and baseball; and discuss future potential research that would help define the risk of injury for young athletes who participate inEarly sport specialization.","page":"234-241","source":"DOI.org (Crossref)","title":"When is it too early for single sport specialization?","volume":"44","author":[{"family":"Feeley","given":"Brian T."},{"family":"Agel","given":"Julie"},{"family":"LaPrade","given":"Robert F."}],"issued":{"date-parts":[["2016",1]]}}}],"schema":"https://github.com/citation-style-language/schema/raw/master/csl-citation.json"} </w:instrText>
      </w:r>
      <w:r>
        <w:fldChar w:fldCharType="separate"/>
      </w:r>
      <w:r>
        <w:rPr>
          <w:rFonts w:cs="Times New Roman"/>
        </w:rPr>
        <w:t>(5,6)</w:t>
      </w:r>
      <w:r>
        <w:fldChar w:fldCharType="end"/>
      </w:r>
      <w:r>
        <w:t xml:space="preserve">. </w:t>
      </w:r>
      <w:bookmarkStart w:id="5" w:name="OLE_LINK6"/>
      <w:bookmarkStart w:id="6" w:name="OLE_LINK5"/>
      <w:r>
        <w:t xml:space="preserve">Competitive swimming </w:t>
      </w:r>
      <w:r>
        <w:rPr>
          <w:rFonts w:hint="eastAsia"/>
          <w:lang w:eastAsia="zh-CN"/>
        </w:rPr>
        <w:t>is agreed as</w:t>
      </w:r>
      <w:r>
        <w:t xml:space="preserve"> a</w:t>
      </w:r>
      <w:r>
        <w:rPr>
          <w:rFonts w:hint="eastAsia"/>
          <w:lang w:eastAsia="zh-CN"/>
        </w:rPr>
        <w:t>n</w:t>
      </w:r>
      <w:r>
        <w:t xml:space="preserve"> early specialization sport</w:t>
      </w:r>
      <w:bookmarkEnd w:id="5"/>
      <w:r>
        <w:t>, in which athletes are exposed to highly repetitive, water-based training from an early developmental stage</w:t>
      </w:r>
      <w:r>
        <w:fldChar w:fldCharType="begin"/>
      </w:r>
      <w:r>
        <w:instrText xml:space="preserve"> ADDIN ZOTERO_ITEM CSL_CITATION {"citationID":"35701RgL","properties":{"formattedCitation":"(7)","plainCitation":"(7)","noteIndex":0},"citationItems":[{"id":489,"uris":["http://zotero.org/users/local/uTk9sRyd/items/WRRE5JMZ"],"itemData":{"id":489,"type":"article-journal","container-title":"PLoS One","DOI":"10.1371/journal.pone.0218601","issue":"6","journalAbbreviation":"PLOS One","language":"en","page":"e0218601","publisher":"Public Library of Science San Francisco, CA USA","source":"Google Scholar","title":"Influence of early specialization in world-ranked swimmers and general patterns to success","volume":"14","author":[{"family":"Yustres","given":"Inmaculada"},{"family":"Santos del Cerro","given":"Jesús"},{"family":"Martín","given":"Raúl"},{"family":"González-Mohíno","given":"Fernando"},{"family":"Logan","given":"Oliver"},{"family":"González-Ravé","given":"José María"}],"issued":{"date-parts":[["2019"]]}}}],"schema":"https://github.com/citation-style-language/schema/raw/master/csl-citation.json"} </w:instrText>
      </w:r>
      <w:r>
        <w:fldChar w:fldCharType="separate"/>
      </w:r>
      <w:r>
        <w:rPr>
          <w:rFonts w:cs="Times New Roman"/>
        </w:rPr>
        <w:t>(7)</w:t>
      </w:r>
      <w:r>
        <w:fldChar w:fldCharType="end"/>
      </w:r>
      <w:r>
        <w:t xml:space="preserve">. </w:t>
      </w:r>
      <w:bookmarkStart w:id="7" w:name="OLE_LINK7"/>
      <w:r>
        <w:t>Although such specialization facilitates technical refinement, prolonged adaptation to an aquatic, buoyancy-supported environment provides limited exposure to neuromuscular control demands associated with gravitational loading, impact absorption, and high ground reaction forces.</w:t>
      </w:r>
      <w:bookmarkEnd w:id="7"/>
      <w:r>
        <w:t xml:space="preserve"> </w:t>
      </w:r>
      <w:bookmarkStart w:id="8" w:name="OLE_LINK8"/>
      <w:r>
        <w:t>During critical periods of neuromotor development, this narrow training stimulus may constrain the development of fundamental movement skills</w:t>
      </w:r>
      <w:bookmarkEnd w:id="8"/>
      <w:r>
        <w:fldChar w:fldCharType="begin"/>
      </w:r>
      <w:r>
        <w:instrText xml:space="preserve"> ADDIN ZOTERO_ITEM CSL_CITATION {"citationID":"J0pFHjIx","properties":{"formattedCitation":"(8,9)","plainCitation":"(8,9)","noteIndex":0},"citationItems":[{"id":499,"uris":["http://zotero.org/users/local/uTk9sRyd/items/VH9JMLGE"],"itemData":{"id":499,"type":"book","language":"en","publisher":"Human kinetics","source":"Google Scholar","title":"Life span motor development","URL":"https://books.google.com/books?hl=zh-CN&amp;lr=&amp;id=uRwnEQAAQBAJ&amp;oi=fnd&amp;pg=PR1&amp;dq=During+critical+periods+of+neuromotor+development,+this+narrow+training+stimulus+may+constrain+the+development+of+fundamental+movement+skills&amp;ots=lUbfYoqtNU&amp;sig=NxiBbnYDUSttlnOs63_PtyxDIP0","author":[{"family":"Haywood","given":"Kathleen M."},{"family":"Getchell","given":"Nancy"}],"accessed":{"date-parts":[["2026",2,3]]},"issued":{"date-parts":[["2024"]]}}},{"id":497,"uris":["http://zotero.org/users/local/uTk9sRyd/items/6MU96DXB"],"itemData":{"id":497,"type":"article-journal","container-title":"Strength &amp; Conditioning Journal","DOI":"10.1519/SSC.0000000000000545","issue":"6","journalAbbreviation":"Strength Cond. J.","language":"en","page":"7–14","publisher":"LWW","source":"Google Scholar","title":"Sensitive periods to train general motor abilities in children and adolescents: do they exist? A critical appraisal","title-short":"Sensitive periods to train general motor abilities in children and adolescents","volume":"42","author":[{"family":"Van Hooren","given":"Bas"},{"family":"Croix","given":"Mark De Ste"}],"issued":{"date-parts":[["2020"]]}}}],"schema":"https://github.com/citation-style-language/schema/raw/master/csl-citation.json"} </w:instrText>
      </w:r>
      <w:r>
        <w:fldChar w:fldCharType="separate"/>
      </w:r>
      <w:r>
        <w:rPr>
          <w:rFonts w:cs="Times New Roman"/>
        </w:rPr>
        <w:t>(8,9)</w:t>
      </w:r>
      <w:r>
        <w:fldChar w:fldCharType="end"/>
      </w:r>
      <w:r>
        <w:t xml:space="preserve">, lower-limb force production, rate of force development, and </w:t>
      </w:r>
      <w:r>
        <w:rPr>
          <w:rFonts w:hint="eastAsia"/>
          <w:lang w:eastAsia="zh-CN"/>
        </w:rPr>
        <w:t>other critical</w:t>
      </w:r>
      <w:r>
        <w:t xml:space="preserve"> </w:t>
      </w:r>
      <w:r>
        <w:rPr>
          <w:lang w:eastAsia="zh-CN"/>
        </w:rPr>
        <w:t>specializations</w:t>
      </w:r>
      <w:r>
        <w:t xml:space="preserve">. As a consequence, </w:t>
      </w:r>
      <w:bookmarkStart w:id="9" w:name="OLE_LINK9"/>
      <w:r>
        <w:t>young swimmers may exhibit imbalances between water-specific proficiency and land-based movement competence, leading to suboptimal force transmission across the kinetic chain</w:t>
      </w:r>
      <w:r>
        <w:fldChar w:fldCharType="begin"/>
      </w:r>
      <w:r>
        <w:instrText xml:space="preserve"> ADDIN ZOTERO_ITEM CSL_CITATION {"citationID":"dzbPNicW","properties":{"formattedCitation":"(10)","plainCitation":"(10)","noteIndex":0},"citationItems":[{"id":503,"uris":["http://zotero.org/users/local/uTk9sRyd/items/ZTY97NFX"],"itemData":{"id":503,"type":"article-journal","container-title":"The Journal of Strength &amp; Conditioning Research","DOI":"10.1519/JSC.0000000000001627","issue":"6","journalAbbreviation":"J. Strength Cond. Res.","language":"en","note":"TLDR: Individual fundamental movement patterns that involved lumbopelvic neuromuscular control differed between HS and COL swimmers and general upper-extremity dynamic balance differed between competition levels.","page":"1544–1551","publisher":"LWW","source":"Google Scholar","title":"Examining fundamental movement competency and closed-chain upper-extremity dynamic balance in swimmers","volume":"31","author":[{"family":"Bullock","given":"Garrett S."},{"family":"Brookreson","given":"Nate"},{"family":"Knab","given":"Amy M."},{"family":"Butler","given":"Robert J."}],"issued":{"date-parts":[["2017"]]}}}],"schema":"https://github.com/citation-style-language/schema/raw/master/csl-citation.json"} </w:instrText>
      </w:r>
      <w:r>
        <w:fldChar w:fldCharType="separate"/>
      </w:r>
      <w:r>
        <w:rPr>
          <w:rFonts w:cs="Times New Roman"/>
        </w:rPr>
        <w:t>(10)</w:t>
      </w:r>
      <w:r>
        <w:fldChar w:fldCharType="end"/>
      </w:r>
      <w:r>
        <w:t xml:space="preserve">. </w:t>
      </w:r>
      <w:bookmarkEnd w:id="9"/>
      <w:r>
        <w:t>These limitations contribute to a reduced ability to transfer general strength and power capacities into sport-specific actions, particularly during performance phases requiring rapid and forceful propulsion.</w:t>
      </w:r>
    </w:p>
    <w:bookmarkEnd w:id="4"/>
    <w:bookmarkEnd w:id="6"/>
    <w:p w14:paraId="3D0A76CD">
      <w:pPr>
        <w:ind w:firstLine="420"/>
      </w:pPr>
      <w:r>
        <w:t>To address the neuromuscular deficits associated with early specialization, Integrative Neuromuscular Training (INT) has emerged as a developmentally appropriate and evidence-based strategy for youth athletes</w:t>
      </w:r>
      <w:r>
        <w:fldChar w:fldCharType="begin"/>
      </w:r>
      <w:r>
        <w:instrText xml:space="preserve"> ADDIN ZOTERO_ITEM CSL_CITATION {"citationID":"82kl9axr","properties":{"formattedCitation":"(11)","plainCitation":"(11)","noteIndex":0},"citationItems":[{"id":195,"uris":["http://zotero.org/users/local/uTk9sRyd/items/YV2HY2RA"],"itemData":{"id":195,"type":"article-journal","container-title":"Current sports medicine reports","DOI":"10.1249/JSR.0b013e31821b1442","issue":"3","journalAbbreviation":"Curr. Sports Med. Rep.","language":"en","note":"TLDR: This review synthesizes the latest literature and expert opinion regarding when to initiate neuromuscular conditioning in youth and presents a how-to integrative training conceptual model that could maximize the potential health-related benefits for children by reducing sports-related injury risk and encouraging lifelong, regular physical activity.","page":"155–166","publisher":"LWW","source":"Google Scholar","title":"When to initiate integrative neuromuscular training to reduce sports-related injuries and enhance health in youth?","volume":"10","author":[{"family":"Myer","given":"Gregory D."},{"family":"Faigenbaum","given":"Avery D."},{"family":"Ford","given":"Kevin R."},{"family":"Best","given":"Thomas M."},{"family":"Bergeron","given":"Michael F."},{"family":"Hewett","given":"Timothy E."}],"issued":{"date-parts":[["2011"]]}}}],"schema":"https://github.com/citation-style-language/schema/raw/master/csl-citation.json"} </w:instrText>
      </w:r>
      <w:r>
        <w:fldChar w:fldCharType="separate"/>
      </w:r>
      <w:r>
        <w:rPr>
          <w:rFonts w:cs="Times New Roman"/>
        </w:rPr>
        <w:t>(11)</w:t>
      </w:r>
      <w:r>
        <w:fldChar w:fldCharType="end"/>
      </w:r>
      <w:r>
        <w:t>. Unlike traditional strength training that emphasizes isolated muscle groups, INT integrates fundamental movement patterns with targeted strength, balance, coordination, agility, and plyometric exercises to create a comprehensive neuromotor stimulus that more closely reflects the dynamic demands of sport participation and long-term athletic development</w:t>
      </w:r>
      <w:r>
        <w:fldChar w:fldCharType="begin"/>
      </w:r>
      <w:r>
        <w:instrText xml:space="preserve"> ADDIN ZOTERO_ITEM CSL_CITATION {"citationID":"qFW8KRu8","properties":{"formattedCitation":"(12)","plainCitation":"(12)","noteIndex":0},"citationItems":[{"id":206,"uris":["http://zotero.org/users/local/uTk9sRyd/items/LQFY9FBE"],"itemData":{"id":206,"type":"article-journal","container-title":"Strength &amp; Conditioning Journal","DOI":"10.1519/SSC.0000000000000229","issue":"3","journalAbbreviation":"Strength Cond. J.","language":"en","note":"TLDR: A flexible approach is provided to INTEGRATIVE NEUROMUSCULAR TRAINING with the goal to improve injuries resilience and to enhance sport and motor skill performance.","page":"36–48","publisher":"LWW","source":"Google Scholar","title":"Integrative neuromuscular training and injury prevention in youth athletes. Part I: identifying risk factors","title-short":"Integrative neuromuscular training and injury prevention in youth athletes. Part I","volume":"38","author":[{"family":"Fort-Vanmeerhaeghe","given":"Azahara"},{"family":"Romero-Rodriguez","given":"Daniel"},{"family":"Montalvo","given":"Alicia M."},{"family":"Kiefer","given":"Adam W."},{"family":"Lloyd","given":"Rhodri S."},{"family":"Myer","given":"Gregory D."}],"issued":{"date-parts":[["2016"]]}}}],"schema":"https://github.com/citation-style-language/schema/raw/master/csl-citation.json"} </w:instrText>
      </w:r>
      <w:r>
        <w:fldChar w:fldCharType="separate"/>
      </w:r>
      <w:r>
        <w:rPr>
          <w:rFonts w:cs="Times New Roman"/>
        </w:rPr>
        <w:t>(12)</w:t>
      </w:r>
      <w:r>
        <w:fldChar w:fldCharType="end"/>
      </w:r>
      <w:r>
        <w:t>.</w:t>
      </w:r>
      <w:r>
        <w:rPr>
          <w:rFonts w:hint="eastAsia"/>
          <w:lang w:eastAsia="zh-CN"/>
        </w:rPr>
        <w:t xml:space="preserve"> </w:t>
      </w:r>
      <w:r>
        <w:t>This approach places a strong emphasis on movement quality, proprioceptive feedback, and inter-muscular coordination, thereby optimizing motor unit recruitment and force production across the kinetic chain. By challenging the neuromuscular system with varied sensory inputs and movement contexts, INT enhances postural control, dynamic stability, and overall movement</w:t>
      </w:r>
      <w:r>
        <w:fldChar w:fldCharType="begin"/>
      </w:r>
      <w:r>
        <w:instrText xml:space="preserve"> ADDIN ZOTERO_ITEM CSL_CITATION {"citationID":"Ka54QG4W","properties":{"formattedCitation":"(13)","plainCitation":"(13)","noteIndex":0},"citationItems":[{"id":435,"uris":["http://zotero.org/users/local/uTk9sRyd/items/IGAQGYZ7"],"itemData":{"id":435,"type":"article-journal","container-title":"Strength &amp; Conditioning Journal","DOI":"10.1519/SSC.0000000000000234","issue":"4","journalAbbreviation":"Strength Cond. J.","language":"en","note":"TLDR: A FLEXIBLE APPROACH to INTEGRATIVE NEUROMUSCULAR TRAINING is provided with the goals to improve injuries resilience and to enhance sport and motor performance capabilities in youths.","page":"9–27","publisher":"LWW","source":"Google Scholar","title":"Integrative neuromuscular training in youth athletes. Part II: strategies to prevent injuries and improve performance","title-short":"Integrative neuromuscular training in youth athletes. Part II","volume":"38","author":[{"family":"Fort-Vanmeerhaeghe","given":"Azahara"},{"family":"Romero-Rodriguez","given":"Daniel"},{"family":"Lloyd","given":"Rhodri S."},{"family":"Kushner","given":"Adam"},{"family":"Myer","given":"Gregory D."}],"issued":{"date-parts":[["2016"]]}}}],"schema":"https://github.com/citation-style-language/schema/raw/master/csl-citation.json"} </w:instrText>
      </w:r>
      <w:r>
        <w:fldChar w:fldCharType="separate"/>
      </w:r>
      <w:r>
        <w:rPr>
          <w:rFonts w:cs="Times New Roman"/>
        </w:rPr>
        <w:t>(13)</w:t>
      </w:r>
      <w:r>
        <w:fldChar w:fldCharType="end"/>
      </w:r>
      <w:r>
        <w:rPr>
          <w:rFonts w:hint="eastAsia"/>
          <w:lang w:eastAsia="zh-CN"/>
        </w:rPr>
        <w:t xml:space="preserve">. </w:t>
      </w:r>
      <w:r>
        <w:t>Evidence from systematic reviews and randomized controlled trials indicates that INT interventions significantly improve key performance outcomes—including explosive power</w:t>
      </w:r>
      <w:r>
        <w:fldChar w:fldCharType="begin"/>
      </w:r>
      <w:r>
        <w:instrText xml:space="preserve"> ADDIN ZOTERO_ITEM CSL_CITATION {"citationID":"kYrQ21AV","properties":{"formattedCitation":"(14,15)","plainCitation":"(14,15)","noteIndex":0},"citationItems":[{"id":505,"uris":["http://zotero.org/users/local/uTk9sRyd/items/B35DRWYI"],"itemData":{"id":505,"type":"article-journal","container-title":"International Journal of Physical Education Sports Management and Yogic Sciences","DOI":"10.5958/2278-795X.2022.00024.8","issue":"2","journalAbbreviation":"Int. J. Phys. Educ. Sports Manag. Yogic Sci.","language":"en","page":"18–26","publisher":"Master Rameshwar Dutt Sharma Educational &amp; Charitable Trust","source":"Google Scholar","title":"Effect of two modes of integrative neuromuscular training on explosive power","volume":"12","author":[{"family":"Maniazhagu","given":"D."}],"issued":{"date-parts":[["2022"]]}}},{"id":506,"uris":["http://zotero.org/users/local/uTk9sRyd/items/2TUVFY49"],"itemData":{"id":506,"type":"article-journal","container-title":"Physical Education Theory and Methodology","DOI":"10.17309/tmfv.2024.5.03","issue":"5","journalAbbreviation":"Phys. Educ. Theory Methodol.","language":"en","page":"697–703","source":"Google Scholar","title":"Optimizing the speed and explosive power performance of football players: the effect of a six-week neuromuscular training","title-short":"Optimizing the speed and explosive power performance of football players","volume":"24","author":[{"family":"Singh","given":"Laishram Santosh"},{"family":"Singh","given":"Ningthoujam Rojesh"},{"family":"Singh","given":"W. James"},{"family":"Singh","given":"Okram Robinson"},{"family":"Mola","given":"Dessalegn Wase"}],"issued":{"date-parts":[["2024"]]}}}],"schema":"https://github.com/citation-style-language/schema/raw/master/csl-citation.json"} </w:instrText>
      </w:r>
      <w:r>
        <w:fldChar w:fldCharType="separate"/>
      </w:r>
      <w:r>
        <w:rPr>
          <w:rFonts w:cs="Times New Roman"/>
        </w:rPr>
        <w:t>(14,15)</w:t>
      </w:r>
      <w:r>
        <w:fldChar w:fldCharType="end"/>
      </w:r>
      <w:r>
        <w:t>, sprint and jump performance</w:t>
      </w:r>
      <w:r>
        <w:fldChar w:fldCharType="begin"/>
      </w:r>
      <w:r>
        <w:instrText xml:space="preserve"> ADDIN ZOTERO_ITEM CSL_CITATION {"citationID":"grqmwEzg","properties":{"formattedCitation":"(16)","plainCitation":"(16)","noteIndex":0},"citationItems":[{"id":510,"uris":["http://zotero.org/users/local/uTk9sRyd/items/K6DCEPU9"],"itemData":{"id":510,"type":"article-journal","abstract":"The objective of this study was to examine the effects of a neuromuscular training program combining eccentric hamstring muscle strength, plyometrics, and free/resisted sprinting exercises on knee extensor/flexor muscle strength, sprinting performance, and horizontal mechanical properties of sprint running in football (soccer) players. Sixty footballers were randomly assigned to an experimental group (\n              EG\n              ) or a control group (\n              CG</w:instrText>
      </w:r>
      <w:r>
        <w:rPr>
          <w:rFonts w:hint="eastAsia"/>
        </w:rPr>
        <w:instrText xml:space="preserve">\n              ). Twenty‐seven players completed the\n              EG\n              and 24 players the\n              CG\n              . Both groups performed regular football training while the\n              EG\n              performed also a neurom</w:instrText>
      </w:r>
      <w:r>
        <w:instrText xml:space="preserve">uscular training during a 7</w:instrText>
      </w:r>
      <w:r>
        <w:rPr>
          <w:rFonts w:hint="eastAsia"/>
        </w:rPr>
        <w:instrText xml:space="preserve">‐</w:instrText>
      </w:r>
      <w:r>
        <w:instrText xml:space="preserve">week period. The\n              EG\n              showed a small increases in concentric quadriceps strength (\n              ES\n               = 0.38/0.58), a moderate to large increase in concentric (\n              ES\n               = 0.70/0.74) and eccentric (\n              ES\n               = 0.66/0.87) hamstring strength, and a small improvement in 5</w:instrText>
      </w:r>
      <w:r>
        <w:rPr>
          <w:rFonts w:hint="eastAsia"/>
        </w:rPr>
        <w:instrText xml:space="preserve">‐</w:instrText>
      </w:r>
      <w:r>
        <w:instrText xml:space="preserve">m sprint performance (\n              ES\n               = 0.32). By contrast, the\n              CG\n              presented lower magnitude changes in quadriceps (\n              ES\n               = 0.04/0.29) and hamstring (\n              ES\n               = 0.27/0.34) concentric muscle strength and no changes in hamstring eccentric muscle strength (\n              ES\n               = −0.02/0.11). Thus, in contrast to the\n              CG\n              (ES = −0.27/0.14), the\n              EG\n              showed an almost certain increase in the hamstring/quadriceps strength functional ratio (\n              ES\n               = 0.32/0.75). Moreover, the\n              CG\n              showed small magnitude impairments in sprinting performance (\n              ES\n               = −0.35/−0.11). Horizontal mechanical properties of sprint running remained typically unchanged in both groups. These results indicate that a neuromuscular training program can induce positive hamstring strength and maintain sprinting performance, which might help in preventing hamstring strains in football players.","container-title":"Scandinavian Journal of Medicine &amp; Science in Sports","DOI":"10.1111/sms.12388","ISSN":"0905-7188, 1600-0838","issue":"6","journalAbbreviation":"Scand. J. Med. Sci. Sports","language":"en","license":"http://onlinelibrary.wiley.com/termsAndConditions#vor","note":"TLDR: It is indicated that a neuromuscular training program can induce positive hamstring strength and maintain sprinting performance, which might help in preventing hamstring strains in football players.","source":"DOI.org (Crossref)","title":"Effects of hamstring-emphasized neuromuscular training on strength and sprinting mechanics in football players","URL":"https://onlinelibrary.wiley.com/doi/10.1111/sms.12388","volume":"25","author":[{"family":"Mendiguchia","given":"J."},{"family":"Martinez-Ruiz","given":"E."},{"family":"Morin","given":"J.B."},{"family":"Samozino","given":"P."},{"family":"Edouard","given":"P."},{"family":"Alcaraz","given":"P.E."},{"family":"Esparza-Ros","given":"F."},{"family":"Mendez-Villanueva","given":"A."}],"accessed":{"date-parts":[["2026",2,3]]},"issued":{"date-parts":[["2015",12]]}}}],"schema":"https://github.com/citation-style-language/schema/raw/master/csl-citation.json"} </w:instrText>
      </w:r>
      <w:r>
        <w:fldChar w:fldCharType="separate"/>
      </w:r>
      <w:r>
        <w:rPr>
          <w:rFonts w:cs="Times New Roman"/>
        </w:rPr>
        <w:t>(16)</w:t>
      </w:r>
      <w:r>
        <w:fldChar w:fldCharType="end"/>
      </w:r>
      <w:r>
        <w:t xml:space="preserve">, </w:t>
      </w:r>
      <w:bookmarkStart w:id="10" w:name="OLE_LINK10"/>
      <w:r>
        <w:t>balance ability</w:t>
      </w:r>
      <w:bookmarkEnd w:id="10"/>
      <w:r>
        <w:fldChar w:fldCharType="begin"/>
      </w:r>
      <w:r>
        <w:instrText xml:space="preserve"> ADDIN ZOTERO_ITEM CSL_CITATION {"citationID":"HeKQttPq","properties":{"formattedCitation":"(17,18)","plainCitation":"(17,18)","noteIndex":0},"citationItems":[{"id":512,"uris":["http://zotero.org/users/local/uTk9sRyd/items/VX6MC3YN"],"itemData":{"id":512,"type":"article-journal","container-title":"Sports Medicine","DOI":"10.1007/s40279-025-02335-x","ISSN":"0112-1642, 1179-2035","journalAbbreviation":"Sports Med.","language":"en","source":"DOI.org (Crossref)","title":"Effects of neuromuscular training on athletes’ balance ability: a meta-analysis","title-short":"Effects of neuromuscular training on athletes’ balance ability","URL":"https://link.springer.com/10.1007/s40279-025-02335-x","author":[{"family":"Shi","given":"Kexin"},{"family":"Xiang","given":"Mai"},{"family":"Shi","given":"Haiwang"},{"family":"Duan","given":"Rui"}],"accessed":{"date-parts":[["2026",2,3]]},"issued":{"date-parts":[["2025",10,27]]}}},{"id":513,"uris":["http://zotero.org/users/local/uTk9sRyd/items/HIC9AMBJ"],"itemData":{"id":513,"type":"article-journal","container-title":"Heliyon","issue":"16","journalAbbreviation":"Heliyon","language":"en","publisher":"Elsevier","source":"Google Scholar","title":"Effects of neuromuscular training on dynamic balance ability in athletes: a systematic review and meta-analysis","title-short":"Effects of neuromuscular training on dynamic balance ability in athletes","URL":"https://www.cell.com/heliyon/fulltext/S2405-8440(24)11854-3","volume":"10","author":[{"family":"Wang","given":"Peiling"},{"family":"Liu","given":"Yongfu"},{"family":"Chen","given":"Chao"}],"accessed":{"date-parts":[["2026",2,3]]},"issued":{"date-parts":[["2024"]]}}}],"schema":"https://github.com/citation-style-language/schema/raw/master/csl-citation.json"} </w:instrText>
      </w:r>
      <w:r>
        <w:fldChar w:fldCharType="separate"/>
      </w:r>
      <w:r>
        <w:rPr>
          <w:rFonts w:cs="Times New Roman"/>
        </w:rPr>
        <w:t>(17,18)</w:t>
      </w:r>
      <w:r>
        <w:fldChar w:fldCharType="end"/>
      </w:r>
      <w:r>
        <w:t xml:space="preserve">, and </w:t>
      </w:r>
      <w:bookmarkStart w:id="11" w:name="OLE_LINK11"/>
      <w:r>
        <w:t>agility</w:t>
      </w:r>
      <w:bookmarkEnd w:id="11"/>
      <w:r>
        <w:fldChar w:fldCharType="begin"/>
      </w:r>
      <w:r>
        <w:instrText xml:space="preserve"> ADDIN ZOTERO_ITEM CSL_CITATION {"citationID":"106q71Zp","properties":{"formattedCitation":"(19)","plainCitation":"(19)","noteIndex":0},"citationItems":[{"id":204,"uris":["http://zotero.org/users/local/uTk9sRyd/items/ZY3QR4JI"],"itemData":{"id":204,"type":"article-journal","container-title":"Frontiers in Physiology","DOI":"10.3389/fphys.2019.00947","journalAbbreviation":"Front. Physiol.","language":"en","note":"TLDR: 6 weeks of neuromuscular training with two sessions per week included in the warm-up program, significantly enhanced agility performance in elite soccer players and improvements were found on both sides during body rotations.","page":"947","publisher":"Frontiers Media SA","source":"Google Scholar","title":"Effects of neuromuscular training on agility performance in elite soccer players","volume":"10","author":[{"family":"Zouhal","given":"Hassane"},{"family":"Abderrahman","given":"Abderraouf B."},{"family":"Dupont","given":"Gregory"},{"family":"Truptin","given":"Pablo"},{"family":"Le Bris","given":"Régis"},{"family":"Le Postec","given":"Erwan"},{"family":"Sghaeir","given":"Zouita"},{"family":"Brughelli","given":"Matt"},{"family":"Granacher","given":"Urs"},{"family":"Bideau","given":"Benoit"}],"issued":{"date-parts":[["2019"]]}}}],"schema":"https://github.com/citation-style-language/schema/raw/master/csl-citation.json"} </w:instrText>
      </w:r>
      <w:r>
        <w:fldChar w:fldCharType="separate"/>
      </w:r>
      <w:r>
        <w:rPr>
          <w:rFonts w:cs="Times New Roman"/>
        </w:rPr>
        <w:t>(19)</w:t>
      </w:r>
      <w:r>
        <w:fldChar w:fldCharType="end"/>
      </w:r>
      <w:r>
        <w:t xml:space="preserve">. </w:t>
      </w:r>
      <w:bookmarkStart w:id="12" w:name="OLE_LINK13"/>
      <w:r>
        <w:t>In addition, INT has been shown to reduce injury risk and correct biomechanical deficits by improving proprioception, dynamic stabilization, and load distribution, which are critical factors in preventing overuse injuries and acute lower-limb trauma among developing athletes</w:t>
      </w:r>
      <w:r>
        <w:fldChar w:fldCharType="begin"/>
      </w:r>
      <w:r>
        <w:instrText xml:space="preserve"> ADDIN ZOTERO_ITEM CSL_CITATION {"citationID":"mwBhcT56","properties":{"formattedCitation":"(20,21)","plainCitation":"(20,21)","noteIndex":0},"citationItems":[{"id":426,"uris":["http://zotero.org/users/local/uTk9sRyd/items/LXCT6XD9"],"itemData":{"id":426,"type":"article-journal","container-title":"British journal of sports medicine","DOI":"10.1136/bjsports-2015-094639","issue":"13","journalAbbreviation":"Br. J. Sports Med.","language":"en","note":"TLDR: There is evidence for the effectiveness of neuromuscular training strategies in the reduction of injury in numerous team sports, but lack of uptake and ongoing maintenance of such programmes is an ongoing concern.","page":"865–870","publisher":"BMJ Publishing Group Ltd and British Association of Sport and Exercise Medicine","source":"Google Scholar","title":"Neuromuscular training injury prevention strategies in youth sport: a systematic review and meta-analysis","title-short":"Neuromuscular training injury prevention strategies in youth sport","volume":"49","author":[{"family":"Emery","given":"Carolyn A."},{"family":"Roy","given":"Thierry-Olivier"},{"family":"Whittaker","given":"Jackie L."},{"family":"Nettel-Aguirre","given":"Alberto"},{"family":"Van Mechelen","given":"Willem"}],"issued":{"date-parts":[["2015"]]}}},{"id":517,"uris":["http://zotero.org/users/local/uTk9sRyd/items/S9DVYHTL"],"itemData":{"id":517,"type":"article-journal","container-title":"Medicine &amp; science in sports &amp; exercise","DOI":"10.1249/MSS.0b013e3181a3cf0d","issue":"10","journalAbbreviation":"Med. Sci. Sports Exercise","language":"en","page":"1831–1841","publisher":"LWW","source":"Google Scholar","title":"Neuromuscular training for rehabilitation of sports injuries: a systematic review","title-short":"Neuromuscular training for rehabilitation of sports injuries","volume":"41","author":[{"family":"Zech","given":"Astrid"},{"family":"Huebscher","given":"Markus"},{"family":"Vogt","given":"Lutz"},{"family":"Banzer","given":"Winfried"},{"family":"Hänsel","given":"Frank"},{"family":"Pfeifer","given":"Klaus"}],"issued":{"date-parts":[["2009"]]}}}],"schema":"https://github.com/citation-style-language/schema/raw/master/csl-citation.json"} </w:instrText>
      </w:r>
      <w:r>
        <w:fldChar w:fldCharType="separate"/>
      </w:r>
      <w:r>
        <w:rPr>
          <w:rFonts w:cs="Times New Roman"/>
        </w:rPr>
        <w:t>(20,21)</w:t>
      </w:r>
      <w:r>
        <w:fldChar w:fldCharType="end"/>
      </w:r>
      <w:r>
        <w:t>. However, most of this evidence has been derived from land-based sports characterized by frequent ground contacts and multidirectional movements.</w:t>
      </w:r>
      <w:bookmarkEnd w:id="12"/>
    </w:p>
    <w:p w14:paraId="557C72C9">
      <w:pPr>
        <w:ind w:firstLine="420"/>
        <w:rPr>
          <w:lang w:eastAsia="zh-CN"/>
        </w:rPr>
      </w:pPr>
      <w:bookmarkStart w:id="13" w:name="OLE_LINK14"/>
      <w:r>
        <w:t>Despite its widespread recognition in sports such as soccer and basketball, the systematic application of INT within competitive swimming remains limited. Current dry-land practices in swimming are still dominated by isolated strength drills or standalone plyometric exercises, which often fail to integrate dynamic stability and motor control into a unified training framework. However, emerging evidence suggests that neuromuscular-focused dry-land training can meaningfully enhance swimming performance. Core training interventions have been shown to improve 50m freestyle times and enhance neuromuscular parameters of key swimming muscles such as the erector spinae and latissimus dorsi</w:t>
      </w:r>
      <w:r>
        <w:fldChar w:fldCharType="begin"/>
      </w:r>
      <w:r>
        <w:instrText xml:space="preserve"> ADDIN ZOTERO_ITEM CSL_CITATION {"citationID":"uYsWUhU0","properties":{"formattedCitation":"(22)","plainCitation":"(22)","noteIndex":0},"citationItems":[{"id":520,"uris":["http://zotero.org/users/local/uTk9sRyd/items/8CPTH2AD"],"itemData":{"id":520,"type":"article-journal","container-title":"Journal of human kinetics","DOI":"10.2478/hukin-2020-0025","journalAbbreviation":"J. hum. kinet.","language":"en","page":"195","source":"Google Scholar","title":"Transfer of dry-land resistance training modalities to swimming performance","volume":"74","author":[{"family":"Sadowski","given":"Jerzy"},{"family":"Mastalerz","given":"Andrzej"},{"family":"Gromisz","given":"Wilhelm"}],"issued":{"date-parts":[["2020"]]}}}],"schema":"https://github.com/citation-style-language/schema/raw/master/csl-citation.json"} </w:instrText>
      </w:r>
      <w:r>
        <w:fldChar w:fldCharType="separate"/>
      </w:r>
      <w:r>
        <w:rPr>
          <w:rFonts w:cs="Times New Roman"/>
        </w:rPr>
        <w:t>(22)</w:t>
      </w:r>
      <w:r>
        <w:fldChar w:fldCharType="end"/>
      </w:r>
      <w:r>
        <w:t xml:space="preserve">. </w:t>
      </w:r>
      <w:bookmarkStart w:id="14" w:name="OLE_LINK41"/>
      <w:r>
        <w:t>Systematic reviews indicate that plyometric, ballistic, and strength training targeting neural enhancement of leg-extensor muscles can effectively improve turn performance</w:t>
      </w:r>
      <w:bookmarkEnd w:id="14"/>
      <w:r>
        <w:fldChar w:fldCharType="begin"/>
      </w:r>
      <w:r>
        <w:instrText xml:space="preserve"> ADDIN ZOTERO_ITEM CSL_CITATION {"citationID":"D6eZ6Ujm","properties":{"formattedCitation":"(23)","plainCitation":"(23)","noteIndex":0},"citationItems":[{"id":607,"uris":["http://zotero.org/users/local/uTk9sRyd/items/4UAQTYCY"],"itemData":{"id":607,"type":"article-journal","container-title":"International Journal of Environmental Research and Public Health","DOI":"10.3390/ijerph18179340","issue":"17","journalAbbreviation":"Int. J. Environ. Res. Public Health","language":"en","page":"9340","publisher":"MDPI","source":"Google Scholar","title":"Effects of dry-land training programs on swimming turn performance: a systematic review","title-short":"Effects of dry-land training programs on swimming turn performance","volume":"18","author":[{"family":"Hermosilla","given":"Francisco"},{"family":"Sanders","given":"Ross"},{"family":"Gonzalez-Mohino","given":"Fernando"},{"family":"Yustres","given":"Inmaculada"},{"family":"Gonzalez-Rave","given":"Jose M."}],"issued":{"date-parts":[["2021"]]}}}],"schema":"https://github.com/citation-style-language/schema/raw/master/csl-citation.json"} </w:instrText>
      </w:r>
      <w:r>
        <w:fldChar w:fldCharType="separate"/>
      </w:r>
      <w:r>
        <w:rPr>
          <w:rFonts w:cs="Times New Roman"/>
        </w:rPr>
        <w:t>(23)</w:t>
      </w:r>
      <w:r>
        <w:fldChar w:fldCharType="end"/>
      </w:r>
      <w:r>
        <w:t xml:space="preserve">. </w:t>
      </w:r>
      <w:bookmarkStart w:id="15" w:name="OLE_LINK42"/>
      <w:r>
        <w:t>Importantly, research indicates that transfer of dry-land adaptations to swimming is maximized when training programs incorporate sport-specific elements</w:t>
      </w:r>
      <w:bookmarkEnd w:id="15"/>
      <w:r>
        <w:fldChar w:fldCharType="begin"/>
      </w:r>
      <w:r>
        <w:instrText xml:space="preserve"> ADDIN ZOTERO_ITEM CSL_CITATION {"citationID":"8hqa7E5E","properties":{"formattedCitation":"(24)","plainCitation":"(24)","noteIndex":0},"citationItems":[{"id":608,"uris":["http://zotero.org/users/local/uTk9sRyd/items/RXUTK44G"],"itemData":{"id":608,"type":"article-journal","container-title":"The Journal of Strength &amp; Conditioning Research","DOI":"10.1519/JSC.0000000000002599","issue":"9","journalAbbreviation":"J. Strength Cond. Res.","language":"en","page":"2592–2600","publisher":"LWW","source":"Google Scholar","title":"Dry-land resistance training practices of elite swimming strength and conditioning coaches","volume":"32","author":[{"family":"Crowley","given":"Emmet"},{"family":"Harrison","given":"Andrew J."},{"family":"Lyons","given":"Mark"}],"issued":{"date-parts":[["2018"]]}}}],"schema":"https://github.com/citation-style-language/schema/raw/master/csl-citation.json"} </w:instrText>
      </w:r>
      <w:r>
        <w:fldChar w:fldCharType="separate"/>
      </w:r>
      <w:r>
        <w:rPr>
          <w:rFonts w:cs="Times New Roman"/>
        </w:rPr>
        <w:t>(24)</w:t>
      </w:r>
      <w:r>
        <w:fldChar w:fldCharType="end"/>
      </w:r>
      <w:r>
        <w:t xml:space="preserve">. INT provides a unique advantage by </w:t>
      </w:r>
      <w:bookmarkStart w:id="16" w:name="OLE_LINK43"/>
      <w:r>
        <w:t>optimizing the lower-limb kinetic chain and enhancing the recruitment of motor units during explosive movements</w:t>
      </w:r>
      <w:bookmarkEnd w:id="16"/>
      <w:r>
        <w:fldChar w:fldCharType="begin"/>
      </w:r>
      <w:r>
        <w:instrText xml:space="preserve"> ADDIN ZOTERO_ITEM CSL_CITATION {"citationID":"aGCEBpjW","properties":{"formattedCitation":"(25)","plainCitation":"(25)","noteIndex":0},"citationItems":[{"id":611,"uris":["http://zotero.org/users/local/uTk9sRyd/items/9BR6CPWM"],"itemData":{"id":611,"type":"article-journal","container-title":"Frontiers in physiology","DOI":"10.3389/fphys.2022.1061110","journalAbbreviation":"Front. Physiol.","language":"en","page":"1061110","publisher":"Frontiers Media SA","source":"Google Scholar","title":"Effectiveness of plyometric training vs. complex training on the explosive power of lower limbs: a systematic review","title-short":"Effectiveness of plyometric training vs. complex training on the explosive power of lower limbs","volume":"13","author":[{"family":"Wang","given":"Xiaolin"},{"family":"Lv","given":"Changhai"},{"family":"Qin","given":"Xinmin"},{"family":"Ji","given":"Shuyu"},{"family":"Dong","given":"Delong"}],"issued":{"date-parts":[["2023"]]}}}],"schema":"https://github.com/citation-style-language/schema/raw/master/csl-citation.json"} </w:instrText>
      </w:r>
      <w:r>
        <w:fldChar w:fldCharType="separate"/>
      </w:r>
      <w:r>
        <w:rPr>
          <w:rFonts w:cs="Times New Roman"/>
        </w:rPr>
        <w:t>(25)</w:t>
      </w:r>
      <w:r>
        <w:fldChar w:fldCharType="end"/>
      </w:r>
      <w:r>
        <w:t>. By fostering a stiffer and coordinated transmission of force from the core to the lower extremities, INT can mitigate energy dissipation during the push-off phase, which is critical for maximizing horizontal power.</w:t>
      </w:r>
      <w:bookmarkStart w:id="17" w:name="OLE_LINK44"/>
      <w:r>
        <w:t> </w:t>
      </w:r>
      <w:bookmarkEnd w:id="17"/>
      <w:r>
        <w:t>Despite its potential, INT has not yet been systematically integrated into swimming start protocols</w:t>
      </w:r>
      <w:r>
        <w:rPr>
          <w:rFonts w:hint="eastAsia"/>
          <w:lang w:eastAsia="zh-CN"/>
        </w:rPr>
        <w:t>.</w:t>
      </w:r>
    </w:p>
    <w:bookmarkEnd w:id="13"/>
    <w:p w14:paraId="0FD5B134">
      <w:pPr>
        <w:ind w:firstLine="420"/>
      </w:pPr>
      <w:r>
        <w:t>Therefore, the purpose of this study was to investigate the effects of an INT-based program on lower-limb explosive performance and movement quality in youth swimmers. It was hypothesized that INT would significantly enhance explosive capacity while improving neuromuscular control and reducing movement asymmetries, thereby providing a superior biomechanical foundation for swimming-specific explosive actions.</w:t>
      </w:r>
    </w:p>
    <w:p w14:paraId="13FBDE7A">
      <w:pPr>
        <w:pStyle w:val="3"/>
      </w:pPr>
      <w:r>
        <w:rPr>
          <w:rFonts w:ascii="Times New Roman" w:hAnsi="Times New Roman" w:eastAsia="黑体"/>
        </w:rPr>
        <w:t>2. Methods</w:t>
      </w:r>
    </w:p>
    <w:p w14:paraId="4092A5D8">
      <w:pPr>
        <w:pStyle w:val="4"/>
      </w:pPr>
      <w:r>
        <w:rPr>
          <w:rFonts w:ascii="Times New Roman" w:hAnsi="Times New Roman" w:eastAsia="黑体"/>
        </w:rPr>
        <w:t>2.1 Participants</w:t>
      </w:r>
    </w:p>
    <w:p w14:paraId="42FEBBC5">
      <w:pPr>
        <w:bidi w:val="0"/>
        <w:spacing w:line="240" w:lineRule="auto"/>
        <w:jc w:val="left"/>
        <w:rPr>
          <w:rFonts w:hint="eastAsia"/>
          <w:color w:val="FF0000"/>
          <w:lang w:eastAsia="zh-CN"/>
        </w:rPr>
      </w:pPr>
      <w:r>
        <w:rPr>
          <w:rFonts w:hint="eastAsia"/>
          <w:color w:val="FF0000"/>
          <w:lang w:eastAsia="zh-CN"/>
        </w:rPr>
        <w:t>Seventeen competitive adolescent swimmers (6 males, 11 females; age: 10.5 +/- 1.4 years; height: 149.0 +/- 13.5 cm; body mass: 37.9 +/- 10.7 kg) were recruited from DY Olympic School on 31 March 2025, a government-supported adolescent training department. All participants met the following inclusion criteria: (i) a minimum of one year of systematic swimming training; (ii) classification as Tier 2 (developmental athletes) according to the participant classification framework; (iii) proficiency in all four competitive swimming strokes; and (iv) regular supervised aquatic training with a frequency of no fewer than three weekly sessions under the same head coach. Athletes were free from musculoskeletal, neurological, or orthopedic disorders within the previous 6 months and did not take nutritional supplements or medications known to affect physical performance. Sample-size planning was aligned to the final mixed repeated-measures ANOVA framework. Using G*Power (version 3.1.9; Heinrich Heine University, Duesseldorf, Germany), the unified settings were F tests, ANOVA: repeated measures, within-between interaction, with alpha = 0.05, power = 0.80, two groups, two measurements, and a medium effect size (f = 0.25). The 15-m sprint time outcome was used as the representative primary endpoint because it most directly reflects swimming-start performance. Because the accessible competitive cohort was limited, all eligible swimmers were enrolled, resulting in a final sample of 17 participants. The protocol was approved by the Ethics Committee of Chengdu Sport University, Sichuan, China (approval code [ETHICS APPROVAL CODE TO BE INSERTED]). Participants provided assent, and written informed consent was obtained from their parents or legal guardians before participation.</w:t>
      </w:r>
    </w:p>
    <w:p w14:paraId="40778824">
      <w:pPr>
        <w:bidi w:val="0"/>
        <w:spacing w:line="240" w:lineRule="auto"/>
        <w:jc w:val="left"/>
      </w:pPr>
      <w:r>
        <w:t>2.2 Integrated Neuromuscular Training Testing Procedures</w:t>
      </w:r>
    </w:p>
    <w:p w14:paraId="44AEAF89">
      <w:pPr>
        <w:ind w:firstLine="420"/>
        <w:rPr>
          <w:lang w:eastAsia="zh-CN"/>
        </w:rPr>
      </w:pPr>
      <w:r>
        <w:t>Before the experiment, participants completed the Functional Movement Screen (FMS) to assess fundamental movement patterns and identify potential functional deficits, thereby providing individualized baseline information for the subsequent training intervention. Participants were then randomly allocated by computer into either an integrated neuromuscular training group (INTG; n = 9) or a c</w:t>
      </w:r>
      <w:r>
        <w:rPr>
          <w:rFonts w:hint="eastAsia"/>
          <w:lang w:eastAsia="zh-CN"/>
        </w:rPr>
        <w:t>ontrol</w:t>
      </w:r>
      <w:r>
        <w:t xml:space="preserve"> group (CON; n = 8). Baseline testing was conducted one week before the intervention, and post-intervention testing was conducted one week after the completion of training. Subjects of the INT group performed INT with 2</w:t>
      </w:r>
      <w:r>
        <w:rPr>
          <w:rFonts w:hint="eastAsia"/>
          <w:lang w:eastAsia="zh-CN"/>
        </w:rPr>
        <w:t xml:space="preserve"> </w:t>
      </w:r>
      <w:r>
        <w:t>sessions per week for 8 weeks, whereas the CON completed a traditional strength and conditioning program</w:t>
      </w:r>
      <w:r>
        <w:rPr>
          <w:rFonts w:hint="eastAsia"/>
          <w:lang w:eastAsia="zh-CN"/>
        </w:rPr>
        <w:t xml:space="preserve"> over the same duration. </w:t>
      </w:r>
    </w:p>
    <w:p w14:paraId="7C90E82B">
      <w:pPr>
        <w:ind w:firstLine="420"/>
      </w:pPr>
      <w:r>
        <w:t>The training protocol was developed based on previous studies</w:t>
      </w:r>
      <w:r>
        <w:fldChar w:fldCharType="begin"/>
      </w:r>
      <w:r>
        <w:instrText xml:space="preserve"> ADDIN ZOTERO_ITEM CSL_CITATION {"citationID":"QUU9kIJI","properties":{"formattedCitation":"(27\\uc0\\u8211{}29)","plainCitation":"(27–29)","noteIndex":0},"citationItems":[{"id":197,"uris":["http://zotero.org/users/local/uTk9sRyd/items/PCUKIMCI"],"itemDat</w:instrText>
      </w:r>
      <w:r>
        <w:rPr>
          <w:rFonts w:hint="eastAsia"/>
        </w:rPr>
        <w:instrText xml:space="preserve">a":{"id":197,"type":"article-journal","container-title":"体育科学","issue":"2","journalAbbreviation":"体育科学","language":"zh","page":"66–75","source":"Google Scholar","title":"整合性神经肌肉训练对提高女子运动员运动表现及预防运动损伤的影响","volume":"37","author":[{"literal":"何鹏飞"},{"literal":"董范"},{"literal":"姜自立"}],"issued":{"date-parts":[["2017"]]}}},{"id":441,"uris":["http://zotero.org/users/local/uTk9sRyd/items/Q5C9HKZK"],"itemData":{"id":441,"type":"article-journal","abstract":"Objectives. Investigate the effects of integrated neuromusc</w:instrText>
      </w:r>
      <w:r>
        <w:instrText xml:space="preserve">ular training (INT) on injury prevention and the performance of professional female badminton athletes by comparing their preintervention and postintervention tests. The study hypothesized that integrated neuromuscular training can improve the asymmetry and improve the sport performance of female badminton players. Methods. According to pretest value based on functional movement screening, 38 participants were divided into a high-risk group (HG) and a low-risk group (LG) with 22 and 16 people in each group. Two groups of athletes took part in an 8-week INT program consisting of four 90-min sessions each week. The asymmetries in movement, physical fitness, and special abilities were tested before and after the intervention. Independent sample t-test was used for the statistical analysis. Results. This research found indicated that 8 weeks of INT influenced FMS scores in both groups (HG and LG). The change of inline lunge (ESH = 0.42, ESL = 0.21) and trunk stability push-up (ESH = ?0.58, ESL = ?0.20) showed significant differences (P &lt; 0.05), and the change of the FMS scores (ESH = 0.81, ESL = 0.65), deep squat (ESH = 0.6, ESL = 0.3), and rotation stability (ESH = ?0.65, ESL = ?0.72) showed very significant differences (P &lt; 0.01). Compared to the pretest, most of the physical fitness parameters improved significantly in the HG and LG groups except strength index, and special abilities of the HG and LG group women badminton athletes showed a substantial increase. Conclusion. Integrated neuromuscular training can effectively improve the asymmetry of female badminton athletes? limbs, prevent sports injury, and improve the athlete?s performance ability. However, athletes in different risk groups have certain differences in the degree of improvement in their motor skills.","container-title":"BioMed Research International","DOI":"10.1155/2021/5555853","ISSN":"2314-6133","issue":"1","journalAbbreviation":"Biomed Res. Int.","language":"en","note":"TLDR: Investigating the effects of integrated neuromuscular training on injury prevention and the performance of professional female badminton athletes by comparing their preintervention and postintervention tests indicated that 8 weeks of INT influenced FMS scores in both groups.","page":"5555853","publisher":"John Wiley &amp; Sons, Ltd","source":"onlinelibrary.wiley.com (Atypon)","title":"Effect of integrative neuromuscular training for injury prevention and sports performance of female badminton players","volume":"2021","author":[{"family":"Zhao","given":"Wei"},{"family":"Wang","given":"Changquan"},{"family":"Bi","given":"Yan"},{"family":"Chen","given":"Lianxu"}],"issued":{"date-parts":[["2021",1]]}}},{"id":523,"uris":["http://zotero.org/users/local/uTk9sRyd/items/M5MGZVT8"],"itemData":{"id":523,"type":"article-journal","container-title":"Pediatric exercise science","DOI":"10.1123/pes.23.4.573","issue":"4","journalAbbreviation":"Pediatr. exerc. sci.","language":"en","note":"TLDR: Data indicate that INT is an effective and time-efficient addition to PE as evidenced by improvements in health- and skill-related fitness measures in children.","page":"573–584","publisher":"Human Kinetics, Inc.","source":"Google Scholar","title":"Effects of integrative neuromuscular training on fitness performance in children","volume":"23","author":[{"family":"Faigenbaum","given":"Avery D."},{"family":"Farrell","given":"Anne"},{"family":"Fabiano","given":"Marc"},{"family":"Radler","given":"Tracy"},{"family":"Naclerio","given":"Fernando"},{"family":"Ratamess","given":"Nicholas A."},{"family":"Kang","given":"Jie"},{"family":"Myer","given":"Gregory D."}],"issued":{"date-parts":[["2011"]]}}}],"schema":"https://github.com/citation-style-language/schema/raw/master/csl-citation.json"} </w:instrText>
      </w:r>
      <w:r>
        <w:fldChar w:fldCharType="separate"/>
      </w:r>
      <w:r>
        <w:rPr>
          <w:rFonts w:cs="Times New Roman"/>
        </w:rPr>
        <w:t>(27–29)</w:t>
      </w:r>
      <w:r>
        <w:fldChar w:fldCharType="end"/>
      </w:r>
      <w:r>
        <w:rPr>
          <w:rFonts w:hint="eastAsia"/>
          <w:lang w:eastAsia="zh-CN"/>
        </w:rPr>
        <w:t xml:space="preserve">, which mostly </w:t>
      </w:r>
      <w:r>
        <w:rPr>
          <w:lang w:eastAsia="zh-CN"/>
        </w:rPr>
        <w:t>focus on general youth fitness and land-based sports</w:t>
      </w:r>
      <w:r>
        <w:rPr>
          <w:rFonts w:hint="eastAsia"/>
          <w:lang w:eastAsia="zh-CN"/>
        </w:rPr>
        <w:t>.</w:t>
      </w:r>
      <w:r>
        <w:t xml:space="preserve"> Following consultation with experienced swimming coaches and </w:t>
      </w:r>
      <w:r>
        <w:rPr>
          <w:rFonts w:hint="eastAsia"/>
          <w:lang w:eastAsia="zh-CN"/>
        </w:rPr>
        <w:t>physical training</w:t>
      </w:r>
      <w:r>
        <w:t xml:space="preserve"> experts, the training protocol was refined to better align with the biomechanical and neuromuscular demands of swimming.</w:t>
      </w:r>
      <w:r>
        <w:rPr>
          <w:rFonts w:hint="eastAsia"/>
        </w:rPr>
        <w:t xml:space="preserve"> </w:t>
      </w:r>
      <w:r>
        <w:rPr>
          <w:rFonts w:hint="eastAsia"/>
          <w:lang w:eastAsia="zh-CN"/>
        </w:rPr>
        <w:t>(Table 1)</w:t>
      </w:r>
      <w:r>
        <w:t>. The primary difference between the two programs lay in their training focus. The INT program emphasized movement integration and proprioceptive development through multi-planar, unstable-surface exercises to enhance neuromuscular control. In contrast, the CON program primarily focused on increasing absolute muscle strength through traditional, stable-surface exercises</w:t>
      </w:r>
      <w:r>
        <w:rPr>
          <w:rFonts w:hint="eastAsia"/>
          <w:lang w:eastAsia="zh-CN"/>
        </w:rPr>
        <w:t>.</w:t>
      </w:r>
      <w:r>
        <w:t xml:space="preserve"> The </w:t>
      </w:r>
      <w:r>
        <w:rPr>
          <w:lang w:eastAsia="zh-CN"/>
        </w:rPr>
        <w:t>INT</w:t>
      </w:r>
      <w:r>
        <w:rPr>
          <w:rFonts w:hint="eastAsia"/>
          <w:lang w:eastAsia="zh-CN"/>
        </w:rPr>
        <w:t xml:space="preserve"> </w:t>
      </w:r>
      <w:r>
        <w:t>program primarily consisted of modules targeting warm-up, strength training, plyometric training, speed and agility training, balance training, and core stability. Training sessions were conducted on Wednesday and Friday afternoons</w:t>
      </w:r>
      <w:r>
        <w:rPr>
          <w:rFonts w:hint="eastAsia"/>
          <w:lang w:eastAsia="zh-CN"/>
        </w:rPr>
        <w:t xml:space="preserve">. </w:t>
      </w:r>
      <w:r>
        <w:rPr>
          <w:lang w:eastAsia="zh-CN"/>
        </w:rPr>
        <w:t>Since the athletes continued their routine aquatic training during this period to maintain neuromuscular adaptations, the 4-day interval between sessions would not lead to a loss of accumulated training effects</w:t>
      </w:r>
      <w:r>
        <w:t>. After a standardized 15-min warm-up, the INTG completed 45 min of INT, while the CON completed 45 min of traditional physical conditioning after the same warm-up</w:t>
      </w:r>
      <w:r>
        <w:rPr>
          <w:rFonts w:hint="eastAsia"/>
          <w:lang w:eastAsia="zh-CN"/>
        </w:rPr>
        <w:t xml:space="preserve"> (Table 2)</w:t>
      </w:r>
      <w:r>
        <w:t>. Rest intervals were 1–2 min between sets. Adequate recovery was provided between agility, plyometric, and resistance components to ensure training quality. To keep overall training load comparable between groups, internal load was monitored each session using the Borg Rating of Perceived Exertion (RPE) scale. Mann–Whitney U tests indicated no significant difference in mean RPE between the INTG and CON across the 8-week intervention (p = 0.837), suggesting that between-group differences were primarily attributable to training content rather than training volume or effort</w:t>
      </w:r>
      <w:r>
        <w:rPr>
          <w:rFonts w:hint="eastAsia"/>
          <w:lang w:eastAsia="zh-CN"/>
        </w:rPr>
        <w:t xml:space="preserve"> (Supplementary 1)</w:t>
      </w:r>
      <w:r>
        <w:t>.</w:t>
      </w:r>
    </w:p>
    <w:p w14:paraId="5E27ABCF">
      <w:pPr>
        <w:ind w:firstLine="420"/>
        <w:rPr>
          <w:lang w:eastAsia="zh-CN"/>
        </w:rPr>
      </w:pPr>
      <w:r>
        <w:t>To maximize neuromuscular recruitment, the 8-week intervention was divided into two progressive phases. The first 4 weeks focused on standardizing fundamental movement patterns and correcting functional deficits, including bodyweight squats, BOSU-based stability exercises, and basic landing/attenuation techniques</w:t>
      </w:r>
      <w:r>
        <w:rPr>
          <w:rFonts w:hint="eastAsia"/>
          <w:lang w:eastAsia="zh-CN"/>
        </w:rPr>
        <w:t xml:space="preserve"> (Table 1)</w:t>
      </w:r>
      <w:r>
        <w:t>. The final 4 weeks emphasized sport-specific transfer by incorporating higher-intensity stretch–shortening cycle (SSC) activities</w:t>
      </w:r>
      <w:r>
        <w:rPr>
          <w:rFonts w:hint="eastAsia"/>
          <w:lang w:eastAsia="zh-CN"/>
        </w:rPr>
        <w:t xml:space="preserve"> </w:t>
      </w:r>
      <w:r>
        <w:t>and progressively increasing external load to further enhance sport-specific performance.</w:t>
      </w:r>
    </w:p>
    <w:p w14:paraId="35FFF13E">
      <w:pPr>
        <w:ind w:firstLine="420"/>
        <w:rPr>
          <w:lang w:eastAsia="zh-CN"/>
        </w:rPr>
      </w:pPr>
      <w:r>
        <w:rPr>
          <w:lang w:eastAsia="zh-CN"/>
        </w:rPr>
        <w:t>To minimize assessment bias, all physical performance tests and the FMS were conducted by independent assessors who were not involved in the training intervention and were blinded to the group allocation</w:t>
      </w:r>
      <w:r>
        <w:rPr>
          <w:rFonts w:hint="eastAsia"/>
          <w:lang w:eastAsia="zh-CN"/>
        </w:rPr>
        <w:t>.</w:t>
      </w:r>
    </w:p>
    <w:p w14:paraId="074A8A00">
      <w:pPr>
        <w:jc w:val="center"/>
      </w:pPr>
      <w:r>
        <w:t xml:space="preserve">Table </w:t>
      </w:r>
      <w:r>
        <w:fldChar w:fldCharType="begin"/>
      </w:r>
      <w:r>
        <w:instrText xml:space="preserve"> SEQ Table \* ARABIC </w:instrText>
      </w:r>
      <w:r>
        <w:fldChar w:fldCharType="separate"/>
      </w:r>
      <w:r>
        <w:t>1</w:t>
      </w:r>
      <w:r>
        <w:fldChar w:fldCharType="end"/>
      </w:r>
      <w:r>
        <w:rPr>
          <w:rFonts w:hint="eastAsia"/>
          <w:lang w:eastAsia="zh-CN"/>
        </w:rPr>
        <w:t xml:space="preserve"> </w:t>
      </w:r>
      <w:bookmarkStart w:id="18" w:name="OLE_LINK49"/>
      <w:r>
        <w:rPr>
          <w:rFonts w:hint="eastAsia"/>
          <w:lang w:eastAsia="zh-CN"/>
        </w:rPr>
        <w:t>Progression of</w:t>
      </w:r>
      <w:bookmarkEnd w:id="18"/>
      <w:r>
        <w:rPr>
          <w:rFonts w:hint="eastAsia"/>
          <w:lang w:eastAsia="zh-CN"/>
        </w:rPr>
        <w:t xml:space="preserve"> the 8-week Integrated Neuromuscular Training (INT) program.</w:t>
      </w:r>
    </w:p>
    <w:tbl>
      <w:tblPr>
        <w:tblStyle w:val="167"/>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04"/>
        <w:gridCol w:w="3107"/>
        <w:gridCol w:w="3651"/>
      </w:tblGrid>
      <w:tr w14:paraId="64D372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auto" w:sz="12" w:space="0"/>
              <w:left w:val="nil"/>
              <w:bottom w:val="single" w:color="auto" w:sz="6" w:space="0"/>
              <w:right w:val="nil"/>
              <w:insideH w:val="single" w:sz="6" w:space="0"/>
              <w:insideV w:val="nil"/>
              <w:tl2br w:val="nil"/>
              <w:tr2bl w:val="nil"/>
            </w:tcBorders>
            <w:vAlign w:val="center"/>
          </w:tcPr>
          <w:p w14:paraId="17A07389">
            <w:pPr>
              <w:widowControl w:val="0"/>
              <w:kinsoku w:val="0"/>
              <w:rPr>
                <w:rFonts w:cs="Times New Roman"/>
                <w:sz w:val="20"/>
                <w:szCs w:val="20"/>
                <w:lang w:eastAsia="zh-CN"/>
              </w:rPr>
            </w:pPr>
            <w:bookmarkStart w:id="19" w:name="OLE_LINK48"/>
          </w:p>
        </w:tc>
        <w:tc>
          <w:tcPr>
            <w:tcW w:w="3107" w:type="dxa"/>
            <w:tcBorders>
              <w:top w:val="single" w:color="auto" w:sz="12" w:space="0"/>
              <w:bottom w:val="single" w:color="auto" w:sz="6" w:space="0"/>
              <w:right w:val="nil"/>
              <w:insideH w:val="single" w:sz="6" w:space="0"/>
              <w:insideV w:val="nil"/>
              <w:tl2br w:val="nil"/>
              <w:tr2bl w:val="nil"/>
            </w:tcBorders>
            <w:vAlign w:val="center"/>
          </w:tcPr>
          <w:p w14:paraId="017D1CC6">
            <w:pPr>
              <w:widowControl w:val="0"/>
              <w:kinsoku w:val="0"/>
              <w:rPr>
                <w:rFonts w:cs="Times New Roman"/>
                <w:sz w:val="20"/>
                <w:szCs w:val="20"/>
                <w:lang w:eastAsia="zh-CN"/>
              </w:rPr>
            </w:pPr>
            <w:r>
              <w:rPr>
                <w:rFonts w:cs="Times New Roman"/>
                <w:sz w:val="20"/>
                <w:szCs w:val="20"/>
                <w:lang w:eastAsia="zh-CN"/>
              </w:rPr>
              <w:t>Weeks 1–4</w:t>
            </w:r>
          </w:p>
        </w:tc>
        <w:tc>
          <w:tcPr>
            <w:tcW w:w="3651" w:type="dxa"/>
            <w:tcBorders>
              <w:top w:val="single" w:color="auto" w:sz="12" w:space="0"/>
              <w:bottom w:val="single" w:color="auto" w:sz="6" w:space="0"/>
              <w:right w:val="nil"/>
              <w:insideH w:val="single" w:sz="6" w:space="0"/>
              <w:insideV w:val="nil"/>
              <w:tl2br w:val="nil"/>
              <w:tr2bl w:val="nil"/>
            </w:tcBorders>
            <w:vAlign w:val="center"/>
          </w:tcPr>
          <w:p w14:paraId="37C58EC7">
            <w:pPr>
              <w:widowControl w:val="0"/>
              <w:kinsoku w:val="0"/>
              <w:rPr>
                <w:rFonts w:cs="Times New Roman"/>
                <w:sz w:val="20"/>
                <w:szCs w:val="20"/>
                <w:lang w:eastAsia="zh-CN"/>
              </w:rPr>
            </w:pPr>
            <w:r>
              <w:rPr>
                <w:rFonts w:cs="Times New Roman"/>
                <w:sz w:val="20"/>
                <w:szCs w:val="20"/>
                <w:lang w:eastAsia="zh-CN"/>
              </w:rPr>
              <w:t>Weeks 5–8</w:t>
            </w:r>
          </w:p>
        </w:tc>
      </w:tr>
      <w:tr w14:paraId="3609173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1ECC19F9">
            <w:pPr>
              <w:widowControl w:val="0"/>
              <w:kinsoku w:val="0"/>
              <w:rPr>
                <w:rFonts w:cs="Times New Roman"/>
                <w:sz w:val="20"/>
                <w:szCs w:val="20"/>
                <w:lang w:eastAsia="zh-CN"/>
              </w:rPr>
            </w:pPr>
            <w:r>
              <w:rPr>
                <w:rFonts w:cs="Times New Roman"/>
                <w:sz w:val="20"/>
                <w:szCs w:val="20"/>
                <w:lang w:eastAsia="zh-CN"/>
              </w:rPr>
              <w:t>Plyometrics &amp; Explosive Power</w:t>
            </w:r>
          </w:p>
        </w:tc>
        <w:tc>
          <w:tcPr>
            <w:tcW w:w="3107" w:type="dxa"/>
            <w:vAlign w:val="center"/>
          </w:tcPr>
          <w:p w14:paraId="4B5D3331">
            <w:pPr>
              <w:widowControl w:val="0"/>
              <w:kinsoku w:val="0"/>
              <w:rPr>
                <w:rFonts w:cs="Times New Roman"/>
                <w:sz w:val="20"/>
                <w:szCs w:val="20"/>
                <w:lang w:eastAsia="zh-CN"/>
              </w:rPr>
            </w:pPr>
            <w:r>
              <w:rPr>
                <w:rFonts w:cs="Times New Roman"/>
                <w:sz w:val="20"/>
                <w:szCs w:val="20"/>
                <w:lang w:eastAsia="zh-CN"/>
              </w:rPr>
              <w:t>Drop jump (30 cm);</w:t>
            </w:r>
          </w:p>
          <w:p w14:paraId="59B0E73E">
            <w:pPr>
              <w:widowControl w:val="0"/>
              <w:kinsoku w:val="0"/>
              <w:rPr>
                <w:rFonts w:cs="Times New Roman"/>
                <w:sz w:val="20"/>
                <w:szCs w:val="20"/>
                <w:lang w:eastAsia="zh-CN"/>
              </w:rPr>
            </w:pPr>
            <w:r>
              <w:rPr>
                <w:rFonts w:hint="eastAsia" w:cs="Times New Roman"/>
                <w:sz w:val="20"/>
                <w:szCs w:val="20"/>
                <w:lang w:eastAsia="zh-CN"/>
              </w:rPr>
              <w:t>3 sets of 8 reps</w:t>
            </w:r>
          </w:p>
          <w:p w14:paraId="59F6420F">
            <w:pPr>
              <w:widowControl w:val="0"/>
              <w:kinsoku w:val="0"/>
              <w:rPr>
                <w:rFonts w:cs="Times New Roman"/>
                <w:sz w:val="20"/>
                <w:szCs w:val="20"/>
                <w:lang w:eastAsia="zh-CN"/>
              </w:rPr>
            </w:pPr>
            <w:r>
              <w:rPr>
                <w:rFonts w:cs="Times New Roman"/>
                <w:sz w:val="20"/>
                <w:szCs w:val="20"/>
                <w:lang w:eastAsia="zh-CN"/>
              </w:rPr>
              <w:t>Single-leg drop landing (30 cm)</w:t>
            </w:r>
          </w:p>
          <w:p w14:paraId="170D1B7C">
            <w:pPr>
              <w:widowControl w:val="0"/>
              <w:kinsoku w:val="0"/>
              <w:rPr>
                <w:rFonts w:cs="Times New Roman"/>
                <w:sz w:val="20"/>
                <w:szCs w:val="20"/>
                <w:lang w:eastAsia="zh-CN"/>
              </w:rPr>
            </w:pPr>
            <w:r>
              <w:rPr>
                <w:rFonts w:hint="eastAsia" w:cs="Times New Roman"/>
                <w:sz w:val="20"/>
                <w:szCs w:val="20"/>
                <w:lang w:eastAsia="zh-CN"/>
              </w:rPr>
              <w:t>2 sets of 8 reps</w:t>
            </w:r>
          </w:p>
        </w:tc>
        <w:tc>
          <w:tcPr>
            <w:tcW w:w="3651" w:type="dxa"/>
            <w:vAlign w:val="center"/>
          </w:tcPr>
          <w:p w14:paraId="55F10447">
            <w:pPr>
              <w:widowControl w:val="0"/>
              <w:kinsoku w:val="0"/>
              <w:rPr>
                <w:rFonts w:cs="Times New Roman"/>
                <w:sz w:val="20"/>
                <w:szCs w:val="20"/>
                <w:lang w:eastAsia="zh-CN"/>
              </w:rPr>
            </w:pPr>
            <w:r>
              <w:rPr>
                <w:rFonts w:cs="Times New Roman"/>
                <w:sz w:val="20"/>
                <w:szCs w:val="20"/>
                <w:lang w:eastAsia="zh-CN"/>
              </w:rPr>
              <w:t>Depth jumps to broad jump</w:t>
            </w:r>
          </w:p>
          <w:p w14:paraId="54E1ABBB">
            <w:pPr>
              <w:widowControl w:val="0"/>
              <w:kinsoku w:val="0"/>
              <w:rPr>
                <w:rFonts w:cs="Times New Roman"/>
                <w:sz w:val="20"/>
                <w:szCs w:val="20"/>
                <w:lang w:eastAsia="zh-CN"/>
              </w:rPr>
            </w:pPr>
            <w:r>
              <w:rPr>
                <w:rFonts w:hint="eastAsia" w:cs="Times New Roman"/>
                <w:sz w:val="20"/>
                <w:szCs w:val="20"/>
                <w:lang w:eastAsia="zh-CN"/>
              </w:rPr>
              <w:t>3 sets of 6 reps</w:t>
            </w:r>
          </w:p>
          <w:p w14:paraId="3E9F906A">
            <w:pPr>
              <w:widowControl w:val="0"/>
              <w:kinsoku w:val="0"/>
              <w:rPr>
                <w:rFonts w:cs="Times New Roman"/>
                <w:sz w:val="20"/>
                <w:szCs w:val="20"/>
                <w:lang w:eastAsia="zh-CN"/>
              </w:rPr>
            </w:pPr>
            <w:r>
              <w:rPr>
                <w:rFonts w:cs="Times New Roman"/>
                <w:sz w:val="20"/>
                <w:szCs w:val="20"/>
                <w:lang w:eastAsia="zh-CN"/>
              </w:rPr>
              <w:t>Jump to single-leg support</w:t>
            </w:r>
          </w:p>
          <w:p w14:paraId="6CE41619">
            <w:pPr>
              <w:widowControl w:val="0"/>
              <w:kinsoku w:val="0"/>
              <w:rPr>
                <w:rFonts w:cs="Times New Roman"/>
                <w:sz w:val="20"/>
                <w:szCs w:val="20"/>
                <w:lang w:eastAsia="zh-CN"/>
              </w:rPr>
            </w:pPr>
            <w:r>
              <w:rPr>
                <w:rFonts w:hint="eastAsia" w:cs="Times New Roman"/>
                <w:sz w:val="20"/>
                <w:szCs w:val="20"/>
                <w:lang w:eastAsia="zh-CN"/>
              </w:rPr>
              <w:t>3 sets of 8 reps</w:t>
            </w:r>
          </w:p>
        </w:tc>
      </w:tr>
      <w:tr w14:paraId="1B24F06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15CD4D3D">
            <w:pPr>
              <w:widowControl w:val="0"/>
              <w:kinsoku w:val="0"/>
              <w:rPr>
                <w:rFonts w:cs="Times New Roman"/>
                <w:sz w:val="20"/>
                <w:szCs w:val="20"/>
                <w:lang w:eastAsia="zh-CN"/>
              </w:rPr>
            </w:pPr>
            <w:r>
              <w:rPr>
                <w:rFonts w:cs="Times New Roman"/>
                <w:sz w:val="20"/>
                <w:szCs w:val="20"/>
                <w:lang w:eastAsia="zh-CN"/>
              </w:rPr>
              <w:t>Lower-limb Strength</w:t>
            </w:r>
          </w:p>
        </w:tc>
        <w:tc>
          <w:tcPr>
            <w:tcW w:w="3107" w:type="dxa"/>
            <w:vAlign w:val="center"/>
          </w:tcPr>
          <w:p w14:paraId="18F52679">
            <w:pPr>
              <w:widowControl w:val="0"/>
              <w:kinsoku w:val="0"/>
              <w:rPr>
                <w:rFonts w:cs="Times New Roman"/>
                <w:sz w:val="20"/>
                <w:szCs w:val="20"/>
                <w:lang w:eastAsia="zh-CN"/>
              </w:rPr>
            </w:pPr>
            <w:r>
              <w:rPr>
                <w:rFonts w:cs="Times New Roman"/>
                <w:sz w:val="20"/>
                <w:szCs w:val="20"/>
                <w:lang w:eastAsia="zh-CN"/>
              </w:rPr>
              <w:t>Squat</w:t>
            </w:r>
            <w:bookmarkStart w:id="20" w:name="OLE_LINK47"/>
            <w:r>
              <w:rPr>
                <w:rFonts w:cs="Times New Roman"/>
                <w:sz w:val="20"/>
                <w:szCs w:val="20"/>
                <w:lang w:eastAsia="zh-CN"/>
              </w:rPr>
              <w:t xml:space="preserve"> </w:t>
            </w:r>
          </w:p>
          <w:p w14:paraId="40E202EE">
            <w:pPr>
              <w:widowControl w:val="0"/>
              <w:kinsoku w:val="0"/>
              <w:rPr>
                <w:rFonts w:cs="Times New Roman"/>
                <w:sz w:val="20"/>
                <w:szCs w:val="20"/>
                <w:lang w:eastAsia="zh-CN"/>
              </w:rPr>
            </w:pPr>
            <w:r>
              <w:rPr>
                <w:rFonts w:cs="Times New Roman"/>
                <w:sz w:val="20"/>
                <w:szCs w:val="20"/>
                <w:lang w:eastAsia="zh-CN"/>
              </w:rPr>
              <w:t>3 sets</w:t>
            </w:r>
            <w:r>
              <w:rPr>
                <w:rFonts w:hint="eastAsia" w:cs="Times New Roman"/>
                <w:sz w:val="20"/>
                <w:szCs w:val="20"/>
                <w:lang w:eastAsia="zh-CN"/>
              </w:rPr>
              <w:t xml:space="preserve"> </w:t>
            </w:r>
            <w:r>
              <w:rPr>
                <w:rFonts w:cs="Times New Roman"/>
                <w:sz w:val="20"/>
                <w:szCs w:val="20"/>
                <w:lang w:eastAsia="zh-CN"/>
              </w:rPr>
              <w:t>of 6</w:t>
            </w:r>
            <w:r>
              <w:rPr>
                <w:rFonts w:hint="eastAsia" w:cs="Times New Roman"/>
                <w:sz w:val="20"/>
                <w:szCs w:val="20"/>
                <w:lang w:eastAsia="zh-CN"/>
              </w:rPr>
              <w:t xml:space="preserve"> reps</w:t>
            </w:r>
            <w:bookmarkEnd w:id="20"/>
            <w:r>
              <w:rPr>
                <w:rFonts w:hint="eastAsia" w:cs="Times New Roman"/>
                <w:sz w:val="20"/>
                <w:szCs w:val="20"/>
                <w:lang w:eastAsia="zh-CN"/>
              </w:rPr>
              <w:t xml:space="preserve">, </w:t>
            </w:r>
            <w:r>
              <w:rPr>
                <w:rFonts w:cs="Times New Roman"/>
                <w:sz w:val="20"/>
                <w:szCs w:val="20"/>
                <w:lang w:eastAsia="zh-CN"/>
              </w:rPr>
              <w:t>0–</w:t>
            </w:r>
            <w:r>
              <w:rPr>
                <w:rFonts w:hint="eastAsia" w:cs="Times New Roman"/>
                <w:sz w:val="20"/>
                <w:szCs w:val="20"/>
                <w:lang w:eastAsia="zh-CN"/>
              </w:rPr>
              <w:t>1</w:t>
            </w:r>
            <w:r>
              <w:rPr>
                <w:rFonts w:cs="Times New Roman"/>
                <w:sz w:val="20"/>
                <w:szCs w:val="20"/>
                <w:lang w:eastAsia="zh-CN"/>
              </w:rPr>
              <w:t>0 kg</w:t>
            </w:r>
          </w:p>
          <w:p w14:paraId="799A35B7">
            <w:pPr>
              <w:widowControl w:val="0"/>
              <w:kinsoku w:val="0"/>
              <w:rPr>
                <w:rFonts w:cs="Times New Roman"/>
                <w:sz w:val="20"/>
                <w:szCs w:val="20"/>
                <w:lang w:eastAsia="zh-CN"/>
              </w:rPr>
            </w:pPr>
            <w:r>
              <w:rPr>
                <w:rFonts w:cs="Times New Roman"/>
                <w:sz w:val="20"/>
                <w:szCs w:val="20"/>
                <w:lang w:eastAsia="zh-CN"/>
              </w:rPr>
              <w:t>Bulgarian split squat</w:t>
            </w:r>
          </w:p>
          <w:p w14:paraId="33448A8C">
            <w:pPr>
              <w:widowControl w:val="0"/>
              <w:kinsoku w:val="0"/>
              <w:rPr>
                <w:rFonts w:cs="Times New Roman"/>
                <w:sz w:val="20"/>
                <w:szCs w:val="20"/>
                <w:lang w:eastAsia="zh-CN"/>
              </w:rPr>
            </w:pPr>
            <w:r>
              <w:rPr>
                <w:rFonts w:hint="eastAsia" w:cs="Times New Roman"/>
                <w:sz w:val="20"/>
                <w:szCs w:val="20"/>
                <w:lang w:eastAsia="zh-CN"/>
              </w:rPr>
              <w:t>2</w:t>
            </w:r>
            <w:r>
              <w:rPr>
                <w:rFonts w:cs="Times New Roman"/>
                <w:sz w:val="20"/>
                <w:szCs w:val="20"/>
                <w:lang w:eastAsia="zh-CN"/>
              </w:rPr>
              <w:t xml:space="preserve"> sets of </w:t>
            </w:r>
            <w:r>
              <w:rPr>
                <w:rFonts w:hint="eastAsia" w:cs="Times New Roman"/>
                <w:sz w:val="20"/>
                <w:szCs w:val="20"/>
                <w:lang w:eastAsia="zh-CN"/>
              </w:rPr>
              <w:t>8</w:t>
            </w:r>
            <w:r>
              <w:rPr>
                <w:rFonts w:cs="Times New Roman"/>
                <w:sz w:val="20"/>
                <w:szCs w:val="20"/>
                <w:lang w:eastAsia="zh-CN"/>
              </w:rPr>
              <w:t xml:space="preserve"> reps</w:t>
            </w:r>
            <w:r>
              <w:rPr>
                <w:rFonts w:hint="eastAsia" w:cs="Times New Roman"/>
                <w:sz w:val="20"/>
                <w:szCs w:val="20"/>
                <w:lang w:eastAsia="zh-CN"/>
              </w:rPr>
              <w:t xml:space="preserve"> each, </w:t>
            </w:r>
            <w:r>
              <w:rPr>
                <w:rFonts w:cs="Times New Roman"/>
                <w:sz w:val="20"/>
                <w:szCs w:val="20"/>
                <w:lang w:eastAsia="zh-CN"/>
              </w:rPr>
              <w:t>0–5 kg</w:t>
            </w:r>
          </w:p>
          <w:p w14:paraId="0C8BCF0F">
            <w:pPr>
              <w:widowControl w:val="0"/>
              <w:kinsoku w:val="0"/>
              <w:rPr>
                <w:rFonts w:cs="Times New Roman"/>
                <w:sz w:val="20"/>
                <w:szCs w:val="20"/>
                <w:lang w:eastAsia="zh-CN"/>
              </w:rPr>
            </w:pPr>
            <w:r>
              <w:rPr>
                <w:rFonts w:cs="Times New Roman"/>
                <w:sz w:val="20"/>
                <w:szCs w:val="20"/>
                <w:lang w:eastAsia="zh-CN"/>
              </w:rPr>
              <w:t xml:space="preserve">Wall sit </w:t>
            </w:r>
          </w:p>
          <w:p w14:paraId="0018DAFB">
            <w:pPr>
              <w:widowControl w:val="0"/>
              <w:kinsoku w:val="0"/>
              <w:rPr>
                <w:rFonts w:cs="Times New Roman"/>
                <w:sz w:val="20"/>
                <w:szCs w:val="20"/>
                <w:lang w:eastAsia="zh-CN"/>
              </w:rPr>
            </w:pPr>
            <w:r>
              <w:rPr>
                <w:rFonts w:cs="Times New Roman"/>
                <w:sz w:val="20"/>
                <w:szCs w:val="20"/>
                <w:lang w:eastAsia="zh-CN"/>
              </w:rPr>
              <w:t xml:space="preserve">3 sets of </w:t>
            </w:r>
            <w:r>
              <w:rPr>
                <w:rFonts w:hint="eastAsia" w:cs="Times New Roman"/>
                <w:sz w:val="20"/>
                <w:szCs w:val="20"/>
                <w:lang w:eastAsia="zh-CN"/>
              </w:rPr>
              <w:t xml:space="preserve">30 sec, </w:t>
            </w:r>
            <w:r>
              <w:rPr>
                <w:rFonts w:cs="Times New Roman"/>
                <w:sz w:val="20"/>
                <w:szCs w:val="20"/>
                <w:lang w:eastAsia="zh-CN"/>
              </w:rPr>
              <w:t>bodyweight</w:t>
            </w:r>
          </w:p>
        </w:tc>
        <w:tc>
          <w:tcPr>
            <w:tcW w:w="3651" w:type="dxa"/>
            <w:vAlign w:val="center"/>
          </w:tcPr>
          <w:p w14:paraId="6260386C">
            <w:pPr>
              <w:widowControl w:val="0"/>
              <w:kinsoku w:val="0"/>
              <w:rPr>
                <w:rFonts w:cs="Times New Roman"/>
                <w:szCs w:val="20"/>
                <w:lang w:eastAsia="zh-CN"/>
              </w:rPr>
            </w:pPr>
            <w:r>
              <w:rPr>
                <w:rFonts w:cs="Times New Roman"/>
                <w:sz w:val="20"/>
                <w:szCs w:val="20"/>
                <w:lang w:eastAsia="zh-CN"/>
              </w:rPr>
              <w:t>Squat (0–20 kg)</w:t>
            </w:r>
            <w:r>
              <w:rPr>
                <w:rFonts w:cs="Times New Roman"/>
                <w:szCs w:val="20"/>
                <w:lang w:eastAsia="zh-CN"/>
              </w:rPr>
              <w:t xml:space="preserve"> </w:t>
            </w:r>
          </w:p>
          <w:p w14:paraId="5781B1C6">
            <w:pPr>
              <w:widowControl w:val="0"/>
              <w:kinsoku w:val="0"/>
              <w:rPr>
                <w:rFonts w:cs="Times New Roman"/>
                <w:sz w:val="20"/>
                <w:szCs w:val="20"/>
                <w:lang w:eastAsia="zh-CN"/>
              </w:rPr>
            </w:pPr>
            <w:r>
              <w:rPr>
                <w:rFonts w:cs="Times New Roman"/>
                <w:sz w:val="20"/>
                <w:szCs w:val="20"/>
                <w:lang w:eastAsia="zh-CN"/>
              </w:rPr>
              <w:t>3 sets of 1</w:t>
            </w:r>
            <w:r>
              <w:rPr>
                <w:rFonts w:hint="eastAsia" w:cs="Times New Roman"/>
                <w:sz w:val="20"/>
                <w:szCs w:val="20"/>
                <w:lang w:eastAsia="zh-CN"/>
              </w:rPr>
              <w:t>0</w:t>
            </w:r>
            <w:r>
              <w:rPr>
                <w:rFonts w:cs="Times New Roman"/>
                <w:sz w:val="20"/>
                <w:szCs w:val="20"/>
                <w:lang w:eastAsia="zh-CN"/>
              </w:rPr>
              <w:t xml:space="preserve"> reps</w:t>
            </w:r>
          </w:p>
          <w:p w14:paraId="1CE0C0B8">
            <w:pPr>
              <w:widowControl w:val="0"/>
              <w:kinsoku w:val="0"/>
              <w:rPr>
                <w:rFonts w:cs="Times New Roman"/>
                <w:sz w:val="20"/>
                <w:szCs w:val="20"/>
                <w:lang w:eastAsia="zh-CN"/>
              </w:rPr>
            </w:pPr>
            <w:r>
              <w:rPr>
                <w:rFonts w:cs="Times New Roman"/>
                <w:sz w:val="20"/>
                <w:szCs w:val="20"/>
                <w:lang w:eastAsia="zh-CN"/>
              </w:rPr>
              <w:t>Bulgarian split squat (0–6 kg)</w:t>
            </w:r>
          </w:p>
          <w:p w14:paraId="0CB375ED">
            <w:pPr>
              <w:widowControl w:val="0"/>
              <w:kinsoku w:val="0"/>
              <w:rPr>
                <w:rFonts w:cs="Times New Roman"/>
                <w:sz w:val="20"/>
                <w:szCs w:val="20"/>
                <w:lang w:eastAsia="zh-CN"/>
              </w:rPr>
            </w:pPr>
            <w:r>
              <w:rPr>
                <w:rFonts w:cs="Times New Roman"/>
                <w:sz w:val="20"/>
                <w:szCs w:val="20"/>
                <w:lang w:eastAsia="zh-CN"/>
              </w:rPr>
              <w:t>3 sets of 4 reps each</w:t>
            </w:r>
          </w:p>
          <w:p w14:paraId="1F389C86">
            <w:pPr>
              <w:widowControl w:val="0"/>
              <w:kinsoku w:val="0"/>
              <w:rPr>
                <w:rFonts w:cs="Times New Roman"/>
                <w:sz w:val="20"/>
                <w:szCs w:val="20"/>
                <w:lang w:eastAsia="zh-CN"/>
              </w:rPr>
            </w:pPr>
            <w:r>
              <w:rPr>
                <w:rFonts w:cs="Times New Roman"/>
                <w:sz w:val="20"/>
                <w:szCs w:val="20"/>
                <w:lang w:eastAsia="zh-CN"/>
              </w:rPr>
              <w:t>Wall sit (0–10 kg)</w:t>
            </w:r>
          </w:p>
          <w:p w14:paraId="54957D0A">
            <w:pPr>
              <w:widowControl w:val="0"/>
              <w:kinsoku w:val="0"/>
              <w:rPr>
                <w:rFonts w:cs="Times New Roman"/>
                <w:sz w:val="20"/>
                <w:szCs w:val="20"/>
                <w:lang w:eastAsia="zh-CN"/>
              </w:rPr>
            </w:pPr>
            <w:r>
              <w:rPr>
                <w:rFonts w:cs="Times New Roman"/>
                <w:sz w:val="20"/>
                <w:szCs w:val="20"/>
                <w:lang w:eastAsia="zh-CN"/>
              </w:rPr>
              <w:t>3 sets of 30 sec</w:t>
            </w:r>
          </w:p>
        </w:tc>
      </w:tr>
      <w:tr w14:paraId="2AAEC7C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73277A27">
            <w:pPr>
              <w:widowControl w:val="0"/>
              <w:kinsoku w:val="0"/>
              <w:rPr>
                <w:rFonts w:cs="Times New Roman"/>
                <w:sz w:val="20"/>
                <w:szCs w:val="20"/>
                <w:lang w:eastAsia="zh-CN"/>
              </w:rPr>
            </w:pPr>
            <w:r>
              <w:rPr>
                <w:rFonts w:cs="Times New Roman"/>
                <w:sz w:val="20"/>
                <w:szCs w:val="20"/>
                <w:lang w:eastAsia="zh-CN"/>
              </w:rPr>
              <w:t>Core Stability</w:t>
            </w:r>
          </w:p>
        </w:tc>
        <w:tc>
          <w:tcPr>
            <w:tcW w:w="3107" w:type="dxa"/>
            <w:vAlign w:val="center"/>
          </w:tcPr>
          <w:p w14:paraId="211AC6D6">
            <w:pPr>
              <w:widowControl w:val="0"/>
              <w:kinsoku w:val="0"/>
              <w:rPr>
                <w:rFonts w:cs="Times New Roman"/>
                <w:sz w:val="20"/>
                <w:szCs w:val="20"/>
                <w:lang w:eastAsia="zh-CN"/>
              </w:rPr>
            </w:pPr>
            <w:r>
              <w:rPr>
                <w:rFonts w:cs="Times New Roman"/>
                <w:sz w:val="20"/>
                <w:szCs w:val="20"/>
                <w:lang w:eastAsia="zh-CN"/>
              </w:rPr>
              <w:t>BOSU plank</w:t>
            </w:r>
          </w:p>
          <w:p w14:paraId="1FC3CF3D">
            <w:pPr>
              <w:widowControl w:val="0"/>
              <w:kinsoku w:val="0"/>
              <w:rPr>
                <w:rFonts w:cs="Times New Roman"/>
                <w:sz w:val="20"/>
                <w:szCs w:val="20"/>
                <w:lang w:eastAsia="zh-CN"/>
              </w:rPr>
            </w:pPr>
            <w:r>
              <w:rPr>
                <w:rFonts w:cs="Times New Roman"/>
                <w:sz w:val="20"/>
                <w:szCs w:val="20"/>
                <w:lang w:eastAsia="zh-CN"/>
              </w:rPr>
              <w:t xml:space="preserve">3 sets of </w:t>
            </w:r>
            <w:r>
              <w:rPr>
                <w:rFonts w:hint="eastAsia" w:cs="Times New Roman"/>
                <w:sz w:val="20"/>
                <w:szCs w:val="20"/>
                <w:lang w:eastAsia="zh-CN"/>
              </w:rPr>
              <w:t>60</w:t>
            </w:r>
            <w:r>
              <w:rPr>
                <w:rFonts w:cs="Times New Roman"/>
                <w:sz w:val="20"/>
                <w:szCs w:val="20"/>
                <w:lang w:eastAsia="zh-CN"/>
              </w:rPr>
              <w:t xml:space="preserve"> sec </w:t>
            </w:r>
          </w:p>
          <w:p w14:paraId="2F4BF52A">
            <w:pPr>
              <w:widowControl w:val="0"/>
              <w:kinsoku w:val="0"/>
              <w:rPr>
                <w:rFonts w:cs="Times New Roman"/>
                <w:sz w:val="20"/>
                <w:szCs w:val="20"/>
                <w:lang w:eastAsia="zh-CN"/>
              </w:rPr>
            </w:pPr>
            <w:r>
              <w:rPr>
                <w:rFonts w:cs="Times New Roman"/>
                <w:sz w:val="20"/>
                <w:szCs w:val="20"/>
                <w:lang w:eastAsia="zh-CN"/>
              </w:rPr>
              <w:t>BOSU side plank</w:t>
            </w:r>
          </w:p>
          <w:p w14:paraId="48697160">
            <w:pPr>
              <w:widowControl w:val="0"/>
              <w:kinsoku w:val="0"/>
              <w:rPr>
                <w:rFonts w:cs="Times New Roman"/>
                <w:sz w:val="20"/>
                <w:szCs w:val="20"/>
                <w:lang w:eastAsia="zh-CN"/>
              </w:rPr>
            </w:pPr>
            <w:r>
              <w:rPr>
                <w:rFonts w:cs="Times New Roman"/>
                <w:sz w:val="20"/>
                <w:szCs w:val="20"/>
                <w:lang w:eastAsia="zh-CN"/>
              </w:rPr>
              <w:t xml:space="preserve">3 sets of 30 sec each </w:t>
            </w:r>
          </w:p>
          <w:p w14:paraId="534752F9">
            <w:pPr>
              <w:widowControl w:val="0"/>
              <w:kinsoku w:val="0"/>
              <w:rPr>
                <w:rFonts w:cs="Times New Roman"/>
                <w:sz w:val="20"/>
                <w:szCs w:val="20"/>
                <w:lang w:eastAsia="zh-CN"/>
              </w:rPr>
            </w:pPr>
            <w:r>
              <w:rPr>
                <w:rFonts w:cs="Times New Roman"/>
                <w:sz w:val="20"/>
                <w:szCs w:val="20"/>
                <w:lang w:eastAsia="zh-CN"/>
              </w:rPr>
              <w:t>Plank shoulder taps</w:t>
            </w:r>
          </w:p>
          <w:p w14:paraId="4C862919">
            <w:pPr>
              <w:widowControl w:val="0"/>
              <w:kinsoku w:val="0"/>
              <w:rPr>
                <w:rFonts w:cs="Times New Roman"/>
                <w:sz w:val="20"/>
                <w:szCs w:val="20"/>
                <w:lang w:eastAsia="zh-CN"/>
              </w:rPr>
            </w:pPr>
            <w:r>
              <w:rPr>
                <w:rFonts w:cs="Times New Roman"/>
                <w:sz w:val="20"/>
                <w:szCs w:val="20"/>
                <w:lang w:eastAsia="zh-CN"/>
              </w:rPr>
              <w:t>3 sets of 12 reps</w:t>
            </w:r>
          </w:p>
        </w:tc>
        <w:tc>
          <w:tcPr>
            <w:tcW w:w="3651" w:type="dxa"/>
            <w:vAlign w:val="center"/>
          </w:tcPr>
          <w:p w14:paraId="41CD4C92">
            <w:pPr>
              <w:widowControl w:val="0"/>
              <w:kinsoku w:val="0"/>
              <w:rPr>
                <w:rFonts w:cs="Times New Roman"/>
                <w:sz w:val="20"/>
                <w:szCs w:val="20"/>
                <w:lang w:eastAsia="zh-CN"/>
              </w:rPr>
            </w:pPr>
            <w:r>
              <w:rPr>
                <w:rFonts w:cs="Times New Roman"/>
                <w:sz w:val="20"/>
                <w:szCs w:val="20"/>
                <w:lang w:eastAsia="zh-CN"/>
              </w:rPr>
              <w:t>BOSU plank</w:t>
            </w:r>
          </w:p>
          <w:p w14:paraId="0BD79CE2">
            <w:pPr>
              <w:widowControl w:val="0"/>
              <w:kinsoku w:val="0"/>
              <w:rPr>
                <w:rFonts w:cs="Times New Roman"/>
                <w:sz w:val="20"/>
                <w:szCs w:val="20"/>
                <w:lang w:eastAsia="zh-CN"/>
              </w:rPr>
            </w:pPr>
            <w:r>
              <w:rPr>
                <w:rFonts w:cs="Times New Roman"/>
                <w:sz w:val="20"/>
                <w:szCs w:val="20"/>
                <w:lang w:eastAsia="zh-CN"/>
              </w:rPr>
              <w:t xml:space="preserve">3 sets of 30 sec </w:t>
            </w:r>
          </w:p>
          <w:p w14:paraId="30131C23">
            <w:pPr>
              <w:widowControl w:val="0"/>
              <w:kinsoku w:val="0"/>
              <w:rPr>
                <w:rFonts w:cs="Times New Roman"/>
                <w:sz w:val="20"/>
                <w:szCs w:val="20"/>
                <w:lang w:eastAsia="zh-CN"/>
              </w:rPr>
            </w:pPr>
            <w:r>
              <w:rPr>
                <w:rFonts w:cs="Times New Roman"/>
                <w:sz w:val="20"/>
                <w:szCs w:val="20"/>
                <w:lang w:eastAsia="zh-CN"/>
              </w:rPr>
              <w:t>BOSU side plank</w:t>
            </w:r>
          </w:p>
          <w:p w14:paraId="6B8738FC">
            <w:pPr>
              <w:widowControl w:val="0"/>
              <w:kinsoku w:val="0"/>
              <w:rPr>
                <w:rFonts w:cs="Times New Roman"/>
                <w:sz w:val="20"/>
                <w:szCs w:val="20"/>
                <w:lang w:eastAsia="zh-CN"/>
              </w:rPr>
            </w:pPr>
            <w:r>
              <w:rPr>
                <w:rFonts w:cs="Times New Roman"/>
                <w:sz w:val="20"/>
                <w:szCs w:val="20"/>
                <w:lang w:eastAsia="zh-CN"/>
              </w:rPr>
              <w:t>3 sets of 30 sec each</w:t>
            </w:r>
          </w:p>
          <w:p w14:paraId="677112C6">
            <w:pPr>
              <w:widowControl w:val="0"/>
              <w:kinsoku w:val="0"/>
              <w:rPr>
                <w:rFonts w:cs="Times New Roman"/>
                <w:sz w:val="20"/>
                <w:szCs w:val="20"/>
                <w:lang w:eastAsia="zh-CN"/>
              </w:rPr>
            </w:pPr>
            <w:r>
              <w:rPr>
                <w:rFonts w:cs="Times New Roman"/>
                <w:sz w:val="20"/>
                <w:szCs w:val="20"/>
                <w:lang w:eastAsia="zh-CN"/>
              </w:rPr>
              <w:t>BOSU push-up</w:t>
            </w:r>
          </w:p>
          <w:p w14:paraId="219F59B8">
            <w:pPr>
              <w:widowControl w:val="0"/>
              <w:kinsoku w:val="0"/>
              <w:rPr>
                <w:rFonts w:cs="Times New Roman"/>
                <w:sz w:val="20"/>
                <w:szCs w:val="20"/>
                <w:lang w:eastAsia="zh-CN"/>
              </w:rPr>
            </w:pPr>
            <w:r>
              <w:rPr>
                <w:rFonts w:cs="Times New Roman"/>
                <w:sz w:val="20"/>
                <w:szCs w:val="20"/>
                <w:lang w:eastAsia="zh-CN"/>
              </w:rPr>
              <w:t xml:space="preserve">3 sets of </w:t>
            </w:r>
            <w:r>
              <w:rPr>
                <w:rFonts w:hint="eastAsia" w:cs="Times New Roman"/>
                <w:sz w:val="20"/>
                <w:szCs w:val="20"/>
                <w:lang w:eastAsia="zh-CN"/>
              </w:rPr>
              <w:t>10</w:t>
            </w:r>
            <w:r>
              <w:rPr>
                <w:rFonts w:cs="Times New Roman"/>
                <w:sz w:val="20"/>
                <w:szCs w:val="20"/>
                <w:lang w:eastAsia="zh-CN"/>
              </w:rPr>
              <w:t xml:space="preserve"> </w:t>
            </w:r>
            <w:r>
              <w:rPr>
                <w:rFonts w:hint="eastAsia" w:cs="Times New Roman"/>
                <w:sz w:val="20"/>
                <w:szCs w:val="20"/>
                <w:lang w:eastAsia="zh-CN"/>
              </w:rPr>
              <w:t>reps</w:t>
            </w:r>
          </w:p>
          <w:p w14:paraId="0239C4D0">
            <w:pPr>
              <w:widowControl w:val="0"/>
              <w:kinsoku w:val="0"/>
              <w:rPr>
                <w:rFonts w:cs="Times New Roman"/>
                <w:sz w:val="20"/>
                <w:szCs w:val="20"/>
                <w:lang w:eastAsia="zh-CN"/>
              </w:rPr>
            </w:pPr>
            <w:r>
              <w:rPr>
                <w:rFonts w:cs="Times New Roman"/>
                <w:sz w:val="20"/>
                <w:szCs w:val="20"/>
                <w:lang w:eastAsia="zh-CN"/>
              </w:rPr>
              <w:t>Back extension + hold (0–5 kg)</w:t>
            </w:r>
          </w:p>
          <w:p w14:paraId="51E37288">
            <w:pPr>
              <w:widowControl w:val="0"/>
              <w:kinsoku w:val="0"/>
              <w:rPr>
                <w:rFonts w:cs="Times New Roman"/>
                <w:sz w:val="20"/>
                <w:szCs w:val="20"/>
                <w:lang w:eastAsia="zh-CN"/>
              </w:rPr>
            </w:pPr>
            <w:r>
              <w:rPr>
                <w:rFonts w:cs="Times New Roman"/>
                <w:sz w:val="20"/>
                <w:szCs w:val="20"/>
                <w:lang w:eastAsia="zh-CN"/>
              </w:rPr>
              <w:t>3 sets of (10 reps + 10 sec)</w:t>
            </w:r>
          </w:p>
        </w:tc>
      </w:tr>
      <w:tr w14:paraId="7626A97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0E337264">
            <w:pPr>
              <w:widowControl w:val="0"/>
              <w:kinsoku w:val="0"/>
              <w:rPr>
                <w:rFonts w:cs="Times New Roman"/>
                <w:sz w:val="20"/>
                <w:szCs w:val="20"/>
                <w:lang w:eastAsia="zh-CN"/>
              </w:rPr>
            </w:pPr>
            <w:r>
              <w:rPr>
                <w:rFonts w:cs="Times New Roman"/>
                <w:sz w:val="20"/>
                <w:szCs w:val="20"/>
                <w:lang w:eastAsia="zh-CN"/>
              </w:rPr>
              <w:t>Balance &amp; Mobility</w:t>
            </w:r>
          </w:p>
        </w:tc>
        <w:tc>
          <w:tcPr>
            <w:tcW w:w="3107" w:type="dxa"/>
            <w:vAlign w:val="center"/>
          </w:tcPr>
          <w:p w14:paraId="545BA535">
            <w:pPr>
              <w:widowControl w:val="0"/>
              <w:kinsoku w:val="0"/>
              <w:rPr>
                <w:rFonts w:cs="Times New Roman"/>
                <w:sz w:val="20"/>
                <w:szCs w:val="20"/>
                <w:lang w:eastAsia="zh-CN"/>
              </w:rPr>
            </w:pPr>
            <w:r>
              <w:rPr>
                <w:rFonts w:cs="Times New Roman"/>
                <w:sz w:val="20"/>
                <w:szCs w:val="20"/>
                <w:lang w:eastAsia="zh-CN"/>
              </w:rPr>
              <w:t>Single-leg balance press on balance pad</w:t>
            </w:r>
          </w:p>
          <w:p w14:paraId="66B83048">
            <w:pPr>
              <w:widowControl w:val="0"/>
              <w:kinsoku w:val="0"/>
              <w:rPr>
                <w:rFonts w:cs="Times New Roman"/>
                <w:sz w:val="20"/>
                <w:szCs w:val="20"/>
                <w:lang w:eastAsia="zh-CN"/>
              </w:rPr>
            </w:pPr>
            <w:r>
              <w:rPr>
                <w:rFonts w:cs="Times New Roman"/>
                <w:sz w:val="20"/>
                <w:szCs w:val="20"/>
                <w:lang w:eastAsia="zh-CN"/>
              </w:rPr>
              <w:t>3 sets of 4 reps</w:t>
            </w:r>
            <w:r>
              <w:rPr>
                <w:rFonts w:hint="eastAsia" w:cs="Times New Roman"/>
                <w:sz w:val="20"/>
                <w:szCs w:val="20"/>
                <w:lang w:eastAsia="zh-CN"/>
              </w:rPr>
              <w:t xml:space="preserve"> each</w:t>
            </w:r>
          </w:p>
        </w:tc>
        <w:tc>
          <w:tcPr>
            <w:tcW w:w="3651" w:type="dxa"/>
            <w:vAlign w:val="center"/>
          </w:tcPr>
          <w:p w14:paraId="139BAE49">
            <w:pPr>
              <w:widowControl w:val="0"/>
              <w:kinsoku w:val="0"/>
              <w:rPr>
                <w:rFonts w:cs="Times New Roman"/>
                <w:sz w:val="20"/>
                <w:szCs w:val="20"/>
                <w:lang w:eastAsia="zh-CN"/>
              </w:rPr>
            </w:pPr>
            <w:r>
              <w:rPr>
                <w:rFonts w:cs="Times New Roman"/>
                <w:sz w:val="20"/>
                <w:szCs w:val="20"/>
                <w:lang w:eastAsia="zh-CN"/>
              </w:rPr>
              <w:t>Single-leg balance press on balance pad</w:t>
            </w:r>
            <w:r>
              <w:rPr>
                <w:rFonts w:hint="eastAsia" w:cs="Times New Roman"/>
                <w:sz w:val="20"/>
                <w:szCs w:val="20"/>
                <w:lang w:eastAsia="zh-CN"/>
              </w:rPr>
              <w:t xml:space="preserve"> (0-5kg)</w:t>
            </w:r>
          </w:p>
          <w:p w14:paraId="43211EB6">
            <w:pPr>
              <w:widowControl w:val="0"/>
              <w:kinsoku w:val="0"/>
              <w:rPr>
                <w:rFonts w:cs="Times New Roman"/>
                <w:sz w:val="20"/>
                <w:szCs w:val="20"/>
                <w:lang w:eastAsia="zh-CN"/>
              </w:rPr>
            </w:pPr>
            <w:r>
              <w:rPr>
                <w:rFonts w:cs="Times New Roman"/>
                <w:sz w:val="20"/>
                <w:szCs w:val="20"/>
                <w:lang w:eastAsia="zh-CN"/>
              </w:rPr>
              <w:t>3 sets of 4 reps each</w:t>
            </w:r>
          </w:p>
        </w:tc>
      </w:tr>
      <w:bookmarkEnd w:id="19"/>
    </w:tbl>
    <w:p w14:paraId="388D035B">
      <w:pPr>
        <w:rPr>
          <w:lang w:eastAsia="zh-CN"/>
        </w:rPr>
      </w:pPr>
      <w:r>
        <w:rPr>
          <w:lang w:eastAsia="zh-CN"/>
        </w:rPr>
        <w:t>N</w:t>
      </w:r>
      <w:r>
        <w:rPr>
          <w:rFonts w:hint="eastAsia"/>
          <w:lang w:eastAsia="zh-CN"/>
        </w:rPr>
        <w:t xml:space="preserve">ote: </w:t>
      </w:r>
      <w:r>
        <w:rPr>
          <w:lang w:eastAsia="zh-CN"/>
        </w:rPr>
        <w:t xml:space="preserve">In the last training session of </w:t>
      </w:r>
      <w:r>
        <w:rPr>
          <w:rFonts w:hint="eastAsia"/>
          <w:lang w:eastAsia="zh-CN"/>
        </w:rPr>
        <w:t>the 4th</w:t>
      </w:r>
      <w:r>
        <w:rPr>
          <w:lang w:eastAsia="zh-CN"/>
        </w:rPr>
        <w:t xml:space="preserve"> week, subjects tested whether they could have performed 2 more repetitions for each set or one more set. Once this is achieved, the absolute intensity or difficulty of exercise</w:t>
      </w:r>
      <w:r>
        <w:rPr>
          <w:rFonts w:hint="eastAsia"/>
          <w:lang w:eastAsia="zh-CN"/>
        </w:rPr>
        <w:t xml:space="preserve"> </w:t>
      </w:r>
      <w:r>
        <w:rPr>
          <w:lang w:eastAsia="zh-CN"/>
        </w:rPr>
        <w:t>was increased.</w:t>
      </w:r>
    </w:p>
    <w:p w14:paraId="0E682FC0">
      <w:pPr>
        <w:jc w:val="center"/>
      </w:pPr>
      <w:r>
        <w:t xml:space="preserve">Table </w:t>
      </w:r>
      <w:r>
        <w:fldChar w:fldCharType="begin"/>
      </w:r>
      <w:r>
        <w:instrText xml:space="preserve"> SEQ Table \* ARABIC </w:instrText>
      </w:r>
      <w:r>
        <w:fldChar w:fldCharType="separate"/>
      </w:r>
      <w:r>
        <w:t>2</w:t>
      </w:r>
      <w:r>
        <w:fldChar w:fldCharType="end"/>
      </w:r>
      <w:r>
        <w:rPr>
          <w:rFonts w:hint="eastAsia"/>
          <w:lang w:eastAsia="zh-CN"/>
        </w:rPr>
        <w:t xml:space="preserve"> </w:t>
      </w:r>
      <w:r>
        <w:rPr>
          <w:lang w:eastAsia="zh-CN"/>
        </w:rPr>
        <w:t>Progression of Training</w:t>
      </w:r>
      <w:r>
        <w:rPr>
          <w:rFonts w:hint="eastAsia"/>
          <w:lang w:eastAsia="zh-CN"/>
        </w:rPr>
        <w:t xml:space="preserve"> programs for control group</w:t>
      </w:r>
    </w:p>
    <w:tbl>
      <w:tblPr>
        <w:tblStyle w:val="167"/>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13"/>
        <w:gridCol w:w="2890"/>
        <w:gridCol w:w="4359"/>
      </w:tblGrid>
      <w:tr w14:paraId="0E845B7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auto" w:sz="12" w:space="0"/>
              <w:left w:val="nil"/>
              <w:bottom w:val="single" w:color="auto" w:sz="6" w:space="0"/>
              <w:right w:val="nil"/>
              <w:insideH w:val="single" w:sz="6" w:space="0"/>
              <w:insideV w:val="nil"/>
              <w:tl2br w:val="nil"/>
              <w:tr2bl w:val="nil"/>
            </w:tcBorders>
            <w:vAlign w:val="center"/>
          </w:tcPr>
          <w:p w14:paraId="2F5CF58E">
            <w:pPr>
              <w:rPr>
                <w:rFonts w:cs="Times New Roman"/>
                <w:sz w:val="20"/>
                <w:szCs w:val="20"/>
                <w:lang w:eastAsia="zh-CN"/>
              </w:rPr>
            </w:pPr>
            <w:r>
              <w:rPr>
                <w:rFonts w:cs="Times New Roman"/>
                <w:sz w:val="20"/>
                <w:szCs w:val="20"/>
                <w:lang w:eastAsia="zh-CN"/>
              </w:rPr>
              <w:t>Component</w:t>
            </w:r>
          </w:p>
        </w:tc>
        <w:tc>
          <w:tcPr>
            <w:tcW w:w="2890" w:type="dxa"/>
            <w:tcBorders>
              <w:top w:val="single" w:color="auto" w:sz="12" w:space="0"/>
              <w:bottom w:val="single" w:color="auto" w:sz="6" w:space="0"/>
              <w:right w:val="nil"/>
              <w:insideH w:val="single" w:sz="6" w:space="0"/>
              <w:insideV w:val="nil"/>
              <w:tl2br w:val="nil"/>
              <w:tr2bl w:val="nil"/>
            </w:tcBorders>
            <w:vAlign w:val="center"/>
          </w:tcPr>
          <w:p w14:paraId="1C4514B7">
            <w:pPr>
              <w:rPr>
                <w:rFonts w:cs="Times New Roman"/>
                <w:sz w:val="20"/>
                <w:szCs w:val="20"/>
                <w:lang w:eastAsia="zh-CN"/>
              </w:rPr>
            </w:pPr>
            <w:r>
              <w:rPr>
                <w:rFonts w:cs="Times New Roman"/>
                <w:sz w:val="20"/>
                <w:szCs w:val="20"/>
                <w:lang w:eastAsia="zh-CN"/>
              </w:rPr>
              <w:t>Weeks 1–4: Standard Phase</w:t>
            </w:r>
          </w:p>
        </w:tc>
        <w:tc>
          <w:tcPr>
            <w:tcW w:w="4359" w:type="dxa"/>
            <w:tcBorders>
              <w:top w:val="single" w:color="auto" w:sz="12" w:space="0"/>
              <w:bottom w:val="single" w:color="auto" w:sz="6" w:space="0"/>
              <w:right w:val="nil"/>
              <w:insideH w:val="single" w:sz="6" w:space="0"/>
              <w:insideV w:val="nil"/>
              <w:tl2br w:val="nil"/>
              <w:tr2bl w:val="nil"/>
            </w:tcBorders>
            <w:vAlign w:val="center"/>
          </w:tcPr>
          <w:p w14:paraId="213878F0">
            <w:pPr>
              <w:rPr>
                <w:rFonts w:cs="Times New Roman"/>
                <w:sz w:val="20"/>
                <w:szCs w:val="20"/>
                <w:lang w:eastAsia="zh-CN"/>
              </w:rPr>
            </w:pPr>
            <w:r>
              <w:rPr>
                <w:rFonts w:cs="Times New Roman"/>
                <w:sz w:val="20"/>
                <w:szCs w:val="20"/>
                <w:lang w:eastAsia="zh-CN"/>
              </w:rPr>
              <w:t>Weeks 5–8: Progression Phase</w:t>
            </w:r>
          </w:p>
        </w:tc>
      </w:tr>
      <w:tr w14:paraId="5D57989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14:paraId="06B5BAA0">
            <w:pPr>
              <w:rPr>
                <w:rFonts w:cs="Times New Roman"/>
                <w:sz w:val="20"/>
                <w:szCs w:val="20"/>
                <w:lang w:eastAsia="zh-CN"/>
              </w:rPr>
            </w:pPr>
            <w:r>
              <w:rPr>
                <w:rFonts w:cs="Times New Roman"/>
                <w:sz w:val="20"/>
                <w:szCs w:val="20"/>
                <w:lang w:eastAsia="zh-CN"/>
              </w:rPr>
              <w:t>Plyometrics &amp; Explosive Power</w:t>
            </w:r>
          </w:p>
        </w:tc>
        <w:tc>
          <w:tcPr>
            <w:tcW w:w="2890" w:type="dxa"/>
            <w:vAlign w:val="center"/>
          </w:tcPr>
          <w:p w14:paraId="29722461">
            <w:pPr>
              <w:rPr>
                <w:rFonts w:cs="Times New Roman"/>
                <w:sz w:val="20"/>
                <w:szCs w:val="20"/>
                <w:lang w:eastAsia="zh-CN"/>
              </w:rPr>
            </w:pPr>
            <w:r>
              <w:rPr>
                <w:rFonts w:cs="Times New Roman"/>
                <w:sz w:val="20"/>
                <w:szCs w:val="20"/>
                <w:lang w:eastAsia="zh-CN"/>
              </w:rPr>
              <w:t xml:space="preserve">Squat jump </w:t>
            </w:r>
          </w:p>
          <w:p w14:paraId="0551EA66">
            <w:pPr>
              <w:rPr>
                <w:rFonts w:cs="Times New Roman"/>
                <w:sz w:val="20"/>
                <w:szCs w:val="20"/>
                <w:lang w:eastAsia="zh-CN"/>
              </w:rPr>
            </w:pPr>
            <w:r>
              <w:rPr>
                <w:rFonts w:cs="Times New Roman"/>
                <w:sz w:val="20"/>
                <w:szCs w:val="20"/>
                <w:lang w:eastAsia="zh-CN"/>
              </w:rPr>
              <w:t xml:space="preserve">3 sets of 10 reps; </w:t>
            </w:r>
          </w:p>
          <w:p w14:paraId="4D8EBC4C">
            <w:pPr>
              <w:rPr>
                <w:rFonts w:cs="Times New Roman"/>
                <w:sz w:val="20"/>
                <w:szCs w:val="20"/>
                <w:lang w:eastAsia="zh-CN"/>
              </w:rPr>
            </w:pPr>
            <w:r>
              <w:rPr>
                <w:rFonts w:cs="Times New Roman"/>
                <w:sz w:val="20"/>
                <w:szCs w:val="20"/>
                <w:lang w:eastAsia="zh-CN"/>
              </w:rPr>
              <w:t xml:space="preserve">Medicine ball overhead throw (Squat jump) </w:t>
            </w:r>
          </w:p>
          <w:p w14:paraId="04C5502A">
            <w:pPr>
              <w:rPr>
                <w:rFonts w:cs="Times New Roman"/>
                <w:sz w:val="20"/>
                <w:szCs w:val="20"/>
                <w:lang w:eastAsia="zh-CN"/>
              </w:rPr>
            </w:pPr>
            <w:r>
              <w:rPr>
                <w:rFonts w:cs="Times New Roman"/>
                <w:sz w:val="20"/>
                <w:szCs w:val="20"/>
                <w:lang w:eastAsia="zh-CN"/>
              </w:rPr>
              <w:t>3 sets of 5 reps</w:t>
            </w:r>
          </w:p>
        </w:tc>
        <w:tc>
          <w:tcPr>
            <w:tcW w:w="4359" w:type="dxa"/>
            <w:vAlign w:val="center"/>
          </w:tcPr>
          <w:p w14:paraId="75060135">
            <w:pPr>
              <w:rPr>
                <w:rFonts w:cs="Times New Roman"/>
                <w:sz w:val="20"/>
                <w:szCs w:val="20"/>
                <w:lang w:eastAsia="zh-CN"/>
              </w:rPr>
            </w:pPr>
            <w:r>
              <w:rPr>
                <w:rFonts w:cs="Times New Roman"/>
                <w:sz w:val="20"/>
                <w:szCs w:val="20"/>
                <w:lang w:eastAsia="zh-CN"/>
              </w:rPr>
              <w:t xml:space="preserve">Medicine ball slam &amp; side throw (3 kg) </w:t>
            </w:r>
          </w:p>
          <w:p w14:paraId="48119C76">
            <w:pPr>
              <w:rPr>
                <w:rFonts w:cs="Times New Roman"/>
                <w:sz w:val="20"/>
                <w:szCs w:val="20"/>
                <w:lang w:eastAsia="zh-CN"/>
              </w:rPr>
            </w:pPr>
            <w:r>
              <w:rPr>
                <w:rFonts w:cs="Times New Roman"/>
                <w:sz w:val="20"/>
                <w:szCs w:val="20"/>
                <w:lang w:eastAsia="zh-CN"/>
              </w:rPr>
              <w:t xml:space="preserve">3 sets of (8+4) reps; </w:t>
            </w:r>
          </w:p>
          <w:p w14:paraId="249D861E">
            <w:pPr>
              <w:rPr>
                <w:rFonts w:cs="Times New Roman"/>
                <w:sz w:val="20"/>
                <w:szCs w:val="20"/>
                <w:lang w:eastAsia="zh-CN"/>
              </w:rPr>
            </w:pPr>
            <w:r>
              <w:rPr>
                <w:rFonts w:cs="Times New Roman"/>
                <w:sz w:val="20"/>
                <w:szCs w:val="20"/>
                <w:lang w:eastAsia="zh-CN"/>
              </w:rPr>
              <w:t xml:space="preserve">Medicine ball chop slam (3 kg) </w:t>
            </w:r>
          </w:p>
          <w:p w14:paraId="764F5C93">
            <w:pPr>
              <w:rPr>
                <w:rFonts w:cs="Times New Roman"/>
                <w:sz w:val="20"/>
                <w:szCs w:val="20"/>
                <w:lang w:eastAsia="zh-CN"/>
              </w:rPr>
            </w:pPr>
            <w:r>
              <w:rPr>
                <w:rFonts w:cs="Times New Roman"/>
                <w:sz w:val="20"/>
                <w:szCs w:val="20"/>
                <w:lang w:eastAsia="zh-CN"/>
              </w:rPr>
              <w:t xml:space="preserve">3 sets of 4 reps each; </w:t>
            </w:r>
          </w:p>
          <w:p w14:paraId="496AAFBF">
            <w:pPr>
              <w:rPr>
                <w:rFonts w:cs="Times New Roman"/>
                <w:sz w:val="20"/>
                <w:szCs w:val="20"/>
                <w:lang w:eastAsia="zh-CN"/>
              </w:rPr>
            </w:pPr>
            <w:r>
              <w:rPr>
                <w:rFonts w:cs="Times New Roman"/>
                <w:sz w:val="20"/>
                <w:szCs w:val="20"/>
                <w:lang w:eastAsia="zh-CN"/>
              </w:rPr>
              <w:t xml:space="preserve">Medicine ball overhead throw (Kneeling jump) </w:t>
            </w:r>
          </w:p>
          <w:p w14:paraId="20A10C0A">
            <w:pPr>
              <w:rPr>
                <w:rFonts w:cs="Times New Roman"/>
                <w:sz w:val="20"/>
                <w:szCs w:val="20"/>
                <w:lang w:eastAsia="zh-CN"/>
              </w:rPr>
            </w:pPr>
            <w:r>
              <w:rPr>
                <w:rFonts w:cs="Times New Roman"/>
                <w:sz w:val="20"/>
                <w:szCs w:val="20"/>
                <w:lang w:eastAsia="zh-CN"/>
              </w:rPr>
              <w:t>3 sets of 5 reps</w:t>
            </w:r>
          </w:p>
        </w:tc>
      </w:tr>
      <w:tr w14:paraId="6AAF406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14:paraId="0487066C">
            <w:pPr>
              <w:rPr>
                <w:rFonts w:cs="Times New Roman"/>
                <w:sz w:val="20"/>
                <w:szCs w:val="20"/>
                <w:lang w:eastAsia="zh-CN"/>
              </w:rPr>
            </w:pPr>
            <w:bookmarkStart w:id="21" w:name="_Hlk222334542"/>
            <w:r>
              <w:rPr>
                <w:rFonts w:cs="Times New Roman"/>
                <w:sz w:val="20"/>
                <w:szCs w:val="20"/>
                <w:lang w:eastAsia="zh-CN"/>
              </w:rPr>
              <w:t>Lower-limb Strength</w:t>
            </w:r>
          </w:p>
        </w:tc>
        <w:tc>
          <w:tcPr>
            <w:tcW w:w="2890" w:type="dxa"/>
            <w:vAlign w:val="center"/>
          </w:tcPr>
          <w:p w14:paraId="183EF6C7">
            <w:pPr>
              <w:spacing w:line="240" w:lineRule="auto"/>
              <w:rPr>
                <w:rFonts w:cs="Times New Roman"/>
                <w:sz w:val="20"/>
                <w:szCs w:val="20"/>
                <w:lang w:eastAsia="zh-CN"/>
              </w:rPr>
            </w:pPr>
            <w:r>
              <w:rPr>
                <w:rFonts w:cs="Times New Roman"/>
                <w:sz w:val="20"/>
                <w:szCs w:val="20"/>
                <w:lang w:eastAsia="zh-CN"/>
              </w:rPr>
              <w:t>Squat (0–</w:t>
            </w:r>
            <w:r>
              <w:rPr>
                <w:rFonts w:hint="eastAsia" w:cs="Times New Roman"/>
                <w:sz w:val="20"/>
                <w:szCs w:val="20"/>
                <w:lang w:eastAsia="zh-CN"/>
              </w:rPr>
              <w:t>1</w:t>
            </w:r>
            <w:r>
              <w:rPr>
                <w:rFonts w:cs="Times New Roman"/>
                <w:sz w:val="20"/>
                <w:szCs w:val="20"/>
                <w:lang w:eastAsia="zh-CN"/>
              </w:rPr>
              <w:t xml:space="preserve">0 kg) </w:t>
            </w:r>
          </w:p>
          <w:p w14:paraId="215FD38D">
            <w:pPr>
              <w:rPr>
                <w:rFonts w:cs="Times New Roman"/>
                <w:sz w:val="20"/>
                <w:szCs w:val="20"/>
                <w:lang w:eastAsia="zh-CN"/>
              </w:rPr>
            </w:pPr>
            <w:r>
              <w:rPr>
                <w:rFonts w:cs="Times New Roman"/>
                <w:sz w:val="20"/>
                <w:szCs w:val="20"/>
                <w:lang w:eastAsia="zh-CN"/>
              </w:rPr>
              <w:t xml:space="preserve">3 sets of </w:t>
            </w:r>
            <w:r>
              <w:rPr>
                <w:rFonts w:hint="eastAsia" w:cs="Times New Roman"/>
                <w:sz w:val="20"/>
                <w:szCs w:val="20"/>
                <w:lang w:eastAsia="zh-CN"/>
              </w:rPr>
              <w:t>6</w:t>
            </w:r>
            <w:r>
              <w:rPr>
                <w:rFonts w:cs="Times New Roman"/>
                <w:sz w:val="20"/>
                <w:szCs w:val="20"/>
                <w:lang w:eastAsia="zh-CN"/>
              </w:rPr>
              <w:t xml:space="preserve"> reps; </w:t>
            </w:r>
          </w:p>
          <w:p w14:paraId="7ACEBC8B">
            <w:pPr>
              <w:rPr>
                <w:rFonts w:cs="Times New Roman"/>
                <w:sz w:val="20"/>
                <w:szCs w:val="20"/>
                <w:lang w:eastAsia="zh-CN"/>
              </w:rPr>
            </w:pPr>
            <w:r>
              <w:rPr>
                <w:rFonts w:cs="Times New Roman"/>
                <w:sz w:val="20"/>
                <w:szCs w:val="20"/>
                <w:lang w:eastAsia="zh-CN"/>
              </w:rPr>
              <w:t xml:space="preserve">Bulgarian split squat </w:t>
            </w:r>
          </w:p>
          <w:p w14:paraId="48C0FD8D">
            <w:pPr>
              <w:rPr>
                <w:rFonts w:cs="Times New Roman"/>
                <w:sz w:val="20"/>
                <w:szCs w:val="20"/>
                <w:lang w:eastAsia="zh-CN"/>
              </w:rPr>
            </w:pPr>
            <w:r>
              <w:rPr>
                <w:rFonts w:cs="Times New Roman"/>
                <w:sz w:val="20"/>
                <w:szCs w:val="20"/>
                <w:lang w:eastAsia="zh-CN"/>
              </w:rPr>
              <w:t xml:space="preserve">3 sets of 4 reps each; </w:t>
            </w:r>
          </w:p>
          <w:p w14:paraId="70F3557E">
            <w:pPr>
              <w:rPr>
                <w:rFonts w:cs="Times New Roman"/>
                <w:sz w:val="20"/>
                <w:szCs w:val="20"/>
                <w:lang w:eastAsia="zh-CN"/>
              </w:rPr>
            </w:pPr>
            <w:r>
              <w:rPr>
                <w:rFonts w:cs="Times New Roman"/>
                <w:sz w:val="20"/>
                <w:szCs w:val="20"/>
                <w:lang w:eastAsia="zh-CN"/>
              </w:rPr>
              <w:t xml:space="preserve">Wall sit (Bodyweight) </w:t>
            </w:r>
          </w:p>
          <w:p w14:paraId="4B0E1DF9">
            <w:pPr>
              <w:rPr>
                <w:rFonts w:cs="Times New Roman"/>
                <w:sz w:val="20"/>
                <w:szCs w:val="20"/>
                <w:lang w:eastAsia="zh-CN"/>
              </w:rPr>
            </w:pPr>
            <w:r>
              <w:rPr>
                <w:rFonts w:cs="Times New Roman"/>
                <w:sz w:val="20"/>
                <w:szCs w:val="20"/>
                <w:lang w:eastAsia="zh-CN"/>
              </w:rPr>
              <w:t>3 sets of 30 sec</w:t>
            </w:r>
          </w:p>
        </w:tc>
        <w:tc>
          <w:tcPr>
            <w:tcW w:w="4359" w:type="dxa"/>
            <w:vAlign w:val="center"/>
          </w:tcPr>
          <w:p w14:paraId="1F4D8154">
            <w:pPr>
              <w:rPr>
                <w:rFonts w:cs="Times New Roman"/>
                <w:sz w:val="20"/>
                <w:szCs w:val="20"/>
                <w:lang w:eastAsia="zh-CN"/>
              </w:rPr>
            </w:pPr>
            <w:r>
              <w:rPr>
                <w:rFonts w:cs="Times New Roman"/>
                <w:sz w:val="20"/>
                <w:szCs w:val="20"/>
                <w:lang w:eastAsia="zh-CN"/>
              </w:rPr>
              <w:t xml:space="preserve">Squat (0–20 kg) </w:t>
            </w:r>
          </w:p>
          <w:p w14:paraId="7B672484">
            <w:pPr>
              <w:rPr>
                <w:rFonts w:cs="Times New Roman"/>
                <w:sz w:val="20"/>
                <w:szCs w:val="20"/>
                <w:lang w:eastAsia="zh-CN"/>
              </w:rPr>
            </w:pPr>
            <w:r>
              <w:rPr>
                <w:rFonts w:cs="Times New Roman"/>
                <w:sz w:val="20"/>
                <w:szCs w:val="20"/>
                <w:lang w:eastAsia="zh-CN"/>
              </w:rPr>
              <w:t xml:space="preserve">3 sets of 15 reps; </w:t>
            </w:r>
          </w:p>
          <w:p w14:paraId="3EF0D437">
            <w:pPr>
              <w:rPr>
                <w:rFonts w:cs="Times New Roman"/>
                <w:sz w:val="20"/>
                <w:szCs w:val="20"/>
                <w:lang w:eastAsia="zh-CN"/>
              </w:rPr>
            </w:pPr>
            <w:r>
              <w:rPr>
                <w:rFonts w:cs="Times New Roman"/>
                <w:sz w:val="20"/>
                <w:szCs w:val="20"/>
                <w:lang w:eastAsia="zh-CN"/>
              </w:rPr>
              <w:t xml:space="preserve">Bulgarian split squat </w:t>
            </w:r>
          </w:p>
          <w:p w14:paraId="380A09FD">
            <w:pPr>
              <w:rPr>
                <w:rFonts w:cs="Times New Roman"/>
                <w:sz w:val="20"/>
                <w:szCs w:val="20"/>
                <w:lang w:eastAsia="zh-CN"/>
              </w:rPr>
            </w:pPr>
            <w:r>
              <w:rPr>
                <w:rFonts w:cs="Times New Roman"/>
                <w:sz w:val="20"/>
                <w:szCs w:val="20"/>
                <w:lang w:eastAsia="zh-CN"/>
              </w:rPr>
              <w:t xml:space="preserve">3 sets of 4 reps each; </w:t>
            </w:r>
          </w:p>
          <w:p w14:paraId="742DF7BD">
            <w:pPr>
              <w:rPr>
                <w:rFonts w:cs="Times New Roman"/>
                <w:sz w:val="20"/>
                <w:szCs w:val="20"/>
                <w:lang w:eastAsia="zh-CN"/>
              </w:rPr>
            </w:pPr>
            <w:r>
              <w:rPr>
                <w:rFonts w:cs="Times New Roman"/>
                <w:sz w:val="20"/>
                <w:szCs w:val="20"/>
                <w:lang w:eastAsia="zh-CN"/>
              </w:rPr>
              <w:t xml:space="preserve">Wall sit (Bodyweight) </w:t>
            </w:r>
          </w:p>
          <w:p w14:paraId="77A0B0E5">
            <w:pPr>
              <w:rPr>
                <w:rFonts w:cs="Times New Roman"/>
                <w:sz w:val="20"/>
                <w:szCs w:val="20"/>
                <w:lang w:eastAsia="zh-CN"/>
              </w:rPr>
            </w:pPr>
            <w:r>
              <w:rPr>
                <w:rFonts w:cs="Times New Roman"/>
                <w:sz w:val="20"/>
                <w:szCs w:val="20"/>
                <w:lang w:eastAsia="zh-CN"/>
              </w:rPr>
              <w:t>3 sets of 30 sec</w:t>
            </w:r>
          </w:p>
        </w:tc>
      </w:tr>
      <w:bookmarkEnd w:id="21"/>
      <w:tr w14:paraId="444605C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14:paraId="60473331">
            <w:pPr>
              <w:rPr>
                <w:rFonts w:cs="Times New Roman"/>
                <w:sz w:val="20"/>
                <w:szCs w:val="20"/>
                <w:lang w:eastAsia="zh-CN"/>
              </w:rPr>
            </w:pPr>
            <w:r>
              <w:rPr>
                <w:rFonts w:cs="Times New Roman"/>
                <w:sz w:val="20"/>
                <w:szCs w:val="20"/>
                <w:lang w:eastAsia="zh-CN"/>
              </w:rPr>
              <w:t>Core Stability &amp; Strength</w:t>
            </w:r>
          </w:p>
        </w:tc>
        <w:tc>
          <w:tcPr>
            <w:tcW w:w="2890" w:type="dxa"/>
            <w:vAlign w:val="center"/>
          </w:tcPr>
          <w:p w14:paraId="39B8E96B">
            <w:pPr>
              <w:rPr>
                <w:rFonts w:cs="Times New Roman"/>
                <w:sz w:val="20"/>
                <w:szCs w:val="20"/>
                <w:lang w:eastAsia="zh-CN"/>
              </w:rPr>
            </w:pPr>
            <w:r>
              <w:rPr>
                <w:rFonts w:cs="Times New Roman"/>
                <w:sz w:val="20"/>
                <w:szCs w:val="20"/>
                <w:lang w:eastAsia="zh-CN"/>
              </w:rPr>
              <w:t xml:space="preserve">Dead bug </w:t>
            </w:r>
          </w:p>
          <w:p w14:paraId="4E66452D">
            <w:pPr>
              <w:rPr>
                <w:rFonts w:cs="Times New Roman"/>
                <w:sz w:val="20"/>
                <w:szCs w:val="20"/>
                <w:lang w:eastAsia="zh-CN"/>
              </w:rPr>
            </w:pPr>
            <w:r>
              <w:rPr>
                <w:rFonts w:cs="Times New Roman"/>
                <w:sz w:val="20"/>
                <w:szCs w:val="20"/>
                <w:lang w:eastAsia="zh-CN"/>
              </w:rPr>
              <w:t xml:space="preserve">4 sets of 12 reps; </w:t>
            </w:r>
          </w:p>
          <w:p w14:paraId="45AA47F7">
            <w:pPr>
              <w:rPr>
                <w:rFonts w:cs="Times New Roman"/>
                <w:sz w:val="20"/>
                <w:szCs w:val="20"/>
                <w:lang w:eastAsia="zh-CN"/>
              </w:rPr>
            </w:pPr>
            <w:r>
              <w:rPr>
                <w:rFonts w:cs="Times New Roman"/>
                <w:sz w:val="20"/>
                <w:szCs w:val="20"/>
                <w:lang w:eastAsia="zh-CN"/>
              </w:rPr>
              <w:t xml:space="preserve">Back extension (0–5 kg) </w:t>
            </w:r>
          </w:p>
          <w:p w14:paraId="0B128FB8">
            <w:pPr>
              <w:rPr>
                <w:rFonts w:cs="Times New Roman"/>
                <w:sz w:val="20"/>
                <w:szCs w:val="20"/>
                <w:lang w:eastAsia="zh-CN"/>
              </w:rPr>
            </w:pPr>
            <w:r>
              <w:rPr>
                <w:rFonts w:cs="Times New Roman"/>
                <w:sz w:val="20"/>
                <w:szCs w:val="20"/>
                <w:lang w:eastAsia="zh-CN"/>
              </w:rPr>
              <w:t xml:space="preserve">3 sets of 12 reps; </w:t>
            </w:r>
          </w:p>
          <w:p w14:paraId="3C45FCE5">
            <w:pPr>
              <w:rPr>
                <w:rFonts w:cs="Times New Roman"/>
                <w:sz w:val="20"/>
                <w:szCs w:val="20"/>
                <w:lang w:eastAsia="zh-CN"/>
              </w:rPr>
            </w:pPr>
            <w:r>
              <w:rPr>
                <w:rFonts w:cs="Times New Roman"/>
                <w:sz w:val="20"/>
                <w:szCs w:val="20"/>
                <w:lang w:eastAsia="zh-CN"/>
              </w:rPr>
              <w:t xml:space="preserve">Russian twists (0–5 kg) </w:t>
            </w:r>
          </w:p>
          <w:p w14:paraId="24661531">
            <w:pPr>
              <w:rPr>
                <w:rFonts w:cs="Times New Roman"/>
                <w:sz w:val="20"/>
                <w:szCs w:val="20"/>
                <w:lang w:eastAsia="zh-CN"/>
              </w:rPr>
            </w:pPr>
            <w:r>
              <w:rPr>
                <w:rFonts w:cs="Times New Roman"/>
                <w:sz w:val="20"/>
                <w:szCs w:val="20"/>
                <w:lang w:eastAsia="zh-CN"/>
              </w:rPr>
              <w:t xml:space="preserve">3 sets of 14 reps; </w:t>
            </w:r>
          </w:p>
          <w:p w14:paraId="64CB2620">
            <w:pPr>
              <w:rPr>
                <w:rFonts w:cs="Times New Roman"/>
                <w:sz w:val="20"/>
                <w:szCs w:val="20"/>
                <w:lang w:eastAsia="zh-CN"/>
              </w:rPr>
            </w:pPr>
            <w:r>
              <w:rPr>
                <w:rFonts w:cs="Times New Roman"/>
                <w:sz w:val="20"/>
                <w:szCs w:val="20"/>
                <w:lang w:eastAsia="zh-CN"/>
              </w:rPr>
              <w:t xml:space="preserve">Side-lying crunches </w:t>
            </w:r>
          </w:p>
          <w:p w14:paraId="2683D557">
            <w:pPr>
              <w:rPr>
                <w:rFonts w:cs="Times New Roman"/>
                <w:sz w:val="20"/>
                <w:szCs w:val="20"/>
                <w:lang w:eastAsia="zh-CN"/>
              </w:rPr>
            </w:pPr>
            <w:r>
              <w:rPr>
                <w:rFonts w:cs="Times New Roman"/>
                <w:sz w:val="20"/>
                <w:szCs w:val="20"/>
                <w:lang w:eastAsia="zh-CN"/>
              </w:rPr>
              <w:t>3 sets of 8 reps each</w:t>
            </w:r>
          </w:p>
        </w:tc>
        <w:tc>
          <w:tcPr>
            <w:tcW w:w="4359" w:type="dxa"/>
            <w:vAlign w:val="center"/>
          </w:tcPr>
          <w:p w14:paraId="0CFA8EE7">
            <w:pPr>
              <w:rPr>
                <w:rFonts w:cs="Times New Roman"/>
                <w:sz w:val="20"/>
                <w:szCs w:val="20"/>
                <w:lang w:eastAsia="zh-CN"/>
              </w:rPr>
            </w:pPr>
            <w:r>
              <w:rPr>
                <w:rFonts w:cs="Times New Roman"/>
                <w:sz w:val="20"/>
                <w:szCs w:val="20"/>
                <w:lang w:eastAsia="zh-CN"/>
              </w:rPr>
              <w:t>Standard plank</w:t>
            </w:r>
          </w:p>
          <w:p w14:paraId="40904E7E">
            <w:pPr>
              <w:rPr>
                <w:rFonts w:cs="Times New Roman"/>
                <w:sz w:val="20"/>
                <w:szCs w:val="20"/>
                <w:lang w:eastAsia="zh-CN"/>
              </w:rPr>
            </w:pPr>
            <w:r>
              <w:rPr>
                <w:rFonts w:cs="Times New Roman"/>
                <w:sz w:val="20"/>
                <w:szCs w:val="20"/>
                <w:lang w:eastAsia="zh-CN"/>
              </w:rPr>
              <w:t xml:space="preserve">3 sets of 1 min; </w:t>
            </w:r>
          </w:p>
          <w:p w14:paraId="4FF84C4E">
            <w:pPr>
              <w:rPr>
                <w:rFonts w:cs="Times New Roman"/>
                <w:sz w:val="20"/>
                <w:szCs w:val="20"/>
                <w:lang w:eastAsia="zh-CN"/>
              </w:rPr>
            </w:pPr>
            <w:r>
              <w:rPr>
                <w:rFonts w:cs="Times New Roman"/>
                <w:sz w:val="20"/>
                <w:szCs w:val="20"/>
                <w:lang w:eastAsia="zh-CN"/>
              </w:rPr>
              <w:t xml:space="preserve">Russian twists </w:t>
            </w:r>
          </w:p>
          <w:p w14:paraId="0FAEC26F">
            <w:pPr>
              <w:rPr>
                <w:rFonts w:cs="Times New Roman"/>
                <w:sz w:val="20"/>
                <w:szCs w:val="20"/>
                <w:lang w:eastAsia="zh-CN"/>
              </w:rPr>
            </w:pPr>
            <w:r>
              <w:rPr>
                <w:rFonts w:cs="Times New Roman"/>
                <w:sz w:val="20"/>
                <w:szCs w:val="20"/>
                <w:lang w:eastAsia="zh-CN"/>
              </w:rPr>
              <w:t xml:space="preserve">3 sets of 15 reps each; </w:t>
            </w:r>
          </w:p>
          <w:p w14:paraId="080DCFB1">
            <w:pPr>
              <w:rPr>
                <w:rFonts w:cs="Times New Roman"/>
                <w:sz w:val="20"/>
                <w:szCs w:val="20"/>
                <w:lang w:eastAsia="zh-CN"/>
              </w:rPr>
            </w:pPr>
            <w:r>
              <w:rPr>
                <w:rFonts w:cs="Times New Roman"/>
                <w:sz w:val="20"/>
                <w:szCs w:val="20"/>
                <w:lang w:eastAsia="zh-CN"/>
              </w:rPr>
              <w:t xml:space="preserve">Crunches </w:t>
            </w:r>
          </w:p>
          <w:p w14:paraId="1F8EF40F">
            <w:pPr>
              <w:rPr>
                <w:rFonts w:cs="Times New Roman"/>
                <w:sz w:val="20"/>
                <w:szCs w:val="20"/>
                <w:lang w:eastAsia="zh-CN"/>
              </w:rPr>
            </w:pPr>
            <w:r>
              <w:rPr>
                <w:rFonts w:cs="Times New Roman"/>
                <w:sz w:val="20"/>
                <w:szCs w:val="20"/>
                <w:lang w:eastAsia="zh-CN"/>
              </w:rPr>
              <w:t xml:space="preserve">4 sets of 12 reps; </w:t>
            </w:r>
          </w:p>
          <w:p w14:paraId="40A4BECD">
            <w:pPr>
              <w:rPr>
                <w:rFonts w:cs="Times New Roman"/>
                <w:sz w:val="20"/>
                <w:szCs w:val="20"/>
                <w:lang w:eastAsia="zh-CN"/>
              </w:rPr>
            </w:pPr>
            <w:r>
              <w:rPr>
                <w:rFonts w:cs="Times New Roman"/>
                <w:sz w:val="20"/>
                <w:szCs w:val="20"/>
                <w:lang w:eastAsia="zh-CN"/>
              </w:rPr>
              <w:t xml:space="preserve">8-level abdominal bridge circuit </w:t>
            </w:r>
          </w:p>
          <w:p w14:paraId="5E6DC07B">
            <w:pPr>
              <w:rPr>
                <w:rFonts w:cs="Times New Roman"/>
                <w:sz w:val="20"/>
                <w:szCs w:val="20"/>
                <w:lang w:eastAsia="zh-CN"/>
              </w:rPr>
            </w:pPr>
            <w:r>
              <w:rPr>
                <w:rFonts w:cs="Times New Roman"/>
                <w:sz w:val="20"/>
                <w:szCs w:val="20"/>
                <w:lang w:eastAsia="zh-CN"/>
              </w:rPr>
              <w:t xml:space="preserve">2 sets (20 s + 10 s per variation); </w:t>
            </w:r>
          </w:p>
          <w:p w14:paraId="5FF8649F">
            <w:pPr>
              <w:rPr>
                <w:rFonts w:cs="Times New Roman"/>
                <w:sz w:val="20"/>
                <w:szCs w:val="20"/>
                <w:lang w:eastAsia="zh-CN"/>
              </w:rPr>
            </w:pPr>
            <w:r>
              <w:rPr>
                <w:rFonts w:cs="Times New Roman"/>
                <w:sz w:val="20"/>
                <w:szCs w:val="20"/>
                <w:lang w:eastAsia="zh-CN"/>
              </w:rPr>
              <w:t xml:space="preserve">Back extension + isometric hold </w:t>
            </w:r>
          </w:p>
          <w:p w14:paraId="2A9C2BB8">
            <w:pPr>
              <w:rPr>
                <w:rFonts w:cs="Times New Roman"/>
                <w:sz w:val="20"/>
                <w:szCs w:val="20"/>
                <w:lang w:eastAsia="zh-CN"/>
              </w:rPr>
            </w:pPr>
            <w:r>
              <w:rPr>
                <w:rFonts w:cs="Times New Roman"/>
                <w:sz w:val="20"/>
                <w:szCs w:val="20"/>
                <w:lang w:eastAsia="zh-CN"/>
              </w:rPr>
              <w:t>3 sets of (10 reps + 10 sec)</w:t>
            </w:r>
          </w:p>
        </w:tc>
      </w:tr>
      <w:tr w14:paraId="35F4CB6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14:paraId="4D57F476">
            <w:pPr>
              <w:rPr>
                <w:rFonts w:cs="Times New Roman"/>
                <w:sz w:val="20"/>
                <w:szCs w:val="20"/>
                <w:lang w:eastAsia="zh-CN"/>
              </w:rPr>
            </w:pPr>
            <w:r>
              <w:rPr>
                <w:rFonts w:cs="Times New Roman"/>
                <w:sz w:val="20"/>
                <w:szCs w:val="20"/>
                <w:lang w:eastAsia="zh-CN"/>
              </w:rPr>
              <w:t>Warm-up &amp; Coordination</w:t>
            </w:r>
          </w:p>
        </w:tc>
        <w:tc>
          <w:tcPr>
            <w:tcW w:w="2890" w:type="dxa"/>
            <w:vAlign w:val="center"/>
          </w:tcPr>
          <w:p w14:paraId="086084B9">
            <w:pPr>
              <w:rPr>
                <w:rFonts w:cs="Times New Roman"/>
                <w:sz w:val="20"/>
                <w:szCs w:val="20"/>
                <w:lang w:eastAsia="zh-CN"/>
              </w:rPr>
            </w:pPr>
            <w:r>
              <w:rPr>
                <w:rFonts w:cs="Times New Roman"/>
                <w:sz w:val="20"/>
                <w:szCs w:val="20"/>
                <w:lang w:eastAsia="zh-CN"/>
              </w:rPr>
              <w:t xml:space="preserve">Agility ladder drills </w:t>
            </w:r>
          </w:p>
          <w:p w14:paraId="76176A79">
            <w:pPr>
              <w:rPr>
                <w:rFonts w:cs="Times New Roman"/>
                <w:sz w:val="20"/>
                <w:szCs w:val="20"/>
                <w:lang w:eastAsia="zh-CN"/>
              </w:rPr>
            </w:pPr>
            <w:r>
              <w:rPr>
                <w:rFonts w:cs="Times New Roman"/>
                <w:sz w:val="20"/>
                <w:szCs w:val="20"/>
                <w:lang w:eastAsia="zh-CN"/>
              </w:rPr>
              <w:t xml:space="preserve">2 sets each session; </w:t>
            </w:r>
          </w:p>
          <w:p w14:paraId="36D9EEA8">
            <w:pPr>
              <w:rPr>
                <w:rFonts w:cs="Times New Roman"/>
                <w:sz w:val="20"/>
                <w:szCs w:val="20"/>
                <w:lang w:eastAsia="zh-CN"/>
              </w:rPr>
            </w:pPr>
            <w:r>
              <w:rPr>
                <w:rFonts w:cs="Times New Roman"/>
                <w:sz w:val="20"/>
                <w:szCs w:val="20"/>
                <w:lang w:eastAsia="zh-CN"/>
              </w:rPr>
              <w:t>Straight-leg</w:t>
            </w:r>
            <w:r>
              <w:rPr>
                <w:rFonts w:hint="eastAsia" w:cs="Times New Roman"/>
                <w:sz w:val="20"/>
                <w:szCs w:val="20"/>
                <w:lang w:eastAsia="zh-CN"/>
              </w:rPr>
              <w:t xml:space="preserve"> jumps</w:t>
            </w:r>
          </w:p>
          <w:p w14:paraId="424A3EEA">
            <w:pPr>
              <w:rPr>
                <w:rFonts w:cs="Times New Roman"/>
                <w:sz w:val="20"/>
                <w:szCs w:val="20"/>
                <w:lang w:eastAsia="zh-CN"/>
              </w:rPr>
            </w:pPr>
            <w:r>
              <w:rPr>
                <w:rFonts w:cs="Times New Roman"/>
                <w:sz w:val="20"/>
                <w:szCs w:val="20"/>
                <w:lang w:eastAsia="zh-CN"/>
              </w:rPr>
              <w:t>2 sets each session</w:t>
            </w:r>
          </w:p>
        </w:tc>
        <w:tc>
          <w:tcPr>
            <w:tcW w:w="4359" w:type="dxa"/>
            <w:vAlign w:val="center"/>
          </w:tcPr>
          <w:p w14:paraId="38F5FD60">
            <w:pPr>
              <w:rPr>
                <w:rFonts w:cs="Times New Roman"/>
                <w:sz w:val="20"/>
                <w:szCs w:val="20"/>
                <w:lang w:eastAsia="zh-CN"/>
              </w:rPr>
            </w:pPr>
            <w:r>
              <w:rPr>
                <w:rFonts w:cs="Times New Roman"/>
                <w:sz w:val="20"/>
                <w:szCs w:val="20"/>
                <w:lang w:eastAsia="zh-CN"/>
              </w:rPr>
              <w:t xml:space="preserve">Agility ladder drills </w:t>
            </w:r>
          </w:p>
          <w:p w14:paraId="59AD05C4">
            <w:pPr>
              <w:rPr>
                <w:rFonts w:cs="Times New Roman"/>
                <w:sz w:val="20"/>
                <w:szCs w:val="20"/>
                <w:lang w:eastAsia="zh-CN"/>
              </w:rPr>
            </w:pPr>
            <w:r>
              <w:rPr>
                <w:rFonts w:cs="Times New Roman"/>
                <w:sz w:val="20"/>
                <w:szCs w:val="20"/>
                <w:lang w:eastAsia="zh-CN"/>
              </w:rPr>
              <w:t xml:space="preserve">2 sets each session; </w:t>
            </w:r>
          </w:p>
          <w:p w14:paraId="4B27B556">
            <w:pPr>
              <w:rPr>
                <w:rFonts w:cs="Times New Roman"/>
                <w:sz w:val="20"/>
                <w:szCs w:val="20"/>
                <w:lang w:eastAsia="zh-CN"/>
              </w:rPr>
            </w:pPr>
            <w:r>
              <w:rPr>
                <w:rFonts w:cs="Times New Roman"/>
                <w:sz w:val="20"/>
                <w:szCs w:val="20"/>
                <w:lang w:eastAsia="zh-CN"/>
              </w:rPr>
              <w:t>Straight-leg</w:t>
            </w:r>
            <w:r>
              <w:rPr>
                <w:rFonts w:hint="eastAsia" w:cs="Times New Roman"/>
                <w:sz w:val="20"/>
                <w:szCs w:val="20"/>
                <w:lang w:eastAsia="zh-CN"/>
              </w:rPr>
              <w:t xml:space="preserve"> jumps</w:t>
            </w:r>
          </w:p>
          <w:p w14:paraId="355C6E00">
            <w:pPr>
              <w:rPr>
                <w:rFonts w:cs="Times New Roman"/>
                <w:sz w:val="20"/>
                <w:szCs w:val="20"/>
                <w:lang w:eastAsia="zh-CN"/>
              </w:rPr>
            </w:pPr>
            <w:r>
              <w:rPr>
                <w:rFonts w:cs="Times New Roman"/>
                <w:sz w:val="20"/>
                <w:szCs w:val="20"/>
                <w:lang w:eastAsia="zh-CN"/>
              </w:rPr>
              <w:t>2 sets each session</w:t>
            </w:r>
          </w:p>
        </w:tc>
      </w:tr>
    </w:tbl>
    <w:p w14:paraId="00CC6C7B">
      <w:pPr>
        <w:rPr>
          <w:lang w:eastAsia="zh-CN"/>
        </w:rPr>
      </w:pPr>
    </w:p>
    <w:p w14:paraId="32F71D82">
      <w:pPr>
        <w:pStyle w:val="4"/>
      </w:pPr>
      <w:r>
        <w:rPr>
          <w:rFonts w:ascii="Times New Roman" w:hAnsi="Times New Roman" w:eastAsia="黑体"/>
        </w:rPr>
        <w:t>2.3 Tests</w:t>
      </w:r>
    </w:p>
    <w:p w14:paraId="4D33E0FD">
      <w:pPr>
        <w:pStyle w:val="5"/>
      </w:pPr>
      <w:r>
        <w:t>2.3.1 FMS test</w:t>
      </w:r>
    </w:p>
    <w:p w14:paraId="5A4B1ECD">
      <w:pPr>
        <w:ind w:firstLine="420"/>
      </w:pPr>
      <w:r>
        <w:t>FMS is a screening tool comprising seven specific tests used to evaluate overall functional movement capacity</w:t>
      </w:r>
      <w:r>
        <w:fldChar w:fldCharType="begin"/>
      </w:r>
      <w:r>
        <w:instrText xml:space="preserve"> ADDIN ZOTERO_ITEM CSL_CITATION {"citationID":"yRvC8Xhk","properties":{"formattedCitation":"(30)","plainCitation":"(30)","noteIndex":0},"citationItems":[{"id":526,"uris":["http://zotero.org/users/local/uTk9sRyd/items/WKB8IEQU"],"itemData":{"id":526,"type":"article-journal","container-title":"The Journal of Strength &amp; Conditioning Research","DOI":"10.1519/JSC.0b013e318234ec59","issue":"6","journalAbbreviation":"J. Strength Cond. Res.","language":"en","page":"1620–1630","publisher":"LWW","source":"Google Scholar","title":"Using the functional movement screen™ to evaluate the effectiveness of training","volume":"26","author":[{"family":"Frost","given":"David M."},{"family":"Beach","given":"Tyson AC"},{"family":"Callaghan","given":"Jack P."},{"family":"McGill","given":"Stuart M."}],"issued":{"date-parts":[["2012"]]}}}],"schema":"https://github.com/citation-style-language/schema/raw/master/csl-citation.json"} </w:instrText>
      </w:r>
      <w:r>
        <w:fldChar w:fldCharType="separate"/>
      </w:r>
      <w:r>
        <w:rPr>
          <w:rFonts w:cs="Times New Roman"/>
        </w:rPr>
        <w:t>(30)</w:t>
      </w:r>
      <w:r>
        <w:fldChar w:fldCharType="end"/>
      </w:r>
      <w:r>
        <w:t>. Each item is scored on a 0–3 scale, including the squat, hurdle step, forward lunge, shoulder mobility, ASLR, push-up, and rotary stability. A score of 3 indicates that the participant can perform the movement correctly without pain; a score of 2 indicates that the movement can be completed without pain but with some compensation; and a score of 1 indicates inability to complete the movement as instructed. If pain occurs at any point during the movement, the score is 0. The total standard</w:t>
      </w:r>
      <w:r>
        <w:rPr>
          <w:rFonts w:hint="eastAsia"/>
          <w:lang w:val="en-US" w:eastAsia="zh-CN"/>
        </w:rPr>
        <w:t xml:space="preserve"> </w:t>
      </w:r>
      <w:r>
        <w:t>FMS score was derived using the 7-item scoring algorithm by summing Squat,  Push-Up, and the lower score from each bilateral task</w:t>
      </w:r>
      <w:r>
        <w:rPr>
          <w:rFonts w:hint="eastAsia"/>
          <w:lang w:val="en-US" w:eastAsia="zh-CN"/>
        </w:rPr>
        <w:t>, ranged from 0 to 21</w:t>
      </w:r>
      <w:r>
        <w:t>.</w:t>
      </w:r>
    </w:p>
    <w:p w14:paraId="0EE996F6">
      <w:pPr>
        <w:pStyle w:val="5"/>
      </w:pPr>
      <w:r>
        <w:t>2.3.2 Lower-limb explosive power</w:t>
      </w:r>
    </w:p>
    <w:p w14:paraId="325111D7">
      <w:pPr>
        <w:ind w:firstLine="420"/>
      </w:pPr>
      <w:r>
        <w:t>Lower-limb explosive power was assessed using SJ, CMJ, and SLJ. Jump performance was measured using an OptoGait optical measurement system (OptoGait, Microgate, Bolzano, Italy). For SJ and CMJ, participants initiated the jumps from a standing position. SJ required a static hold at a self-selected squat depth prior to take-off, whereas CMJ incorporated a rapid downward movement followed immediately by an upward propulsion to maximize elastic energy utilization. For SLJ, participants performed a maximal horizontal jump from a static standing position; jump distance was measured using a tape measure. All tests were performed with maximal effort. Three trials were completed for each test, and the best performance was retained for analysis.</w:t>
      </w:r>
    </w:p>
    <w:p w14:paraId="6B2640F7">
      <w:pPr>
        <w:pStyle w:val="5"/>
      </w:pPr>
      <w:r>
        <w:t>2.3.3 Start performance</w:t>
      </w:r>
    </w:p>
    <w:p w14:paraId="6CDCE968">
      <w:pPr>
        <w:bidi w:val="0"/>
        <w:rPr>
          <w:rFonts w:hint="eastAsia"/>
          <w:lang w:eastAsia="zh-CN"/>
        </w:rPr>
      </w:pPr>
      <w:r>
        <w:rPr>
          <w:rFonts w:hint="eastAsia"/>
          <w:color w:val="FF0000"/>
          <w:lang w:eastAsia="zh-CN"/>
        </w:rPr>
        <w:t>Start performance was evaluated using 15-m sprint time, water-entry distance, and horizontal velocity. The 15-m sprint time test was conducted in a standard 50 m indoor swimming pool with water temperature maintained at 27 C. All participants used a grab start and were instructed to perform the start, water entry, and initial acceleration phase with maximal effort following the starting signal. Timing began at the start signal and ended when the participant's head crossed the vertical plane of the 15 m mark. Performance was recorded using an automatic timing system. Each participant completed two trials separated by a 10-min rest period, and the best time was used for statistical analysis.</w:t>
      </w:r>
    </w:p>
    <w:p w14:paraId="0097A1F6">
      <w:pPr>
        <w:bidi w:val="0"/>
        <w:rPr>
          <w:rFonts w:hint="eastAsia"/>
          <w:lang w:eastAsia="zh-CN"/>
        </w:rPr>
      </w:pPr>
      <w:r>
        <w:rPr>
          <w:rFonts w:hint="eastAsia"/>
          <w:color w:val="FF0000"/>
          <w:lang w:eastAsia="zh-CN"/>
        </w:rPr>
        <w:t>To further examine the biomechanical mechanisms underlying differences in start performance, two-dimensional kinematic analysis was used to quantify key parameters during the take-off and flight phase. Video data were captured using a high-speed camera (GoPro 7; GoPro Inc., USA) operating at a sampling frequency of 120 Hz and a resolution of 1080p, positioned at poolside 5 m from the centerline of the starting block and at a height of 120 cm. The optical axis was aligned perpendicular to the pool's longitudinal axis to ensure full capture of the movement from take-off to complete water entry (Supplementary Figure S1). All videos were processed in Kinovea to calculate horizontal displacement (Delta x) and flight-time difference (Delta t) from toe-off to initial head contact with the water, from which horizontal velocity was derived(31). To minimize the influence of fatigue, all in-water tests were performed 48 h after the final dry-land test session and were supervised by the same experienced swimming coach to ensure consistency of testing procedures and technique.</w:t>
      </w:r>
    </w:p>
    <w:p w14:paraId="72DBBE41">
      <w:pPr>
        <w:keepNext/>
        <w:spacing w:line="240" w:lineRule="auto"/>
        <w:jc w:val="center"/>
      </w:pPr>
      <w:r>
        <w:drawing>
          <wp:inline distT="0" distB="0" distL="0" distR="0">
            <wp:extent cx="5490210" cy="3064510"/>
            <wp:effectExtent l="0" t="0" r="0" b="2540"/>
            <wp:docPr id="15645975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97507" name="图片 1"/>
                    <pic:cNvPicPr>
                      <a:picLocks noChangeAspect="1"/>
                    </pic:cNvPicPr>
                  </pic:nvPicPr>
                  <pic:blipFill>
                    <a:blip r:embed="rId7"/>
                    <a:stretch>
                      <a:fillRect/>
                    </a:stretch>
                  </pic:blipFill>
                  <pic:spPr>
                    <a:xfrm>
                      <a:off x="0" y="0"/>
                      <a:ext cx="5490210" cy="3064510"/>
                    </a:xfrm>
                    <a:prstGeom prst="rect">
                      <a:avLst/>
                    </a:prstGeom>
                  </pic:spPr>
                </pic:pic>
              </a:graphicData>
            </a:graphic>
          </wp:inline>
        </w:drawing>
      </w:r>
    </w:p>
    <w:p w14:paraId="5A3E2213">
      <w:pPr>
        <w:bidi w:val="0"/>
        <w:rPr>
          <w:rFonts w:hint="eastAsia"/>
          <w:lang w:eastAsia="zh-CN"/>
        </w:rPr>
      </w:pPr>
      <w:r>
        <w:rPr>
          <w:rFonts w:hint="eastAsia"/>
          <w:color w:val="FF0000"/>
          <w:lang w:eastAsia="zh-CN"/>
        </w:rPr>
        <w:t>Supplementary Figure S1. Schematic diagram of the experimental swimming lane configuration.</w:t>
      </w:r>
    </w:p>
    <w:p w14:paraId="76B20077">
      <w:r>
        <w:rPr>
          <w:rFonts w:hint="eastAsia"/>
          <w:lang w:eastAsia="zh-CN"/>
        </w:rPr>
        <w:t xml:space="preserve">Note: </w:t>
      </w:r>
      <w:r>
        <w:t>The start performance was evaluated in the Test Lane (Lane 2). A high-speed camera was positioned at the poolside, 5 m perpendicular to the centerline of the test lane and 2.5 m longitudinally from the starting wall. The optical axis was aligned perpendicular to the pool's longitudinal axis.</w:t>
      </w:r>
    </w:p>
    <w:p w14:paraId="619EDBAC">
      <w:pPr>
        <w:pStyle w:val="4"/>
      </w:pPr>
      <w:r>
        <w:rPr>
          <w:rFonts w:ascii="Times New Roman" w:hAnsi="Times New Roman" w:eastAsia="黑体"/>
        </w:rPr>
        <w:t>2.4 Statistical analysis</w:t>
      </w:r>
    </w:p>
    <w:p w14:paraId="4B6095B6">
      <w:pPr>
        <w:bidi w:val="0"/>
        <w:spacing w:line="240" w:lineRule="auto"/>
        <w:jc w:val="left"/>
        <w:rPr>
          <w:rFonts w:hint="eastAsia"/>
          <w:color w:val="FF0000"/>
          <w:lang w:eastAsia="zh-CN"/>
        </w:rPr>
      </w:pPr>
      <w:r>
        <w:rPr>
          <w:rFonts w:hint="eastAsia"/>
          <w:color w:val="FF0000"/>
          <w:lang w:eastAsia="zh-CN"/>
        </w:rPr>
        <w:t>All data are presented as mean (SD) for continuous variables or n (%) for categorical variables. Pre- and post-intervention records were matched one-to-one using participant number, participant name, and group after standardization of spacing, character width, letter case, and group coding. For FMS, the standard total score (0-21) was derived using the 7-item scoring algorithm by summing Deep Squat, Trunk Stability Push-Up, and the lower score from each bilateral task. The primary analytic framework was a 2 x 2 mixed repeated-measures ANOVA with Group (CON vs INTG) as the between-subject factor and Visit (Pre vs Post) as the within-subject factor. The Group x Visit interaction was treated as the primary effect of interest. For each outcome, F values, degrees of freedom, p values, and partial eta squared were reported.</w:t>
      </w:r>
    </w:p>
    <w:p w14:paraId="6E6E580D">
      <w:pPr>
        <w:bidi w:val="0"/>
        <w:spacing w:line="240" w:lineRule="auto"/>
        <w:jc w:val="left"/>
        <w:rPr>
          <w:rFonts w:hint="eastAsia"/>
          <w:color w:val="FF0000"/>
          <w:lang w:eastAsia="zh-CN"/>
        </w:rPr>
      </w:pPr>
      <w:r>
        <w:rPr>
          <w:rFonts w:hint="eastAsia"/>
          <w:color w:val="FF0000"/>
          <w:lang w:eastAsia="zh-CN"/>
        </w:rPr>
        <w:t>Holm-adjusted post hoc comparisons were conducted only when the interaction effect was significant or when additional interpretation of the trajectory was required, including within-group Pre vs Post contrasts and between-group contrasts at each visit. Within-group pre-to-post standardized changes were additionally summarized using Cohen's d based on the pooled pre/post standard deviation. Assumption checks included normality and homogeneity assessments, and potential outliers were screened using studentized residuals. ANCOVA models specified as Post ~ Group + Pre were performed as sensitivity analyses to evaluate whether the mixed ANOVA findings remained consistent after baseline adjustment. All analyses were performed in R (version 4.5.2; R Foundation for Statistical Computing, Vienna, Austria), and statistical significance was set at p &lt; 0.05.</w:t>
      </w:r>
    </w:p>
    <w:p w14:paraId="5F8D8516">
      <w:pPr>
        <w:bidi w:val="0"/>
        <w:spacing w:line="240" w:lineRule="auto"/>
        <w:jc w:val="left"/>
      </w:pPr>
      <w:r>
        <w:t>3. Results</w:t>
      </w:r>
    </w:p>
    <w:p w14:paraId="18A2C96C">
      <w:pPr>
        <w:pStyle w:val="4"/>
        <w:bidi w:val="0"/>
        <w:spacing w:line="240" w:lineRule="auto"/>
        <w:jc w:val="left"/>
        <w:rPr>
          <w:rFonts w:hint="eastAsia"/>
          <w:color w:val="FF0000"/>
          <w:lang w:eastAsia="zh-CN"/>
        </w:rPr>
      </w:pPr>
      <w:r>
        <w:rPr>
          <w:rFonts w:hint="eastAsia"/>
          <w:color w:val="FF0000"/>
          <w:lang w:eastAsia="zh-CN"/>
        </w:rPr>
        <w:t>3.1 Participant flow and baseline characteristics</w:t>
      </w:r>
    </w:p>
    <w:p w14:paraId="4DD4EF60">
      <w:pPr>
        <w:bidi w:val="0"/>
        <w:spacing w:line="240" w:lineRule="auto"/>
        <w:jc w:val="left"/>
        <w:rPr>
          <w:rFonts w:hint="eastAsia"/>
          <w:color w:val="FF0000"/>
          <w:lang w:eastAsia="zh-CN"/>
        </w:rPr>
      </w:pPr>
      <w:r>
        <w:rPr>
          <w:rFonts w:hint="eastAsia"/>
          <w:color w:val="FF0000"/>
          <w:lang w:eastAsia="zh-CN"/>
        </w:rPr>
        <w:t>No sports-related injuries occurred during testing or training. Training compliance was high in both groups (INTG: 95.5%; CON: 96.0%), and all 17 participants completed the intervention (INTG: n = 9; CON: n = 8). All 21 prespecified outcomes had complete paired values, and no missing outcome data were identified; therefore, all analyses were conducted on complete cases. Baseline characteristics and pre-intervention performance measures are summarized in Table 3. No statistically significant between-group differences were observed at baseline for participant characteristics, lower-limb explosive performance, start performance, or FMS Total (all p &gt; 0.05). Assumption checks and outlier screening are reported in the Supplementary Materials.</w:t>
      </w:r>
    </w:p>
    <w:p w14:paraId="67420AEA">
      <w:pPr>
        <w:bidi w:val="0"/>
        <w:spacing w:line="240" w:lineRule="auto"/>
        <w:jc w:val="left"/>
        <w:rPr>
          <w:rFonts w:hint="eastAsia"/>
          <w:color w:val="FF0000"/>
          <w:lang w:eastAsia="zh-CN"/>
        </w:rPr>
      </w:pPr>
      <w:r>
        <w:rPr>
          <w:rFonts w:hint="eastAsia"/>
          <w:color w:val="FF0000"/>
          <w:lang w:eastAsia="zh-CN"/>
        </w:rPr>
        <w:t>Table 3. Baseline characteristics and pre-intervention performance variables.</w:t>
      </w:r>
    </w:p>
    <w:tbl>
      <w:tblPr>
        <w:tblStyle w:val="3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3529"/>
        <w:gridCol w:w="1459"/>
        <w:gridCol w:w="1459"/>
        <w:gridCol w:w="689"/>
      </w:tblGrid>
      <w:tr w14:paraId="50F3A8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Borders>
              <w:top w:val="single" w:color="auto" w:sz="0" w:space="0"/>
              <w:bottom w:val="single" w:color="auto" w:sz="0" w:space="0"/>
            </w:tcBorders>
          </w:tcPr>
          <w:p w14:paraId="0E528AC5">
            <w:pPr>
              <w:bidi w:val="0"/>
              <w:spacing w:line="240" w:lineRule="auto"/>
              <w:jc w:val="left"/>
              <w:rPr>
                <w:rFonts w:hint="default" w:ascii="Times New Roman" w:hAnsi="Times New Roman" w:cs="Times New Roman"/>
                <w:b/>
                <w:color w:val="FF0000"/>
                <w:vertAlign w:val="baseline"/>
                <w:lang w:eastAsia="zh-CN"/>
              </w:rPr>
            </w:pPr>
            <w:r>
              <w:rPr>
                <w:rFonts w:hint="eastAsia" w:cs="Times New Roman"/>
                <w:b/>
                <w:color w:val="FF0000"/>
                <w:vertAlign w:val="baseline"/>
                <w:lang w:eastAsia="zh-CN"/>
              </w:rPr>
              <w:t>Variable</w:t>
            </w:r>
          </w:p>
        </w:tc>
        <w:tc>
          <w:tcPr>
            <w:tcW w:w="0" w:type="auto"/>
            <w:tcBorders>
              <w:top w:val="single" w:color="auto" w:sz="0" w:space="0"/>
              <w:bottom w:val="single" w:color="auto" w:sz="0" w:space="0"/>
            </w:tcBorders>
          </w:tcPr>
          <w:p w14:paraId="7B9B388A">
            <w:pPr>
              <w:bidi w:val="0"/>
              <w:spacing w:line="240" w:lineRule="auto"/>
              <w:jc w:val="left"/>
              <w:rPr>
                <w:rFonts w:hint="default" w:ascii="Times New Roman" w:hAnsi="Times New Roman" w:cs="Times New Roman"/>
                <w:b/>
                <w:color w:val="FF0000"/>
                <w:vertAlign w:val="baseline"/>
                <w:lang w:eastAsia="zh-CN"/>
              </w:rPr>
            </w:pPr>
            <w:r>
              <w:rPr>
                <w:rFonts w:hint="eastAsia" w:cs="Times New Roman"/>
                <w:b/>
                <w:color w:val="FF0000"/>
                <w:vertAlign w:val="baseline"/>
                <w:lang w:eastAsia="zh-CN"/>
              </w:rPr>
              <w:t>INTG (n = 9)</w:t>
            </w:r>
          </w:p>
        </w:tc>
        <w:tc>
          <w:tcPr>
            <w:tcW w:w="0" w:type="auto"/>
            <w:tcBorders>
              <w:top w:val="single" w:color="auto" w:sz="0" w:space="0"/>
              <w:bottom w:val="single" w:color="auto" w:sz="0" w:space="0"/>
            </w:tcBorders>
          </w:tcPr>
          <w:p w14:paraId="1B2430ED">
            <w:pPr>
              <w:bidi w:val="0"/>
              <w:spacing w:line="240" w:lineRule="auto"/>
              <w:jc w:val="left"/>
              <w:rPr>
                <w:rFonts w:hint="default" w:ascii="Times New Roman" w:hAnsi="Times New Roman" w:cs="Times New Roman"/>
                <w:b/>
                <w:color w:val="FF0000"/>
                <w:vertAlign w:val="baseline"/>
                <w:lang w:eastAsia="zh-CN"/>
              </w:rPr>
            </w:pPr>
            <w:r>
              <w:rPr>
                <w:rFonts w:hint="eastAsia" w:cs="Times New Roman"/>
                <w:b/>
                <w:color w:val="FF0000"/>
                <w:vertAlign w:val="baseline"/>
                <w:lang w:eastAsia="zh-CN"/>
              </w:rPr>
              <w:t>CON (n = 8)</w:t>
            </w:r>
          </w:p>
        </w:tc>
        <w:tc>
          <w:tcPr>
            <w:tcW w:w="0" w:type="auto"/>
            <w:tcBorders>
              <w:top w:val="single" w:color="auto" w:sz="0" w:space="0"/>
              <w:bottom w:val="single" w:color="auto" w:sz="0" w:space="0"/>
            </w:tcBorders>
          </w:tcPr>
          <w:p w14:paraId="781C8E95">
            <w:pPr>
              <w:bidi w:val="0"/>
              <w:spacing w:line="240" w:lineRule="auto"/>
              <w:jc w:val="left"/>
              <w:rPr>
                <w:rFonts w:hint="default" w:ascii="Times New Roman" w:hAnsi="Times New Roman" w:cs="Times New Roman"/>
                <w:b/>
                <w:color w:val="FF0000"/>
                <w:vertAlign w:val="baseline"/>
                <w:lang w:eastAsia="zh-CN"/>
              </w:rPr>
            </w:pPr>
            <w:r>
              <w:rPr>
                <w:rFonts w:hint="eastAsia" w:cs="Times New Roman"/>
                <w:b/>
                <w:color w:val="FF0000"/>
                <w:vertAlign w:val="baseline"/>
                <w:lang w:eastAsia="zh-CN"/>
              </w:rPr>
              <w:t>P</w:t>
            </w:r>
          </w:p>
        </w:tc>
      </w:tr>
      <w:tr w14:paraId="3F97D6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gridSpan w:val="4"/>
            <w:tcBorders>
              <w:top w:val="single" w:color="auto" w:sz="0" w:space="0"/>
            </w:tcBorders>
          </w:tcPr>
          <w:p w14:paraId="137FCA2A">
            <w:pPr>
              <w:bidi w:val="0"/>
              <w:spacing w:line="240" w:lineRule="auto"/>
              <w:jc w:val="left"/>
              <w:rPr>
                <w:rFonts w:hint="default" w:ascii="Times New Roman" w:hAnsi="Times New Roman" w:cs="Times New Roman"/>
                <w:b/>
                <w:color w:val="FF0000"/>
                <w:vertAlign w:val="baseline"/>
                <w:lang w:eastAsia="zh-CN"/>
              </w:rPr>
            </w:pPr>
            <w:r>
              <w:rPr>
                <w:rFonts w:hint="eastAsia" w:cs="Times New Roman"/>
                <w:b/>
                <w:color w:val="FF0000"/>
                <w:vertAlign w:val="baseline"/>
                <w:lang w:eastAsia="zh-CN"/>
              </w:rPr>
              <w:t>Participant characteristics</w:t>
            </w:r>
          </w:p>
        </w:tc>
      </w:tr>
      <w:tr w14:paraId="5F7230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42C021F4">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Age (years)</w:t>
            </w:r>
          </w:p>
        </w:tc>
        <w:tc>
          <w:tcPr>
            <w:tcW w:w="0" w:type="auto"/>
          </w:tcPr>
          <w:p w14:paraId="6FE96D4C">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10.11 (1.54)</w:t>
            </w:r>
          </w:p>
        </w:tc>
        <w:tc>
          <w:tcPr>
            <w:tcW w:w="0" w:type="auto"/>
          </w:tcPr>
          <w:p w14:paraId="596246AD">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10.88 (1.13)</w:t>
            </w:r>
          </w:p>
        </w:tc>
        <w:tc>
          <w:tcPr>
            <w:tcW w:w="0" w:type="auto"/>
          </w:tcPr>
          <w:p w14:paraId="017ADDA9">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0.258</w:t>
            </w:r>
          </w:p>
        </w:tc>
      </w:tr>
      <w:tr w14:paraId="5EAC2A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413F4D7C">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Height (cm)</w:t>
            </w:r>
          </w:p>
        </w:tc>
        <w:tc>
          <w:tcPr>
            <w:tcW w:w="0" w:type="auto"/>
          </w:tcPr>
          <w:p w14:paraId="700D375C">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144.27 (13.79)</w:t>
            </w:r>
          </w:p>
        </w:tc>
        <w:tc>
          <w:tcPr>
            <w:tcW w:w="0" w:type="auto"/>
          </w:tcPr>
          <w:p w14:paraId="02B2A57A">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154.22 (11.83)</w:t>
            </w:r>
          </w:p>
        </w:tc>
        <w:tc>
          <w:tcPr>
            <w:tcW w:w="0" w:type="auto"/>
          </w:tcPr>
          <w:p w14:paraId="0C2C57CC">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0.130</w:t>
            </w:r>
          </w:p>
        </w:tc>
      </w:tr>
      <w:tr w14:paraId="42B87F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437FA5E5">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Weight (kg)</w:t>
            </w:r>
          </w:p>
        </w:tc>
        <w:tc>
          <w:tcPr>
            <w:tcW w:w="0" w:type="auto"/>
          </w:tcPr>
          <w:p w14:paraId="196A775D">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34.20 (9.62)</w:t>
            </w:r>
          </w:p>
        </w:tc>
        <w:tc>
          <w:tcPr>
            <w:tcW w:w="0" w:type="auto"/>
          </w:tcPr>
          <w:p w14:paraId="12E9A106">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42.05 (10.79)</w:t>
            </w:r>
          </w:p>
        </w:tc>
        <w:tc>
          <w:tcPr>
            <w:tcW w:w="0" w:type="auto"/>
          </w:tcPr>
          <w:p w14:paraId="45A35FCA">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0.137</w:t>
            </w:r>
          </w:p>
        </w:tc>
      </w:tr>
      <w:tr w14:paraId="6E5ACB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3EC31ADB">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Training experience (years)</w:t>
            </w:r>
          </w:p>
        </w:tc>
        <w:tc>
          <w:tcPr>
            <w:tcW w:w="0" w:type="auto"/>
          </w:tcPr>
          <w:p w14:paraId="5357AF19">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2.33 (1.10)</w:t>
            </w:r>
          </w:p>
        </w:tc>
        <w:tc>
          <w:tcPr>
            <w:tcW w:w="0" w:type="auto"/>
          </w:tcPr>
          <w:p w14:paraId="535150EF">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2.71 (1.39)</w:t>
            </w:r>
          </w:p>
        </w:tc>
        <w:tc>
          <w:tcPr>
            <w:tcW w:w="0" w:type="auto"/>
          </w:tcPr>
          <w:p w14:paraId="77576580">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0.551</w:t>
            </w:r>
          </w:p>
        </w:tc>
      </w:tr>
      <w:tr w14:paraId="4B8094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0E21DEFB">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BMI (kg/m^2)</w:t>
            </w:r>
          </w:p>
        </w:tc>
        <w:tc>
          <w:tcPr>
            <w:tcW w:w="0" w:type="auto"/>
          </w:tcPr>
          <w:p w14:paraId="3B1B02A6">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16.01 (1.63)</w:t>
            </w:r>
          </w:p>
        </w:tc>
        <w:tc>
          <w:tcPr>
            <w:tcW w:w="0" w:type="auto"/>
          </w:tcPr>
          <w:p w14:paraId="60BCC6AD">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17.38 (2.53)</w:t>
            </w:r>
          </w:p>
        </w:tc>
        <w:tc>
          <w:tcPr>
            <w:tcW w:w="0" w:type="auto"/>
          </w:tcPr>
          <w:p w14:paraId="70A8F438">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0.215</w:t>
            </w:r>
          </w:p>
        </w:tc>
      </w:tr>
      <w:tr w14:paraId="79077B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4BFA9096">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Female, n (%)</w:t>
            </w:r>
          </w:p>
        </w:tc>
        <w:tc>
          <w:tcPr>
            <w:tcW w:w="0" w:type="auto"/>
          </w:tcPr>
          <w:p w14:paraId="3BC76059">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6 (66.7%)</w:t>
            </w:r>
          </w:p>
        </w:tc>
        <w:tc>
          <w:tcPr>
            <w:tcW w:w="0" w:type="auto"/>
          </w:tcPr>
          <w:p w14:paraId="76228CAE">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5 (62.5%)</w:t>
            </w:r>
          </w:p>
        </w:tc>
        <w:tc>
          <w:tcPr>
            <w:tcW w:w="0" w:type="auto"/>
          </w:tcPr>
          <w:p w14:paraId="6D45DDDD">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1.000</w:t>
            </w:r>
          </w:p>
        </w:tc>
      </w:tr>
      <w:tr w14:paraId="755C73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gridSpan w:val="4"/>
          </w:tcPr>
          <w:p w14:paraId="531BB0DA">
            <w:pPr>
              <w:bidi w:val="0"/>
              <w:spacing w:line="240" w:lineRule="auto"/>
              <w:jc w:val="left"/>
              <w:rPr>
                <w:rFonts w:hint="default" w:ascii="Times New Roman" w:hAnsi="Times New Roman" w:cs="Times New Roman"/>
                <w:b/>
                <w:color w:val="FF0000"/>
                <w:vertAlign w:val="baseline"/>
                <w:lang w:eastAsia="zh-CN"/>
              </w:rPr>
            </w:pPr>
            <w:r>
              <w:rPr>
                <w:rFonts w:hint="eastAsia" w:cs="Times New Roman"/>
                <w:b/>
                <w:color w:val="FF0000"/>
                <w:vertAlign w:val="baseline"/>
                <w:lang w:eastAsia="zh-CN"/>
              </w:rPr>
              <w:t>Lower-limb explosive performance</w:t>
            </w:r>
          </w:p>
        </w:tc>
      </w:tr>
      <w:tr w14:paraId="3F9780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1ACA089C">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SJ (cm)</w:t>
            </w:r>
          </w:p>
        </w:tc>
        <w:tc>
          <w:tcPr>
            <w:tcW w:w="0" w:type="auto"/>
          </w:tcPr>
          <w:p w14:paraId="72A1F1E9">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19.17 (4.92)</w:t>
            </w:r>
          </w:p>
        </w:tc>
        <w:tc>
          <w:tcPr>
            <w:tcW w:w="0" w:type="auto"/>
          </w:tcPr>
          <w:p w14:paraId="0AA70FC0">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18.40 (4.18)</w:t>
            </w:r>
          </w:p>
        </w:tc>
        <w:tc>
          <w:tcPr>
            <w:tcW w:w="0" w:type="auto"/>
          </w:tcPr>
          <w:p w14:paraId="163E0B03">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0.730</w:t>
            </w:r>
          </w:p>
        </w:tc>
      </w:tr>
      <w:tr w14:paraId="6986A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38081B09">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CMJ (cm)</w:t>
            </w:r>
          </w:p>
        </w:tc>
        <w:tc>
          <w:tcPr>
            <w:tcW w:w="0" w:type="auto"/>
          </w:tcPr>
          <w:p w14:paraId="4F7818AE">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24.46 (6.34)</w:t>
            </w:r>
          </w:p>
        </w:tc>
        <w:tc>
          <w:tcPr>
            <w:tcW w:w="0" w:type="auto"/>
          </w:tcPr>
          <w:p w14:paraId="6CFDF8D1">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24.34 (6.80)</w:t>
            </w:r>
          </w:p>
        </w:tc>
        <w:tc>
          <w:tcPr>
            <w:tcW w:w="0" w:type="auto"/>
          </w:tcPr>
          <w:p w14:paraId="35D9DB4D">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0.971</w:t>
            </w:r>
          </w:p>
        </w:tc>
      </w:tr>
      <w:tr w14:paraId="232B48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6B46C02B">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SLJ (cm)</w:t>
            </w:r>
          </w:p>
        </w:tc>
        <w:tc>
          <w:tcPr>
            <w:tcW w:w="0" w:type="auto"/>
          </w:tcPr>
          <w:p w14:paraId="1768509B">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167.58 (26.59)</w:t>
            </w:r>
          </w:p>
        </w:tc>
        <w:tc>
          <w:tcPr>
            <w:tcW w:w="0" w:type="auto"/>
          </w:tcPr>
          <w:p w14:paraId="411F4DE4">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176.97 (20.86)</w:t>
            </w:r>
          </w:p>
        </w:tc>
        <w:tc>
          <w:tcPr>
            <w:tcW w:w="0" w:type="auto"/>
          </w:tcPr>
          <w:p w14:paraId="7F758E7D">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0.429</w:t>
            </w:r>
          </w:p>
        </w:tc>
      </w:tr>
      <w:tr w14:paraId="4C3CE8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gridSpan w:val="4"/>
          </w:tcPr>
          <w:p w14:paraId="42CD2E01">
            <w:pPr>
              <w:bidi w:val="0"/>
              <w:spacing w:line="240" w:lineRule="auto"/>
              <w:jc w:val="left"/>
              <w:rPr>
                <w:rFonts w:hint="default" w:ascii="Times New Roman" w:hAnsi="Times New Roman" w:cs="Times New Roman"/>
                <w:b/>
                <w:color w:val="FF0000"/>
                <w:vertAlign w:val="baseline"/>
                <w:lang w:eastAsia="zh-CN"/>
              </w:rPr>
            </w:pPr>
            <w:r>
              <w:rPr>
                <w:rFonts w:hint="eastAsia" w:cs="Times New Roman"/>
                <w:b/>
                <w:color w:val="FF0000"/>
                <w:vertAlign w:val="baseline"/>
                <w:lang w:eastAsia="zh-CN"/>
              </w:rPr>
              <w:t>Start performance</w:t>
            </w:r>
          </w:p>
        </w:tc>
      </w:tr>
      <w:tr w14:paraId="7835FC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03C8E289">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15-m sprint time (s)</w:t>
            </w:r>
          </w:p>
        </w:tc>
        <w:tc>
          <w:tcPr>
            <w:tcW w:w="0" w:type="auto"/>
          </w:tcPr>
          <w:p w14:paraId="14EB0D67">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8.86 (1.40)</w:t>
            </w:r>
          </w:p>
        </w:tc>
        <w:tc>
          <w:tcPr>
            <w:tcW w:w="0" w:type="auto"/>
          </w:tcPr>
          <w:p w14:paraId="4BAF4A36">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8.54 (1.04)</w:t>
            </w:r>
          </w:p>
        </w:tc>
        <w:tc>
          <w:tcPr>
            <w:tcW w:w="0" w:type="auto"/>
          </w:tcPr>
          <w:p w14:paraId="33A0A389">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0.600</w:t>
            </w:r>
          </w:p>
        </w:tc>
      </w:tr>
      <w:tr w14:paraId="3BF2E6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698ACDE4">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Water-entry distance (cm)</w:t>
            </w:r>
          </w:p>
        </w:tc>
        <w:tc>
          <w:tcPr>
            <w:tcW w:w="0" w:type="auto"/>
          </w:tcPr>
          <w:p w14:paraId="47528CF7">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175.56 (31.57)</w:t>
            </w:r>
          </w:p>
        </w:tc>
        <w:tc>
          <w:tcPr>
            <w:tcW w:w="0" w:type="auto"/>
          </w:tcPr>
          <w:p w14:paraId="5D75C8D9">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188.79 (33.43)</w:t>
            </w:r>
          </w:p>
        </w:tc>
        <w:tc>
          <w:tcPr>
            <w:tcW w:w="0" w:type="auto"/>
          </w:tcPr>
          <w:p w14:paraId="64B80CDC">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0.417</w:t>
            </w:r>
          </w:p>
        </w:tc>
      </w:tr>
      <w:tr w14:paraId="3EA81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4794B60F">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Horizontal displacement (Delta x) (cm)</w:t>
            </w:r>
          </w:p>
        </w:tc>
        <w:tc>
          <w:tcPr>
            <w:tcW w:w="0" w:type="auto"/>
          </w:tcPr>
          <w:p w14:paraId="2F92D637">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68.28 (33.95)</w:t>
            </w:r>
          </w:p>
        </w:tc>
        <w:tc>
          <w:tcPr>
            <w:tcW w:w="0" w:type="auto"/>
          </w:tcPr>
          <w:p w14:paraId="6DA47826">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74.10 (39.36)</w:t>
            </w:r>
          </w:p>
        </w:tc>
        <w:tc>
          <w:tcPr>
            <w:tcW w:w="0" w:type="auto"/>
          </w:tcPr>
          <w:p w14:paraId="387FFF4D">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0.750</w:t>
            </w:r>
          </w:p>
        </w:tc>
      </w:tr>
      <w:tr w14:paraId="285C5D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71C3DF83">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Horizontal velocity (m/s)</w:t>
            </w:r>
          </w:p>
        </w:tc>
        <w:tc>
          <w:tcPr>
            <w:tcW w:w="0" w:type="auto"/>
          </w:tcPr>
          <w:p w14:paraId="2F60FB60">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3.54 (0.32)</w:t>
            </w:r>
          </w:p>
        </w:tc>
        <w:tc>
          <w:tcPr>
            <w:tcW w:w="0" w:type="auto"/>
          </w:tcPr>
          <w:p w14:paraId="2822742B">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3.60 (0.41)</w:t>
            </w:r>
          </w:p>
        </w:tc>
        <w:tc>
          <w:tcPr>
            <w:tcW w:w="0" w:type="auto"/>
          </w:tcPr>
          <w:p w14:paraId="32796B49">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0.774</w:t>
            </w:r>
          </w:p>
        </w:tc>
      </w:tr>
      <w:tr w14:paraId="0B7CB9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gridSpan w:val="4"/>
          </w:tcPr>
          <w:p w14:paraId="0415AF73">
            <w:pPr>
              <w:bidi w:val="0"/>
              <w:spacing w:line="240" w:lineRule="auto"/>
              <w:jc w:val="left"/>
              <w:rPr>
                <w:rFonts w:hint="default" w:ascii="Times New Roman" w:hAnsi="Times New Roman" w:cs="Times New Roman"/>
                <w:b/>
                <w:color w:val="FF0000"/>
                <w:vertAlign w:val="baseline"/>
                <w:lang w:eastAsia="zh-CN"/>
              </w:rPr>
            </w:pPr>
            <w:r>
              <w:rPr>
                <w:rFonts w:hint="eastAsia" w:cs="Times New Roman"/>
                <w:b/>
                <w:color w:val="FF0000"/>
                <w:vertAlign w:val="baseline"/>
                <w:lang w:eastAsia="zh-CN"/>
              </w:rPr>
              <w:t>Functional movement</w:t>
            </w:r>
          </w:p>
        </w:tc>
      </w:tr>
      <w:tr w14:paraId="6ACD25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Borders>
              <w:bottom w:val="single" w:color="auto" w:sz="0" w:space="0"/>
            </w:tcBorders>
          </w:tcPr>
          <w:p w14:paraId="1134C09A">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FMS Total (0-21)</w:t>
            </w:r>
          </w:p>
        </w:tc>
        <w:tc>
          <w:tcPr>
            <w:tcW w:w="0" w:type="auto"/>
            <w:tcBorders>
              <w:bottom w:val="single" w:color="auto" w:sz="0" w:space="0"/>
            </w:tcBorders>
          </w:tcPr>
          <w:p w14:paraId="69C222F3">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13.67 (2.87)</w:t>
            </w:r>
          </w:p>
        </w:tc>
        <w:tc>
          <w:tcPr>
            <w:tcW w:w="0" w:type="auto"/>
            <w:tcBorders>
              <w:bottom w:val="single" w:color="auto" w:sz="0" w:space="0"/>
            </w:tcBorders>
          </w:tcPr>
          <w:p w14:paraId="68C8860E">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13.12 (2.75)</w:t>
            </w:r>
          </w:p>
        </w:tc>
        <w:tc>
          <w:tcPr>
            <w:tcW w:w="0" w:type="auto"/>
            <w:tcBorders>
              <w:bottom w:val="single" w:color="auto" w:sz="0" w:space="0"/>
            </w:tcBorders>
          </w:tcPr>
          <w:p w14:paraId="4E68E2E2">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0.697</w:t>
            </w:r>
          </w:p>
        </w:tc>
      </w:tr>
    </w:tbl>
    <w:p w14:paraId="17A8F5BC">
      <w:pPr>
        <w:bidi w:val="0"/>
        <w:spacing w:line="240" w:lineRule="auto"/>
        <w:jc w:val="left"/>
        <w:rPr>
          <w:lang w:eastAsia="zh-CN"/>
        </w:rPr>
      </w:pPr>
    </w:p>
    <w:p w14:paraId="07D8ECF6">
      <w:pPr>
        <w:bidi w:val="0"/>
        <w:spacing w:line="240" w:lineRule="auto"/>
        <w:jc w:val="left"/>
        <w:rPr>
          <w:rFonts w:hint="eastAsia"/>
          <w:color w:val="FF0000"/>
          <w:lang w:eastAsia="zh-CN"/>
        </w:rPr>
      </w:pPr>
      <w:r>
        <w:rPr>
          <w:rFonts w:hint="eastAsia"/>
          <w:color w:val="FF0000"/>
          <w:lang w:eastAsia="zh-CN"/>
        </w:rPr>
        <w:t>Note. Data are presented as mean (SD) or n (%). Baseline p values are descriptive rather than decisive evidence of comparability. BMI = body mass index; SJ = squat jump; CMJ = countermovement jump; SLJ = standing long jump; FMS = Functional Movement Screen.</w:t>
      </w:r>
    </w:p>
    <w:p w14:paraId="65078897">
      <w:pPr>
        <w:pStyle w:val="4"/>
        <w:bidi w:val="0"/>
        <w:spacing w:line="240" w:lineRule="auto"/>
        <w:jc w:val="left"/>
        <w:rPr>
          <w:rFonts w:hint="eastAsia"/>
          <w:color w:val="FF0000"/>
          <w:lang w:eastAsia="zh-CN"/>
        </w:rPr>
      </w:pPr>
      <w:r>
        <w:rPr>
          <w:rFonts w:hint="eastAsia"/>
          <w:color w:val="FF0000"/>
          <w:lang w:eastAsia="zh-CN"/>
        </w:rPr>
        <w:t>3.2 Lower-limb explosive power outcomes</w:t>
      </w:r>
    </w:p>
    <w:p w14:paraId="3E85F7B3">
      <w:pPr>
        <w:bidi w:val="0"/>
        <w:spacing w:line="240" w:lineRule="auto"/>
        <w:jc w:val="left"/>
        <w:rPr>
          <w:rFonts w:hint="eastAsia"/>
          <w:color w:val="FF0000"/>
          <w:lang w:eastAsia="zh-CN"/>
        </w:rPr>
      </w:pPr>
      <w:r>
        <w:rPr>
          <w:rFonts w:hint="eastAsia"/>
          <w:color w:val="FF0000"/>
          <w:lang w:eastAsia="zh-CN"/>
        </w:rPr>
        <w:t>The lower-limb explosive power findings are included in Table 4 and Figure 1. No statistically significant Group x Visit interactions were observed for squat jump (F(1,15) = 3.12, p = 0.097, partial eta squared = 0.172), countermovement jump (F(1,15) = 0.72, p = 0.408, partial eta squared = 0.046), or standing long jump (F(1,15) = 3.50, p = 0.081, partial eta squared = 0.189). Changes over time therefore did not differ significantly between INTG and CON. Detailed main-effect and post hoc results are reported in the Supplementary Materials.</w:t>
      </w:r>
    </w:p>
    <w:p w14:paraId="128FFB92">
      <w:pPr>
        <w:pStyle w:val="4"/>
        <w:bidi w:val="0"/>
        <w:spacing w:line="240" w:lineRule="auto"/>
        <w:jc w:val="left"/>
        <w:rPr>
          <w:rFonts w:hint="eastAsia"/>
          <w:color w:val="FF0000"/>
          <w:lang w:eastAsia="zh-CN"/>
        </w:rPr>
      </w:pPr>
      <w:r>
        <w:rPr>
          <w:rFonts w:hint="eastAsia"/>
          <w:color w:val="FF0000"/>
          <w:lang w:eastAsia="zh-CN"/>
        </w:rPr>
        <w:t>3.3 Start-performance and kinematic outcomes</w:t>
      </w:r>
    </w:p>
    <w:p w14:paraId="13306FA1">
      <w:pPr>
        <w:bidi w:val="0"/>
        <w:spacing w:line="240" w:lineRule="auto"/>
        <w:jc w:val="left"/>
        <w:rPr>
          <w:rFonts w:hint="eastAsia"/>
          <w:color w:val="FF0000"/>
          <w:lang w:eastAsia="zh-CN"/>
        </w:rPr>
      </w:pPr>
      <w:r>
        <w:rPr>
          <w:rFonts w:hint="eastAsia"/>
          <w:color w:val="FF0000"/>
          <w:lang w:eastAsia="zh-CN"/>
        </w:rPr>
        <w:t>The primary start-performance and kinematic findings are summarized in Table 5 and Figure 2. Significant Group x Visit interactions were observed for water-entry distance (F(1,15) = 30.05, p = 0.001, partial eta squared = 0.667), horizontal velocity (F(1,15) = 26.41, p = 0.001, partial eta squared = 0.638), 15-m sprint time (F(1,15) = 19.48, p = 0.001, partial eta squared = 0.565), and horizontal displacement (Delta x) (F(1,15) = 5.29, p = 0.036, partial eta squared = 0.261). These interaction effects were in favor of INTG.</w:t>
      </w:r>
    </w:p>
    <w:p w14:paraId="7AED00F0">
      <w:pPr>
        <w:bidi w:val="0"/>
        <w:spacing w:line="240" w:lineRule="auto"/>
        <w:jc w:val="left"/>
        <w:rPr>
          <w:rFonts w:hint="eastAsia"/>
          <w:color w:val="FF0000"/>
          <w:lang w:eastAsia="zh-CN"/>
        </w:rPr>
      </w:pPr>
      <w:r>
        <w:rPr>
          <w:rFonts w:hint="eastAsia"/>
          <w:color w:val="FF0000"/>
          <w:lang w:eastAsia="zh-CN"/>
        </w:rPr>
        <w:t>INTG reduced 15-m sprint time from 8.86 (1.40) s to 8.58 (1.26) s, whereas CON changed from 8.54 (1.04) s to 8.97 (1.11) s. Water-entry distance increased from 175.56 (31.57) cm to 208.55 (28.56) cm in INTG, while the corresponding change in CON was small. A comparable pattern was observed for the kinematic outcomes: INTG showed larger gains in horizontal displacement (68.28 (33.95) cm to 104.83 (19.62) cm) and horizontal velocity (3.54 (0.32) m/s to 3.97 (0.23) m/s), whereas CON displayed only modest displacement changes together with a decline in horizontal velocity. Holm-adjusted post hoc comparisons showed significant pre-to-post improvements in INTG for the four primary start-performance outcomes, whereas the clearest post-test between-group separation was observed for horizontal velocity. Figure 2 displays, from left to right within each group cell, paired trajectories, boxplots, and half-violin summaries for the Pre and Post distributions; inferential conclusions were based on the mixed repeated-measures ANOVA rather than on the visual summaries alone.</w:t>
      </w:r>
    </w:p>
    <w:p w14:paraId="49D9895E">
      <w:pPr>
        <w:bidi w:val="0"/>
        <w:spacing w:line="240" w:lineRule="auto"/>
        <w:jc w:val="left"/>
        <w:rPr>
          <w:rFonts w:hint="eastAsia"/>
          <w:color w:val="FF0000"/>
          <w:lang w:eastAsia="zh-CN"/>
        </w:rPr>
      </w:pPr>
      <w:r>
        <w:rPr>
          <w:rFonts w:hint="eastAsia"/>
          <w:color w:val="FF0000"/>
          <w:lang w:eastAsia="zh-CN"/>
        </w:rPr>
        <w:t>Table 4. Lower-limb explosive power outcomes from the mixed repeated-measures ANOVA.</w:t>
      </w:r>
    </w:p>
    <w:tbl>
      <w:tblPr>
        <w:tblStyle w:val="3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2196"/>
        <w:gridCol w:w="1567"/>
        <w:gridCol w:w="1168"/>
        <w:gridCol w:w="1375"/>
        <w:gridCol w:w="1173"/>
        <w:gridCol w:w="1383"/>
      </w:tblGrid>
      <w:tr w14:paraId="3ECE1C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Borders>
              <w:top w:val="single" w:color="auto" w:sz="0" w:space="0"/>
              <w:bottom w:val="single" w:color="auto" w:sz="0" w:space="0"/>
            </w:tcBorders>
          </w:tcPr>
          <w:p w14:paraId="1B9624E5">
            <w:pPr>
              <w:bidi w:val="0"/>
              <w:spacing w:line="240" w:lineRule="auto"/>
              <w:jc w:val="left"/>
              <w:rPr>
                <w:rFonts w:hint="default" w:ascii="Times New Roman" w:hAnsi="Times New Roman" w:cs="Times New Roman"/>
                <w:b/>
                <w:color w:val="FF0000"/>
                <w:vertAlign w:val="baseline"/>
                <w:lang w:eastAsia="zh-CN"/>
              </w:rPr>
            </w:pPr>
            <w:r>
              <w:rPr>
                <w:rFonts w:hint="eastAsia" w:cs="Times New Roman"/>
                <w:b/>
                <w:color w:val="FF0000"/>
                <w:vertAlign w:val="baseline"/>
                <w:lang w:eastAsia="zh-CN"/>
              </w:rPr>
              <w:t>Outcome</w:t>
            </w:r>
          </w:p>
        </w:tc>
        <w:tc>
          <w:tcPr>
            <w:tcW w:w="0" w:type="auto"/>
            <w:tcBorders>
              <w:top w:val="single" w:color="auto" w:sz="0" w:space="0"/>
              <w:bottom w:val="single" w:color="auto" w:sz="0" w:space="0"/>
            </w:tcBorders>
          </w:tcPr>
          <w:p w14:paraId="3714D749">
            <w:pPr>
              <w:bidi w:val="0"/>
              <w:spacing w:line="240" w:lineRule="auto"/>
              <w:jc w:val="left"/>
              <w:rPr>
                <w:rFonts w:hint="default" w:ascii="Times New Roman" w:hAnsi="Times New Roman" w:cs="Times New Roman"/>
                <w:b/>
                <w:color w:val="FF0000"/>
                <w:vertAlign w:val="baseline"/>
                <w:lang w:eastAsia="zh-CN"/>
              </w:rPr>
            </w:pPr>
            <w:r>
              <w:rPr>
                <w:rFonts w:hint="eastAsia" w:cs="Times New Roman"/>
                <w:b/>
                <w:color w:val="FF0000"/>
                <w:vertAlign w:val="baseline"/>
                <w:lang w:eastAsia="zh-CN"/>
              </w:rPr>
              <w:t>Metric</w:t>
            </w:r>
          </w:p>
        </w:tc>
        <w:tc>
          <w:tcPr>
            <w:tcW w:w="0" w:type="auto"/>
            <w:tcBorders>
              <w:top w:val="single" w:color="auto" w:sz="0" w:space="0"/>
              <w:bottom w:val="single" w:color="auto" w:sz="0" w:space="0"/>
            </w:tcBorders>
          </w:tcPr>
          <w:p w14:paraId="57CE8D00">
            <w:pPr>
              <w:bidi w:val="0"/>
              <w:spacing w:line="240" w:lineRule="auto"/>
              <w:jc w:val="left"/>
              <w:rPr>
                <w:rFonts w:hint="default" w:ascii="Times New Roman" w:hAnsi="Times New Roman" w:cs="Times New Roman"/>
                <w:b/>
                <w:color w:val="FF0000"/>
                <w:vertAlign w:val="baseline"/>
                <w:lang w:eastAsia="zh-CN"/>
              </w:rPr>
            </w:pPr>
            <w:r>
              <w:rPr>
                <w:rFonts w:hint="eastAsia" w:cs="Times New Roman"/>
                <w:b/>
                <w:color w:val="FF0000"/>
                <w:vertAlign w:val="baseline"/>
                <w:lang w:eastAsia="zh-CN"/>
              </w:rPr>
              <w:t>CON</w:t>
            </w:r>
          </w:p>
        </w:tc>
        <w:tc>
          <w:tcPr>
            <w:tcW w:w="0" w:type="auto"/>
            <w:tcBorders>
              <w:top w:val="single" w:color="auto" w:sz="0" w:space="0"/>
              <w:bottom w:val="single" w:color="auto" w:sz="0" w:space="0"/>
            </w:tcBorders>
          </w:tcPr>
          <w:p w14:paraId="3D917FE2">
            <w:pPr>
              <w:bidi w:val="0"/>
              <w:spacing w:line="240" w:lineRule="auto"/>
              <w:jc w:val="left"/>
              <w:rPr>
                <w:rFonts w:hint="default" w:ascii="Times New Roman" w:hAnsi="Times New Roman" w:cs="Times New Roman"/>
                <w:b/>
                <w:color w:val="FF0000"/>
                <w:vertAlign w:val="baseline"/>
                <w:lang w:eastAsia="zh-CN"/>
              </w:rPr>
            </w:pPr>
            <w:r>
              <w:rPr>
                <w:rFonts w:hint="eastAsia" w:cs="Times New Roman"/>
                <w:b/>
                <w:color w:val="FF0000"/>
                <w:vertAlign w:val="baseline"/>
                <w:lang w:eastAsia="zh-CN"/>
              </w:rPr>
              <w:t>INTG</w:t>
            </w:r>
          </w:p>
        </w:tc>
        <w:tc>
          <w:tcPr>
            <w:tcW w:w="0" w:type="auto"/>
            <w:tcBorders>
              <w:top w:val="single" w:color="auto" w:sz="0" w:space="0"/>
              <w:bottom w:val="single" w:color="auto" w:sz="0" w:space="0"/>
            </w:tcBorders>
          </w:tcPr>
          <w:p w14:paraId="00C698CB">
            <w:pPr>
              <w:bidi w:val="0"/>
              <w:spacing w:line="240" w:lineRule="auto"/>
              <w:jc w:val="left"/>
              <w:rPr>
                <w:rFonts w:hint="default" w:ascii="Times New Roman" w:hAnsi="Times New Roman" w:cs="Times New Roman"/>
                <w:b/>
                <w:color w:val="FF0000"/>
                <w:vertAlign w:val="baseline"/>
                <w:lang w:eastAsia="zh-CN"/>
              </w:rPr>
            </w:pPr>
            <w:r>
              <w:rPr>
                <w:rFonts w:hint="eastAsia" w:cs="Times New Roman"/>
                <w:b/>
                <w:color w:val="FF0000"/>
                <w:vertAlign w:val="baseline"/>
                <w:lang w:eastAsia="zh-CN"/>
              </w:rPr>
              <w:t>Group x Visit P</w:t>
            </w:r>
          </w:p>
        </w:tc>
        <w:tc>
          <w:tcPr>
            <w:tcW w:w="0" w:type="auto"/>
            <w:tcBorders>
              <w:top w:val="single" w:color="auto" w:sz="0" w:space="0"/>
              <w:bottom w:val="single" w:color="auto" w:sz="0" w:space="0"/>
            </w:tcBorders>
          </w:tcPr>
          <w:p w14:paraId="7761E859">
            <w:pPr>
              <w:bidi w:val="0"/>
              <w:spacing w:line="240" w:lineRule="auto"/>
              <w:jc w:val="left"/>
              <w:rPr>
                <w:rFonts w:hint="default" w:ascii="Times New Roman" w:hAnsi="Times New Roman" w:cs="Times New Roman"/>
                <w:b/>
                <w:color w:val="FF0000"/>
                <w:vertAlign w:val="baseline"/>
                <w:lang w:eastAsia="zh-CN"/>
              </w:rPr>
            </w:pPr>
            <w:r>
              <w:rPr>
                <w:rFonts w:hint="eastAsia" w:cs="Times New Roman"/>
                <w:b/>
                <w:color w:val="FF0000"/>
                <w:vertAlign w:val="baseline"/>
                <w:lang w:eastAsia="zh-CN"/>
              </w:rPr>
              <w:t>Partial eta squared</w:t>
            </w:r>
          </w:p>
        </w:tc>
      </w:tr>
      <w:tr w14:paraId="6FB08F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Borders>
              <w:top w:val="single" w:color="auto" w:sz="0" w:space="0"/>
            </w:tcBorders>
          </w:tcPr>
          <w:p w14:paraId="4BBF33B1">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Squat jump (cm)</w:t>
            </w:r>
          </w:p>
        </w:tc>
        <w:tc>
          <w:tcPr>
            <w:tcW w:w="0" w:type="auto"/>
            <w:tcBorders>
              <w:top w:val="single" w:color="auto" w:sz="0" w:space="0"/>
            </w:tcBorders>
          </w:tcPr>
          <w:p w14:paraId="60E0FF47">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Pre</w:t>
            </w:r>
          </w:p>
        </w:tc>
        <w:tc>
          <w:tcPr>
            <w:tcW w:w="0" w:type="auto"/>
            <w:tcBorders>
              <w:top w:val="single" w:color="auto" w:sz="0" w:space="0"/>
            </w:tcBorders>
          </w:tcPr>
          <w:p w14:paraId="17F9DD93">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18.40 (4.18)</w:t>
            </w:r>
          </w:p>
        </w:tc>
        <w:tc>
          <w:tcPr>
            <w:tcW w:w="0" w:type="auto"/>
            <w:tcBorders>
              <w:top w:val="single" w:color="auto" w:sz="0" w:space="0"/>
            </w:tcBorders>
          </w:tcPr>
          <w:p w14:paraId="41DD4AD9">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19.17 (4.92)</w:t>
            </w:r>
          </w:p>
        </w:tc>
        <w:tc>
          <w:tcPr>
            <w:tcW w:w="0" w:type="auto"/>
            <w:tcBorders>
              <w:top w:val="single" w:color="auto" w:sz="0" w:space="0"/>
            </w:tcBorders>
          </w:tcPr>
          <w:p w14:paraId="48C2C3B7">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0.097</w:t>
            </w:r>
          </w:p>
        </w:tc>
        <w:tc>
          <w:tcPr>
            <w:tcW w:w="0" w:type="auto"/>
            <w:tcBorders>
              <w:top w:val="single" w:color="auto" w:sz="0" w:space="0"/>
            </w:tcBorders>
          </w:tcPr>
          <w:p w14:paraId="289BDB19">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0.172</w:t>
            </w:r>
          </w:p>
        </w:tc>
      </w:tr>
      <w:tr w14:paraId="01A252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47595FE3">
            <w:pPr>
              <w:bidi w:val="0"/>
              <w:spacing w:line="240" w:lineRule="auto"/>
              <w:jc w:val="left"/>
              <w:rPr>
                <w:rFonts w:hint="default" w:ascii="Times New Roman" w:hAnsi="Times New Roman" w:cs="Times New Roman"/>
                <w:color w:val="FF0000"/>
                <w:vertAlign w:val="baseline"/>
                <w:lang w:eastAsia="zh-CN"/>
              </w:rPr>
            </w:pPr>
          </w:p>
        </w:tc>
        <w:tc>
          <w:tcPr>
            <w:tcW w:w="0" w:type="auto"/>
          </w:tcPr>
          <w:p w14:paraId="414313AA">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Post</w:t>
            </w:r>
          </w:p>
        </w:tc>
        <w:tc>
          <w:tcPr>
            <w:tcW w:w="0" w:type="auto"/>
          </w:tcPr>
          <w:p w14:paraId="4A1A61E7">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20.04 (5.16)**</w:t>
            </w:r>
          </w:p>
        </w:tc>
        <w:tc>
          <w:tcPr>
            <w:tcW w:w="0" w:type="auto"/>
          </w:tcPr>
          <w:p w14:paraId="2C187365">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22.16 (3.96)***</w:t>
            </w:r>
          </w:p>
        </w:tc>
        <w:tc>
          <w:tcPr>
            <w:tcW w:w="0" w:type="auto"/>
          </w:tcPr>
          <w:p w14:paraId="06D4BCBE">
            <w:pPr>
              <w:bidi w:val="0"/>
              <w:spacing w:line="240" w:lineRule="auto"/>
              <w:jc w:val="left"/>
              <w:rPr>
                <w:rFonts w:hint="default" w:ascii="Times New Roman" w:hAnsi="Times New Roman" w:cs="Times New Roman"/>
                <w:color w:val="FF0000"/>
                <w:vertAlign w:val="baseline"/>
                <w:lang w:eastAsia="zh-CN"/>
              </w:rPr>
            </w:pPr>
          </w:p>
        </w:tc>
        <w:tc>
          <w:tcPr>
            <w:tcW w:w="0" w:type="auto"/>
          </w:tcPr>
          <w:p w14:paraId="61F03987">
            <w:pPr>
              <w:bidi w:val="0"/>
              <w:spacing w:line="240" w:lineRule="auto"/>
              <w:jc w:val="left"/>
              <w:rPr>
                <w:rFonts w:hint="default" w:ascii="Times New Roman" w:hAnsi="Times New Roman" w:cs="Times New Roman"/>
                <w:color w:val="FF0000"/>
                <w:vertAlign w:val="baseline"/>
                <w:lang w:eastAsia="zh-CN"/>
              </w:rPr>
            </w:pPr>
          </w:p>
        </w:tc>
      </w:tr>
      <w:tr w14:paraId="531148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34AE837E">
            <w:pPr>
              <w:bidi w:val="0"/>
              <w:spacing w:line="240" w:lineRule="auto"/>
              <w:jc w:val="left"/>
              <w:rPr>
                <w:rFonts w:hint="default" w:ascii="Times New Roman" w:hAnsi="Times New Roman" w:cs="Times New Roman"/>
                <w:color w:val="FF0000"/>
                <w:vertAlign w:val="baseline"/>
                <w:lang w:eastAsia="zh-CN"/>
              </w:rPr>
            </w:pPr>
          </w:p>
        </w:tc>
        <w:tc>
          <w:tcPr>
            <w:tcW w:w="0" w:type="auto"/>
          </w:tcPr>
          <w:p w14:paraId="69E73D9B">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Post-pre difference (%)</w:t>
            </w:r>
          </w:p>
        </w:tc>
        <w:tc>
          <w:tcPr>
            <w:tcW w:w="0" w:type="auto"/>
          </w:tcPr>
          <w:p w14:paraId="087A39B5">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+8.9%</w:t>
            </w:r>
          </w:p>
        </w:tc>
        <w:tc>
          <w:tcPr>
            <w:tcW w:w="0" w:type="auto"/>
          </w:tcPr>
          <w:p w14:paraId="35FF203C">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+15.6%</w:t>
            </w:r>
          </w:p>
        </w:tc>
        <w:tc>
          <w:tcPr>
            <w:tcW w:w="0" w:type="auto"/>
          </w:tcPr>
          <w:p w14:paraId="30BE4305">
            <w:pPr>
              <w:bidi w:val="0"/>
              <w:spacing w:line="240" w:lineRule="auto"/>
              <w:jc w:val="left"/>
              <w:rPr>
                <w:rFonts w:hint="default" w:ascii="Times New Roman" w:hAnsi="Times New Roman" w:cs="Times New Roman"/>
                <w:color w:val="FF0000"/>
                <w:vertAlign w:val="baseline"/>
                <w:lang w:eastAsia="zh-CN"/>
              </w:rPr>
            </w:pPr>
          </w:p>
        </w:tc>
        <w:tc>
          <w:tcPr>
            <w:tcW w:w="0" w:type="auto"/>
          </w:tcPr>
          <w:p w14:paraId="59E42D32">
            <w:pPr>
              <w:bidi w:val="0"/>
              <w:spacing w:line="240" w:lineRule="auto"/>
              <w:jc w:val="left"/>
              <w:rPr>
                <w:rFonts w:hint="default" w:ascii="Times New Roman" w:hAnsi="Times New Roman" w:cs="Times New Roman"/>
                <w:color w:val="FF0000"/>
                <w:vertAlign w:val="baseline"/>
                <w:lang w:eastAsia="zh-CN"/>
              </w:rPr>
            </w:pPr>
          </w:p>
        </w:tc>
      </w:tr>
      <w:tr w14:paraId="19EDB3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4B8F418C">
            <w:pPr>
              <w:bidi w:val="0"/>
              <w:spacing w:line="240" w:lineRule="auto"/>
              <w:jc w:val="left"/>
              <w:rPr>
                <w:rFonts w:hint="default" w:ascii="Times New Roman" w:hAnsi="Times New Roman" w:cs="Times New Roman"/>
                <w:color w:val="FF0000"/>
                <w:vertAlign w:val="baseline"/>
                <w:lang w:eastAsia="zh-CN"/>
              </w:rPr>
            </w:pPr>
          </w:p>
        </w:tc>
        <w:tc>
          <w:tcPr>
            <w:tcW w:w="0" w:type="auto"/>
          </w:tcPr>
          <w:p w14:paraId="6F6FBBB5">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Post-pre ES (d)</w:t>
            </w:r>
          </w:p>
        </w:tc>
        <w:tc>
          <w:tcPr>
            <w:tcW w:w="0" w:type="auto"/>
          </w:tcPr>
          <w:p w14:paraId="1A5E7D6B">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0.35 (small)</w:t>
            </w:r>
          </w:p>
        </w:tc>
        <w:tc>
          <w:tcPr>
            <w:tcW w:w="0" w:type="auto"/>
          </w:tcPr>
          <w:p w14:paraId="30B4E85B">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0.67 (moderate)</w:t>
            </w:r>
          </w:p>
        </w:tc>
        <w:tc>
          <w:tcPr>
            <w:tcW w:w="0" w:type="auto"/>
          </w:tcPr>
          <w:p w14:paraId="2D265058">
            <w:pPr>
              <w:bidi w:val="0"/>
              <w:spacing w:line="240" w:lineRule="auto"/>
              <w:jc w:val="left"/>
              <w:rPr>
                <w:rFonts w:hint="default" w:ascii="Times New Roman" w:hAnsi="Times New Roman" w:cs="Times New Roman"/>
                <w:color w:val="FF0000"/>
                <w:vertAlign w:val="baseline"/>
                <w:lang w:eastAsia="zh-CN"/>
              </w:rPr>
            </w:pPr>
          </w:p>
        </w:tc>
        <w:tc>
          <w:tcPr>
            <w:tcW w:w="0" w:type="auto"/>
          </w:tcPr>
          <w:p w14:paraId="1FC7D279">
            <w:pPr>
              <w:bidi w:val="0"/>
              <w:spacing w:line="240" w:lineRule="auto"/>
              <w:jc w:val="left"/>
              <w:rPr>
                <w:rFonts w:hint="default" w:ascii="Times New Roman" w:hAnsi="Times New Roman" w:cs="Times New Roman"/>
                <w:color w:val="FF0000"/>
                <w:vertAlign w:val="baseline"/>
                <w:lang w:eastAsia="zh-CN"/>
              </w:rPr>
            </w:pPr>
          </w:p>
        </w:tc>
      </w:tr>
      <w:tr w14:paraId="576F47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07027977">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Countermovement jump (cm)</w:t>
            </w:r>
          </w:p>
        </w:tc>
        <w:tc>
          <w:tcPr>
            <w:tcW w:w="0" w:type="auto"/>
          </w:tcPr>
          <w:p w14:paraId="7458BC30">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Pre</w:t>
            </w:r>
          </w:p>
        </w:tc>
        <w:tc>
          <w:tcPr>
            <w:tcW w:w="0" w:type="auto"/>
          </w:tcPr>
          <w:p w14:paraId="70F824EA">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24.34 (6.80)</w:t>
            </w:r>
          </w:p>
        </w:tc>
        <w:tc>
          <w:tcPr>
            <w:tcW w:w="0" w:type="auto"/>
          </w:tcPr>
          <w:p w14:paraId="2015DEF2">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24.46 (6.34)</w:t>
            </w:r>
          </w:p>
        </w:tc>
        <w:tc>
          <w:tcPr>
            <w:tcW w:w="0" w:type="auto"/>
          </w:tcPr>
          <w:p w14:paraId="70A7B2EF">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0.408</w:t>
            </w:r>
          </w:p>
        </w:tc>
        <w:tc>
          <w:tcPr>
            <w:tcW w:w="0" w:type="auto"/>
          </w:tcPr>
          <w:p w14:paraId="4E0F9C86">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0.046</w:t>
            </w:r>
          </w:p>
        </w:tc>
      </w:tr>
      <w:tr w14:paraId="4A12C7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11E9B787">
            <w:pPr>
              <w:bidi w:val="0"/>
              <w:spacing w:line="240" w:lineRule="auto"/>
              <w:jc w:val="left"/>
              <w:rPr>
                <w:rFonts w:hint="default" w:ascii="Times New Roman" w:hAnsi="Times New Roman" w:cs="Times New Roman"/>
                <w:color w:val="FF0000"/>
                <w:vertAlign w:val="baseline"/>
                <w:lang w:eastAsia="zh-CN"/>
              </w:rPr>
            </w:pPr>
          </w:p>
        </w:tc>
        <w:tc>
          <w:tcPr>
            <w:tcW w:w="0" w:type="auto"/>
          </w:tcPr>
          <w:p w14:paraId="073D0AA3">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Post</w:t>
            </w:r>
          </w:p>
        </w:tc>
        <w:tc>
          <w:tcPr>
            <w:tcW w:w="0" w:type="auto"/>
          </w:tcPr>
          <w:p w14:paraId="7EF1D80F">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26.54 (4.33)</w:t>
            </w:r>
          </w:p>
        </w:tc>
        <w:tc>
          <w:tcPr>
            <w:tcW w:w="0" w:type="auto"/>
          </w:tcPr>
          <w:p w14:paraId="7FBBFF3B">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28.95 (5.21)*</w:t>
            </w:r>
          </w:p>
        </w:tc>
        <w:tc>
          <w:tcPr>
            <w:tcW w:w="0" w:type="auto"/>
          </w:tcPr>
          <w:p w14:paraId="0EA08035">
            <w:pPr>
              <w:bidi w:val="0"/>
              <w:spacing w:line="240" w:lineRule="auto"/>
              <w:jc w:val="left"/>
              <w:rPr>
                <w:rFonts w:hint="default" w:ascii="Times New Roman" w:hAnsi="Times New Roman" w:cs="Times New Roman"/>
                <w:color w:val="FF0000"/>
                <w:vertAlign w:val="baseline"/>
                <w:lang w:eastAsia="zh-CN"/>
              </w:rPr>
            </w:pPr>
          </w:p>
        </w:tc>
        <w:tc>
          <w:tcPr>
            <w:tcW w:w="0" w:type="auto"/>
          </w:tcPr>
          <w:p w14:paraId="374B993C">
            <w:pPr>
              <w:bidi w:val="0"/>
              <w:spacing w:line="240" w:lineRule="auto"/>
              <w:jc w:val="left"/>
              <w:rPr>
                <w:rFonts w:hint="default" w:ascii="Times New Roman" w:hAnsi="Times New Roman" w:cs="Times New Roman"/>
                <w:color w:val="FF0000"/>
                <w:vertAlign w:val="baseline"/>
                <w:lang w:eastAsia="zh-CN"/>
              </w:rPr>
            </w:pPr>
          </w:p>
        </w:tc>
      </w:tr>
      <w:tr w14:paraId="0C391B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53A8242C">
            <w:pPr>
              <w:bidi w:val="0"/>
              <w:spacing w:line="240" w:lineRule="auto"/>
              <w:jc w:val="left"/>
              <w:rPr>
                <w:rFonts w:hint="default" w:ascii="Times New Roman" w:hAnsi="Times New Roman" w:cs="Times New Roman"/>
                <w:color w:val="FF0000"/>
                <w:vertAlign w:val="baseline"/>
                <w:lang w:eastAsia="zh-CN"/>
              </w:rPr>
            </w:pPr>
          </w:p>
        </w:tc>
        <w:tc>
          <w:tcPr>
            <w:tcW w:w="0" w:type="auto"/>
          </w:tcPr>
          <w:p w14:paraId="46F94F66">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Post-pre difference (%)</w:t>
            </w:r>
          </w:p>
        </w:tc>
        <w:tc>
          <w:tcPr>
            <w:tcW w:w="0" w:type="auto"/>
          </w:tcPr>
          <w:p w14:paraId="28D2D849">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+9.1%</w:t>
            </w:r>
          </w:p>
        </w:tc>
        <w:tc>
          <w:tcPr>
            <w:tcW w:w="0" w:type="auto"/>
          </w:tcPr>
          <w:p w14:paraId="57C4DB89">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+18.4%</w:t>
            </w:r>
          </w:p>
        </w:tc>
        <w:tc>
          <w:tcPr>
            <w:tcW w:w="0" w:type="auto"/>
          </w:tcPr>
          <w:p w14:paraId="58F5C391">
            <w:pPr>
              <w:bidi w:val="0"/>
              <w:spacing w:line="240" w:lineRule="auto"/>
              <w:jc w:val="left"/>
              <w:rPr>
                <w:rFonts w:hint="default" w:ascii="Times New Roman" w:hAnsi="Times New Roman" w:cs="Times New Roman"/>
                <w:color w:val="FF0000"/>
                <w:vertAlign w:val="baseline"/>
                <w:lang w:eastAsia="zh-CN"/>
              </w:rPr>
            </w:pPr>
          </w:p>
        </w:tc>
        <w:tc>
          <w:tcPr>
            <w:tcW w:w="0" w:type="auto"/>
          </w:tcPr>
          <w:p w14:paraId="0BFD207B">
            <w:pPr>
              <w:bidi w:val="0"/>
              <w:spacing w:line="240" w:lineRule="auto"/>
              <w:jc w:val="left"/>
              <w:rPr>
                <w:rFonts w:hint="default" w:ascii="Times New Roman" w:hAnsi="Times New Roman" w:cs="Times New Roman"/>
                <w:color w:val="FF0000"/>
                <w:vertAlign w:val="baseline"/>
                <w:lang w:eastAsia="zh-CN"/>
              </w:rPr>
            </w:pPr>
          </w:p>
        </w:tc>
      </w:tr>
      <w:tr w14:paraId="3CE17C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456D8FA4">
            <w:pPr>
              <w:bidi w:val="0"/>
              <w:spacing w:line="240" w:lineRule="auto"/>
              <w:jc w:val="left"/>
              <w:rPr>
                <w:rFonts w:hint="default" w:ascii="Times New Roman" w:hAnsi="Times New Roman" w:cs="Times New Roman"/>
                <w:color w:val="FF0000"/>
                <w:vertAlign w:val="baseline"/>
                <w:lang w:eastAsia="zh-CN"/>
              </w:rPr>
            </w:pPr>
          </w:p>
        </w:tc>
        <w:tc>
          <w:tcPr>
            <w:tcW w:w="0" w:type="auto"/>
          </w:tcPr>
          <w:p w14:paraId="525A290B">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Post-pre ES (d)</w:t>
            </w:r>
          </w:p>
        </w:tc>
        <w:tc>
          <w:tcPr>
            <w:tcW w:w="0" w:type="auto"/>
          </w:tcPr>
          <w:p w14:paraId="2A5BCE40">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0.39 (small)</w:t>
            </w:r>
          </w:p>
        </w:tc>
        <w:tc>
          <w:tcPr>
            <w:tcW w:w="0" w:type="auto"/>
          </w:tcPr>
          <w:p w14:paraId="703DE7CA">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0.77 (moderate)</w:t>
            </w:r>
          </w:p>
        </w:tc>
        <w:tc>
          <w:tcPr>
            <w:tcW w:w="0" w:type="auto"/>
          </w:tcPr>
          <w:p w14:paraId="787B7D13">
            <w:pPr>
              <w:bidi w:val="0"/>
              <w:spacing w:line="240" w:lineRule="auto"/>
              <w:jc w:val="left"/>
              <w:rPr>
                <w:rFonts w:hint="default" w:ascii="Times New Roman" w:hAnsi="Times New Roman" w:cs="Times New Roman"/>
                <w:color w:val="FF0000"/>
                <w:vertAlign w:val="baseline"/>
                <w:lang w:eastAsia="zh-CN"/>
              </w:rPr>
            </w:pPr>
          </w:p>
        </w:tc>
        <w:tc>
          <w:tcPr>
            <w:tcW w:w="0" w:type="auto"/>
          </w:tcPr>
          <w:p w14:paraId="4662A135">
            <w:pPr>
              <w:bidi w:val="0"/>
              <w:spacing w:line="240" w:lineRule="auto"/>
              <w:jc w:val="left"/>
              <w:rPr>
                <w:rFonts w:hint="default" w:ascii="Times New Roman" w:hAnsi="Times New Roman" w:cs="Times New Roman"/>
                <w:color w:val="FF0000"/>
                <w:vertAlign w:val="baseline"/>
                <w:lang w:eastAsia="zh-CN"/>
              </w:rPr>
            </w:pPr>
          </w:p>
        </w:tc>
      </w:tr>
      <w:tr w14:paraId="68C30A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01114F3C">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Standing long jump (cm)</w:t>
            </w:r>
          </w:p>
        </w:tc>
        <w:tc>
          <w:tcPr>
            <w:tcW w:w="0" w:type="auto"/>
          </w:tcPr>
          <w:p w14:paraId="5FF95BE0">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Pre</w:t>
            </w:r>
          </w:p>
        </w:tc>
        <w:tc>
          <w:tcPr>
            <w:tcW w:w="0" w:type="auto"/>
          </w:tcPr>
          <w:p w14:paraId="1D2D9586">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176.97 (20.86)</w:t>
            </w:r>
          </w:p>
        </w:tc>
        <w:tc>
          <w:tcPr>
            <w:tcW w:w="0" w:type="auto"/>
          </w:tcPr>
          <w:p w14:paraId="68D7A043">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167.58 (26.59)</w:t>
            </w:r>
          </w:p>
        </w:tc>
        <w:tc>
          <w:tcPr>
            <w:tcW w:w="0" w:type="auto"/>
          </w:tcPr>
          <w:p w14:paraId="7BA87CDE">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0.081</w:t>
            </w:r>
          </w:p>
        </w:tc>
        <w:tc>
          <w:tcPr>
            <w:tcW w:w="0" w:type="auto"/>
          </w:tcPr>
          <w:p w14:paraId="2B980438">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0.189</w:t>
            </w:r>
          </w:p>
        </w:tc>
      </w:tr>
      <w:tr w14:paraId="1BAAB9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667C9F87">
            <w:pPr>
              <w:bidi w:val="0"/>
              <w:spacing w:line="240" w:lineRule="auto"/>
              <w:jc w:val="left"/>
              <w:rPr>
                <w:rFonts w:hint="default" w:ascii="Times New Roman" w:hAnsi="Times New Roman" w:cs="Times New Roman"/>
                <w:color w:val="FF0000"/>
                <w:vertAlign w:val="baseline"/>
                <w:lang w:eastAsia="zh-CN"/>
              </w:rPr>
            </w:pPr>
          </w:p>
        </w:tc>
        <w:tc>
          <w:tcPr>
            <w:tcW w:w="0" w:type="auto"/>
          </w:tcPr>
          <w:p w14:paraId="65DFBF32">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Post</w:t>
            </w:r>
          </w:p>
        </w:tc>
        <w:tc>
          <w:tcPr>
            <w:tcW w:w="0" w:type="auto"/>
          </w:tcPr>
          <w:p w14:paraId="4CC4C66F">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179.81 (23.66)</w:t>
            </w:r>
          </w:p>
        </w:tc>
        <w:tc>
          <w:tcPr>
            <w:tcW w:w="0" w:type="auto"/>
          </w:tcPr>
          <w:p w14:paraId="1F5882CF">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176.70 (27.28)**</w:t>
            </w:r>
          </w:p>
        </w:tc>
        <w:tc>
          <w:tcPr>
            <w:tcW w:w="0" w:type="auto"/>
          </w:tcPr>
          <w:p w14:paraId="4C3B651C">
            <w:pPr>
              <w:bidi w:val="0"/>
              <w:spacing w:line="240" w:lineRule="auto"/>
              <w:jc w:val="left"/>
              <w:rPr>
                <w:rFonts w:hint="default" w:ascii="Times New Roman" w:hAnsi="Times New Roman" w:cs="Times New Roman"/>
                <w:color w:val="FF0000"/>
                <w:vertAlign w:val="baseline"/>
                <w:lang w:eastAsia="zh-CN"/>
              </w:rPr>
            </w:pPr>
          </w:p>
        </w:tc>
        <w:tc>
          <w:tcPr>
            <w:tcW w:w="0" w:type="auto"/>
          </w:tcPr>
          <w:p w14:paraId="606EED31">
            <w:pPr>
              <w:bidi w:val="0"/>
              <w:spacing w:line="240" w:lineRule="auto"/>
              <w:jc w:val="left"/>
              <w:rPr>
                <w:rFonts w:hint="default" w:ascii="Times New Roman" w:hAnsi="Times New Roman" w:cs="Times New Roman"/>
                <w:color w:val="FF0000"/>
                <w:vertAlign w:val="baseline"/>
                <w:lang w:eastAsia="zh-CN"/>
              </w:rPr>
            </w:pPr>
          </w:p>
        </w:tc>
      </w:tr>
      <w:tr w14:paraId="609758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73895FC1">
            <w:pPr>
              <w:bidi w:val="0"/>
              <w:spacing w:line="240" w:lineRule="auto"/>
              <w:jc w:val="left"/>
              <w:rPr>
                <w:rFonts w:hint="default" w:ascii="Times New Roman" w:hAnsi="Times New Roman" w:cs="Times New Roman"/>
                <w:color w:val="FF0000"/>
                <w:vertAlign w:val="baseline"/>
                <w:lang w:eastAsia="zh-CN"/>
              </w:rPr>
            </w:pPr>
          </w:p>
        </w:tc>
        <w:tc>
          <w:tcPr>
            <w:tcW w:w="0" w:type="auto"/>
          </w:tcPr>
          <w:p w14:paraId="3AB2A4EB">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Post-pre difference (%)</w:t>
            </w:r>
          </w:p>
        </w:tc>
        <w:tc>
          <w:tcPr>
            <w:tcW w:w="0" w:type="auto"/>
          </w:tcPr>
          <w:p w14:paraId="34FE7D2B">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+1.6%</w:t>
            </w:r>
          </w:p>
        </w:tc>
        <w:tc>
          <w:tcPr>
            <w:tcW w:w="0" w:type="auto"/>
          </w:tcPr>
          <w:p w14:paraId="1F727729">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+5.4%</w:t>
            </w:r>
          </w:p>
        </w:tc>
        <w:tc>
          <w:tcPr>
            <w:tcW w:w="0" w:type="auto"/>
          </w:tcPr>
          <w:p w14:paraId="246187D3">
            <w:pPr>
              <w:bidi w:val="0"/>
              <w:spacing w:line="240" w:lineRule="auto"/>
              <w:jc w:val="left"/>
              <w:rPr>
                <w:rFonts w:hint="default" w:ascii="Times New Roman" w:hAnsi="Times New Roman" w:cs="Times New Roman"/>
                <w:color w:val="FF0000"/>
                <w:vertAlign w:val="baseline"/>
                <w:lang w:eastAsia="zh-CN"/>
              </w:rPr>
            </w:pPr>
          </w:p>
        </w:tc>
        <w:tc>
          <w:tcPr>
            <w:tcW w:w="0" w:type="auto"/>
          </w:tcPr>
          <w:p w14:paraId="4469F503">
            <w:pPr>
              <w:bidi w:val="0"/>
              <w:spacing w:line="240" w:lineRule="auto"/>
              <w:jc w:val="left"/>
              <w:rPr>
                <w:rFonts w:hint="default" w:ascii="Times New Roman" w:hAnsi="Times New Roman" w:cs="Times New Roman"/>
                <w:color w:val="FF0000"/>
                <w:vertAlign w:val="baseline"/>
                <w:lang w:eastAsia="zh-CN"/>
              </w:rPr>
            </w:pPr>
          </w:p>
        </w:tc>
      </w:tr>
      <w:tr w14:paraId="0E7080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Borders>
              <w:bottom w:val="single" w:color="auto" w:sz="0" w:space="0"/>
            </w:tcBorders>
          </w:tcPr>
          <w:p w14:paraId="2277294E">
            <w:pPr>
              <w:bidi w:val="0"/>
              <w:spacing w:line="240" w:lineRule="auto"/>
              <w:jc w:val="left"/>
              <w:rPr>
                <w:rFonts w:hint="default" w:ascii="Times New Roman" w:hAnsi="Times New Roman" w:cs="Times New Roman"/>
                <w:color w:val="FF0000"/>
                <w:vertAlign w:val="baseline"/>
                <w:lang w:eastAsia="zh-CN"/>
              </w:rPr>
            </w:pPr>
          </w:p>
        </w:tc>
        <w:tc>
          <w:tcPr>
            <w:tcW w:w="0" w:type="auto"/>
            <w:tcBorders>
              <w:bottom w:val="single" w:color="auto" w:sz="0" w:space="0"/>
            </w:tcBorders>
          </w:tcPr>
          <w:p w14:paraId="1CC274AB">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Post-pre ES (d)</w:t>
            </w:r>
          </w:p>
        </w:tc>
        <w:tc>
          <w:tcPr>
            <w:tcW w:w="0" w:type="auto"/>
            <w:tcBorders>
              <w:bottom w:val="single" w:color="auto" w:sz="0" w:space="0"/>
            </w:tcBorders>
          </w:tcPr>
          <w:p w14:paraId="59FD0BF9">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0.13 (trivial)</w:t>
            </w:r>
          </w:p>
        </w:tc>
        <w:tc>
          <w:tcPr>
            <w:tcW w:w="0" w:type="auto"/>
            <w:tcBorders>
              <w:bottom w:val="single" w:color="auto" w:sz="0" w:space="0"/>
            </w:tcBorders>
          </w:tcPr>
          <w:p w14:paraId="79A4900D">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0.34 (small)</w:t>
            </w:r>
          </w:p>
        </w:tc>
        <w:tc>
          <w:tcPr>
            <w:tcW w:w="0" w:type="auto"/>
            <w:tcBorders>
              <w:bottom w:val="single" w:color="auto" w:sz="0" w:space="0"/>
            </w:tcBorders>
          </w:tcPr>
          <w:p w14:paraId="029C5FDD">
            <w:pPr>
              <w:bidi w:val="0"/>
              <w:spacing w:line="240" w:lineRule="auto"/>
              <w:jc w:val="left"/>
              <w:rPr>
                <w:rFonts w:hint="default" w:ascii="Times New Roman" w:hAnsi="Times New Roman" w:cs="Times New Roman"/>
                <w:color w:val="FF0000"/>
                <w:vertAlign w:val="baseline"/>
                <w:lang w:eastAsia="zh-CN"/>
              </w:rPr>
            </w:pPr>
          </w:p>
        </w:tc>
        <w:tc>
          <w:tcPr>
            <w:tcW w:w="0" w:type="auto"/>
            <w:tcBorders>
              <w:bottom w:val="single" w:color="auto" w:sz="0" w:space="0"/>
            </w:tcBorders>
          </w:tcPr>
          <w:p w14:paraId="01E4E730">
            <w:pPr>
              <w:bidi w:val="0"/>
              <w:spacing w:line="240" w:lineRule="auto"/>
              <w:jc w:val="left"/>
              <w:rPr>
                <w:rFonts w:hint="default" w:ascii="Times New Roman" w:hAnsi="Times New Roman" w:cs="Times New Roman"/>
                <w:color w:val="FF0000"/>
                <w:vertAlign w:val="baseline"/>
                <w:lang w:eastAsia="zh-CN"/>
              </w:rPr>
            </w:pPr>
          </w:p>
        </w:tc>
      </w:tr>
    </w:tbl>
    <w:p w14:paraId="2A55027E">
      <w:pPr>
        <w:bidi w:val="0"/>
        <w:spacing w:line="240" w:lineRule="auto"/>
        <w:jc w:val="left"/>
        <w:rPr>
          <w:lang w:eastAsia="zh-CN"/>
        </w:rPr>
      </w:pPr>
    </w:p>
    <w:p w14:paraId="30AA2A75">
      <w:pPr>
        <w:bidi w:val="0"/>
        <w:spacing w:line="240" w:lineRule="auto"/>
        <w:jc w:val="left"/>
        <w:rPr>
          <w:rFonts w:hint="eastAsia"/>
          <w:color w:val="FF0000"/>
          <w:lang w:eastAsia="zh-CN"/>
        </w:rPr>
      </w:pPr>
      <w:r>
        <w:rPr>
          <w:rFonts w:hint="eastAsia"/>
          <w:color w:val="FF0000"/>
          <w:lang w:eastAsia="zh-CN"/>
        </w:rPr>
        <w:t>Note. Data are presented as mean (SD). Post-pre difference (%) was calculated as ((Post - Pre) / Pre) x 100. Post-pre ES (d) represents the within-group standardized change from pre to post, calculated as (Post - Pre) / sqrt((SD_pre^2 + SD_post^2)/2). Cohen's d magnitudes were interpreted as trivial for |d| &lt; 0.20, small for 0.20-0.49, moderate for 0.50-0.79, and large for &gt;= 0.80. The primary inference is the Group x Visit interaction from the mixed repeated-measures ANOVA. * p &lt; 0.05, ** p &lt; 0.01, and *** p &lt; 0.001 for Holm-adjusted within-group Pre vs Post comparisons; # indicates a Holm-adjusted between-group difference at Post. Full main effects, change scores, Holm-adjusted post hoc p values, and ANCOVA outputs are reported in the Supplementary Materials. SJ = squat jump; CMJ = countermovement jump; SLJ = standing long jump.</w:t>
      </w:r>
    </w:p>
    <w:p w14:paraId="7C6945FA">
      <w:pPr>
        <w:bidi w:val="0"/>
        <w:spacing w:line="240" w:lineRule="auto"/>
        <w:jc w:val="left"/>
        <w:rPr>
          <w:rFonts w:hint="eastAsia"/>
          <w:color w:val="FF0000"/>
          <w:lang w:eastAsia="zh-CN"/>
        </w:rPr>
      </w:pPr>
      <w:r>
        <w:rPr>
          <w:rFonts w:hint="eastAsia"/>
          <w:color w:val="FF0000"/>
          <w:lang w:eastAsia="zh-CN"/>
        </w:rPr>
        <w:t>Table 5. Start-performance and kinematic outcomes from the mixed repeated-measures ANOVA.</w:t>
      </w:r>
    </w:p>
    <w:tbl>
      <w:tblPr>
        <w:tblStyle w:val="3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2184"/>
        <w:gridCol w:w="1504"/>
        <w:gridCol w:w="1329"/>
        <w:gridCol w:w="1390"/>
        <w:gridCol w:w="1128"/>
        <w:gridCol w:w="1327"/>
      </w:tblGrid>
      <w:tr w14:paraId="56D9BB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Borders>
              <w:top w:val="single" w:color="auto" w:sz="0" w:space="0"/>
              <w:bottom w:val="single" w:color="auto" w:sz="0" w:space="0"/>
            </w:tcBorders>
          </w:tcPr>
          <w:p w14:paraId="20AC71A3">
            <w:pPr>
              <w:bidi w:val="0"/>
              <w:spacing w:line="240" w:lineRule="auto"/>
              <w:jc w:val="left"/>
              <w:rPr>
                <w:rFonts w:hint="default" w:ascii="Times New Roman" w:hAnsi="Times New Roman" w:cs="Times New Roman"/>
                <w:b/>
                <w:color w:val="FF0000"/>
                <w:vertAlign w:val="baseline"/>
                <w:lang w:eastAsia="zh-CN"/>
              </w:rPr>
            </w:pPr>
            <w:r>
              <w:rPr>
                <w:rFonts w:hint="eastAsia" w:cs="Times New Roman"/>
                <w:b/>
                <w:color w:val="FF0000"/>
                <w:vertAlign w:val="baseline"/>
                <w:lang w:eastAsia="zh-CN"/>
              </w:rPr>
              <w:t>Outcome</w:t>
            </w:r>
          </w:p>
        </w:tc>
        <w:tc>
          <w:tcPr>
            <w:tcW w:w="0" w:type="auto"/>
            <w:tcBorders>
              <w:top w:val="single" w:color="auto" w:sz="0" w:space="0"/>
              <w:bottom w:val="single" w:color="auto" w:sz="0" w:space="0"/>
            </w:tcBorders>
          </w:tcPr>
          <w:p w14:paraId="7AD094B6">
            <w:pPr>
              <w:bidi w:val="0"/>
              <w:spacing w:line="240" w:lineRule="auto"/>
              <w:jc w:val="left"/>
              <w:rPr>
                <w:rFonts w:hint="default" w:ascii="Times New Roman" w:hAnsi="Times New Roman" w:cs="Times New Roman"/>
                <w:b/>
                <w:color w:val="FF0000"/>
                <w:vertAlign w:val="baseline"/>
                <w:lang w:eastAsia="zh-CN"/>
              </w:rPr>
            </w:pPr>
            <w:r>
              <w:rPr>
                <w:rFonts w:hint="eastAsia" w:cs="Times New Roman"/>
                <w:b/>
                <w:color w:val="FF0000"/>
                <w:vertAlign w:val="baseline"/>
                <w:lang w:eastAsia="zh-CN"/>
              </w:rPr>
              <w:t>Metric</w:t>
            </w:r>
          </w:p>
        </w:tc>
        <w:tc>
          <w:tcPr>
            <w:tcW w:w="0" w:type="auto"/>
            <w:tcBorders>
              <w:top w:val="single" w:color="auto" w:sz="0" w:space="0"/>
              <w:bottom w:val="single" w:color="auto" w:sz="0" w:space="0"/>
            </w:tcBorders>
          </w:tcPr>
          <w:p w14:paraId="78596EF2">
            <w:pPr>
              <w:bidi w:val="0"/>
              <w:spacing w:line="240" w:lineRule="auto"/>
              <w:jc w:val="left"/>
              <w:rPr>
                <w:rFonts w:hint="default" w:ascii="Times New Roman" w:hAnsi="Times New Roman" w:cs="Times New Roman"/>
                <w:b/>
                <w:color w:val="FF0000"/>
                <w:vertAlign w:val="baseline"/>
                <w:lang w:eastAsia="zh-CN"/>
              </w:rPr>
            </w:pPr>
            <w:r>
              <w:rPr>
                <w:rFonts w:hint="eastAsia" w:cs="Times New Roman"/>
                <w:b/>
                <w:color w:val="FF0000"/>
                <w:vertAlign w:val="baseline"/>
                <w:lang w:eastAsia="zh-CN"/>
              </w:rPr>
              <w:t>CON</w:t>
            </w:r>
          </w:p>
        </w:tc>
        <w:tc>
          <w:tcPr>
            <w:tcW w:w="0" w:type="auto"/>
            <w:tcBorders>
              <w:top w:val="single" w:color="auto" w:sz="0" w:space="0"/>
              <w:bottom w:val="single" w:color="auto" w:sz="0" w:space="0"/>
            </w:tcBorders>
          </w:tcPr>
          <w:p w14:paraId="4E16D0E8">
            <w:pPr>
              <w:bidi w:val="0"/>
              <w:spacing w:line="240" w:lineRule="auto"/>
              <w:jc w:val="left"/>
              <w:rPr>
                <w:rFonts w:hint="default" w:ascii="Times New Roman" w:hAnsi="Times New Roman" w:cs="Times New Roman"/>
                <w:b/>
                <w:color w:val="FF0000"/>
                <w:vertAlign w:val="baseline"/>
                <w:lang w:eastAsia="zh-CN"/>
              </w:rPr>
            </w:pPr>
            <w:r>
              <w:rPr>
                <w:rFonts w:hint="eastAsia" w:cs="Times New Roman"/>
                <w:b/>
                <w:color w:val="FF0000"/>
                <w:vertAlign w:val="baseline"/>
                <w:lang w:eastAsia="zh-CN"/>
              </w:rPr>
              <w:t>INTG</w:t>
            </w:r>
          </w:p>
        </w:tc>
        <w:tc>
          <w:tcPr>
            <w:tcW w:w="0" w:type="auto"/>
            <w:tcBorders>
              <w:top w:val="single" w:color="auto" w:sz="0" w:space="0"/>
              <w:bottom w:val="single" w:color="auto" w:sz="0" w:space="0"/>
            </w:tcBorders>
          </w:tcPr>
          <w:p w14:paraId="64439F35">
            <w:pPr>
              <w:bidi w:val="0"/>
              <w:spacing w:line="240" w:lineRule="auto"/>
              <w:jc w:val="left"/>
              <w:rPr>
                <w:rFonts w:hint="default" w:ascii="Times New Roman" w:hAnsi="Times New Roman" w:cs="Times New Roman"/>
                <w:b/>
                <w:color w:val="FF0000"/>
                <w:vertAlign w:val="baseline"/>
                <w:lang w:eastAsia="zh-CN"/>
              </w:rPr>
            </w:pPr>
            <w:r>
              <w:rPr>
                <w:rFonts w:hint="eastAsia" w:cs="Times New Roman"/>
                <w:b/>
                <w:color w:val="FF0000"/>
                <w:vertAlign w:val="baseline"/>
                <w:lang w:eastAsia="zh-CN"/>
              </w:rPr>
              <w:t>Group x Visit P</w:t>
            </w:r>
          </w:p>
        </w:tc>
        <w:tc>
          <w:tcPr>
            <w:tcW w:w="0" w:type="auto"/>
            <w:tcBorders>
              <w:top w:val="single" w:color="auto" w:sz="0" w:space="0"/>
              <w:bottom w:val="single" w:color="auto" w:sz="0" w:space="0"/>
            </w:tcBorders>
          </w:tcPr>
          <w:p w14:paraId="3B59E3AA">
            <w:pPr>
              <w:bidi w:val="0"/>
              <w:spacing w:line="240" w:lineRule="auto"/>
              <w:jc w:val="left"/>
              <w:rPr>
                <w:rFonts w:hint="default" w:ascii="Times New Roman" w:hAnsi="Times New Roman" w:cs="Times New Roman"/>
                <w:b/>
                <w:color w:val="FF0000"/>
                <w:vertAlign w:val="baseline"/>
                <w:lang w:eastAsia="zh-CN"/>
              </w:rPr>
            </w:pPr>
            <w:r>
              <w:rPr>
                <w:rFonts w:hint="eastAsia" w:cs="Times New Roman"/>
                <w:b/>
                <w:color w:val="FF0000"/>
                <w:vertAlign w:val="baseline"/>
                <w:lang w:eastAsia="zh-CN"/>
              </w:rPr>
              <w:t>Partial eta squared</w:t>
            </w:r>
          </w:p>
        </w:tc>
      </w:tr>
      <w:tr w14:paraId="6229F9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Borders>
              <w:top w:val="single" w:color="auto" w:sz="0" w:space="0"/>
            </w:tcBorders>
          </w:tcPr>
          <w:p w14:paraId="42B1060F">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15-m sprint time (s)</w:t>
            </w:r>
          </w:p>
        </w:tc>
        <w:tc>
          <w:tcPr>
            <w:tcW w:w="0" w:type="auto"/>
            <w:tcBorders>
              <w:top w:val="single" w:color="auto" w:sz="0" w:space="0"/>
            </w:tcBorders>
          </w:tcPr>
          <w:p w14:paraId="4658D1BA">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Pre</w:t>
            </w:r>
          </w:p>
        </w:tc>
        <w:tc>
          <w:tcPr>
            <w:tcW w:w="0" w:type="auto"/>
            <w:tcBorders>
              <w:top w:val="single" w:color="auto" w:sz="0" w:space="0"/>
            </w:tcBorders>
          </w:tcPr>
          <w:p w14:paraId="486A67F0">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8.54 (1.04)</w:t>
            </w:r>
          </w:p>
        </w:tc>
        <w:tc>
          <w:tcPr>
            <w:tcW w:w="0" w:type="auto"/>
            <w:tcBorders>
              <w:top w:val="single" w:color="auto" w:sz="0" w:space="0"/>
            </w:tcBorders>
          </w:tcPr>
          <w:p w14:paraId="0D2E0A63">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8.86 (1.40)</w:t>
            </w:r>
          </w:p>
        </w:tc>
        <w:tc>
          <w:tcPr>
            <w:tcW w:w="0" w:type="auto"/>
            <w:tcBorders>
              <w:top w:val="single" w:color="auto" w:sz="0" w:space="0"/>
            </w:tcBorders>
          </w:tcPr>
          <w:p w14:paraId="3410D106">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0.001</w:t>
            </w:r>
          </w:p>
        </w:tc>
        <w:tc>
          <w:tcPr>
            <w:tcW w:w="0" w:type="auto"/>
            <w:tcBorders>
              <w:top w:val="single" w:color="auto" w:sz="0" w:space="0"/>
            </w:tcBorders>
          </w:tcPr>
          <w:p w14:paraId="5F91C942">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0.565</w:t>
            </w:r>
          </w:p>
        </w:tc>
      </w:tr>
      <w:tr w14:paraId="724BE8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13E1F4E0">
            <w:pPr>
              <w:bidi w:val="0"/>
              <w:spacing w:line="240" w:lineRule="auto"/>
              <w:jc w:val="left"/>
              <w:rPr>
                <w:rFonts w:hint="default" w:ascii="Times New Roman" w:hAnsi="Times New Roman" w:cs="Times New Roman"/>
                <w:color w:val="FF0000"/>
                <w:vertAlign w:val="baseline"/>
                <w:lang w:eastAsia="zh-CN"/>
              </w:rPr>
            </w:pPr>
          </w:p>
        </w:tc>
        <w:tc>
          <w:tcPr>
            <w:tcW w:w="0" w:type="auto"/>
          </w:tcPr>
          <w:p w14:paraId="3C40C59B">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Post</w:t>
            </w:r>
          </w:p>
        </w:tc>
        <w:tc>
          <w:tcPr>
            <w:tcW w:w="0" w:type="auto"/>
          </w:tcPr>
          <w:p w14:paraId="6F696320">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8.97 (1.11)**</w:t>
            </w:r>
          </w:p>
        </w:tc>
        <w:tc>
          <w:tcPr>
            <w:tcW w:w="0" w:type="auto"/>
          </w:tcPr>
          <w:p w14:paraId="399E4DF2">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8.58 (1.26)*</w:t>
            </w:r>
          </w:p>
        </w:tc>
        <w:tc>
          <w:tcPr>
            <w:tcW w:w="0" w:type="auto"/>
          </w:tcPr>
          <w:p w14:paraId="12741574">
            <w:pPr>
              <w:bidi w:val="0"/>
              <w:spacing w:line="240" w:lineRule="auto"/>
              <w:jc w:val="left"/>
              <w:rPr>
                <w:rFonts w:hint="default" w:ascii="Times New Roman" w:hAnsi="Times New Roman" w:cs="Times New Roman"/>
                <w:color w:val="FF0000"/>
                <w:vertAlign w:val="baseline"/>
                <w:lang w:eastAsia="zh-CN"/>
              </w:rPr>
            </w:pPr>
          </w:p>
        </w:tc>
        <w:tc>
          <w:tcPr>
            <w:tcW w:w="0" w:type="auto"/>
          </w:tcPr>
          <w:p w14:paraId="6CDCB7D5">
            <w:pPr>
              <w:bidi w:val="0"/>
              <w:spacing w:line="240" w:lineRule="auto"/>
              <w:jc w:val="left"/>
              <w:rPr>
                <w:rFonts w:hint="default" w:ascii="Times New Roman" w:hAnsi="Times New Roman" w:cs="Times New Roman"/>
                <w:color w:val="FF0000"/>
                <w:vertAlign w:val="baseline"/>
                <w:lang w:eastAsia="zh-CN"/>
              </w:rPr>
            </w:pPr>
          </w:p>
        </w:tc>
      </w:tr>
      <w:tr w14:paraId="0D96E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02488C3C">
            <w:pPr>
              <w:bidi w:val="0"/>
              <w:spacing w:line="240" w:lineRule="auto"/>
              <w:jc w:val="left"/>
              <w:rPr>
                <w:rFonts w:hint="default" w:ascii="Times New Roman" w:hAnsi="Times New Roman" w:cs="Times New Roman"/>
                <w:color w:val="FF0000"/>
                <w:vertAlign w:val="baseline"/>
                <w:lang w:eastAsia="zh-CN"/>
              </w:rPr>
            </w:pPr>
          </w:p>
        </w:tc>
        <w:tc>
          <w:tcPr>
            <w:tcW w:w="0" w:type="auto"/>
          </w:tcPr>
          <w:p w14:paraId="7A21FC87">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Post-pre difference (%)</w:t>
            </w:r>
          </w:p>
        </w:tc>
        <w:tc>
          <w:tcPr>
            <w:tcW w:w="0" w:type="auto"/>
          </w:tcPr>
          <w:p w14:paraId="4633F756">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+5.0%</w:t>
            </w:r>
          </w:p>
        </w:tc>
        <w:tc>
          <w:tcPr>
            <w:tcW w:w="0" w:type="auto"/>
          </w:tcPr>
          <w:p w14:paraId="58521E2E">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-3.1%</w:t>
            </w:r>
          </w:p>
        </w:tc>
        <w:tc>
          <w:tcPr>
            <w:tcW w:w="0" w:type="auto"/>
          </w:tcPr>
          <w:p w14:paraId="3314915B">
            <w:pPr>
              <w:bidi w:val="0"/>
              <w:spacing w:line="240" w:lineRule="auto"/>
              <w:jc w:val="left"/>
              <w:rPr>
                <w:rFonts w:hint="default" w:ascii="Times New Roman" w:hAnsi="Times New Roman" w:cs="Times New Roman"/>
                <w:color w:val="FF0000"/>
                <w:vertAlign w:val="baseline"/>
                <w:lang w:eastAsia="zh-CN"/>
              </w:rPr>
            </w:pPr>
          </w:p>
        </w:tc>
        <w:tc>
          <w:tcPr>
            <w:tcW w:w="0" w:type="auto"/>
          </w:tcPr>
          <w:p w14:paraId="2C7B4567">
            <w:pPr>
              <w:bidi w:val="0"/>
              <w:spacing w:line="240" w:lineRule="auto"/>
              <w:jc w:val="left"/>
              <w:rPr>
                <w:rFonts w:hint="default" w:ascii="Times New Roman" w:hAnsi="Times New Roman" w:cs="Times New Roman"/>
                <w:color w:val="FF0000"/>
                <w:vertAlign w:val="baseline"/>
                <w:lang w:eastAsia="zh-CN"/>
              </w:rPr>
            </w:pPr>
          </w:p>
        </w:tc>
      </w:tr>
      <w:tr w14:paraId="628BC4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17302C7F">
            <w:pPr>
              <w:bidi w:val="0"/>
              <w:spacing w:line="240" w:lineRule="auto"/>
              <w:jc w:val="left"/>
              <w:rPr>
                <w:rFonts w:hint="default" w:ascii="Times New Roman" w:hAnsi="Times New Roman" w:cs="Times New Roman"/>
                <w:color w:val="FF0000"/>
                <w:vertAlign w:val="baseline"/>
                <w:lang w:eastAsia="zh-CN"/>
              </w:rPr>
            </w:pPr>
          </w:p>
        </w:tc>
        <w:tc>
          <w:tcPr>
            <w:tcW w:w="0" w:type="auto"/>
          </w:tcPr>
          <w:p w14:paraId="68791B48">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Post-pre ES (d)</w:t>
            </w:r>
          </w:p>
        </w:tc>
        <w:tc>
          <w:tcPr>
            <w:tcW w:w="0" w:type="auto"/>
          </w:tcPr>
          <w:p w14:paraId="7FB9DD02">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0.40 (small)</w:t>
            </w:r>
          </w:p>
        </w:tc>
        <w:tc>
          <w:tcPr>
            <w:tcW w:w="0" w:type="auto"/>
          </w:tcPr>
          <w:p w14:paraId="167DA712">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-0.21 (small)</w:t>
            </w:r>
          </w:p>
        </w:tc>
        <w:tc>
          <w:tcPr>
            <w:tcW w:w="0" w:type="auto"/>
          </w:tcPr>
          <w:p w14:paraId="191CE617">
            <w:pPr>
              <w:bidi w:val="0"/>
              <w:spacing w:line="240" w:lineRule="auto"/>
              <w:jc w:val="left"/>
              <w:rPr>
                <w:rFonts w:hint="default" w:ascii="Times New Roman" w:hAnsi="Times New Roman" w:cs="Times New Roman"/>
                <w:color w:val="FF0000"/>
                <w:vertAlign w:val="baseline"/>
                <w:lang w:eastAsia="zh-CN"/>
              </w:rPr>
            </w:pPr>
          </w:p>
        </w:tc>
        <w:tc>
          <w:tcPr>
            <w:tcW w:w="0" w:type="auto"/>
          </w:tcPr>
          <w:p w14:paraId="5F16CE5B">
            <w:pPr>
              <w:bidi w:val="0"/>
              <w:spacing w:line="240" w:lineRule="auto"/>
              <w:jc w:val="left"/>
              <w:rPr>
                <w:rFonts w:hint="default" w:ascii="Times New Roman" w:hAnsi="Times New Roman" w:cs="Times New Roman"/>
                <w:color w:val="FF0000"/>
                <w:vertAlign w:val="baseline"/>
                <w:lang w:eastAsia="zh-CN"/>
              </w:rPr>
            </w:pPr>
          </w:p>
        </w:tc>
      </w:tr>
      <w:tr w14:paraId="415209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43FD1B54">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Water-entry distance (cm)</w:t>
            </w:r>
          </w:p>
        </w:tc>
        <w:tc>
          <w:tcPr>
            <w:tcW w:w="0" w:type="auto"/>
          </w:tcPr>
          <w:p w14:paraId="4DF48B4E">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Pre</w:t>
            </w:r>
          </w:p>
        </w:tc>
        <w:tc>
          <w:tcPr>
            <w:tcW w:w="0" w:type="auto"/>
          </w:tcPr>
          <w:p w14:paraId="6274C559">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188.79 (33.43)</w:t>
            </w:r>
          </w:p>
        </w:tc>
        <w:tc>
          <w:tcPr>
            <w:tcW w:w="0" w:type="auto"/>
          </w:tcPr>
          <w:p w14:paraId="041D2216">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175.56 (31.57)</w:t>
            </w:r>
          </w:p>
        </w:tc>
        <w:tc>
          <w:tcPr>
            <w:tcW w:w="0" w:type="auto"/>
          </w:tcPr>
          <w:p w14:paraId="2C1BC996">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0.001</w:t>
            </w:r>
          </w:p>
        </w:tc>
        <w:tc>
          <w:tcPr>
            <w:tcW w:w="0" w:type="auto"/>
          </w:tcPr>
          <w:p w14:paraId="78361B85">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0.667</w:t>
            </w:r>
          </w:p>
        </w:tc>
      </w:tr>
      <w:tr w14:paraId="13DE40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0669EF09">
            <w:pPr>
              <w:bidi w:val="0"/>
              <w:spacing w:line="240" w:lineRule="auto"/>
              <w:jc w:val="left"/>
              <w:rPr>
                <w:rFonts w:hint="default" w:ascii="Times New Roman" w:hAnsi="Times New Roman" w:cs="Times New Roman"/>
                <w:color w:val="FF0000"/>
                <w:vertAlign w:val="baseline"/>
                <w:lang w:eastAsia="zh-CN"/>
              </w:rPr>
            </w:pPr>
          </w:p>
        </w:tc>
        <w:tc>
          <w:tcPr>
            <w:tcW w:w="0" w:type="auto"/>
          </w:tcPr>
          <w:p w14:paraId="4F3387DB">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Post</w:t>
            </w:r>
          </w:p>
        </w:tc>
        <w:tc>
          <w:tcPr>
            <w:tcW w:w="0" w:type="auto"/>
          </w:tcPr>
          <w:p w14:paraId="0DCF1BCD">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193.68 (33.20)</w:t>
            </w:r>
          </w:p>
        </w:tc>
        <w:tc>
          <w:tcPr>
            <w:tcW w:w="0" w:type="auto"/>
          </w:tcPr>
          <w:p w14:paraId="63BC0FF0">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208.55 (28.56)***</w:t>
            </w:r>
          </w:p>
        </w:tc>
        <w:tc>
          <w:tcPr>
            <w:tcW w:w="0" w:type="auto"/>
          </w:tcPr>
          <w:p w14:paraId="144E8262">
            <w:pPr>
              <w:bidi w:val="0"/>
              <w:spacing w:line="240" w:lineRule="auto"/>
              <w:jc w:val="left"/>
              <w:rPr>
                <w:rFonts w:hint="default" w:ascii="Times New Roman" w:hAnsi="Times New Roman" w:cs="Times New Roman"/>
                <w:color w:val="FF0000"/>
                <w:vertAlign w:val="baseline"/>
                <w:lang w:eastAsia="zh-CN"/>
              </w:rPr>
            </w:pPr>
          </w:p>
        </w:tc>
        <w:tc>
          <w:tcPr>
            <w:tcW w:w="0" w:type="auto"/>
          </w:tcPr>
          <w:p w14:paraId="04C9A7E7">
            <w:pPr>
              <w:bidi w:val="0"/>
              <w:spacing w:line="240" w:lineRule="auto"/>
              <w:jc w:val="left"/>
              <w:rPr>
                <w:rFonts w:hint="default" w:ascii="Times New Roman" w:hAnsi="Times New Roman" w:cs="Times New Roman"/>
                <w:color w:val="FF0000"/>
                <w:vertAlign w:val="baseline"/>
                <w:lang w:eastAsia="zh-CN"/>
              </w:rPr>
            </w:pPr>
          </w:p>
        </w:tc>
      </w:tr>
      <w:tr w14:paraId="646E9C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1583E3AA">
            <w:pPr>
              <w:bidi w:val="0"/>
              <w:spacing w:line="240" w:lineRule="auto"/>
              <w:jc w:val="left"/>
              <w:rPr>
                <w:rFonts w:hint="default" w:ascii="Times New Roman" w:hAnsi="Times New Roman" w:cs="Times New Roman"/>
                <w:color w:val="FF0000"/>
                <w:vertAlign w:val="baseline"/>
                <w:lang w:eastAsia="zh-CN"/>
              </w:rPr>
            </w:pPr>
          </w:p>
        </w:tc>
        <w:tc>
          <w:tcPr>
            <w:tcW w:w="0" w:type="auto"/>
          </w:tcPr>
          <w:p w14:paraId="06BD87F3">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Post-pre difference (%)</w:t>
            </w:r>
          </w:p>
        </w:tc>
        <w:tc>
          <w:tcPr>
            <w:tcW w:w="0" w:type="auto"/>
          </w:tcPr>
          <w:p w14:paraId="496A31B1">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+2.6%</w:t>
            </w:r>
          </w:p>
        </w:tc>
        <w:tc>
          <w:tcPr>
            <w:tcW w:w="0" w:type="auto"/>
          </w:tcPr>
          <w:p w14:paraId="2FB1F71A">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+18.8%</w:t>
            </w:r>
          </w:p>
        </w:tc>
        <w:tc>
          <w:tcPr>
            <w:tcW w:w="0" w:type="auto"/>
          </w:tcPr>
          <w:p w14:paraId="44578415">
            <w:pPr>
              <w:bidi w:val="0"/>
              <w:spacing w:line="240" w:lineRule="auto"/>
              <w:jc w:val="left"/>
              <w:rPr>
                <w:rFonts w:hint="default" w:ascii="Times New Roman" w:hAnsi="Times New Roman" w:cs="Times New Roman"/>
                <w:color w:val="FF0000"/>
                <w:vertAlign w:val="baseline"/>
                <w:lang w:eastAsia="zh-CN"/>
              </w:rPr>
            </w:pPr>
          </w:p>
        </w:tc>
        <w:tc>
          <w:tcPr>
            <w:tcW w:w="0" w:type="auto"/>
          </w:tcPr>
          <w:p w14:paraId="32FCF332">
            <w:pPr>
              <w:bidi w:val="0"/>
              <w:spacing w:line="240" w:lineRule="auto"/>
              <w:jc w:val="left"/>
              <w:rPr>
                <w:rFonts w:hint="default" w:ascii="Times New Roman" w:hAnsi="Times New Roman" w:cs="Times New Roman"/>
                <w:color w:val="FF0000"/>
                <w:vertAlign w:val="baseline"/>
                <w:lang w:eastAsia="zh-CN"/>
              </w:rPr>
            </w:pPr>
          </w:p>
        </w:tc>
      </w:tr>
      <w:tr w14:paraId="0333C2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42B13AF7">
            <w:pPr>
              <w:bidi w:val="0"/>
              <w:spacing w:line="240" w:lineRule="auto"/>
              <w:jc w:val="left"/>
              <w:rPr>
                <w:rFonts w:hint="default" w:ascii="Times New Roman" w:hAnsi="Times New Roman" w:cs="Times New Roman"/>
                <w:color w:val="FF0000"/>
                <w:vertAlign w:val="baseline"/>
                <w:lang w:eastAsia="zh-CN"/>
              </w:rPr>
            </w:pPr>
          </w:p>
        </w:tc>
        <w:tc>
          <w:tcPr>
            <w:tcW w:w="0" w:type="auto"/>
          </w:tcPr>
          <w:p w14:paraId="157E61B3">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Post-pre ES (d)</w:t>
            </w:r>
          </w:p>
        </w:tc>
        <w:tc>
          <w:tcPr>
            <w:tcW w:w="0" w:type="auto"/>
          </w:tcPr>
          <w:p w14:paraId="658C714D">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0.15 (trivial)</w:t>
            </w:r>
          </w:p>
        </w:tc>
        <w:tc>
          <w:tcPr>
            <w:tcW w:w="0" w:type="auto"/>
          </w:tcPr>
          <w:p w14:paraId="2F18EC55">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1.10 (large)</w:t>
            </w:r>
          </w:p>
        </w:tc>
        <w:tc>
          <w:tcPr>
            <w:tcW w:w="0" w:type="auto"/>
          </w:tcPr>
          <w:p w14:paraId="2ECEB6AF">
            <w:pPr>
              <w:bidi w:val="0"/>
              <w:spacing w:line="240" w:lineRule="auto"/>
              <w:jc w:val="left"/>
              <w:rPr>
                <w:rFonts w:hint="default" w:ascii="Times New Roman" w:hAnsi="Times New Roman" w:cs="Times New Roman"/>
                <w:color w:val="FF0000"/>
                <w:vertAlign w:val="baseline"/>
                <w:lang w:eastAsia="zh-CN"/>
              </w:rPr>
            </w:pPr>
          </w:p>
        </w:tc>
        <w:tc>
          <w:tcPr>
            <w:tcW w:w="0" w:type="auto"/>
          </w:tcPr>
          <w:p w14:paraId="1501FAE1">
            <w:pPr>
              <w:bidi w:val="0"/>
              <w:spacing w:line="240" w:lineRule="auto"/>
              <w:jc w:val="left"/>
              <w:rPr>
                <w:rFonts w:hint="default" w:ascii="Times New Roman" w:hAnsi="Times New Roman" w:cs="Times New Roman"/>
                <w:color w:val="FF0000"/>
                <w:vertAlign w:val="baseline"/>
                <w:lang w:eastAsia="zh-CN"/>
              </w:rPr>
            </w:pPr>
          </w:p>
        </w:tc>
      </w:tr>
      <w:tr w14:paraId="459482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136362CA">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Horizontal displacement (Delta x) (cm)</w:t>
            </w:r>
          </w:p>
        </w:tc>
        <w:tc>
          <w:tcPr>
            <w:tcW w:w="0" w:type="auto"/>
          </w:tcPr>
          <w:p w14:paraId="47BA069C">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Pre</w:t>
            </w:r>
          </w:p>
        </w:tc>
        <w:tc>
          <w:tcPr>
            <w:tcW w:w="0" w:type="auto"/>
          </w:tcPr>
          <w:p w14:paraId="3EB8148A">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74.10 (39.36)</w:t>
            </w:r>
          </w:p>
        </w:tc>
        <w:tc>
          <w:tcPr>
            <w:tcW w:w="0" w:type="auto"/>
          </w:tcPr>
          <w:p w14:paraId="3BCA9213">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68.28 (33.95)</w:t>
            </w:r>
          </w:p>
        </w:tc>
        <w:tc>
          <w:tcPr>
            <w:tcW w:w="0" w:type="auto"/>
          </w:tcPr>
          <w:p w14:paraId="512F0802">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0.036</w:t>
            </w:r>
          </w:p>
        </w:tc>
        <w:tc>
          <w:tcPr>
            <w:tcW w:w="0" w:type="auto"/>
          </w:tcPr>
          <w:p w14:paraId="7911C4CE">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0.261</w:t>
            </w:r>
          </w:p>
        </w:tc>
      </w:tr>
      <w:tr w14:paraId="0FD361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62C28909">
            <w:pPr>
              <w:bidi w:val="0"/>
              <w:spacing w:line="240" w:lineRule="auto"/>
              <w:jc w:val="left"/>
              <w:rPr>
                <w:rFonts w:hint="default" w:ascii="Times New Roman" w:hAnsi="Times New Roman" w:cs="Times New Roman"/>
                <w:color w:val="FF0000"/>
                <w:vertAlign w:val="baseline"/>
                <w:lang w:eastAsia="zh-CN"/>
              </w:rPr>
            </w:pPr>
          </w:p>
        </w:tc>
        <w:tc>
          <w:tcPr>
            <w:tcW w:w="0" w:type="auto"/>
          </w:tcPr>
          <w:p w14:paraId="7BB023DA">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Post</w:t>
            </w:r>
          </w:p>
        </w:tc>
        <w:tc>
          <w:tcPr>
            <w:tcW w:w="0" w:type="auto"/>
          </w:tcPr>
          <w:p w14:paraId="7253B35A">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85.71 (33.26)</w:t>
            </w:r>
          </w:p>
        </w:tc>
        <w:tc>
          <w:tcPr>
            <w:tcW w:w="0" w:type="auto"/>
          </w:tcPr>
          <w:p w14:paraId="72B11BEB">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104.83 (19.62)***</w:t>
            </w:r>
          </w:p>
        </w:tc>
        <w:tc>
          <w:tcPr>
            <w:tcW w:w="0" w:type="auto"/>
          </w:tcPr>
          <w:p w14:paraId="023B7919">
            <w:pPr>
              <w:bidi w:val="0"/>
              <w:spacing w:line="240" w:lineRule="auto"/>
              <w:jc w:val="left"/>
              <w:rPr>
                <w:rFonts w:hint="default" w:ascii="Times New Roman" w:hAnsi="Times New Roman" w:cs="Times New Roman"/>
                <w:color w:val="FF0000"/>
                <w:vertAlign w:val="baseline"/>
                <w:lang w:eastAsia="zh-CN"/>
              </w:rPr>
            </w:pPr>
          </w:p>
        </w:tc>
        <w:tc>
          <w:tcPr>
            <w:tcW w:w="0" w:type="auto"/>
          </w:tcPr>
          <w:p w14:paraId="4695CBFA">
            <w:pPr>
              <w:bidi w:val="0"/>
              <w:spacing w:line="240" w:lineRule="auto"/>
              <w:jc w:val="left"/>
              <w:rPr>
                <w:rFonts w:hint="default" w:ascii="Times New Roman" w:hAnsi="Times New Roman" w:cs="Times New Roman"/>
                <w:color w:val="FF0000"/>
                <w:vertAlign w:val="baseline"/>
                <w:lang w:eastAsia="zh-CN"/>
              </w:rPr>
            </w:pPr>
          </w:p>
        </w:tc>
      </w:tr>
      <w:tr w14:paraId="676D73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16474000">
            <w:pPr>
              <w:bidi w:val="0"/>
              <w:spacing w:line="240" w:lineRule="auto"/>
              <w:jc w:val="left"/>
              <w:rPr>
                <w:rFonts w:hint="default" w:ascii="Times New Roman" w:hAnsi="Times New Roman" w:cs="Times New Roman"/>
                <w:color w:val="FF0000"/>
                <w:vertAlign w:val="baseline"/>
                <w:lang w:eastAsia="zh-CN"/>
              </w:rPr>
            </w:pPr>
          </w:p>
        </w:tc>
        <w:tc>
          <w:tcPr>
            <w:tcW w:w="0" w:type="auto"/>
          </w:tcPr>
          <w:p w14:paraId="0DC70381">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Post-pre difference (%)</w:t>
            </w:r>
          </w:p>
        </w:tc>
        <w:tc>
          <w:tcPr>
            <w:tcW w:w="0" w:type="auto"/>
          </w:tcPr>
          <w:p w14:paraId="20B140A2">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+15.7%</w:t>
            </w:r>
          </w:p>
        </w:tc>
        <w:tc>
          <w:tcPr>
            <w:tcW w:w="0" w:type="auto"/>
          </w:tcPr>
          <w:p w14:paraId="53BC60B0">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+53.5%</w:t>
            </w:r>
          </w:p>
        </w:tc>
        <w:tc>
          <w:tcPr>
            <w:tcW w:w="0" w:type="auto"/>
          </w:tcPr>
          <w:p w14:paraId="0C4602CF">
            <w:pPr>
              <w:bidi w:val="0"/>
              <w:spacing w:line="240" w:lineRule="auto"/>
              <w:jc w:val="left"/>
              <w:rPr>
                <w:rFonts w:hint="default" w:ascii="Times New Roman" w:hAnsi="Times New Roman" w:cs="Times New Roman"/>
                <w:color w:val="FF0000"/>
                <w:vertAlign w:val="baseline"/>
                <w:lang w:eastAsia="zh-CN"/>
              </w:rPr>
            </w:pPr>
          </w:p>
        </w:tc>
        <w:tc>
          <w:tcPr>
            <w:tcW w:w="0" w:type="auto"/>
          </w:tcPr>
          <w:p w14:paraId="4C344A77">
            <w:pPr>
              <w:bidi w:val="0"/>
              <w:spacing w:line="240" w:lineRule="auto"/>
              <w:jc w:val="left"/>
              <w:rPr>
                <w:rFonts w:hint="default" w:ascii="Times New Roman" w:hAnsi="Times New Roman" w:cs="Times New Roman"/>
                <w:color w:val="FF0000"/>
                <w:vertAlign w:val="baseline"/>
                <w:lang w:eastAsia="zh-CN"/>
              </w:rPr>
            </w:pPr>
          </w:p>
        </w:tc>
      </w:tr>
      <w:tr w14:paraId="5EA36C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49AABF86">
            <w:pPr>
              <w:bidi w:val="0"/>
              <w:spacing w:line="240" w:lineRule="auto"/>
              <w:jc w:val="left"/>
              <w:rPr>
                <w:rFonts w:hint="default" w:ascii="Times New Roman" w:hAnsi="Times New Roman" w:cs="Times New Roman"/>
                <w:color w:val="FF0000"/>
                <w:vertAlign w:val="baseline"/>
                <w:lang w:eastAsia="zh-CN"/>
              </w:rPr>
            </w:pPr>
          </w:p>
        </w:tc>
        <w:tc>
          <w:tcPr>
            <w:tcW w:w="0" w:type="auto"/>
          </w:tcPr>
          <w:p w14:paraId="39A464E1">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Post-pre ES (d)</w:t>
            </w:r>
          </w:p>
        </w:tc>
        <w:tc>
          <w:tcPr>
            <w:tcW w:w="0" w:type="auto"/>
          </w:tcPr>
          <w:p w14:paraId="38951904">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0.32 (small)</w:t>
            </w:r>
          </w:p>
        </w:tc>
        <w:tc>
          <w:tcPr>
            <w:tcW w:w="0" w:type="auto"/>
          </w:tcPr>
          <w:p w14:paraId="3C0B62A7">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1.32 (large)</w:t>
            </w:r>
          </w:p>
        </w:tc>
        <w:tc>
          <w:tcPr>
            <w:tcW w:w="0" w:type="auto"/>
          </w:tcPr>
          <w:p w14:paraId="75EEB6D6">
            <w:pPr>
              <w:bidi w:val="0"/>
              <w:spacing w:line="240" w:lineRule="auto"/>
              <w:jc w:val="left"/>
              <w:rPr>
                <w:rFonts w:hint="default" w:ascii="Times New Roman" w:hAnsi="Times New Roman" w:cs="Times New Roman"/>
                <w:color w:val="FF0000"/>
                <w:vertAlign w:val="baseline"/>
                <w:lang w:eastAsia="zh-CN"/>
              </w:rPr>
            </w:pPr>
          </w:p>
        </w:tc>
        <w:tc>
          <w:tcPr>
            <w:tcW w:w="0" w:type="auto"/>
          </w:tcPr>
          <w:p w14:paraId="0EC79231">
            <w:pPr>
              <w:bidi w:val="0"/>
              <w:spacing w:line="240" w:lineRule="auto"/>
              <w:jc w:val="left"/>
              <w:rPr>
                <w:rFonts w:hint="default" w:ascii="Times New Roman" w:hAnsi="Times New Roman" w:cs="Times New Roman"/>
                <w:color w:val="FF0000"/>
                <w:vertAlign w:val="baseline"/>
                <w:lang w:eastAsia="zh-CN"/>
              </w:rPr>
            </w:pPr>
          </w:p>
        </w:tc>
      </w:tr>
      <w:tr w14:paraId="442C77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7F297CB6">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Horizontal velocity (m/s)</w:t>
            </w:r>
          </w:p>
        </w:tc>
        <w:tc>
          <w:tcPr>
            <w:tcW w:w="0" w:type="auto"/>
          </w:tcPr>
          <w:p w14:paraId="4B2A8926">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Pre</w:t>
            </w:r>
          </w:p>
        </w:tc>
        <w:tc>
          <w:tcPr>
            <w:tcW w:w="0" w:type="auto"/>
          </w:tcPr>
          <w:p w14:paraId="73B4DC61">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3.60 (0.41)</w:t>
            </w:r>
          </w:p>
        </w:tc>
        <w:tc>
          <w:tcPr>
            <w:tcW w:w="0" w:type="auto"/>
          </w:tcPr>
          <w:p w14:paraId="6C9527EC">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3.54 (0.32)</w:t>
            </w:r>
          </w:p>
        </w:tc>
        <w:tc>
          <w:tcPr>
            <w:tcW w:w="0" w:type="auto"/>
          </w:tcPr>
          <w:p w14:paraId="3FF9D348">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0.001</w:t>
            </w:r>
          </w:p>
        </w:tc>
        <w:tc>
          <w:tcPr>
            <w:tcW w:w="0" w:type="auto"/>
          </w:tcPr>
          <w:p w14:paraId="7C5AA317">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0.638</w:t>
            </w:r>
          </w:p>
        </w:tc>
      </w:tr>
      <w:tr w14:paraId="54E1BC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133B2C1F">
            <w:pPr>
              <w:bidi w:val="0"/>
              <w:spacing w:line="240" w:lineRule="auto"/>
              <w:jc w:val="left"/>
              <w:rPr>
                <w:rFonts w:hint="default" w:ascii="Times New Roman" w:hAnsi="Times New Roman" w:cs="Times New Roman"/>
                <w:color w:val="FF0000"/>
                <w:vertAlign w:val="baseline"/>
                <w:lang w:eastAsia="zh-CN"/>
              </w:rPr>
            </w:pPr>
          </w:p>
        </w:tc>
        <w:tc>
          <w:tcPr>
            <w:tcW w:w="0" w:type="auto"/>
          </w:tcPr>
          <w:p w14:paraId="7659C59C">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Post</w:t>
            </w:r>
          </w:p>
        </w:tc>
        <w:tc>
          <w:tcPr>
            <w:tcW w:w="0" w:type="auto"/>
          </w:tcPr>
          <w:p w14:paraId="4F1A1210">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3.32 (0.31)*#</w:t>
            </w:r>
          </w:p>
        </w:tc>
        <w:tc>
          <w:tcPr>
            <w:tcW w:w="0" w:type="auto"/>
          </w:tcPr>
          <w:p w14:paraId="23F5BF82">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3.97 (0.23)***#</w:t>
            </w:r>
          </w:p>
        </w:tc>
        <w:tc>
          <w:tcPr>
            <w:tcW w:w="0" w:type="auto"/>
          </w:tcPr>
          <w:p w14:paraId="7D7BE2D3">
            <w:pPr>
              <w:bidi w:val="0"/>
              <w:spacing w:line="240" w:lineRule="auto"/>
              <w:jc w:val="left"/>
              <w:rPr>
                <w:rFonts w:hint="default" w:ascii="Times New Roman" w:hAnsi="Times New Roman" w:cs="Times New Roman"/>
                <w:color w:val="FF0000"/>
                <w:vertAlign w:val="baseline"/>
                <w:lang w:eastAsia="zh-CN"/>
              </w:rPr>
            </w:pPr>
          </w:p>
        </w:tc>
        <w:tc>
          <w:tcPr>
            <w:tcW w:w="0" w:type="auto"/>
          </w:tcPr>
          <w:p w14:paraId="68E15650">
            <w:pPr>
              <w:bidi w:val="0"/>
              <w:spacing w:line="240" w:lineRule="auto"/>
              <w:jc w:val="left"/>
              <w:rPr>
                <w:rFonts w:hint="default" w:ascii="Times New Roman" w:hAnsi="Times New Roman" w:cs="Times New Roman"/>
                <w:color w:val="FF0000"/>
                <w:vertAlign w:val="baseline"/>
                <w:lang w:eastAsia="zh-CN"/>
              </w:rPr>
            </w:pPr>
          </w:p>
        </w:tc>
      </w:tr>
      <w:tr w14:paraId="079E7F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1A4E02BA">
            <w:pPr>
              <w:bidi w:val="0"/>
              <w:spacing w:line="240" w:lineRule="auto"/>
              <w:jc w:val="left"/>
              <w:rPr>
                <w:rFonts w:hint="default" w:ascii="Times New Roman" w:hAnsi="Times New Roman" w:cs="Times New Roman"/>
                <w:color w:val="FF0000"/>
                <w:vertAlign w:val="baseline"/>
                <w:lang w:eastAsia="zh-CN"/>
              </w:rPr>
            </w:pPr>
          </w:p>
        </w:tc>
        <w:tc>
          <w:tcPr>
            <w:tcW w:w="0" w:type="auto"/>
          </w:tcPr>
          <w:p w14:paraId="444F20D3">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Post-pre difference (%)</w:t>
            </w:r>
          </w:p>
        </w:tc>
        <w:tc>
          <w:tcPr>
            <w:tcW w:w="0" w:type="auto"/>
          </w:tcPr>
          <w:p w14:paraId="0975C5E5">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-7.8%</w:t>
            </w:r>
          </w:p>
        </w:tc>
        <w:tc>
          <w:tcPr>
            <w:tcW w:w="0" w:type="auto"/>
          </w:tcPr>
          <w:p w14:paraId="6F0E0C0A">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+11.9%</w:t>
            </w:r>
          </w:p>
        </w:tc>
        <w:tc>
          <w:tcPr>
            <w:tcW w:w="0" w:type="auto"/>
          </w:tcPr>
          <w:p w14:paraId="0ADF6F14">
            <w:pPr>
              <w:bidi w:val="0"/>
              <w:spacing w:line="240" w:lineRule="auto"/>
              <w:jc w:val="left"/>
              <w:rPr>
                <w:rFonts w:hint="default" w:ascii="Times New Roman" w:hAnsi="Times New Roman" w:cs="Times New Roman"/>
                <w:color w:val="FF0000"/>
                <w:vertAlign w:val="baseline"/>
                <w:lang w:eastAsia="zh-CN"/>
              </w:rPr>
            </w:pPr>
          </w:p>
        </w:tc>
        <w:tc>
          <w:tcPr>
            <w:tcW w:w="0" w:type="auto"/>
          </w:tcPr>
          <w:p w14:paraId="3B907F73">
            <w:pPr>
              <w:bidi w:val="0"/>
              <w:spacing w:line="240" w:lineRule="auto"/>
              <w:jc w:val="left"/>
              <w:rPr>
                <w:rFonts w:hint="default" w:ascii="Times New Roman" w:hAnsi="Times New Roman" w:cs="Times New Roman"/>
                <w:color w:val="FF0000"/>
                <w:vertAlign w:val="baseline"/>
                <w:lang w:eastAsia="zh-CN"/>
              </w:rPr>
            </w:pPr>
          </w:p>
        </w:tc>
      </w:tr>
      <w:tr w14:paraId="53CF70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Borders>
              <w:bottom w:val="single" w:color="auto" w:sz="0" w:space="0"/>
            </w:tcBorders>
          </w:tcPr>
          <w:p w14:paraId="0B064218">
            <w:pPr>
              <w:bidi w:val="0"/>
              <w:spacing w:line="240" w:lineRule="auto"/>
              <w:jc w:val="left"/>
              <w:rPr>
                <w:rFonts w:hint="default" w:ascii="Times New Roman" w:hAnsi="Times New Roman" w:cs="Times New Roman"/>
                <w:color w:val="FF0000"/>
                <w:vertAlign w:val="baseline"/>
                <w:lang w:eastAsia="zh-CN"/>
              </w:rPr>
            </w:pPr>
          </w:p>
        </w:tc>
        <w:tc>
          <w:tcPr>
            <w:tcW w:w="0" w:type="auto"/>
            <w:tcBorders>
              <w:bottom w:val="single" w:color="auto" w:sz="0" w:space="0"/>
            </w:tcBorders>
          </w:tcPr>
          <w:p w14:paraId="75B026AD">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Post-pre ES (d)</w:t>
            </w:r>
          </w:p>
        </w:tc>
        <w:tc>
          <w:tcPr>
            <w:tcW w:w="0" w:type="auto"/>
            <w:tcBorders>
              <w:bottom w:val="single" w:color="auto" w:sz="0" w:space="0"/>
            </w:tcBorders>
          </w:tcPr>
          <w:p w14:paraId="509DBEA5">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-0.77 (moderate)</w:t>
            </w:r>
          </w:p>
        </w:tc>
        <w:tc>
          <w:tcPr>
            <w:tcW w:w="0" w:type="auto"/>
            <w:tcBorders>
              <w:bottom w:val="single" w:color="auto" w:sz="0" w:space="0"/>
            </w:tcBorders>
          </w:tcPr>
          <w:p w14:paraId="0820157C">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1.51 (large)</w:t>
            </w:r>
          </w:p>
        </w:tc>
        <w:tc>
          <w:tcPr>
            <w:tcW w:w="0" w:type="auto"/>
            <w:tcBorders>
              <w:bottom w:val="single" w:color="auto" w:sz="0" w:space="0"/>
            </w:tcBorders>
          </w:tcPr>
          <w:p w14:paraId="4D3559E1">
            <w:pPr>
              <w:bidi w:val="0"/>
              <w:spacing w:line="240" w:lineRule="auto"/>
              <w:jc w:val="left"/>
              <w:rPr>
                <w:rFonts w:hint="default" w:ascii="Times New Roman" w:hAnsi="Times New Roman" w:cs="Times New Roman"/>
                <w:color w:val="FF0000"/>
                <w:vertAlign w:val="baseline"/>
                <w:lang w:eastAsia="zh-CN"/>
              </w:rPr>
            </w:pPr>
          </w:p>
        </w:tc>
        <w:tc>
          <w:tcPr>
            <w:tcW w:w="0" w:type="auto"/>
            <w:tcBorders>
              <w:bottom w:val="single" w:color="auto" w:sz="0" w:space="0"/>
            </w:tcBorders>
          </w:tcPr>
          <w:p w14:paraId="054A15A0">
            <w:pPr>
              <w:bidi w:val="0"/>
              <w:spacing w:line="240" w:lineRule="auto"/>
              <w:jc w:val="left"/>
              <w:rPr>
                <w:rFonts w:hint="default" w:ascii="Times New Roman" w:hAnsi="Times New Roman" w:cs="Times New Roman"/>
                <w:color w:val="FF0000"/>
                <w:vertAlign w:val="baseline"/>
                <w:lang w:eastAsia="zh-CN"/>
              </w:rPr>
            </w:pPr>
          </w:p>
        </w:tc>
      </w:tr>
    </w:tbl>
    <w:p w14:paraId="46F259DE">
      <w:pPr>
        <w:bidi w:val="0"/>
        <w:spacing w:line="240" w:lineRule="auto"/>
        <w:jc w:val="left"/>
        <w:rPr>
          <w:lang w:eastAsia="zh-CN"/>
        </w:rPr>
      </w:pPr>
    </w:p>
    <w:p w14:paraId="4C8ECFB9">
      <w:pPr>
        <w:bidi w:val="0"/>
        <w:spacing w:line="240" w:lineRule="auto"/>
        <w:jc w:val="left"/>
        <w:rPr>
          <w:rFonts w:hint="eastAsia"/>
          <w:color w:val="FF0000"/>
          <w:lang w:eastAsia="zh-CN"/>
        </w:rPr>
      </w:pPr>
      <w:r>
        <w:rPr>
          <w:rFonts w:hint="eastAsia"/>
          <w:color w:val="FF0000"/>
          <w:lang w:eastAsia="zh-CN"/>
        </w:rPr>
        <w:t>Note. Data are presented as mean (SD). Post-pre difference (%) was calculated as ((Post - Pre) / Pre) x 100. Post-pre ES (d) represents the within-group standardized change from pre to post, calculated as (Post - Pre) / sqrt((SD_pre^2 + SD_post^2)/2). Cohen's d magnitudes were interpreted as trivial for |d| &lt; 0.20, small for 0.20-0.49, moderate for 0.50-0.79, and large for &gt;= 0.80. The primary inference is the Group x Visit interaction from the mixed repeated-measures ANOVA. * p &lt; 0.05, ** p &lt; 0.01, and *** p &lt; 0.001 for Holm-adjusted within-group Pre vs Post comparisons; # indicates a Holm-adjusted between-group difference at Post. Full main effects, change scores, Holm-adjusted post hoc p values, and ANCOVA outputs are reported in the Supplementary Materials.</w:t>
      </w:r>
    </w:p>
    <w:p w14:paraId="52197CE0">
      <w:pPr>
        <w:bidi w:val="0"/>
        <w:spacing w:line="240" w:lineRule="auto"/>
        <w:jc w:val="left"/>
        <w:rPr>
          <w:rFonts w:hint="eastAsia"/>
          <w:color w:val="FF0000"/>
          <w:lang w:eastAsia="zh-CN"/>
        </w:rPr>
      </w:pPr>
      <w:r>
        <w:rPr>
          <w:rFonts w:hint="eastAsia"/>
          <w:color w:val="FF0000"/>
          <w:lang w:eastAsia="zh-CN"/>
        </w:rPr>
        <w:t>Figure 1. Lower-limb explosive power outcomes arranged by rows and groups by columns. Within each group cell, paired trajectories, boxplots, and half-violin distributions are displayed from left to right for the Pre and Post measurements. ES annotations are displayed above the trajectory panels, and asterisks denote significance levels based on Holm-adjusted within-group Pre vs Post comparisons. Inferential conclusions were based on the mixed repeated-measures ANOVA.</w:t>
      </w:r>
    </w:p>
    <w:p w14:paraId="3CE0821F">
      <w:pPr>
        <w:bidi w:val="0"/>
        <w:spacing w:line="240" w:lineRule="auto"/>
        <w:jc w:val="center"/>
        <w:rPr>
          <w:lang w:eastAsia="zh-CN"/>
        </w:rPr>
      </w:pPr>
      <w:r>
        <w:rPr>
          <w:lang w:eastAsia="zh-CN"/>
        </w:rPr>
        <w:drawing>
          <wp:inline distT="0" distB="0" distL="114300" distR="114300">
            <wp:extent cx="5969000" cy="3335020"/>
            <wp:effectExtent l="0" t="0" r="12700" b="17780"/>
            <wp:docPr id="3" name="图片 3" descr="lower_limb_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lower_limb_main"/>
                    <pic:cNvPicPr>
                      <a:picLocks noChangeAspect="1"/>
                    </pic:cNvPicPr>
                  </pic:nvPicPr>
                  <pic:blipFill>
                    <a:blip r:embed="rId8"/>
                    <a:stretch>
                      <a:fillRect/>
                    </a:stretch>
                  </pic:blipFill>
                  <pic:spPr>
                    <a:xfrm>
                      <a:off x="0" y="0"/>
                      <a:ext cx="5969000" cy="3335020"/>
                    </a:xfrm>
                    <a:prstGeom prst="rect">
                      <a:avLst/>
                    </a:prstGeom>
                  </pic:spPr>
                </pic:pic>
              </a:graphicData>
            </a:graphic>
          </wp:inline>
        </w:drawing>
      </w:r>
    </w:p>
    <w:p w14:paraId="7DE81E59">
      <w:pPr>
        <w:bidi w:val="0"/>
        <w:spacing w:line="240" w:lineRule="auto"/>
        <w:jc w:val="left"/>
        <w:rPr>
          <w:rFonts w:hint="eastAsia"/>
          <w:color w:val="FF0000"/>
          <w:lang w:eastAsia="zh-CN"/>
        </w:rPr>
      </w:pPr>
      <w:r>
        <w:rPr>
          <w:rFonts w:hint="eastAsia"/>
          <w:color w:val="FF0000"/>
          <w:lang w:eastAsia="zh-CN"/>
        </w:rPr>
        <w:t>Figure 2. Start-performance outcomes arranged by rows and groups by columns. Within each group cell, paired trajectories, boxplots, and half-violin distributions are displayed from left to right for the Pre and Post measurements. ES annotations are displayed above the trajectory panels, and asterisks denote significance levels based on Holm-adjusted within-group Pre vs Post comparisons. Horizontal displacement (Delta x) and Delta t are presented in the Supplementary Materials, and inferential conclusions were based on the mixed repeated-measures ANOVA.</w:t>
      </w:r>
    </w:p>
    <w:p w14:paraId="1EF06206">
      <w:pPr>
        <w:bidi w:val="0"/>
        <w:spacing w:line="240" w:lineRule="auto"/>
        <w:jc w:val="center"/>
        <w:rPr>
          <w:lang w:eastAsia="zh-CN"/>
        </w:rPr>
      </w:pPr>
      <w:r>
        <w:rPr>
          <w:lang w:eastAsia="zh-CN"/>
        </w:rPr>
        <w:drawing>
          <wp:inline distT="0" distB="0" distL="114300" distR="114300">
            <wp:extent cx="5969000" cy="3214370"/>
            <wp:effectExtent l="0" t="0" r="12700" b="5080"/>
            <wp:docPr id="4" name="图片 4" descr="start_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start_main"/>
                    <pic:cNvPicPr>
                      <a:picLocks noChangeAspect="1"/>
                    </pic:cNvPicPr>
                  </pic:nvPicPr>
                  <pic:blipFill>
                    <a:blip r:embed="rId9"/>
                    <a:stretch>
                      <a:fillRect/>
                    </a:stretch>
                  </pic:blipFill>
                  <pic:spPr>
                    <a:xfrm>
                      <a:off x="0" y="0"/>
                      <a:ext cx="5969000" cy="3214370"/>
                    </a:xfrm>
                    <a:prstGeom prst="rect">
                      <a:avLst/>
                    </a:prstGeom>
                  </pic:spPr>
                </pic:pic>
              </a:graphicData>
            </a:graphic>
          </wp:inline>
        </w:drawing>
      </w:r>
    </w:p>
    <w:p w14:paraId="6E92AC13">
      <w:pPr>
        <w:pStyle w:val="4"/>
        <w:bidi w:val="0"/>
        <w:spacing w:line="240" w:lineRule="auto"/>
        <w:jc w:val="left"/>
        <w:rPr>
          <w:rFonts w:hint="eastAsia"/>
          <w:color w:val="FF0000"/>
          <w:lang w:eastAsia="zh-CN"/>
        </w:rPr>
      </w:pPr>
      <w:r>
        <w:rPr>
          <w:rFonts w:hint="eastAsia"/>
          <w:color w:val="FF0000"/>
          <w:lang w:eastAsia="zh-CN"/>
        </w:rPr>
        <w:t>3.4 Functional movement outcomes</w:t>
      </w:r>
    </w:p>
    <w:p w14:paraId="60B22E2A">
      <w:pPr>
        <w:bidi w:val="0"/>
        <w:spacing w:line="240" w:lineRule="auto"/>
        <w:jc w:val="left"/>
        <w:rPr>
          <w:rFonts w:hint="eastAsia"/>
          <w:color w:val="FF0000"/>
          <w:lang w:eastAsia="zh-CN"/>
        </w:rPr>
      </w:pPr>
      <w:r>
        <w:rPr>
          <w:rFonts w:hint="eastAsia"/>
          <w:color w:val="FF0000"/>
          <w:lang w:eastAsia="zh-CN"/>
        </w:rPr>
        <w:t>The functional movement findings are presented in Table 6 and Figure 3. Significant Group x Visit interactions were found for FMS Total (0-21) (F(1,15) = 7.33, p = 0.016, partial eta squared = 0.328), FMS Hurdle Step, right (F(1,15) = 9.71, p = 0.007, partial eta squared = 0.393), FMS Hurdle Step, left (F(1,15) = 7.06, p = 0.018, partial eta squared = 0.320), and FMS In-line Lunge, right (F(1,15) = 8.82, p = 0.010, partial eta squared = 0.370). The pattern of change was more favorable in INTG than in CON.</w:t>
      </w:r>
    </w:p>
    <w:p w14:paraId="29DA0439">
      <w:pPr>
        <w:bidi w:val="0"/>
        <w:spacing w:line="240" w:lineRule="auto"/>
        <w:jc w:val="left"/>
        <w:rPr>
          <w:rFonts w:hint="eastAsia"/>
          <w:color w:val="FF0000"/>
          <w:lang w:eastAsia="zh-CN"/>
        </w:rPr>
      </w:pPr>
      <w:r>
        <w:rPr>
          <w:rFonts w:hint="eastAsia"/>
          <w:color w:val="FF0000"/>
          <w:lang w:eastAsia="zh-CN"/>
        </w:rPr>
        <w:t>The standard FMS Total score increased from 13.67 (2.87) to 15.56 (1.81) in INTG, whereas CON changed from 13.12 (2.75) to 12.38 (2.92). Improvements were also apparent in unilateral control tasks, including FMS Hurdle Step, right (2.00 (0.71) to 2.67 (0.50)), FMS Hurdle Step, left (1.78 (0.67) to 2.44 (0.73)), and FMS In-line Lunge, right (1.89 (0.60) to 2.44 (0.53)). Only the outcomes with significant interaction effects are described in detail here; the full FMS panel is provided in Table 6.</w:t>
      </w:r>
    </w:p>
    <w:p w14:paraId="61BCE3AA">
      <w:pPr>
        <w:bidi w:val="0"/>
        <w:spacing w:line="240" w:lineRule="auto"/>
        <w:jc w:val="left"/>
        <w:rPr>
          <w:rFonts w:hint="eastAsia"/>
          <w:color w:val="FF0000"/>
          <w:lang w:eastAsia="zh-CN"/>
        </w:rPr>
      </w:pPr>
      <w:r>
        <w:rPr>
          <w:rFonts w:hint="eastAsia"/>
          <w:color w:val="FF0000"/>
          <w:lang w:eastAsia="zh-CN"/>
        </w:rPr>
        <w:t>Table 6. Functional movement outcomes from the mixed repeated-measures ANOVA.</w:t>
      </w:r>
    </w:p>
    <w:tbl>
      <w:tblPr>
        <w:tblStyle w:val="3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2228"/>
        <w:gridCol w:w="1515"/>
        <w:gridCol w:w="1334"/>
        <w:gridCol w:w="1312"/>
        <w:gridCol w:w="1136"/>
        <w:gridCol w:w="1337"/>
      </w:tblGrid>
      <w:tr w14:paraId="1266C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Borders>
              <w:top w:val="single" w:color="auto" w:sz="0" w:space="0"/>
              <w:bottom w:val="single" w:color="auto" w:sz="0" w:space="0"/>
            </w:tcBorders>
          </w:tcPr>
          <w:p w14:paraId="1D122C89">
            <w:pPr>
              <w:bidi w:val="0"/>
              <w:spacing w:line="240" w:lineRule="auto"/>
              <w:jc w:val="left"/>
              <w:rPr>
                <w:rFonts w:hint="default" w:ascii="Times New Roman" w:hAnsi="Times New Roman" w:cs="Times New Roman"/>
                <w:b/>
                <w:color w:val="FF0000"/>
                <w:vertAlign w:val="baseline"/>
                <w:lang w:eastAsia="zh-CN"/>
              </w:rPr>
            </w:pPr>
            <w:r>
              <w:rPr>
                <w:rFonts w:hint="eastAsia" w:cs="Times New Roman"/>
                <w:b/>
                <w:color w:val="FF0000"/>
                <w:vertAlign w:val="baseline"/>
                <w:lang w:eastAsia="zh-CN"/>
              </w:rPr>
              <w:t>Outcome</w:t>
            </w:r>
          </w:p>
        </w:tc>
        <w:tc>
          <w:tcPr>
            <w:tcW w:w="0" w:type="auto"/>
            <w:tcBorders>
              <w:top w:val="single" w:color="auto" w:sz="0" w:space="0"/>
              <w:bottom w:val="single" w:color="auto" w:sz="0" w:space="0"/>
            </w:tcBorders>
          </w:tcPr>
          <w:p w14:paraId="4498B379">
            <w:pPr>
              <w:bidi w:val="0"/>
              <w:spacing w:line="240" w:lineRule="auto"/>
              <w:jc w:val="left"/>
              <w:rPr>
                <w:rFonts w:hint="default" w:ascii="Times New Roman" w:hAnsi="Times New Roman" w:cs="Times New Roman"/>
                <w:b/>
                <w:color w:val="FF0000"/>
                <w:vertAlign w:val="baseline"/>
                <w:lang w:eastAsia="zh-CN"/>
              </w:rPr>
            </w:pPr>
            <w:r>
              <w:rPr>
                <w:rFonts w:hint="eastAsia" w:cs="Times New Roman"/>
                <w:b/>
                <w:color w:val="FF0000"/>
                <w:vertAlign w:val="baseline"/>
                <w:lang w:eastAsia="zh-CN"/>
              </w:rPr>
              <w:t>Metric</w:t>
            </w:r>
          </w:p>
        </w:tc>
        <w:tc>
          <w:tcPr>
            <w:tcW w:w="0" w:type="auto"/>
            <w:tcBorders>
              <w:top w:val="single" w:color="auto" w:sz="0" w:space="0"/>
              <w:bottom w:val="single" w:color="auto" w:sz="0" w:space="0"/>
            </w:tcBorders>
          </w:tcPr>
          <w:p w14:paraId="5F029E9D">
            <w:pPr>
              <w:bidi w:val="0"/>
              <w:spacing w:line="240" w:lineRule="auto"/>
              <w:jc w:val="left"/>
              <w:rPr>
                <w:rFonts w:hint="default" w:ascii="Times New Roman" w:hAnsi="Times New Roman" w:cs="Times New Roman"/>
                <w:b/>
                <w:color w:val="FF0000"/>
                <w:vertAlign w:val="baseline"/>
                <w:lang w:eastAsia="zh-CN"/>
              </w:rPr>
            </w:pPr>
            <w:r>
              <w:rPr>
                <w:rFonts w:hint="eastAsia" w:cs="Times New Roman"/>
                <w:b/>
                <w:color w:val="FF0000"/>
                <w:vertAlign w:val="baseline"/>
                <w:lang w:eastAsia="zh-CN"/>
              </w:rPr>
              <w:t>CON</w:t>
            </w:r>
          </w:p>
        </w:tc>
        <w:tc>
          <w:tcPr>
            <w:tcW w:w="0" w:type="auto"/>
            <w:tcBorders>
              <w:top w:val="single" w:color="auto" w:sz="0" w:space="0"/>
              <w:bottom w:val="single" w:color="auto" w:sz="0" w:space="0"/>
            </w:tcBorders>
          </w:tcPr>
          <w:p w14:paraId="6EAEAC45">
            <w:pPr>
              <w:bidi w:val="0"/>
              <w:spacing w:line="240" w:lineRule="auto"/>
              <w:jc w:val="left"/>
              <w:rPr>
                <w:rFonts w:hint="default" w:ascii="Times New Roman" w:hAnsi="Times New Roman" w:cs="Times New Roman"/>
                <w:b/>
                <w:color w:val="FF0000"/>
                <w:vertAlign w:val="baseline"/>
                <w:lang w:eastAsia="zh-CN"/>
              </w:rPr>
            </w:pPr>
            <w:r>
              <w:rPr>
                <w:rFonts w:hint="eastAsia" w:cs="Times New Roman"/>
                <w:b/>
                <w:color w:val="FF0000"/>
                <w:vertAlign w:val="baseline"/>
                <w:lang w:eastAsia="zh-CN"/>
              </w:rPr>
              <w:t>INTG</w:t>
            </w:r>
          </w:p>
        </w:tc>
        <w:tc>
          <w:tcPr>
            <w:tcW w:w="0" w:type="auto"/>
            <w:tcBorders>
              <w:top w:val="single" w:color="auto" w:sz="0" w:space="0"/>
              <w:bottom w:val="single" w:color="auto" w:sz="0" w:space="0"/>
            </w:tcBorders>
          </w:tcPr>
          <w:p w14:paraId="573BBDCA">
            <w:pPr>
              <w:bidi w:val="0"/>
              <w:spacing w:line="240" w:lineRule="auto"/>
              <w:jc w:val="left"/>
              <w:rPr>
                <w:rFonts w:hint="default" w:ascii="Times New Roman" w:hAnsi="Times New Roman" w:cs="Times New Roman"/>
                <w:b/>
                <w:color w:val="FF0000"/>
                <w:vertAlign w:val="baseline"/>
                <w:lang w:eastAsia="zh-CN"/>
              </w:rPr>
            </w:pPr>
            <w:r>
              <w:rPr>
                <w:rFonts w:hint="eastAsia" w:cs="Times New Roman"/>
                <w:b/>
                <w:color w:val="FF0000"/>
                <w:vertAlign w:val="baseline"/>
                <w:lang w:eastAsia="zh-CN"/>
              </w:rPr>
              <w:t>Group x Visit P</w:t>
            </w:r>
          </w:p>
        </w:tc>
        <w:tc>
          <w:tcPr>
            <w:tcW w:w="0" w:type="auto"/>
            <w:tcBorders>
              <w:top w:val="single" w:color="auto" w:sz="0" w:space="0"/>
              <w:bottom w:val="single" w:color="auto" w:sz="0" w:space="0"/>
            </w:tcBorders>
          </w:tcPr>
          <w:p w14:paraId="412FA865">
            <w:pPr>
              <w:bidi w:val="0"/>
              <w:spacing w:line="240" w:lineRule="auto"/>
              <w:jc w:val="left"/>
              <w:rPr>
                <w:rFonts w:hint="default" w:ascii="Times New Roman" w:hAnsi="Times New Roman" w:cs="Times New Roman"/>
                <w:b/>
                <w:color w:val="FF0000"/>
                <w:vertAlign w:val="baseline"/>
                <w:lang w:eastAsia="zh-CN"/>
              </w:rPr>
            </w:pPr>
            <w:r>
              <w:rPr>
                <w:rFonts w:hint="eastAsia" w:cs="Times New Roman"/>
                <w:b/>
                <w:color w:val="FF0000"/>
                <w:vertAlign w:val="baseline"/>
                <w:lang w:eastAsia="zh-CN"/>
              </w:rPr>
              <w:t>Partial eta squared</w:t>
            </w:r>
          </w:p>
        </w:tc>
      </w:tr>
      <w:tr w14:paraId="0306CA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Borders>
              <w:top w:val="single" w:color="auto" w:sz="0" w:space="0"/>
            </w:tcBorders>
          </w:tcPr>
          <w:p w14:paraId="6B6D0379">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FMS Total (score)</w:t>
            </w:r>
          </w:p>
        </w:tc>
        <w:tc>
          <w:tcPr>
            <w:tcW w:w="0" w:type="auto"/>
            <w:tcBorders>
              <w:top w:val="single" w:color="auto" w:sz="0" w:space="0"/>
            </w:tcBorders>
          </w:tcPr>
          <w:p w14:paraId="6D0FB98D">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Pre</w:t>
            </w:r>
          </w:p>
        </w:tc>
        <w:tc>
          <w:tcPr>
            <w:tcW w:w="0" w:type="auto"/>
            <w:tcBorders>
              <w:top w:val="single" w:color="auto" w:sz="0" w:space="0"/>
            </w:tcBorders>
          </w:tcPr>
          <w:p w14:paraId="2C10473B">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13.12 (2.75)</w:t>
            </w:r>
          </w:p>
        </w:tc>
        <w:tc>
          <w:tcPr>
            <w:tcW w:w="0" w:type="auto"/>
            <w:tcBorders>
              <w:top w:val="single" w:color="auto" w:sz="0" w:space="0"/>
            </w:tcBorders>
          </w:tcPr>
          <w:p w14:paraId="62691FA5">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13.67 (2.87)</w:t>
            </w:r>
          </w:p>
        </w:tc>
        <w:tc>
          <w:tcPr>
            <w:tcW w:w="0" w:type="auto"/>
            <w:tcBorders>
              <w:top w:val="single" w:color="auto" w:sz="0" w:space="0"/>
            </w:tcBorders>
          </w:tcPr>
          <w:p w14:paraId="7A84B8BA">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0.016</w:t>
            </w:r>
          </w:p>
        </w:tc>
        <w:tc>
          <w:tcPr>
            <w:tcW w:w="0" w:type="auto"/>
            <w:tcBorders>
              <w:top w:val="single" w:color="auto" w:sz="0" w:space="0"/>
            </w:tcBorders>
          </w:tcPr>
          <w:p w14:paraId="163DCB45">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0.328</w:t>
            </w:r>
          </w:p>
        </w:tc>
      </w:tr>
      <w:tr w14:paraId="5DC324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4AD8E315">
            <w:pPr>
              <w:bidi w:val="0"/>
              <w:spacing w:line="240" w:lineRule="auto"/>
              <w:jc w:val="left"/>
              <w:rPr>
                <w:rFonts w:hint="default" w:ascii="Times New Roman" w:hAnsi="Times New Roman" w:cs="Times New Roman"/>
                <w:color w:val="FF0000"/>
                <w:vertAlign w:val="baseline"/>
                <w:lang w:eastAsia="zh-CN"/>
              </w:rPr>
            </w:pPr>
          </w:p>
        </w:tc>
        <w:tc>
          <w:tcPr>
            <w:tcW w:w="0" w:type="auto"/>
          </w:tcPr>
          <w:p w14:paraId="0FC766DC">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Post</w:t>
            </w:r>
          </w:p>
        </w:tc>
        <w:tc>
          <w:tcPr>
            <w:tcW w:w="0" w:type="auto"/>
          </w:tcPr>
          <w:p w14:paraId="598D0D28">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12.38 (2.92)#</w:t>
            </w:r>
          </w:p>
        </w:tc>
        <w:tc>
          <w:tcPr>
            <w:tcW w:w="0" w:type="auto"/>
          </w:tcPr>
          <w:p w14:paraId="26D127C7">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15.56 (1.81)*#</w:t>
            </w:r>
          </w:p>
        </w:tc>
        <w:tc>
          <w:tcPr>
            <w:tcW w:w="0" w:type="auto"/>
          </w:tcPr>
          <w:p w14:paraId="75237141">
            <w:pPr>
              <w:bidi w:val="0"/>
              <w:spacing w:line="240" w:lineRule="auto"/>
              <w:jc w:val="left"/>
              <w:rPr>
                <w:rFonts w:hint="default" w:ascii="Times New Roman" w:hAnsi="Times New Roman" w:cs="Times New Roman"/>
                <w:color w:val="FF0000"/>
                <w:vertAlign w:val="baseline"/>
                <w:lang w:eastAsia="zh-CN"/>
              </w:rPr>
            </w:pPr>
          </w:p>
        </w:tc>
        <w:tc>
          <w:tcPr>
            <w:tcW w:w="0" w:type="auto"/>
          </w:tcPr>
          <w:p w14:paraId="199C2EAD">
            <w:pPr>
              <w:bidi w:val="0"/>
              <w:spacing w:line="240" w:lineRule="auto"/>
              <w:jc w:val="left"/>
              <w:rPr>
                <w:rFonts w:hint="default" w:ascii="Times New Roman" w:hAnsi="Times New Roman" w:cs="Times New Roman"/>
                <w:color w:val="FF0000"/>
                <w:vertAlign w:val="baseline"/>
                <w:lang w:eastAsia="zh-CN"/>
              </w:rPr>
            </w:pPr>
          </w:p>
        </w:tc>
      </w:tr>
      <w:tr w14:paraId="748CDE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1DBCF9BF">
            <w:pPr>
              <w:bidi w:val="0"/>
              <w:spacing w:line="240" w:lineRule="auto"/>
              <w:jc w:val="left"/>
              <w:rPr>
                <w:rFonts w:hint="default" w:ascii="Times New Roman" w:hAnsi="Times New Roman" w:cs="Times New Roman"/>
                <w:color w:val="FF0000"/>
                <w:vertAlign w:val="baseline"/>
                <w:lang w:eastAsia="zh-CN"/>
              </w:rPr>
            </w:pPr>
          </w:p>
        </w:tc>
        <w:tc>
          <w:tcPr>
            <w:tcW w:w="0" w:type="auto"/>
          </w:tcPr>
          <w:p w14:paraId="62747D80">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Post-pre difference (%)</w:t>
            </w:r>
          </w:p>
        </w:tc>
        <w:tc>
          <w:tcPr>
            <w:tcW w:w="0" w:type="auto"/>
          </w:tcPr>
          <w:p w14:paraId="32320493">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-5.7%</w:t>
            </w:r>
          </w:p>
        </w:tc>
        <w:tc>
          <w:tcPr>
            <w:tcW w:w="0" w:type="auto"/>
          </w:tcPr>
          <w:p w14:paraId="706C5233">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+13.8%</w:t>
            </w:r>
          </w:p>
        </w:tc>
        <w:tc>
          <w:tcPr>
            <w:tcW w:w="0" w:type="auto"/>
          </w:tcPr>
          <w:p w14:paraId="62B3FCF2">
            <w:pPr>
              <w:bidi w:val="0"/>
              <w:spacing w:line="240" w:lineRule="auto"/>
              <w:jc w:val="left"/>
              <w:rPr>
                <w:rFonts w:hint="default" w:ascii="Times New Roman" w:hAnsi="Times New Roman" w:cs="Times New Roman"/>
                <w:color w:val="FF0000"/>
                <w:vertAlign w:val="baseline"/>
                <w:lang w:eastAsia="zh-CN"/>
              </w:rPr>
            </w:pPr>
          </w:p>
        </w:tc>
        <w:tc>
          <w:tcPr>
            <w:tcW w:w="0" w:type="auto"/>
          </w:tcPr>
          <w:p w14:paraId="1272F905">
            <w:pPr>
              <w:bidi w:val="0"/>
              <w:spacing w:line="240" w:lineRule="auto"/>
              <w:jc w:val="left"/>
              <w:rPr>
                <w:rFonts w:hint="default" w:ascii="Times New Roman" w:hAnsi="Times New Roman" w:cs="Times New Roman"/>
                <w:color w:val="FF0000"/>
                <w:vertAlign w:val="baseline"/>
                <w:lang w:eastAsia="zh-CN"/>
              </w:rPr>
            </w:pPr>
          </w:p>
        </w:tc>
      </w:tr>
      <w:tr w14:paraId="238522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627A0B21">
            <w:pPr>
              <w:bidi w:val="0"/>
              <w:spacing w:line="240" w:lineRule="auto"/>
              <w:jc w:val="left"/>
              <w:rPr>
                <w:rFonts w:hint="default" w:ascii="Times New Roman" w:hAnsi="Times New Roman" w:cs="Times New Roman"/>
                <w:color w:val="FF0000"/>
                <w:vertAlign w:val="baseline"/>
                <w:lang w:eastAsia="zh-CN"/>
              </w:rPr>
            </w:pPr>
          </w:p>
        </w:tc>
        <w:tc>
          <w:tcPr>
            <w:tcW w:w="0" w:type="auto"/>
          </w:tcPr>
          <w:p w14:paraId="35D9F4FE">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Post-pre ES (d)</w:t>
            </w:r>
          </w:p>
        </w:tc>
        <w:tc>
          <w:tcPr>
            <w:tcW w:w="0" w:type="auto"/>
          </w:tcPr>
          <w:p w14:paraId="6DB4B4FE">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-0.26 (small)</w:t>
            </w:r>
          </w:p>
        </w:tc>
        <w:tc>
          <w:tcPr>
            <w:tcW w:w="0" w:type="auto"/>
          </w:tcPr>
          <w:p w14:paraId="73E8373A">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0.79 (moderate)</w:t>
            </w:r>
          </w:p>
        </w:tc>
        <w:tc>
          <w:tcPr>
            <w:tcW w:w="0" w:type="auto"/>
          </w:tcPr>
          <w:p w14:paraId="3B643D9B">
            <w:pPr>
              <w:bidi w:val="0"/>
              <w:spacing w:line="240" w:lineRule="auto"/>
              <w:jc w:val="left"/>
              <w:rPr>
                <w:rFonts w:hint="default" w:ascii="Times New Roman" w:hAnsi="Times New Roman" w:cs="Times New Roman"/>
                <w:color w:val="FF0000"/>
                <w:vertAlign w:val="baseline"/>
                <w:lang w:eastAsia="zh-CN"/>
              </w:rPr>
            </w:pPr>
          </w:p>
        </w:tc>
        <w:tc>
          <w:tcPr>
            <w:tcW w:w="0" w:type="auto"/>
          </w:tcPr>
          <w:p w14:paraId="524EAEF4">
            <w:pPr>
              <w:bidi w:val="0"/>
              <w:spacing w:line="240" w:lineRule="auto"/>
              <w:jc w:val="left"/>
              <w:rPr>
                <w:rFonts w:hint="default" w:ascii="Times New Roman" w:hAnsi="Times New Roman" w:cs="Times New Roman"/>
                <w:color w:val="FF0000"/>
                <w:vertAlign w:val="baseline"/>
                <w:lang w:eastAsia="zh-CN"/>
              </w:rPr>
            </w:pPr>
          </w:p>
        </w:tc>
      </w:tr>
      <w:tr w14:paraId="04B3C9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49DDA38A">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FMS Hurdle Step, right (score)</w:t>
            </w:r>
          </w:p>
        </w:tc>
        <w:tc>
          <w:tcPr>
            <w:tcW w:w="0" w:type="auto"/>
          </w:tcPr>
          <w:p w14:paraId="2675BB38">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Pre</w:t>
            </w:r>
          </w:p>
        </w:tc>
        <w:tc>
          <w:tcPr>
            <w:tcW w:w="0" w:type="auto"/>
          </w:tcPr>
          <w:p w14:paraId="0103B301">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2.00 (0.53)</w:t>
            </w:r>
          </w:p>
        </w:tc>
        <w:tc>
          <w:tcPr>
            <w:tcW w:w="0" w:type="auto"/>
          </w:tcPr>
          <w:p w14:paraId="62453D01">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2.00 (0.71)</w:t>
            </w:r>
          </w:p>
        </w:tc>
        <w:tc>
          <w:tcPr>
            <w:tcW w:w="0" w:type="auto"/>
          </w:tcPr>
          <w:p w14:paraId="2AED7D49">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0.007</w:t>
            </w:r>
          </w:p>
        </w:tc>
        <w:tc>
          <w:tcPr>
            <w:tcW w:w="0" w:type="auto"/>
          </w:tcPr>
          <w:p w14:paraId="4416460D">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0.393</w:t>
            </w:r>
          </w:p>
        </w:tc>
      </w:tr>
      <w:tr w14:paraId="1E97F4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4F03B009">
            <w:pPr>
              <w:bidi w:val="0"/>
              <w:spacing w:line="240" w:lineRule="auto"/>
              <w:jc w:val="left"/>
              <w:rPr>
                <w:rFonts w:hint="default" w:ascii="Times New Roman" w:hAnsi="Times New Roman" w:cs="Times New Roman"/>
                <w:color w:val="FF0000"/>
                <w:vertAlign w:val="baseline"/>
                <w:lang w:eastAsia="zh-CN"/>
              </w:rPr>
            </w:pPr>
          </w:p>
        </w:tc>
        <w:tc>
          <w:tcPr>
            <w:tcW w:w="0" w:type="auto"/>
          </w:tcPr>
          <w:p w14:paraId="1002E0A8">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Post</w:t>
            </w:r>
          </w:p>
        </w:tc>
        <w:tc>
          <w:tcPr>
            <w:tcW w:w="0" w:type="auto"/>
          </w:tcPr>
          <w:p w14:paraId="428FF5F0">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1.75 (0.46)#</w:t>
            </w:r>
          </w:p>
        </w:tc>
        <w:tc>
          <w:tcPr>
            <w:tcW w:w="0" w:type="auto"/>
          </w:tcPr>
          <w:p w14:paraId="6DC37507">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2.67 (0.50)**#</w:t>
            </w:r>
          </w:p>
        </w:tc>
        <w:tc>
          <w:tcPr>
            <w:tcW w:w="0" w:type="auto"/>
          </w:tcPr>
          <w:p w14:paraId="31F1F7CF">
            <w:pPr>
              <w:bidi w:val="0"/>
              <w:spacing w:line="240" w:lineRule="auto"/>
              <w:jc w:val="left"/>
              <w:rPr>
                <w:rFonts w:hint="default" w:ascii="Times New Roman" w:hAnsi="Times New Roman" w:cs="Times New Roman"/>
                <w:color w:val="FF0000"/>
                <w:vertAlign w:val="baseline"/>
                <w:lang w:eastAsia="zh-CN"/>
              </w:rPr>
            </w:pPr>
          </w:p>
        </w:tc>
        <w:tc>
          <w:tcPr>
            <w:tcW w:w="0" w:type="auto"/>
          </w:tcPr>
          <w:p w14:paraId="26EEFEBC">
            <w:pPr>
              <w:bidi w:val="0"/>
              <w:spacing w:line="240" w:lineRule="auto"/>
              <w:jc w:val="left"/>
              <w:rPr>
                <w:rFonts w:hint="default" w:ascii="Times New Roman" w:hAnsi="Times New Roman" w:cs="Times New Roman"/>
                <w:color w:val="FF0000"/>
                <w:vertAlign w:val="baseline"/>
                <w:lang w:eastAsia="zh-CN"/>
              </w:rPr>
            </w:pPr>
          </w:p>
        </w:tc>
      </w:tr>
      <w:tr w14:paraId="306288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730ACBA0">
            <w:pPr>
              <w:bidi w:val="0"/>
              <w:spacing w:line="240" w:lineRule="auto"/>
              <w:jc w:val="left"/>
              <w:rPr>
                <w:rFonts w:hint="default" w:ascii="Times New Roman" w:hAnsi="Times New Roman" w:cs="Times New Roman"/>
                <w:color w:val="FF0000"/>
                <w:vertAlign w:val="baseline"/>
                <w:lang w:eastAsia="zh-CN"/>
              </w:rPr>
            </w:pPr>
          </w:p>
        </w:tc>
        <w:tc>
          <w:tcPr>
            <w:tcW w:w="0" w:type="auto"/>
          </w:tcPr>
          <w:p w14:paraId="23F4AED9">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Post-pre difference (%)</w:t>
            </w:r>
          </w:p>
        </w:tc>
        <w:tc>
          <w:tcPr>
            <w:tcW w:w="0" w:type="auto"/>
          </w:tcPr>
          <w:p w14:paraId="08C458ED">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-12.5%</w:t>
            </w:r>
          </w:p>
        </w:tc>
        <w:tc>
          <w:tcPr>
            <w:tcW w:w="0" w:type="auto"/>
          </w:tcPr>
          <w:p w14:paraId="70A58BFC">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+33.3%</w:t>
            </w:r>
          </w:p>
        </w:tc>
        <w:tc>
          <w:tcPr>
            <w:tcW w:w="0" w:type="auto"/>
          </w:tcPr>
          <w:p w14:paraId="25532D19">
            <w:pPr>
              <w:bidi w:val="0"/>
              <w:spacing w:line="240" w:lineRule="auto"/>
              <w:jc w:val="left"/>
              <w:rPr>
                <w:rFonts w:hint="default" w:ascii="Times New Roman" w:hAnsi="Times New Roman" w:cs="Times New Roman"/>
                <w:color w:val="FF0000"/>
                <w:vertAlign w:val="baseline"/>
                <w:lang w:eastAsia="zh-CN"/>
              </w:rPr>
            </w:pPr>
          </w:p>
        </w:tc>
        <w:tc>
          <w:tcPr>
            <w:tcW w:w="0" w:type="auto"/>
          </w:tcPr>
          <w:p w14:paraId="66F7638A">
            <w:pPr>
              <w:bidi w:val="0"/>
              <w:spacing w:line="240" w:lineRule="auto"/>
              <w:jc w:val="left"/>
              <w:rPr>
                <w:rFonts w:hint="default" w:ascii="Times New Roman" w:hAnsi="Times New Roman" w:cs="Times New Roman"/>
                <w:color w:val="FF0000"/>
                <w:vertAlign w:val="baseline"/>
                <w:lang w:eastAsia="zh-CN"/>
              </w:rPr>
            </w:pPr>
          </w:p>
        </w:tc>
      </w:tr>
      <w:tr w14:paraId="64F58F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046616D4">
            <w:pPr>
              <w:bidi w:val="0"/>
              <w:spacing w:line="240" w:lineRule="auto"/>
              <w:jc w:val="left"/>
              <w:rPr>
                <w:rFonts w:hint="default" w:ascii="Times New Roman" w:hAnsi="Times New Roman" w:cs="Times New Roman"/>
                <w:color w:val="FF0000"/>
                <w:vertAlign w:val="baseline"/>
                <w:lang w:eastAsia="zh-CN"/>
              </w:rPr>
            </w:pPr>
          </w:p>
        </w:tc>
        <w:tc>
          <w:tcPr>
            <w:tcW w:w="0" w:type="auto"/>
          </w:tcPr>
          <w:p w14:paraId="77871731">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Post-pre ES (d)</w:t>
            </w:r>
          </w:p>
        </w:tc>
        <w:tc>
          <w:tcPr>
            <w:tcW w:w="0" w:type="auto"/>
          </w:tcPr>
          <w:p w14:paraId="2438E119">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-0.50 (moderate)</w:t>
            </w:r>
          </w:p>
        </w:tc>
        <w:tc>
          <w:tcPr>
            <w:tcW w:w="0" w:type="auto"/>
          </w:tcPr>
          <w:p w14:paraId="624A4E7A">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1.09 (large)</w:t>
            </w:r>
          </w:p>
        </w:tc>
        <w:tc>
          <w:tcPr>
            <w:tcW w:w="0" w:type="auto"/>
          </w:tcPr>
          <w:p w14:paraId="4A00D6B1">
            <w:pPr>
              <w:bidi w:val="0"/>
              <w:spacing w:line="240" w:lineRule="auto"/>
              <w:jc w:val="left"/>
              <w:rPr>
                <w:rFonts w:hint="default" w:ascii="Times New Roman" w:hAnsi="Times New Roman" w:cs="Times New Roman"/>
                <w:color w:val="FF0000"/>
                <w:vertAlign w:val="baseline"/>
                <w:lang w:eastAsia="zh-CN"/>
              </w:rPr>
            </w:pPr>
          </w:p>
        </w:tc>
        <w:tc>
          <w:tcPr>
            <w:tcW w:w="0" w:type="auto"/>
          </w:tcPr>
          <w:p w14:paraId="10CF7062">
            <w:pPr>
              <w:bidi w:val="0"/>
              <w:spacing w:line="240" w:lineRule="auto"/>
              <w:jc w:val="left"/>
              <w:rPr>
                <w:rFonts w:hint="default" w:ascii="Times New Roman" w:hAnsi="Times New Roman" w:cs="Times New Roman"/>
                <w:color w:val="FF0000"/>
                <w:vertAlign w:val="baseline"/>
                <w:lang w:eastAsia="zh-CN"/>
              </w:rPr>
            </w:pPr>
          </w:p>
        </w:tc>
      </w:tr>
      <w:tr w14:paraId="6AF4D3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302BE873">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FMS Hurdle Step, left (score)</w:t>
            </w:r>
          </w:p>
        </w:tc>
        <w:tc>
          <w:tcPr>
            <w:tcW w:w="0" w:type="auto"/>
          </w:tcPr>
          <w:p w14:paraId="2A60E749">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Pre</w:t>
            </w:r>
          </w:p>
        </w:tc>
        <w:tc>
          <w:tcPr>
            <w:tcW w:w="0" w:type="auto"/>
          </w:tcPr>
          <w:p w14:paraId="27CBC597">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1.88 (0.64)</w:t>
            </w:r>
          </w:p>
        </w:tc>
        <w:tc>
          <w:tcPr>
            <w:tcW w:w="0" w:type="auto"/>
          </w:tcPr>
          <w:p w14:paraId="2A72C1BB">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1.78 (0.67)</w:t>
            </w:r>
          </w:p>
        </w:tc>
        <w:tc>
          <w:tcPr>
            <w:tcW w:w="0" w:type="auto"/>
          </w:tcPr>
          <w:p w14:paraId="2C8DAF90">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0.018</w:t>
            </w:r>
          </w:p>
        </w:tc>
        <w:tc>
          <w:tcPr>
            <w:tcW w:w="0" w:type="auto"/>
          </w:tcPr>
          <w:p w14:paraId="5A65F968">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0.320</w:t>
            </w:r>
          </w:p>
        </w:tc>
      </w:tr>
      <w:tr w14:paraId="266B1D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79BCFFCC">
            <w:pPr>
              <w:bidi w:val="0"/>
              <w:spacing w:line="240" w:lineRule="auto"/>
              <w:jc w:val="left"/>
              <w:rPr>
                <w:rFonts w:hint="default" w:ascii="Times New Roman" w:hAnsi="Times New Roman" w:cs="Times New Roman"/>
                <w:color w:val="FF0000"/>
                <w:vertAlign w:val="baseline"/>
                <w:lang w:eastAsia="zh-CN"/>
              </w:rPr>
            </w:pPr>
          </w:p>
        </w:tc>
        <w:tc>
          <w:tcPr>
            <w:tcW w:w="0" w:type="auto"/>
          </w:tcPr>
          <w:p w14:paraId="42C9036C">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Post</w:t>
            </w:r>
          </w:p>
        </w:tc>
        <w:tc>
          <w:tcPr>
            <w:tcW w:w="0" w:type="auto"/>
          </w:tcPr>
          <w:p w14:paraId="43335A70">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1.88 (0.35)</w:t>
            </w:r>
          </w:p>
        </w:tc>
        <w:tc>
          <w:tcPr>
            <w:tcW w:w="0" w:type="auto"/>
          </w:tcPr>
          <w:p w14:paraId="008B241D">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2.44 (0.73)**</w:t>
            </w:r>
          </w:p>
        </w:tc>
        <w:tc>
          <w:tcPr>
            <w:tcW w:w="0" w:type="auto"/>
          </w:tcPr>
          <w:p w14:paraId="0F8ACD0C">
            <w:pPr>
              <w:bidi w:val="0"/>
              <w:spacing w:line="240" w:lineRule="auto"/>
              <w:jc w:val="left"/>
              <w:rPr>
                <w:rFonts w:hint="default" w:ascii="Times New Roman" w:hAnsi="Times New Roman" w:cs="Times New Roman"/>
                <w:color w:val="FF0000"/>
                <w:vertAlign w:val="baseline"/>
                <w:lang w:eastAsia="zh-CN"/>
              </w:rPr>
            </w:pPr>
          </w:p>
        </w:tc>
        <w:tc>
          <w:tcPr>
            <w:tcW w:w="0" w:type="auto"/>
          </w:tcPr>
          <w:p w14:paraId="18CD2ED6">
            <w:pPr>
              <w:bidi w:val="0"/>
              <w:spacing w:line="240" w:lineRule="auto"/>
              <w:jc w:val="left"/>
              <w:rPr>
                <w:rFonts w:hint="default" w:ascii="Times New Roman" w:hAnsi="Times New Roman" w:cs="Times New Roman"/>
                <w:color w:val="FF0000"/>
                <w:vertAlign w:val="baseline"/>
                <w:lang w:eastAsia="zh-CN"/>
              </w:rPr>
            </w:pPr>
          </w:p>
        </w:tc>
      </w:tr>
      <w:tr w14:paraId="4F7F97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5D918A7D">
            <w:pPr>
              <w:bidi w:val="0"/>
              <w:spacing w:line="240" w:lineRule="auto"/>
              <w:jc w:val="left"/>
              <w:rPr>
                <w:rFonts w:hint="default" w:ascii="Times New Roman" w:hAnsi="Times New Roman" w:cs="Times New Roman"/>
                <w:color w:val="FF0000"/>
                <w:vertAlign w:val="baseline"/>
                <w:lang w:eastAsia="zh-CN"/>
              </w:rPr>
            </w:pPr>
          </w:p>
        </w:tc>
        <w:tc>
          <w:tcPr>
            <w:tcW w:w="0" w:type="auto"/>
          </w:tcPr>
          <w:p w14:paraId="16EDF7C1">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Post-pre difference (%)</w:t>
            </w:r>
          </w:p>
        </w:tc>
        <w:tc>
          <w:tcPr>
            <w:tcW w:w="0" w:type="auto"/>
          </w:tcPr>
          <w:p w14:paraId="4EE0131A">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+0.0%</w:t>
            </w:r>
          </w:p>
        </w:tc>
        <w:tc>
          <w:tcPr>
            <w:tcW w:w="0" w:type="auto"/>
          </w:tcPr>
          <w:p w14:paraId="48D15DFB">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+37.5%</w:t>
            </w:r>
          </w:p>
        </w:tc>
        <w:tc>
          <w:tcPr>
            <w:tcW w:w="0" w:type="auto"/>
          </w:tcPr>
          <w:p w14:paraId="761B37A5">
            <w:pPr>
              <w:bidi w:val="0"/>
              <w:spacing w:line="240" w:lineRule="auto"/>
              <w:jc w:val="left"/>
              <w:rPr>
                <w:rFonts w:hint="default" w:ascii="Times New Roman" w:hAnsi="Times New Roman" w:cs="Times New Roman"/>
                <w:color w:val="FF0000"/>
                <w:vertAlign w:val="baseline"/>
                <w:lang w:eastAsia="zh-CN"/>
              </w:rPr>
            </w:pPr>
          </w:p>
        </w:tc>
        <w:tc>
          <w:tcPr>
            <w:tcW w:w="0" w:type="auto"/>
          </w:tcPr>
          <w:p w14:paraId="1A340038">
            <w:pPr>
              <w:bidi w:val="0"/>
              <w:spacing w:line="240" w:lineRule="auto"/>
              <w:jc w:val="left"/>
              <w:rPr>
                <w:rFonts w:hint="default" w:ascii="Times New Roman" w:hAnsi="Times New Roman" w:cs="Times New Roman"/>
                <w:color w:val="FF0000"/>
                <w:vertAlign w:val="baseline"/>
                <w:lang w:eastAsia="zh-CN"/>
              </w:rPr>
            </w:pPr>
          </w:p>
        </w:tc>
      </w:tr>
      <w:tr w14:paraId="598FDE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0D9B5CB7">
            <w:pPr>
              <w:bidi w:val="0"/>
              <w:spacing w:line="240" w:lineRule="auto"/>
              <w:jc w:val="left"/>
              <w:rPr>
                <w:rFonts w:hint="default" w:ascii="Times New Roman" w:hAnsi="Times New Roman" w:cs="Times New Roman"/>
                <w:color w:val="FF0000"/>
                <w:vertAlign w:val="baseline"/>
                <w:lang w:eastAsia="zh-CN"/>
              </w:rPr>
            </w:pPr>
          </w:p>
        </w:tc>
        <w:tc>
          <w:tcPr>
            <w:tcW w:w="0" w:type="auto"/>
          </w:tcPr>
          <w:p w14:paraId="52E33DA5">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Post-pre ES (d)</w:t>
            </w:r>
          </w:p>
        </w:tc>
        <w:tc>
          <w:tcPr>
            <w:tcW w:w="0" w:type="auto"/>
          </w:tcPr>
          <w:p w14:paraId="1A51B11C">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0.00 (trivial)</w:t>
            </w:r>
          </w:p>
        </w:tc>
        <w:tc>
          <w:tcPr>
            <w:tcW w:w="0" w:type="auto"/>
          </w:tcPr>
          <w:p w14:paraId="3AD88C29">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0.96 (large)</w:t>
            </w:r>
          </w:p>
        </w:tc>
        <w:tc>
          <w:tcPr>
            <w:tcW w:w="0" w:type="auto"/>
          </w:tcPr>
          <w:p w14:paraId="0FCEA9CC">
            <w:pPr>
              <w:bidi w:val="0"/>
              <w:spacing w:line="240" w:lineRule="auto"/>
              <w:jc w:val="left"/>
              <w:rPr>
                <w:rFonts w:hint="default" w:ascii="Times New Roman" w:hAnsi="Times New Roman" w:cs="Times New Roman"/>
                <w:color w:val="FF0000"/>
                <w:vertAlign w:val="baseline"/>
                <w:lang w:eastAsia="zh-CN"/>
              </w:rPr>
            </w:pPr>
          </w:p>
        </w:tc>
        <w:tc>
          <w:tcPr>
            <w:tcW w:w="0" w:type="auto"/>
          </w:tcPr>
          <w:p w14:paraId="44B3FB38">
            <w:pPr>
              <w:bidi w:val="0"/>
              <w:spacing w:line="240" w:lineRule="auto"/>
              <w:jc w:val="left"/>
              <w:rPr>
                <w:rFonts w:hint="default" w:ascii="Times New Roman" w:hAnsi="Times New Roman" w:cs="Times New Roman"/>
                <w:color w:val="FF0000"/>
                <w:vertAlign w:val="baseline"/>
                <w:lang w:eastAsia="zh-CN"/>
              </w:rPr>
            </w:pPr>
          </w:p>
        </w:tc>
      </w:tr>
      <w:tr w14:paraId="1127CC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5345883A">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FMS In-line Lunge, right (score)</w:t>
            </w:r>
          </w:p>
        </w:tc>
        <w:tc>
          <w:tcPr>
            <w:tcW w:w="0" w:type="auto"/>
          </w:tcPr>
          <w:p w14:paraId="46186286">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Pre</w:t>
            </w:r>
          </w:p>
        </w:tc>
        <w:tc>
          <w:tcPr>
            <w:tcW w:w="0" w:type="auto"/>
          </w:tcPr>
          <w:p w14:paraId="3678FC14">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2.00 (0.00)</w:t>
            </w:r>
          </w:p>
        </w:tc>
        <w:tc>
          <w:tcPr>
            <w:tcW w:w="0" w:type="auto"/>
          </w:tcPr>
          <w:p w14:paraId="3DC39ECD">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1.89 (0.60)</w:t>
            </w:r>
          </w:p>
        </w:tc>
        <w:tc>
          <w:tcPr>
            <w:tcW w:w="0" w:type="auto"/>
          </w:tcPr>
          <w:p w14:paraId="39E45C2F">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0.010</w:t>
            </w:r>
          </w:p>
        </w:tc>
        <w:tc>
          <w:tcPr>
            <w:tcW w:w="0" w:type="auto"/>
          </w:tcPr>
          <w:p w14:paraId="7B099081">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0.370</w:t>
            </w:r>
          </w:p>
        </w:tc>
      </w:tr>
      <w:tr w14:paraId="55B3AC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47696D47">
            <w:pPr>
              <w:bidi w:val="0"/>
              <w:spacing w:line="240" w:lineRule="auto"/>
              <w:jc w:val="left"/>
              <w:rPr>
                <w:rFonts w:hint="default" w:ascii="Times New Roman" w:hAnsi="Times New Roman" w:cs="Times New Roman"/>
                <w:color w:val="FF0000"/>
                <w:vertAlign w:val="baseline"/>
                <w:lang w:eastAsia="zh-CN"/>
              </w:rPr>
            </w:pPr>
          </w:p>
        </w:tc>
        <w:tc>
          <w:tcPr>
            <w:tcW w:w="0" w:type="auto"/>
          </w:tcPr>
          <w:p w14:paraId="5E84F174">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Post</w:t>
            </w:r>
          </w:p>
        </w:tc>
        <w:tc>
          <w:tcPr>
            <w:tcW w:w="0" w:type="auto"/>
          </w:tcPr>
          <w:p w14:paraId="40CC47E1">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2.00 (0.00)#</w:t>
            </w:r>
          </w:p>
        </w:tc>
        <w:tc>
          <w:tcPr>
            <w:tcW w:w="0" w:type="auto"/>
          </w:tcPr>
          <w:p w14:paraId="35536D75">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2.44 (0.53)***#</w:t>
            </w:r>
          </w:p>
        </w:tc>
        <w:tc>
          <w:tcPr>
            <w:tcW w:w="0" w:type="auto"/>
          </w:tcPr>
          <w:p w14:paraId="25AC34C1">
            <w:pPr>
              <w:bidi w:val="0"/>
              <w:spacing w:line="240" w:lineRule="auto"/>
              <w:jc w:val="left"/>
              <w:rPr>
                <w:rFonts w:hint="default" w:ascii="Times New Roman" w:hAnsi="Times New Roman" w:cs="Times New Roman"/>
                <w:color w:val="FF0000"/>
                <w:vertAlign w:val="baseline"/>
                <w:lang w:eastAsia="zh-CN"/>
              </w:rPr>
            </w:pPr>
          </w:p>
        </w:tc>
        <w:tc>
          <w:tcPr>
            <w:tcW w:w="0" w:type="auto"/>
          </w:tcPr>
          <w:p w14:paraId="4D7DB542">
            <w:pPr>
              <w:bidi w:val="0"/>
              <w:spacing w:line="240" w:lineRule="auto"/>
              <w:jc w:val="left"/>
              <w:rPr>
                <w:rFonts w:hint="default" w:ascii="Times New Roman" w:hAnsi="Times New Roman" w:cs="Times New Roman"/>
                <w:color w:val="FF0000"/>
                <w:vertAlign w:val="baseline"/>
                <w:lang w:eastAsia="zh-CN"/>
              </w:rPr>
            </w:pPr>
          </w:p>
        </w:tc>
      </w:tr>
      <w:tr w14:paraId="6656CE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57227EC5">
            <w:pPr>
              <w:bidi w:val="0"/>
              <w:spacing w:line="240" w:lineRule="auto"/>
              <w:jc w:val="left"/>
              <w:rPr>
                <w:rFonts w:hint="default" w:ascii="Times New Roman" w:hAnsi="Times New Roman" w:cs="Times New Roman"/>
                <w:color w:val="FF0000"/>
                <w:vertAlign w:val="baseline"/>
                <w:lang w:eastAsia="zh-CN"/>
              </w:rPr>
            </w:pPr>
          </w:p>
        </w:tc>
        <w:tc>
          <w:tcPr>
            <w:tcW w:w="0" w:type="auto"/>
          </w:tcPr>
          <w:p w14:paraId="0B55E79E">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Post-pre difference (%)</w:t>
            </w:r>
          </w:p>
        </w:tc>
        <w:tc>
          <w:tcPr>
            <w:tcW w:w="0" w:type="auto"/>
          </w:tcPr>
          <w:p w14:paraId="11167521">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+0.0%</w:t>
            </w:r>
          </w:p>
        </w:tc>
        <w:tc>
          <w:tcPr>
            <w:tcW w:w="0" w:type="auto"/>
          </w:tcPr>
          <w:p w14:paraId="4DC58B17">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+29.4%</w:t>
            </w:r>
          </w:p>
        </w:tc>
        <w:tc>
          <w:tcPr>
            <w:tcW w:w="0" w:type="auto"/>
          </w:tcPr>
          <w:p w14:paraId="21C28FC6">
            <w:pPr>
              <w:bidi w:val="0"/>
              <w:spacing w:line="240" w:lineRule="auto"/>
              <w:jc w:val="left"/>
              <w:rPr>
                <w:rFonts w:hint="default" w:ascii="Times New Roman" w:hAnsi="Times New Roman" w:cs="Times New Roman"/>
                <w:color w:val="FF0000"/>
                <w:vertAlign w:val="baseline"/>
                <w:lang w:eastAsia="zh-CN"/>
              </w:rPr>
            </w:pPr>
          </w:p>
        </w:tc>
        <w:tc>
          <w:tcPr>
            <w:tcW w:w="0" w:type="auto"/>
          </w:tcPr>
          <w:p w14:paraId="4D67C4D9">
            <w:pPr>
              <w:bidi w:val="0"/>
              <w:spacing w:line="240" w:lineRule="auto"/>
              <w:jc w:val="left"/>
              <w:rPr>
                <w:rFonts w:hint="default" w:ascii="Times New Roman" w:hAnsi="Times New Roman" w:cs="Times New Roman"/>
                <w:color w:val="FF0000"/>
                <w:vertAlign w:val="baseline"/>
                <w:lang w:eastAsia="zh-CN"/>
              </w:rPr>
            </w:pPr>
          </w:p>
        </w:tc>
      </w:tr>
      <w:tr w14:paraId="0A6D6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4B79552B">
            <w:pPr>
              <w:bidi w:val="0"/>
              <w:spacing w:line="240" w:lineRule="auto"/>
              <w:jc w:val="left"/>
              <w:rPr>
                <w:rFonts w:hint="default" w:ascii="Times New Roman" w:hAnsi="Times New Roman" w:cs="Times New Roman"/>
                <w:color w:val="FF0000"/>
                <w:vertAlign w:val="baseline"/>
                <w:lang w:eastAsia="zh-CN"/>
              </w:rPr>
            </w:pPr>
          </w:p>
        </w:tc>
        <w:tc>
          <w:tcPr>
            <w:tcW w:w="0" w:type="auto"/>
          </w:tcPr>
          <w:p w14:paraId="311C39D6">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Post-pre ES (d)</w:t>
            </w:r>
          </w:p>
        </w:tc>
        <w:tc>
          <w:tcPr>
            <w:tcW w:w="0" w:type="auto"/>
          </w:tcPr>
          <w:p w14:paraId="7F6711C3">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NA</w:t>
            </w:r>
          </w:p>
        </w:tc>
        <w:tc>
          <w:tcPr>
            <w:tcW w:w="0" w:type="auto"/>
          </w:tcPr>
          <w:p w14:paraId="222110DD">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0.98 (large)</w:t>
            </w:r>
          </w:p>
        </w:tc>
        <w:tc>
          <w:tcPr>
            <w:tcW w:w="0" w:type="auto"/>
          </w:tcPr>
          <w:p w14:paraId="534B16D9">
            <w:pPr>
              <w:bidi w:val="0"/>
              <w:spacing w:line="240" w:lineRule="auto"/>
              <w:jc w:val="left"/>
              <w:rPr>
                <w:rFonts w:hint="default" w:ascii="Times New Roman" w:hAnsi="Times New Roman" w:cs="Times New Roman"/>
                <w:color w:val="FF0000"/>
                <w:vertAlign w:val="baseline"/>
                <w:lang w:eastAsia="zh-CN"/>
              </w:rPr>
            </w:pPr>
          </w:p>
        </w:tc>
        <w:tc>
          <w:tcPr>
            <w:tcW w:w="0" w:type="auto"/>
          </w:tcPr>
          <w:p w14:paraId="71B69329">
            <w:pPr>
              <w:bidi w:val="0"/>
              <w:spacing w:line="240" w:lineRule="auto"/>
              <w:jc w:val="left"/>
              <w:rPr>
                <w:rFonts w:hint="default" w:ascii="Times New Roman" w:hAnsi="Times New Roman" w:cs="Times New Roman"/>
                <w:color w:val="FF0000"/>
                <w:vertAlign w:val="baseline"/>
                <w:lang w:eastAsia="zh-CN"/>
              </w:rPr>
            </w:pPr>
          </w:p>
        </w:tc>
      </w:tr>
      <w:tr w14:paraId="1A1550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726A15E7">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FMS Deep Squat (score)</w:t>
            </w:r>
          </w:p>
        </w:tc>
        <w:tc>
          <w:tcPr>
            <w:tcW w:w="0" w:type="auto"/>
          </w:tcPr>
          <w:p w14:paraId="446DAD6D">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Pre</w:t>
            </w:r>
          </w:p>
        </w:tc>
        <w:tc>
          <w:tcPr>
            <w:tcW w:w="0" w:type="auto"/>
          </w:tcPr>
          <w:p w14:paraId="0B5D8B77">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2.12 (0.64)</w:t>
            </w:r>
          </w:p>
        </w:tc>
        <w:tc>
          <w:tcPr>
            <w:tcW w:w="0" w:type="auto"/>
          </w:tcPr>
          <w:p w14:paraId="18FFF7EC">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2.22 (0.83)</w:t>
            </w:r>
          </w:p>
        </w:tc>
        <w:tc>
          <w:tcPr>
            <w:tcW w:w="0" w:type="auto"/>
          </w:tcPr>
          <w:p w14:paraId="73D21252">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0.109</w:t>
            </w:r>
          </w:p>
        </w:tc>
        <w:tc>
          <w:tcPr>
            <w:tcW w:w="0" w:type="auto"/>
          </w:tcPr>
          <w:p w14:paraId="179B6757">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0.162</w:t>
            </w:r>
          </w:p>
        </w:tc>
      </w:tr>
      <w:tr w14:paraId="2A4CBF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3634D08A">
            <w:pPr>
              <w:bidi w:val="0"/>
              <w:spacing w:line="240" w:lineRule="auto"/>
              <w:jc w:val="left"/>
              <w:rPr>
                <w:rFonts w:hint="default" w:ascii="Times New Roman" w:hAnsi="Times New Roman" w:cs="Times New Roman"/>
                <w:color w:val="FF0000"/>
                <w:vertAlign w:val="baseline"/>
                <w:lang w:eastAsia="zh-CN"/>
              </w:rPr>
            </w:pPr>
          </w:p>
        </w:tc>
        <w:tc>
          <w:tcPr>
            <w:tcW w:w="0" w:type="auto"/>
          </w:tcPr>
          <w:p w14:paraId="085DBEB3">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Post</w:t>
            </w:r>
          </w:p>
        </w:tc>
        <w:tc>
          <w:tcPr>
            <w:tcW w:w="0" w:type="auto"/>
          </w:tcPr>
          <w:p w14:paraId="574D4D30">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2.00 (0.76)#</w:t>
            </w:r>
          </w:p>
        </w:tc>
        <w:tc>
          <w:tcPr>
            <w:tcW w:w="0" w:type="auto"/>
          </w:tcPr>
          <w:p w14:paraId="517F8E4E">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2.67 (0.50)#</w:t>
            </w:r>
          </w:p>
        </w:tc>
        <w:tc>
          <w:tcPr>
            <w:tcW w:w="0" w:type="auto"/>
          </w:tcPr>
          <w:p w14:paraId="0A88DE5D">
            <w:pPr>
              <w:bidi w:val="0"/>
              <w:spacing w:line="240" w:lineRule="auto"/>
              <w:jc w:val="left"/>
              <w:rPr>
                <w:rFonts w:hint="default" w:ascii="Times New Roman" w:hAnsi="Times New Roman" w:cs="Times New Roman"/>
                <w:color w:val="FF0000"/>
                <w:vertAlign w:val="baseline"/>
                <w:lang w:eastAsia="zh-CN"/>
              </w:rPr>
            </w:pPr>
          </w:p>
        </w:tc>
        <w:tc>
          <w:tcPr>
            <w:tcW w:w="0" w:type="auto"/>
          </w:tcPr>
          <w:p w14:paraId="64A6E096">
            <w:pPr>
              <w:bidi w:val="0"/>
              <w:spacing w:line="240" w:lineRule="auto"/>
              <w:jc w:val="left"/>
              <w:rPr>
                <w:rFonts w:hint="default" w:ascii="Times New Roman" w:hAnsi="Times New Roman" w:cs="Times New Roman"/>
                <w:color w:val="FF0000"/>
                <w:vertAlign w:val="baseline"/>
                <w:lang w:eastAsia="zh-CN"/>
              </w:rPr>
            </w:pPr>
          </w:p>
        </w:tc>
      </w:tr>
      <w:tr w14:paraId="1F3FEC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1A67DF5A">
            <w:pPr>
              <w:bidi w:val="0"/>
              <w:spacing w:line="240" w:lineRule="auto"/>
              <w:jc w:val="left"/>
              <w:rPr>
                <w:rFonts w:hint="default" w:ascii="Times New Roman" w:hAnsi="Times New Roman" w:cs="Times New Roman"/>
                <w:color w:val="FF0000"/>
                <w:vertAlign w:val="baseline"/>
                <w:lang w:eastAsia="zh-CN"/>
              </w:rPr>
            </w:pPr>
          </w:p>
        </w:tc>
        <w:tc>
          <w:tcPr>
            <w:tcW w:w="0" w:type="auto"/>
          </w:tcPr>
          <w:p w14:paraId="05E4EA77">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Post-pre difference (%)</w:t>
            </w:r>
          </w:p>
        </w:tc>
        <w:tc>
          <w:tcPr>
            <w:tcW w:w="0" w:type="auto"/>
          </w:tcPr>
          <w:p w14:paraId="3A46E981">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-5.9%</w:t>
            </w:r>
          </w:p>
        </w:tc>
        <w:tc>
          <w:tcPr>
            <w:tcW w:w="0" w:type="auto"/>
          </w:tcPr>
          <w:p w14:paraId="7ECB9258">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+20.0%</w:t>
            </w:r>
          </w:p>
        </w:tc>
        <w:tc>
          <w:tcPr>
            <w:tcW w:w="0" w:type="auto"/>
          </w:tcPr>
          <w:p w14:paraId="7A97B3C8">
            <w:pPr>
              <w:bidi w:val="0"/>
              <w:spacing w:line="240" w:lineRule="auto"/>
              <w:jc w:val="left"/>
              <w:rPr>
                <w:rFonts w:hint="default" w:ascii="Times New Roman" w:hAnsi="Times New Roman" w:cs="Times New Roman"/>
                <w:color w:val="FF0000"/>
                <w:vertAlign w:val="baseline"/>
                <w:lang w:eastAsia="zh-CN"/>
              </w:rPr>
            </w:pPr>
          </w:p>
        </w:tc>
        <w:tc>
          <w:tcPr>
            <w:tcW w:w="0" w:type="auto"/>
          </w:tcPr>
          <w:p w14:paraId="48DCA69D">
            <w:pPr>
              <w:bidi w:val="0"/>
              <w:spacing w:line="240" w:lineRule="auto"/>
              <w:jc w:val="left"/>
              <w:rPr>
                <w:rFonts w:hint="default" w:ascii="Times New Roman" w:hAnsi="Times New Roman" w:cs="Times New Roman"/>
                <w:color w:val="FF0000"/>
                <w:vertAlign w:val="baseline"/>
                <w:lang w:eastAsia="zh-CN"/>
              </w:rPr>
            </w:pPr>
          </w:p>
        </w:tc>
      </w:tr>
      <w:tr w14:paraId="674FC1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693E048B">
            <w:pPr>
              <w:bidi w:val="0"/>
              <w:spacing w:line="240" w:lineRule="auto"/>
              <w:jc w:val="left"/>
              <w:rPr>
                <w:rFonts w:hint="default" w:ascii="Times New Roman" w:hAnsi="Times New Roman" w:cs="Times New Roman"/>
                <w:color w:val="FF0000"/>
                <w:vertAlign w:val="baseline"/>
                <w:lang w:eastAsia="zh-CN"/>
              </w:rPr>
            </w:pPr>
          </w:p>
        </w:tc>
        <w:tc>
          <w:tcPr>
            <w:tcW w:w="0" w:type="auto"/>
          </w:tcPr>
          <w:p w14:paraId="51822A6D">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Post-pre ES (d)</w:t>
            </w:r>
          </w:p>
        </w:tc>
        <w:tc>
          <w:tcPr>
            <w:tcW w:w="0" w:type="auto"/>
          </w:tcPr>
          <w:p w14:paraId="63378DB3">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-0.18 (trivial)</w:t>
            </w:r>
          </w:p>
        </w:tc>
        <w:tc>
          <w:tcPr>
            <w:tcW w:w="0" w:type="auto"/>
          </w:tcPr>
          <w:p w14:paraId="5AA8D37A">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0.65 (moderate)</w:t>
            </w:r>
          </w:p>
        </w:tc>
        <w:tc>
          <w:tcPr>
            <w:tcW w:w="0" w:type="auto"/>
          </w:tcPr>
          <w:p w14:paraId="09BD66F6">
            <w:pPr>
              <w:bidi w:val="0"/>
              <w:spacing w:line="240" w:lineRule="auto"/>
              <w:jc w:val="left"/>
              <w:rPr>
                <w:rFonts w:hint="default" w:ascii="Times New Roman" w:hAnsi="Times New Roman" w:cs="Times New Roman"/>
                <w:color w:val="FF0000"/>
                <w:vertAlign w:val="baseline"/>
                <w:lang w:eastAsia="zh-CN"/>
              </w:rPr>
            </w:pPr>
          </w:p>
        </w:tc>
        <w:tc>
          <w:tcPr>
            <w:tcW w:w="0" w:type="auto"/>
          </w:tcPr>
          <w:p w14:paraId="705DEFE1">
            <w:pPr>
              <w:bidi w:val="0"/>
              <w:spacing w:line="240" w:lineRule="auto"/>
              <w:jc w:val="left"/>
              <w:rPr>
                <w:rFonts w:hint="default" w:ascii="Times New Roman" w:hAnsi="Times New Roman" w:cs="Times New Roman"/>
                <w:color w:val="FF0000"/>
                <w:vertAlign w:val="baseline"/>
                <w:lang w:eastAsia="zh-CN"/>
              </w:rPr>
            </w:pPr>
          </w:p>
        </w:tc>
      </w:tr>
      <w:tr w14:paraId="39B4DE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3DE3E04B">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FMS In-line Lunge, left (score)</w:t>
            </w:r>
          </w:p>
        </w:tc>
        <w:tc>
          <w:tcPr>
            <w:tcW w:w="0" w:type="auto"/>
          </w:tcPr>
          <w:p w14:paraId="1392F1FD">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Pre</w:t>
            </w:r>
          </w:p>
        </w:tc>
        <w:tc>
          <w:tcPr>
            <w:tcW w:w="0" w:type="auto"/>
          </w:tcPr>
          <w:p w14:paraId="1644B4C4">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2.00 (0.53)</w:t>
            </w:r>
          </w:p>
        </w:tc>
        <w:tc>
          <w:tcPr>
            <w:tcW w:w="0" w:type="auto"/>
          </w:tcPr>
          <w:p w14:paraId="6BBC2CBE">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2.22 (0.44)</w:t>
            </w:r>
          </w:p>
        </w:tc>
        <w:tc>
          <w:tcPr>
            <w:tcW w:w="0" w:type="auto"/>
          </w:tcPr>
          <w:p w14:paraId="3FC89983">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0.336</w:t>
            </w:r>
          </w:p>
        </w:tc>
        <w:tc>
          <w:tcPr>
            <w:tcW w:w="0" w:type="auto"/>
          </w:tcPr>
          <w:p w14:paraId="7D6C299F">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0.062</w:t>
            </w:r>
          </w:p>
        </w:tc>
      </w:tr>
      <w:tr w14:paraId="6E9ECF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7485DF93">
            <w:pPr>
              <w:bidi w:val="0"/>
              <w:spacing w:line="240" w:lineRule="auto"/>
              <w:jc w:val="left"/>
              <w:rPr>
                <w:rFonts w:hint="default" w:ascii="Times New Roman" w:hAnsi="Times New Roman" w:cs="Times New Roman"/>
                <w:color w:val="FF0000"/>
                <w:vertAlign w:val="baseline"/>
                <w:lang w:eastAsia="zh-CN"/>
              </w:rPr>
            </w:pPr>
          </w:p>
        </w:tc>
        <w:tc>
          <w:tcPr>
            <w:tcW w:w="0" w:type="auto"/>
          </w:tcPr>
          <w:p w14:paraId="58502BCF">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Post</w:t>
            </w:r>
          </w:p>
        </w:tc>
        <w:tc>
          <w:tcPr>
            <w:tcW w:w="0" w:type="auto"/>
          </w:tcPr>
          <w:p w14:paraId="486F1C20">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1.75 (0.46)</w:t>
            </w:r>
          </w:p>
        </w:tc>
        <w:tc>
          <w:tcPr>
            <w:tcW w:w="0" w:type="auto"/>
          </w:tcPr>
          <w:p w14:paraId="5F8BA055">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2.33 (0.71)</w:t>
            </w:r>
          </w:p>
        </w:tc>
        <w:tc>
          <w:tcPr>
            <w:tcW w:w="0" w:type="auto"/>
          </w:tcPr>
          <w:p w14:paraId="6196C6DF">
            <w:pPr>
              <w:bidi w:val="0"/>
              <w:spacing w:line="240" w:lineRule="auto"/>
              <w:jc w:val="left"/>
              <w:rPr>
                <w:rFonts w:hint="default" w:ascii="Times New Roman" w:hAnsi="Times New Roman" w:cs="Times New Roman"/>
                <w:color w:val="FF0000"/>
                <w:vertAlign w:val="baseline"/>
                <w:lang w:eastAsia="zh-CN"/>
              </w:rPr>
            </w:pPr>
          </w:p>
        </w:tc>
        <w:tc>
          <w:tcPr>
            <w:tcW w:w="0" w:type="auto"/>
          </w:tcPr>
          <w:p w14:paraId="6837A5D2">
            <w:pPr>
              <w:bidi w:val="0"/>
              <w:spacing w:line="240" w:lineRule="auto"/>
              <w:jc w:val="left"/>
              <w:rPr>
                <w:rFonts w:hint="default" w:ascii="Times New Roman" w:hAnsi="Times New Roman" w:cs="Times New Roman"/>
                <w:color w:val="FF0000"/>
                <w:vertAlign w:val="baseline"/>
                <w:lang w:eastAsia="zh-CN"/>
              </w:rPr>
            </w:pPr>
          </w:p>
        </w:tc>
      </w:tr>
      <w:tr w14:paraId="027933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50363737">
            <w:pPr>
              <w:bidi w:val="0"/>
              <w:spacing w:line="240" w:lineRule="auto"/>
              <w:jc w:val="left"/>
              <w:rPr>
                <w:rFonts w:hint="default" w:ascii="Times New Roman" w:hAnsi="Times New Roman" w:cs="Times New Roman"/>
                <w:color w:val="FF0000"/>
                <w:vertAlign w:val="baseline"/>
                <w:lang w:eastAsia="zh-CN"/>
              </w:rPr>
            </w:pPr>
          </w:p>
        </w:tc>
        <w:tc>
          <w:tcPr>
            <w:tcW w:w="0" w:type="auto"/>
          </w:tcPr>
          <w:p w14:paraId="11C18040">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Post-pre difference (%)</w:t>
            </w:r>
          </w:p>
        </w:tc>
        <w:tc>
          <w:tcPr>
            <w:tcW w:w="0" w:type="auto"/>
          </w:tcPr>
          <w:p w14:paraId="696B7C5D">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-12.5%</w:t>
            </w:r>
          </w:p>
        </w:tc>
        <w:tc>
          <w:tcPr>
            <w:tcW w:w="0" w:type="auto"/>
          </w:tcPr>
          <w:p w14:paraId="75D79436">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+5.0%</w:t>
            </w:r>
          </w:p>
        </w:tc>
        <w:tc>
          <w:tcPr>
            <w:tcW w:w="0" w:type="auto"/>
          </w:tcPr>
          <w:p w14:paraId="001ED2DC">
            <w:pPr>
              <w:bidi w:val="0"/>
              <w:spacing w:line="240" w:lineRule="auto"/>
              <w:jc w:val="left"/>
              <w:rPr>
                <w:rFonts w:hint="default" w:ascii="Times New Roman" w:hAnsi="Times New Roman" w:cs="Times New Roman"/>
                <w:color w:val="FF0000"/>
                <w:vertAlign w:val="baseline"/>
                <w:lang w:eastAsia="zh-CN"/>
              </w:rPr>
            </w:pPr>
          </w:p>
        </w:tc>
        <w:tc>
          <w:tcPr>
            <w:tcW w:w="0" w:type="auto"/>
          </w:tcPr>
          <w:p w14:paraId="713FBB82">
            <w:pPr>
              <w:bidi w:val="0"/>
              <w:spacing w:line="240" w:lineRule="auto"/>
              <w:jc w:val="left"/>
              <w:rPr>
                <w:rFonts w:hint="default" w:ascii="Times New Roman" w:hAnsi="Times New Roman" w:cs="Times New Roman"/>
                <w:color w:val="FF0000"/>
                <w:vertAlign w:val="baseline"/>
                <w:lang w:eastAsia="zh-CN"/>
              </w:rPr>
            </w:pPr>
          </w:p>
        </w:tc>
      </w:tr>
      <w:tr w14:paraId="63757C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33B5DB0C">
            <w:pPr>
              <w:bidi w:val="0"/>
              <w:spacing w:line="240" w:lineRule="auto"/>
              <w:jc w:val="left"/>
              <w:rPr>
                <w:rFonts w:hint="default" w:ascii="Times New Roman" w:hAnsi="Times New Roman" w:cs="Times New Roman"/>
                <w:color w:val="FF0000"/>
                <w:vertAlign w:val="baseline"/>
                <w:lang w:eastAsia="zh-CN"/>
              </w:rPr>
            </w:pPr>
          </w:p>
        </w:tc>
        <w:tc>
          <w:tcPr>
            <w:tcW w:w="0" w:type="auto"/>
          </w:tcPr>
          <w:p w14:paraId="3F9574D8">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Post-pre ES (d)</w:t>
            </w:r>
          </w:p>
        </w:tc>
        <w:tc>
          <w:tcPr>
            <w:tcW w:w="0" w:type="auto"/>
          </w:tcPr>
          <w:p w14:paraId="73C221BB">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-0.50 (moderate)</w:t>
            </w:r>
          </w:p>
        </w:tc>
        <w:tc>
          <w:tcPr>
            <w:tcW w:w="0" w:type="auto"/>
          </w:tcPr>
          <w:p w14:paraId="05E97A7E">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0.19 (trivial)</w:t>
            </w:r>
          </w:p>
        </w:tc>
        <w:tc>
          <w:tcPr>
            <w:tcW w:w="0" w:type="auto"/>
          </w:tcPr>
          <w:p w14:paraId="26CFC38B">
            <w:pPr>
              <w:bidi w:val="0"/>
              <w:spacing w:line="240" w:lineRule="auto"/>
              <w:jc w:val="left"/>
              <w:rPr>
                <w:rFonts w:hint="default" w:ascii="Times New Roman" w:hAnsi="Times New Roman" w:cs="Times New Roman"/>
                <w:color w:val="FF0000"/>
                <w:vertAlign w:val="baseline"/>
                <w:lang w:eastAsia="zh-CN"/>
              </w:rPr>
            </w:pPr>
          </w:p>
        </w:tc>
        <w:tc>
          <w:tcPr>
            <w:tcW w:w="0" w:type="auto"/>
          </w:tcPr>
          <w:p w14:paraId="782BFB30">
            <w:pPr>
              <w:bidi w:val="0"/>
              <w:spacing w:line="240" w:lineRule="auto"/>
              <w:jc w:val="left"/>
              <w:rPr>
                <w:rFonts w:hint="default" w:ascii="Times New Roman" w:hAnsi="Times New Roman" w:cs="Times New Roman"/>
                <w:color w:val="FF0000"/>
                <w:vertAlign w:val="baseline"/>
                <w:lang w:eastAsia="zh-CN"/>
              </w:rPr>
            </w:pPr>
          </w:p>
        </w:tc>
      </w:tr>
      <w:tr w14:paraId="52DCE5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636182BE">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FMS Shoulder Mobility, left (score)</w:t>
            </w:r>
          </w:p>
        </w:tc>
        <w:tc>
          <w:tcPr>
            <w:tcW w:w="0" w:type="auto"/>
          </w:tcPr>
          <w:p w14:paraId="639383EB">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Pre</w:t>
            </w:r>
          </w:p>
        </w:tc>
        <w:tc>
          <w:tcPr>
            <w:tcW w:w="0" w:type="auto"/>
          </w:tcPr>
          <w:p w14:paraId="65A969C4">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1.25 (0.89)</w:t>
            </w:r>
          </w:p>
        </w:tc>
        <w:tc>
          <w:tcPr>
            <w:tcW w:w="0" w:type="auto"/>
          </w:tcPr>
          <w:p w14:paraId="1B671A6E">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1.33 (0.71)</w:t>
            </w:r>
          </w:p>
        </w:tc>
        <w:tc>
          <w:tcPr>
            <w:tcW w:w="0" w:type="auto"/>
          </w:tcPr>
          <w:p w14:paraId="1AE3F9C2">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0.527</w:t>
            </w:r>
          </w:p>
        </w:tc>
        <w:tc>
          <w:tcPr>
            <w:tcW w:w="0" w:type="auto"/>
          </w:tcPr>
          <w:p w14:paraId="065E3962">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0.027</w:t>
            </w:r>
          </w:p>
        </w:tc>
      </w:tr>
      <w:tr w14:paraId="635E25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0387F709">
            <w:pPr>
              <w:bidi w:val="0"/>
              <w:spacing w:line="240" w:lineRule="auto"/>
              <w:jc w:val="left"/>
              <w:rPr>
                <w:rFonts w:hint="default" w:ascii="Times New Roman" w:hAnsi="Times New Roman" w:cs="Times New Roman"/>
                <w:color w:val="FF0000"/>
                <w:vertAlign w:val="baseline"/>
                <w:lang w:eastAsia="zh-CN"/>
              </w:rPr>
            </w:pPr>
          </w:p>
        </w:tc>
        <w:tc>
          <w:tcPr>
            <w:tcW w:w="0" w:type="auto"/>
          </w:tcPr>
          <w:p w14:paraId="16FF1E38">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Post</w:t>
            </w:r>
          </w:p>
        </w:tc>
        <w:tc>
          <w:tcPr>
            <w:tcW w:w="0" w:type="auto"/>
          </w:tcPr>
          <w:p w14:paraId="7EA27EAE">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1.50 (0.93)</w:t>
            </w:r>
          </w:p>
        </w:tc>
        <w:tc>
          <w:tcPr>
            <w:tcW w:w="0" w:type="auto"/>
          </w:tcPr>
          <w:p w14:paraId="45B4F8EE">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1.78 (0.83)*</w:t>
            </w:r>
          </w:p>
        </w:tc>
        <w:tc>
          <w:tcPr>
            <w:tcW w:w="0" w:type="auto"/>
          </w:tcPr>
          <w:p w14:paraId="0E128720">
            <w:pPr>
              <w:bidi w:val="0"/>
              <w:spacing w:line="240" w:lineRule="auto"/>
              <w:jc w:val="left"/>
              <w:rPr>
                <w:rFonts w:hint="default" w:ascii="Times New Roman" w:hAnsi="Times New Roman" w:cs="Times New Roman"/>
                <w:color w:val="FF0000"/>
                <w:vertAlign w:val="baseline"/>
                <w:lang w:eastAsia="zh-CN"/>
              </w:rPr>
            </w:pPr>
          </w:p>
        </w:tc>
        <w:tc>
          <w:tcPr>
            <w:tcW w:w="0" w:type="auto"/>
          </w:tcPr>
          <w:p w14:paraId="43B1528C">
            <w:pPr>
              <w:bidi w:val="0"/>
              <w:spacing w:line="240" w:lineRule="auto"/>
              <w:jc w:val="left"/>
              <w:rPr>
                <w:rFonts w:hint="default" w:ascii="Times New Roman" w:hAnsi="Times New Roman" w:cs="Times New Roman"/>
                <w:color w:val="FF0000"/>
                <w:vertAlign w:val="baseline"/>
                <w:lang w:eastAsia="zh-CN"/>
              </w:rPr>
            </w:pPr>
          </w:p>
        </w:tc>
      </w:tr>
      <w:tr w14:paraId="519CB7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363D5CDC">
            <w:pPr>
              <w:bidi w:val="0"/>
              <w:spacing w:line="240" w:lineRule="auto"/>
              <w:jc w:val="left"/>
              <w:rPr>
                <w:rFonts w:hint="default" w:ascii="Times New Roman" w:hAnsi="Times New Roman" w:cs="Times New Roman"/>
                <w:color w:val="FF0000"/>
                <w:vertAlign w:val="baseline"/>
                <w:lang w:eastAsia="zh-CN"/>
              </w:rPr>
            </w:pPr>
          </w:p>
        </w:tc>
        <w:tc>
          <w:tcPr>
            <w:tcW w:w="0" w:type="auto"/>
          </w:tcPr>
          <w:p w14:paraId="6A344BFF">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Post-pre difference (%)</w:t>
            </w:r>
          </w:p>
        </w:tc>
        <w:tc>
          <w:tcPr>
            <w:tcW w:w="0" w:type="auto"/>
          </w:tcPr>
          <w:p w14:paraId="57E8D9E5">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+20.0%</w:t>
            </w:r>
          </w:p>
        </w:tc>
        <w:tc>
          <w:tcPr>
            <w:tcW w:w="0" w:type="auto"/>
          </w:tcPr>
          <w:p w14:paraId="362C19CE">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+33.3%</w:t>
            </w:r>
          </w:p>
        </w:tc>
        <w:tc>
          <w:tcPr>
            <w:tcW w:w="0" w:type="auto"/>
          </w:tcPr>
          <w:p w14:paraId="5D48AF0E">
            <w:pPr>
              <w:bidi w:val="0"/>
              <w:spacing w:line="240" w:lineRule="auto"/>
              <w:jc w:val="left"/>
              <w:rPr>
                <w:rFonts w:hint="default" w:ascii="Times New Roman" w:hAnsi="Times New Roman" w:cs="Times New Roman"/>
                <w:color w:val="FF0000"/>
                <w:vertAlign w:val="baseline"/>
                <w:lang w:eastAsia="zh-CN"/>
              </w:rPr>
            </w:pPr>
          </w:p>
        </w:tc>
        <w:tc>
          <w:tcPr>
            <w:tcW w:w="0" w:type="auto"/>
          </w:tcPr>
          <w:p w14:paraId="5B9F6A97">
            <w:pPr>
              <w:bidi w:val="0"/>
              <w:spacing w:line="240" w:lineRule="auto"/>
              <w:jc w:val="left"/>
              <w:rPr>
                <w:rFonts w:hint="default" w:ascii="Times New Roman" w:hAnsi="Times New Roman" w:cs="Times New Roman"/>
                <w:color w:val="FF0000"/>
                <w:vertAlign w:val="baseline"/>
                <w:lang w:eastAsia="zh-CN"/>
              </w:rPr>
            </w:pPr>
          </w:p>
        </w:tc>
      </w:tr>
      <w:tr w14:paraId="7D374F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7345C9BC">
            <w:pPr>
              <w:bidi w:val="0"/>
              <w:spacing w:line="240" w:lineRule="auto"/>
              <w:jc w:val="left"/>
              <w:rPr>
                <w:rFonts w:hint="default" w:ascii="Times New Roman" w:hAnsi="Times New Roman" w:cs="Times New Roman"/>
                <w:color w:val="FF0000"/>
                <w:vertAlign w:val="baseline"/>
                <w:lang w:eastAsia="zh-CN"/>
              </w:rPr>
            </w:pPr>
          </w:p>
        </w:tc>
        <w:tc>
          <w:tcPr>
            <w:tcW w:w="0" w:type="auto"/>
          </w:tcPr>
          <w:p w14:paraId="3B1F168E">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Post-pre ES (d)</w:t>
            </w:r>
          </w:p>
        </w:tc>
        <w:tc>
          <w:tcPr>
            <w:tcW w:w="0" w:type="auto"/>
          </w:tcPr>
          <w:p w14:paraId="69E6E324">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0.28 (small)</w:t>
            </w:r>
          </w:p>
        </w:tc>
        <w:tc>
          <w:tcPr>
            <w:tcW w:w="0" w:type="auto"/>
          </w:tcPr>
          <w:p w14:paraId="55778347">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0.58 (moderate)</w:t>
            </w:r>
          </w:p>
        </w:tc>
        <w:tc>
          <w:tcPr>
            <w:tcW w:w="0" w:type="auto"/>
          </w:tcPr>
          <w:p w14:paraId="6113CE9C">
            <w:pPr>
              <w:bidi w:val="0"/>
              <w:spacing w:line="240" w:lineRule="auto"/>
              <w:jc w:val="left"/>
              <w:rPr>
                <w:rFonts w:hint="default" w:ascii="Times New Roman" w:hAnsi="Times New Roman" w:cs="Times New Roman"/>
                <w:color w:val="FF0000"/>
                <w:vertAlign w:val="baseline"/>
                <w:lang w:eastAsia="zh-CN"/>
              </w:rPr>
            </w:pPr>
          </w:p>
        </w:tc>
        <w:tc>
          <w:tcPr>
            <w:tcW w:w="0" w:type="auto"/>
          </w:tcPr>
          <w:p w14:paraId="795D172A">
            <w:pPr>
              <w:bidi w:val="0"/>
              <w:spacing w:line="240" w:lineRule="auto"/>
              <w:jc w:val="left"/>
              <w:rPr>
                <w:rFonts w:hint="default" w:ascii="Times New Roman" w:hAnsi="Times New Roman" w:cs="Times New Roman"/>
                <w:color w:val="FF0000"/>
                <w:vertAlign w:val="baseline"/>
                <w:lang w:eastAsia="zh-CN"/>
              </w:rPr>
            </w:pPr>
          </w:p>
        </w:tc>
      </w:tr>
      <w:tr w14:paraId="12DEC4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257A6E07">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FMS Shoulder Mobility, right (score)</w:t>
            </w:r>
          </w:p>
        </w:tc>
        <w:tc>
          <w:tcPr>
            <w:tcW w:w="0" w:type="auto"/>
          </w:tcPr>
          <w:p w14:paraId="49E270E2">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Pre</w:t>
            </w:r>
          </w:p>
        </w:tc>
        <w:tc>
          <w:tcPr>
            <w:tcW w:w="0" w:type="auto"/>
          </w:tcPr>
          <w:p w14:paraId="7C60CC76">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1.38 (1.06)</w:t>
            </w:r>
          </w:p>
        </w:tc>
        <w:tc>
          <w:tcPr>
            <w:tcW w:w="0" w:type="auto"/>
          </w:tcPr>
          <w:p w14:paraId="2981B42B">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1.67 (0.71)</w:t>
            </w:r>
          </w:p>
        </w:tc>
        <w:tc>
          <w:tcPr>
            <w:tcW w:w="0" w:type="auto"/>
          </w:tcPr>
          <w:p w14:paraId="5EB89350">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0.239</w:t>
            </w:r>
          </w:p>
        </w:tc>
        <w:tc>
          <w:tcPr>
            <w:tcW w:w="0" w:type="auto"/>
          </w:tcPr>
          <w:p w14:paraId="4E9F3AA1">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0.091</w:t>
            </w:r>
          </w:p>
        </w:tc>
      </w:tr>
      <w:tr w14:paraId="02FEFB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587612F3">
            <w:pPr>
              <w:bidi w:val="0"/>
              <w:spacing w:line="240" w:lineRule="auto"/>
              <w:jc w:val="left"/>
              <w:rPr>
                <w:rFonts w:hint="default" w:ascii="Times New Roman" w:hAnsi="Times New Roman" w:cs="Times New Roman"/>
                <w:color w:val="FF0000"/>
                <w:vertAlign w:val="baseline"/>
                <w:lang w:eastAsia="zh-CN"/>
              </w:rPr>
            </w:pPr>
          </w:p>
        </w:tc>
        <w:tc>
          <w:tcPr>
            <w:tcW w:w="0" w:type="auto"/>
          </w:tcPr>
          <w:p w14:paraId="39A9AED7">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Post</w:t>
            </w:r>
          </w:p>
        </w:tc>
        <w:tc>
          <w:tcPr>
            <w:tcW w:w="0" w:type="auto"/>
          </w:tcPr>
          <w:p w14:paraId="55418823">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1.25 (1.04)</w:t>
            </w:r>
          </w:p>
        </w:tc>
        <w:tc>
          <w:tcPr>
            <w:tcW w:w="0" w:type="auto"/>
          </w:tcPr>
          <w:p w14:paraId="2F8F4168">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2.00 (0.71)</w:t>
            </w:r>
          </w:p>
        </w:tc>
        <w:tc>
          <w:tcPr>
            <w:tcW w:w="0" w:type="auto"/>
          </w:tcPr>
          <w:p w14:paraId="3964759B">
            <w:pPr>
              <w:bidi w:val="0"/>
              <w:spacing w:line="240" w:lineRule="auto"/>
              <w:jc w:val="left"/>
              <w:rPr>
                <w:rFonts w:hint="default" w:ascii="Times New Roman" w:hAnsi="Times New Roman" w:cs="Times New Roman"/>
                <w:color w:val="FF0000"/>
                <w:vertAlign w:val="baseline"/>
                <w:lang w:eastAsia="zh-CN"/>
              </w:rPr>
            </w:pPr>
          </w:p>
        </w:tc>
        <w:tc>
          <w:tcPr>
            <w:tcW w:w="0" w:type="auto"/>
          </w:tcPr>
          <w:p w14:paraId="19032763">
            <w:pPr>
              <w:bidi w:val="0"/>
              <w:spacing w:line="240" w:lineRule="auto"/>
              <w:jc w:val="left"/>
              <w:rPr>
                <w:rFonts w:hint="default" w:ascii="Times New Roman" w:hAnsi="Times New Roman" w:cs="Times New Roman"/>
                <w:color w:val="FF0000"/>
                <w:vertAlign w:val="baseline"/>
                <w:lang w:eastAsia="zh-CN"/>
              </w:rPr>
            </w:pPr>
          </w:p>
        </w:tc>
      </w:tr>
      <w:tr w14:paraId="6D2200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5B373D60">
            <w:pPr>
              <w:bidi w:val="0"/>
              <w:spacing w:line="240" w:lineRule="auto"/>
              <w:jc w:val="left"/>
              <w:rPr>
                <w:rFonts w:hint="default" w:ascii="Times New Roman" w:hAnsi="Times New Roman" w:cs="Times New Roman"/>
                <w:color w:val="FF0000"/>
                <w:vertAlign w:val="baseline"/>
                <w:lang w:eastAsia="zh-CN"/>
              </w:rPr>
            </w:pPr>
          </w:p>
        </w:tc>
        <w:tc>
          <w:tcPr>
            <w:tcW w:w="0" w:type="auto"/>
          </w:tcPr>
          <w:p w14:paraId="3CAE87CC">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Post-pre difference (%)</w:t>
            </w:r>
          </w:p>
        </w:tc>
        <w:tc>
          <w:tcPr>
            <w:tcW w:w="0" w:type="auto"/>
          </w:tcPr>
          <w:p w14:paraId="3698CEA3">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-9.1%</w:t>
            </w:r>
          </w:p>
        </w:tc>
        <w:tc>
          <w:tcPr>
            <w:tcW w:w="0" w:type="auto"/>
          </w:tcPr>
          <w:p w14:paraId="5D0C5996">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+20.0%</w:t>
            </w:r>
          </w:p>
        </w:tc>
        <w:tc>
          <w:tcPr>
            <w:tcW w:w="0" w:type="auto"/>
          </w:tcPr>
          <w:p w14:paraId="7006899D">
            <w:pPr>
              <w:bidi w:val="0"/>
              <w:spacing w:line="240" w:lineRule="auto"/>
              <w:jc w:val="left"/>
              <w:rPr>
                <w:rFonts w:hint="default" w:ascii="Times New Roman" w:hAnsi="Times New Roman" w:cs="Times New Roman"/>
                <w:color w:val="FF0000"/>
                <w:vertAlign w:val="baseline"/>
                <w:lang w:eastAsia="zh-CN"/>
              </w:rPr>
            </w:pPr>
          </w:p>
        </w:tc>
        <w:tc>
          <w:tcPr>
            <w:tcW w:w="0" w:type="auto"/>
          </w:tcPr>
          <w:p w14:paraId="3656EEFD">
            <w:pPr>
              <w:bidi w:val="0"/>
              <w:spacing w:line="240" w:lineRule="auto"/>
              <w:jc w:val="left"/>
              <w:rPr>
                <w:rFonts w:hint="default" w:ascii="Times New Roman" w:hAnsi="Times New Roman" w:cs="Times New Roman"/>
                <w:color w:val="FF0000"/>
                <w:vertAlign w:val="baseline"/>
                <w:lang w:eastAsia="zh-CN"/>
              </w:rPr>
            </w:pPr>
          </w:p>
        </w:tc>
      </w:tr>
      <w:tr w14:paraId="5C07B8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14CA29E2">
            <w:pPr>
              <w:bidi w:val="0"/>
              <w:spacing w:line="240" w:lineRule="auto"/>
              <w:jc w:val="left"/>
              <w:rPr>
                <w:rFonts w:hint="default" w:ascii="Times New Roman" w:hAnsi="Times New Roman" w:cs="Times New Roman"/>
                <w:color w:val="FF0000"/>
                <w:vertAlign w:val="baseline"/>
                <w:lang w:eastAsia="zh-CN"/>
              </w:rPr>
            </w:pPr>
          </w:p>
        </w:tc>
        <w:tc>
          <w:tcPr>
            <w:tcW w:w="0" w:type="auto"/>
          </w:tcPr>
          <w:p w14:paraId="3EB331BE">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Post-pre ES (d)</w:t>
            </w:r>
          </w:p>
        </w:tc>
        <w:tc>
          <w:tcPr>
            <w:tcW w:w="0" w:type="auto"/>
          </w:tcPr>
          <w:p w14:paraId="5048032E">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-0.12 (trivial)</w:t>
            </w:r>
          </w:p>
        </w:tc>
        <w:tc>
          <w:tcPr>
            <w:tcW w:w="0" w:type="auto"/>
          </w:tcPr>
          <w:p w14:paraId="3A4F092B">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0.47 (small)</w:t>
            </w:r>
          </w:p>
        </w:tc>
        <w:tc>
          <w:tcPr>
            <w:tcW w:w="0" w:type="auto"/>
          </w:tcPr>
          <w:p w14:paraId="60CEFD42">
            <w:pPr>
              <w:bidi w:val="0"/>
              <w:spacing w:line="240" w:lineRule="auto"/>
              <w:jc w:val="left"/>
              <w:rPr>
                <w:rFonts w:hint="default" w:ascii="Times New Roman" w:hAnsi="Times New Roman" w:cs="Times New Roman"/>
                <w:color w:val="FF0000"/>
                <w:vertAlign w:val="baseline"/>
                <w:lang w:eastAsia="zh-CN"/>
              </w:rPr>
            </w:pPr>
          </w:p>
        </w:tc>
        <w:tc>
          <w:tcPr>
            <w:tcW w:w="0" w:type="auto"/>
          </w:tcPr>
          <w:p w14:paraId="6CB42D6C">
            <w:pPr>
              <w:bidi w:val="0"/>
              <w:spacing w:line="240" w:lineRule="auto"/>
              <w:jc w:val="left"/>
              <w:rPr>
                <w:rFonts w:hint="default" w:ascii="Times New Roman" w:hAnsi="Times New Roman" w:cs="Times New Roman"/>
                <w:color w:val="FF0000"/>
                <w:vertAlign w:val="baseline"/>
                <w:lang w:eastAsia="zh-CN"/>
              </w:rPr>
            </w:pPr>
          </w:p>
        </w:tc>
      </w:tr>
      <w:tr w14:paraId="411112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208A4F2D">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FMS Active Straight-Leg Raise, left (score)</w:t>
            </w:r>
          </w:p>
        </w:tc>
        <w:tc>
          <w:tcPr>
            <w:tcW w:w="0" w:type="auto"/>
          </w:tcPr>
          <w:p w14:paraId="34C2873C">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Pre</w:t>
            </w:r>
          </w:p>
        </w:tc>
        <w:tc>
          <w:tcPr>
            <w:tcW w:w="0" w:type="auto"/>
          </w:tcPr>
          <w:p w14:paraId="6C304579">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2.25 (1.04)</w:t>
            </w:r>
          </w:p>
        </w:tc>
        <w:tc>
          <w:tcPr>
            <w:tcW w:w="0" w:type="auto"/>
          </w:tcPr>
          <w:p w14:paraId="79E730C3">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2.56 (0.53)</w:t>
            </w:r>
          </w:p>
        </w:tc>
        <w:tc>
          <w:tcPr>
            <w:tcW w:w="0" w:type="auto"/>
          </w:tcPr>
          <w:p w14:paraId="5C30B6D0">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0.464</w:t>
            </w:r>
          </w:p>
        </w:tc>
        <w:tc>
          <w:tcPr>
            <w:tcW w:w="0" w:type="auto"/>
          </w:tcPr>
          <w:p w14:paraId="3CB8F713">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0.036</w:t>
            </w:r>
          </w:p>
        </w:tc>
      </w:tr>
      <w:tr w14:paraId="42CF59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780BCC0C">
            <w:pPr>
              <w:bidi w:val="0"/>
              <w:spacing w:line="240" w:lineRule="auto"/>
              <w:jc w:val="left"/>
              <w:rPr>
                <w:rFonts w:hint="default" w:ascii="Times New Roman" w:hAnsi="Times New Roman" w:cs="Times New Roman"/>
                <w:color w:val="FF0000"/>
                <w:vertAlign w:val="baseline"/>
                <w:lang w:eastAsia="zh-CN"/>
              </w:rPr>
            </w:pPr>
          </w:p>
        </w:tc>
        <w:tc>
          <w:tcPr>
            <w:tcW w:w="0" w:type="auto"/>
          </w:tcPr>
          <w:p w14:paraId="5D5635CD">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Post</w:t>
            </w:r>
          </w:p>
        </w:tc>
        <w:tc>
          <w:tcPr>
            <w:tcW w:w="0" w:type="auto"/>
          </w:tcPr>
          <w:p w14:paraId="75DCC689">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2.25 (1.04)</w:t>
            </w:r>
          </w:p>
        </w:tc>
        <w:tc>
          <w:tcPr>
            <w:tcW w:w="0" w:type="auto"/>
          </w:tcPr>
          <w:p w14:paraId="37E6523F">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2.78 (0.44)</w:t>
            </w:r>
          </w:p>
        </w:tc>
        <w:tc>
          <w:tcPr>
            <w:tcW w:w="0" w:type="auto"/>
          </w:tcPr>
          <w:p w14:paraId="34DB8B7E">
            <w:pPr>
              <w:bidi w:val="0"/>
              <w:spacing w:line="240" w:lineRule="auto"/>
              <w:jc w:val="left"/>
              <w:rPr>
                <w:rFonts w:hint="default" w:ascii="Times New Roman" w:hAnsi="Times New Roman" w:cs="Times New Roman"/>
                <w:color w:val="FF0000"/>
                <w:vertAlign w:val="baseline"/>
                <w:lang w:eastAsia="zh-CN"/>
              </w:rPr>
            </w:pPr>
          </w:p>
        </w:tc>
        <w:tc>
          <w:tcPr>
            <w:tcW w:w="0" w:type="auto"/>
          </w:tcPr>
          <w:p w14:paraId="6FDF1AC7">
            <w:pPr>
              <w:bidi w:val="0"/>
              <w:spacing w:line="240" w:lineRule="auto"/>
              <w:jc w:val="left"/>
              <w:rPr>
                <w:rFonts w:hint="default" w:ascii="Times New Roman" w:hAnsi="Times New Roman" w:cs="Times New Roman"/>
                <w:color w:val="FF0000"/>
                <w:vertAlign w:val="baseline"/>
                <w:lang w:eastAsia="zh-CN"/>
              </w:rPr>
            </w:pPr>
          </w:p>
        </w:tc>
      </w:tr>
      <w:tr w14:paraId="7387CC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37D5AEE0">
            <w:pPr>
              <w:bidi w:val="0"/>
              <w:spacing w:line="240" w:lineRule="auto"/>
              <w:jc w:val="left"/>
              <w:rPr>
                <w:rFonts w:hint="default" w:ascii="Times New Roman" w:hAnsi="Times New Roman" w:cs="Times New Roman"/>
                <w:color w:val="FF0000"/>
                <w:vertAlign w:val="baseline"/>
                <w:lang w:eastAsia="zh-CN"/>
              </w:rPr>
            </w:pPr>
          </w:p>
        </w:tc>
        <w:tc>
          <w:tcPr>
            <w:tcW w:w="0" w:type="auto"/>
          </w:tcPr>
          <w:p w14:paraId="4F91EF09">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Post-pre difference (%)</w:t>
            </w:r>
          </w:p>
        </w:tc>
        <w:tc>
          <w:tcPr>
            <w:tcW w:w="0" w:type="auto"/>
          </w:tcPr>
          <w:p w14:paraId="3454CD5B">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+0.0%</w:t>
            </w:r>
          </w:p>
        </w:tc>
        <w:tc>
          <w:tcPr>
            <w:tcW w:w="0" w:type="auto"/>
          </w:tcPr>
          <w:p w14:paraId="2810404A">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+8.7%</w:t>
            </w:r>
          </w:p>
        </w:tc>
        <w:tc>
          <w:tcPr>
            <w:tcW w:w="0" w:type="auto"/>
          </w:tcPr>
          <w:p w14:paraId="044C29CF">
            <w:pPr>
              <w:bidi w:val="0"/>
              <w:spacing w:line="240" w:lineRule="auto"/>
              <w:jc w:val="left"/>
              <w:rPr>
                <w:rFonts w:hint="default" w:ascii="Times New Roman" w:hAnsi="Times New Roman" w:cs="Times New Roman"/>
                <w:color w:val="FF0000"/>
                <w:vertAlign w:val="baseline"/>
                <w:lang w:eastAsia="zh-CN"/>
              </w:rPr>
            </w:pPr>
          </w:p>
        </w:tc>
        <w:tc>
          <w:tcPr>
            <w:tcW w:w="0" w:type="auto"/>
          </w:tcPr>
          <w:p w14:paraId="06D015A4">
            <w:pPr>
              <w:bidi w:val="0"/>
              <w:spacing w:line="240" w:lineRule="auto"/>
              <w:jc w:val="left"/>
              <w:rPr>
                <w:rFonts w:hint="default" w:ascii="Times New Roman" w:hAnsi="Times New Roman" w:cs="Times New Roman"/>
                <w:color w:val="FF0000"/>
                <w:vertAlign w:val="baseline"/>
                <w:lang w:eastAsia="zh-CN"/>
              </w:rPr>
            </w:pPr>
          </w:p>
        </w:tc>
      </w:tr>
      <w:tr w14:paraId="1A57E3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314178C5">
            <w:pPr>
              <w:bidi w:val="0"/>
              <w:spacing w:line="240" w:lineRule="auto"/>
              <w:jc w:val="left"/>
              <w:rPr>
                <w:rFonts w:hint="default" w:ascii="Times New Roman" w:hAnsi="Times New Roman" w:cs="Times New Roman"/>
                <w:color w:val="FF0000"/>
                <w:vertAlign w:val="baseline"/>
                <w:lang w:eastAsia="zh-CN"/>
              </w:rPr>
            </w:pPr>
          </w:p>
        </w:tc>
        <w:tc>
          <w:tcPr>
            <w:tcW w:w="0" w:type="auto"/>
          </w:tcPr>
          <w:p w14:paraId="050F6FE3">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Post-pre ES (d)</w:t>
            </w:r>
          </w:p>
        </w:tc>
        <w:tc>
          <w:tcPr>
            <w:tcW w:w="0" w:type="auto"/>
          </w:tcPr>
          <w:p w14:paraId="6EA1F97E">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0.00 (trivial)</w:t>
            </w:r>
          </w:p>
        </w:tc>
        <w:tc>
          <w:tcPr>
            <w:tcW w:w="0" w:type="auto"/>
          </w:tcPr>
          <w:p w14:paraId="35075DD8">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0.46 (small)</w:t>
            </w:r>
          </w:p>
        </w:tc>
        <w:tc>
          <w:tcPr>
            <w:tcW w:w="0" w:type="auto"/>
          </w:tcPr>
          <w:p w14:paraId="13B5418E">
            <w:pPr>
              <w:bidi w:val="0"/>
              <w:spacing w:line="240" w:lineRule="auto"/>
              <w:jc w:val="left"/>
              <w:rPr>
                <w:rFonts w:hint="default" w:ascii="Times New Roman" w:hAnsi="Times New Roman" w:cs="Times New Roman"/>
                <w:color w:val="FF0000"/>
                <w:vertAlign w:val="baseline"/>
                <w:lang w:eastAsia="zh-CN"/>
              </w:rPr>
            </w:pPr>
          </w:p>
        </w:tc>
        <w:tc>
          <w:tcPr>
            <w:tcW w:w="0" w:type="auto"/>
          </w:tcPr>
          <w:p w14:paraId="007EF9E5">
            <w:pPr>
              <w:bidi w:val="0"/>
              <w:spacing w:line="240" w:lineRule="auto"/>
              <w:jc w:val="left"/>
              <w:rPr>
                <w:rFonts w:hint="default" w:ascii="Times New Roman" w:hAnsi="Times New Roman" w:cs="Times New Roman"/>
                <w:color w:val="FF0000"/>
                <w:vertAlign w:val="baseline"/>
                <w:lang w:eastAsia="zh-CN"/>
              </w:rPr>
            </w:pPr>
          </w:p>
        </w:tc>
      </w:tr>
      <w:tr w14:paraId="1CB064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4F0D07E7">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FMS Active Straight-Leg Raise, right (score)</w:t>
            </w:r>
          </w:p>
        </w:tc>
        <w:tc>
          <w:tcPr>
            <w:tcW w:w="0" w:type="auto"/>
          </w:tcPr>
          <w:p w14:paraId="3DA91D01">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Pre</w:t>
            </w:r>
          </w:p>
        </w:tc>
        <w:tc>
          <w:tcPr>
            <w:tcW w:w="0" w:type="auto"/>
          </w:tcPr>
          <w:p w14:paraId="0764D931">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2.38 (1.06)</w:t>
            </w:r>
          </w:p>
        </w:tc>
        <w:tc>
          <w:tcPr>
            <w:tcW w:w="0" w:type="auto"/>
          </w:tcPr>
          <w:p w14:paraId="0CFB9759">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2.67 (0.71)</w:t>
            </w:r>
          </w:p>
        </w:tc>
        <w:tc>
          <w:tcPr>
            <w:tcW w:w="0" w:type="auto"/>
          </w:tcPr>
          <w:p w14:paraId="435520A5">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0.150</w:t>
            </w:r>
          </w:p>
        </w:tc>
        <w:tc>
          <w:tcPr>
            <w:tcW w:w="0" w:type="auto"/>
          </w:tcPr>
          <w:p w14:paraId="69BFD0A4">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0.133</w:t>
            </w:r>
          </w:p>
        </w:tc>
      </w:tr>
      <w:tr w14:paraId="782395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7AE9A64D">
            <w:pPr>
              <w:bidi w:val="0"/>
              <w:spacing w:line="240" w:lineRule="auto"/>
              <w:jc w:val="left"/>
              <w:rPr>
                <w:rFonts w:hint="default" w:ascii="Times New Roman" w:hAnsi="Times New Roman" w:cs="Times New Roman"/>
                <w:color w:val="FF0000"/>
                <w:vertAlign w:val="baseline"/>
                <w:lang w:eastAsia="zh-CN"/>
              </w:rPr>
            </w:pPr>
          </w:p>
        </w:tc>
        <w:tc>
          <w:tcPr>
            <w:tcW w:w="0" w:type="auto"/>
          </w:tcPr>
          <w:p w14:paraId="56D99F34">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Post</w:t>
            </w:r>
          </w:p>
        </w:tc>
        <w:tc>
          <w:tcPr>
            <w:tcW w:w="0" w:type="auto"/>
          </w:tcPr>
          <w:p w14:paraId="3712A045">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2.00 (1.07)</w:t>
            </w:r>
          </w:p>
        </w:tc>
        <w:tc>
          <w:tcPr>
            <w:tcW w:w="0" w:type="auto"/>
          </w:tcPr>
          <w:p w14:paraId="7C889526">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2.67 (0.71)</w:t>
            </w:r>
          </w:p>
        </w:tc>
        <w:tc>
          <w:tcPr>
            <w:tcW w:w="0" w:type="auto"/>
          </w:tcPr>
          <w:p w14:paraId="47F54BEA">
            <w:pPr>
              <w:bidi w:val="0"/>
              <w:spacing w:line="240" w:lineRule="auto"/>
              <w:jc w:val="left"/>
              <w:rPr>
                <w:rFonts w:hint="default" w:ascii="Times New Roman" w:hAnsi="Times New Roman" w:cs="Times New Roman"/>
                <w:color w:val="FF0000"/>
                <w:vertAlign w:val="baseline"/>
                <w:lang w:eastAsia="zh-CN"/>
              </w:rPr>
            </w:pPr>
          </w:p>
        </w:tc>
        <w:tc>
          <w:tcPr>
            <w:tcW w:w="0" w:type="auto"/>
          </w:tcPr>
          <w:p w14:paraId="0C9AC714">
            <w:pPr>
              <w:bidi w:val="0"/>
              <w:spacing w:line="240" w:lineRule="auto"/>
              <w:jc w:val="left"/>
              <w:rPr>
                <w:rFonts w:hint="default" w:ascii="Times New Roman" w:hAnsi="Times New Roman" w:cs="Times New Roman"/>
                <w:color w:val="FF0000"/>
                <w:vertAlign w:val="baseline"/>
                <w:lang w:eastAsia="zh-CN"/>
              </w:rPr>
            </w:pPr>
          </w:p>
        </w:tc>
      </w:tr>
      <w:tr w14:paraId="0CCF28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4FC2319C">
            <w:pPr>
              <w:bidi w:val="0"/>
              <w:spacing w:line="240" w:lineRule="auto"/>
              <w:jc w:val="left"/>
              <w:rPr>
                <w:rFonts w:hint="default" w:ascii="Times New Roman" w:hAnsi="Times New Roman" w:cs="Times New Roman"/>
                <w:color w:val="FF0000"/>
                <w:vertAlign w:val="baseline"/>
                <w:lang w:eastAsia="zh-CN"/>
              </w:rPr>
            </w:pPr>
          </w:p>
        </w:tc>
        <w:tc>
          <w:tcPr>
            <w:tcW w:w="0" w:type="auto"/>
          </w:tcPr>
          <w:p w14:paraId="4835337D">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Post-pre difference (%)</w:t>
            </w:r>
          </w:p>
        </w:tc>
        <w:tc>
          <w:tcPr>
            <w:tcW w:w="0" w:type="auto"/>
          </w:tcPr>
          <w:p w14:paraId="1FA14310">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-15.8%</w:t>
            </w:r>
          </w:p>
        </w:tc>
        <w:tc>
          <w:tcPr>
            <w:tcW w:w="0" w:type="auto"/>
          </w:tcPr>
          <w:p w14:paraId="0615D3ED">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+0.0%</w:t>
            </w:r>
          </w:p>
        </w:tc>
        <w:tc>
          <w:tcPr>
            <w:tcW w:w="0" w:type="auto"/>
          </w:tcPr>
          <w:p w14:paraId="6FA67E5F">
            <w:pPr>
              <w:bidi w:val="0"/>
              <w:spacing w:line="240" w:lineRule="auto"/>
              <w:jc w:val="left"/>
              <w:rPr>
                <w:rFonts w:hint="default" w:ascii="Times New Roman" w:hAnsi="Times New Roman" w:cs="Times New Roman"/>
                <w:color w:val="FF0000"/>
                <w:vertAlign w:val="baseline"/>
                <w:lang w:eastAsia="zh-CN"/>
              </w:rPr>
            </w:pPr>
          </w:p>
        </w:tc>
        <w:tc>
          <w:tcPr>
            <w:tcW w:w="0" w:type="auto"/>
          </w:tcPr>
          <w:p w14:paraId="485DA077">
            <w:pPr>
              <w:bidi w:val="0"/>
              <w:spacing w:line="240" w:lineRule="auto"/>
              <w:jc w:val="left"/>
              <w:rPr>
                <w:rFonts w:hint="default" w:ascii="Times New Roman" w:hAnsi="Times New Roman" w:cs="Times New Roman"/>
                <w:color w:val="FF0000"/>
                <w:vertAlign w:val="baseline"/>
                <w:lang w:eastAsia="zh-CN"/>
              </w:rPr>
            </w:pPr>
          </w:p>
        </w:tc>
      </w:tr>
      <w:tr w14:paraId="557F4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4057BC0B">
            <w:pPr>
              <w:bidi w:val="0"/>
              <w:spacing w:line="240" w:lineRule="auto"/>
              <w:jc w:val="left"/>
              <w:rPr>
                <w:rFonts w:hint="default" w:ascii="Times New Roman" w:hAnsi="Times New Roman" w:cs="Times New Roman"/>
                <w:color w:val="FF0000"/>
                <w:vertAlign w:val="baseline"/>
                <w:lang w:eastAsia="zh-CN"/>
              </w:rPr>
            </w:pPr>
          </w:p>
        </w:tc>
        <w:tc>
          <w:tcPr>
            <w:tcW w:w="0" w:type="auto"/>
          </w:tcPr>
          <w:p w14:paraId="4E19348B">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Post-pre ES (d)</w:t>
            </w:r>
          </w:p>
        </w:tc>
        <w:tc>
          <w:tcPr>
            <w:tcW w:w="0" w:type="auto"/>
          </w:tcPr>
          <w:p w14:paraId="4B489B1D">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-0.35 (small)</w:t>
            </w:r>
          </w:p>
        </w:tc>
        <w:tc>
          <w:tcPr>
            <w:tcW w:w="0" w:type="auto"/>
          </w:tcPr>
          <w:p w14:paraId="2A7D12C8">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0.00 (trivial)</w:t>
            </w:r>
          </w:p>
        </w:tc>
        <w:tc>
          <w:tcPr>
            <w:tcW w:w="0" w:type="auto"/>
          </w:tcPr>
          <w:p w14:paraId="74953041">
            <w:pPr>
              <w:bidi w:val="0"/>
              <w:spacing w:line="240" w:lineRule="auto"/>
              <w:jc w:val="left"/>
              <w:rPr>
                <w:rFonts w:hint="default" w:ascii="Times New Roman" w:hAnsi="Times New Roman" w:cs="Times New Roman"/>
                <w:color w:val="FF0000"/>
                <w:vertAlign w:val="baseline"/>
                <w:lang w:eastAsia="zh-CN"/>
              </w:rPr>
            </w:pPr>
          </w:p>
        </w:tc>
        <w:tc>
          <w:tcPr>
            <w:tcW w:w="0" w:type="auto"/>
          </w:tcPr>
          <w:p w14:paraId="57FEF500">
            <w:pPr>
              <w:bidi w:val="0"/>
              <w:spacing w:line="240" w:lineRule="auto"/>
              <w:jc w:val="left"/>
              <w:rPr>
                <w:rFonts w:hint="default" w:ascii="Times New Roman" w:hAnsi="Times New Roman" w:cs="Times New Roman"/>
                <w:color w:val="FF0000"/>
                <w:vertAlign w:val="baseline"/>
                <w:lang w:eastAsia="zh-CN"/>
              </w:rPr>
            </w:pPr>
          </w:p>
        </w:tc>
      </w:tr>
      <w:tr w14:paraId="643204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521E441E">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FMS Trunk Stability Push-Up (score)</w:t>
            </w:r>
          </w:p>
        </w:tc>
        <w:tc>
          <w:tcPr>
            <w:tcW w:w="0" w:type="auto"/>
          </w:tcPr>
          <w:p w14:paraId="033FC301">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Pre</w:t>
            </w:r>
          </w:p>
        </w:tc>
        <w:tc>
          <w:tcPr>
            <w:tcW w:w="0" w:type="auto"/>
          </w:tcPr>
          <w:p w14:paraId="2FD5E00B">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2.25 (0.46)</w:t>
            </w:r>
          </w:p>
        </w:tc>
        <w:tc>
          <w:tcPr>
            <w:tcW w:w="0" w:type="auto"/>
          </w:tcPr>
          <w:p w14:paraId="59586FD5">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2.67 (0.50)</w:t>
            </w:r>
          </w:p>
        </w:tc>
        <w:tc>
          <w:tcPr>
            <w:tcW w:w="0" w:type="auto"/>
          </w:tcPr>
          <w:p w14:paraId="352435DF">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0.955</w:t>
            </w:r>
          </w:p>
        </w:tc>
        <w:tc>
          <w:tcPr>
            <w:tcW w:w="0" w:type="auto"/>
          </w:tcPr>
          <w:p w14:paraId="2448A964">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0.001</w:t>
            </w:r>
          </w:p>
        </w:tc>
      </w:tr>
      <w:tr w14:paraId="656AFB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06F9C25A">
            <w:pPr>
              <w:bidi w:val="0"/>
              <w:spacing w:line="240" w:lineRule="auto"/>
              <w:jc w:val="left"/>
              <w:rPr>
                <w:rFonts w:hint="default" w:ascii="Times New Roman" w:hAnsi="Times New Roman" w:cs="Times New Roman"/>
                <w:color w:val="FF0000"/>
                <w:vertAlign w:val="baseline"/>
                <w:lang w:eastAsia="zh-CN"/>
              </w:rPr>
            </w:pPr>
          </w:p>
        </w:tc>
        <w:tc>
          <w:tcPr>
            <w:tcW w:w="0" w:type="auto"/>
          </w:tcPr>
          <w:p w14:paraId="5F96CA4B">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Post</w:t>
            </w:r>
          </w:p>
        </w:tc>
        <w:tc>
          <w:tcPr>
            <w:tcW w:w="0" w:type="auto"/>
          </w:tcPr>
          <w:p w14:paraId="28EB2E7D">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2.12 (0.35)</w:t>
            </w:r>
          </w:p>
        </w:tc>
        <w:tc>
          <w:tcPr>
            <w:tcW w:w="0" w:type="auto"/>
          </w:tcPr>
          <w:p w14:paraId="57202048">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2.56 (0.53)</w:t>
            </w:r>
          </w:p>
        </w:tc>
        <w:tc>
          <w:tcPr>
            <w:tcW w:w="0" w:type="auto"/>
          </w:tcPr>
          <w:p w14:paraId="26DC5EAF">
            <w:pPr>
              <w:bidi w:val="0"/>
              <w:spacing w:line="240" w:lineRule="auto"/>
              <w:jc w:val="left"/>
              <w:rPr>
                <w:rFonts w:hint="default" w:ascii="Times New Roman" w:hAnsi="Times New Roman" w:cs="Times New Roman"/>
                <w:color w:val="FF0000"/>
                <w:vertAlign w:val="baseline"/>
                <w:lang w:eastAsia="zh-CN"/>
              </w:rPr>
            </w:pPr>
          </w:p>
        </w:tc>
        <w:tc>
          <w:tcPr>
            <w:tcW w:w="0" w:type="auto"/>
          </w:tcPr>
          <w:p w14:paraId="6284FEAA">
            <w:pPr>
              <w:bidi w:val="0"/>
              <w:spacing w:line="240" w:lineRule="auto"/>
              <w:jc w:val="left"/>
              <w:rPr>
                <w:rFonts w:hint="default" w:ascii="Times New Roman" w:hAnsi="Times New Roman" w:cs="Times New Roman"/>
                <w:color w:val="FF0000"/>
                <w:vertAlign w:val="baseline"/>
                <w:lang w:eastAsia="zh-CN"/>
              </w:rPr>
            </w:pPr>
          </w:p>
        </w:tc>
      </w:tr>
      <w:tr w14:paraId="0684CD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4BBC44B9">
            <w:pPr>
              <w:bidi w:val="0"/>
              <w:spacing w:line="240" w:lineRule="auto"/>
              <w:jc w:val="left"/>
              <w:rPr>
                <w:rFonts w:hint="default" w:ascii="Times New Roman" w:hAnsi="Times New Roman" w:cs="Times New Roman"/>
                <w:color w:val="FF0000"/>
                <w:vertAlign w:val="baseline"/>
                <w:lang w:eastAsia="zh-CN"/>
              </w:rPr>
            </w:pPr>
          </w:p>
        </w:tc>
        <w:tc>
          <w:tcPr>
            <w:tcW w:w="0" w:type="auto"/>
          </w:tcPr>
          <w:p w14:paraId="4EBA8E60">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Post-pre difference (%)</w:t>
            </w:r>
          </w:p>
        </w:tc>
        <w:tc>
          <w:tcPr>
            <w:tcW w:w="0" w:type="auto"/>
          </w:tcPr>
          <w:p w14:paraId="627BFD4B">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-5.6%</w:t>
            </w:r>
          </w:p>
        </w:tc>
        <w:tc>
          <w:tcPr>
            <w:tcW w:w="0" w:type="auto"/>
          </w:tcPr>
          <w:p w14:paraId="68431387">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-4.2%</w:t>
            </w:r>
          </w:p>
        </w:tc>
        <w:tc>
          <w:tcPr>
            <w:tcW w:w="0" w:type="auto"/>
          </w:tcPr>
          <w:p w14:paraId="2293D638">
            <w:pPr>
              <w:bidi w:val="0"/>
              <w:spacing w:line="240" w:lineRule="auto"/>
              <w:jc w:val="left"/>
              <w:rPr>
                <w:rFonts w:hint="default" w:ascii="Times New Roman" w:hAnsi="Times New Roman" w:cs="Times New Roman"/>
                <w:color w:val="FF0000"/>
                <w:vertAlign w:val="baseline"/>
                <w:lang w:eastAsia="zh-CN"/>
              </w:rPr>
            </w:pPr>
          </w:p>
        </w:tc>
        <w:tc>
          <w:tcPr>
            <w:tcW w:w="0" w:type="auto"/>
          </w:tcPr>
          <w:p w14:paraId="7B27E935">
            <w:pPr>
              <w:bidi w:val="0"/>
              <w:spacing w:line="240" w:lineRule="auto"/>
              <w:jc w:val="left"/>
              <w:rPr>
                <w:rFonts w:hint="default" w:ascii="Times New Roman" w:hAnsi="Times New Roman" w:cs="Times New Roman"/>
                <w:color w:val="FF0000"/>
                <w:vertAlign w:val="baseline"/>
                <w:lang w:eastAsia="zh-CN"/>
              </w:rPr>
            </w:pPr>
          </w:p>
        </w:tc>
      </w:tr>
      <w:tr w14:paraId="6FE9DB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730F50F3">
            <w:pPr>
              <w:bidi w:val="0"/>
              <w:spacing w:line="240" w:lineRule="auto"/>
              <w:jc w:val="left"/>
              <w:rPr>
                <w:rFonts w:hint="default" w:ascii="Times New Roman" w:hAnsi="Times New Roman" w:cs="Times New Roman"/>
                <w:color w:val="FF0000"/>
                <w:vertAlign w:val="baseline"/>
                <w:lang w:eastAsia="zh-CN"/>
              </w:rPr>
            </w:pPr>
          </w:p>
        </w:tc>
        <w:tc>
          <w:tcPr>
            <w:tcW w:w="0" w:type="auto"/>
          </w:tcPr>
          <w:p w14:paraId="4313E882">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Post-pre ES (d)</w:t>
            </w:r>
          </w:p>
        </w:tc>
        <w:tc>
          <w:tcPr>
            <w:tcW w:w="0" w:type="auto"/>
          </w:tcPr>
          <w:p w14:paraId="285A8277">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-0.30 (small)</w:t>
            </w:r>
          </w:p>
        </w:tc>
        <w:tc>
          <w:tcPr>
            <w:tcW w:w="0" w:type="auto"/>
          </w:tcPr>
          <w:p w14:paraId="38BA0BC3">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-0.22 (small)</w:t>
            </w:r>
          </w:p>
        </w:tc>
        <w:tc>
          <w:tcPr>
            <w:tcW w:w="0" w:type="auto"/>
          </w:tcPr>
          <w:p w14:paraId="5F6424D3">
            <w:pPr>
              <w:bidi w:val="0"/>
              <w:spacing w:line="240" w:lineRule="auto"/>
              <w:jc w:val="left"/>
              <w:rPr>
                <w:rFonts w:hint="default" w:ascii="Times New Roman" w:hAnsi="Times New Roman" w:cs="Times New Roman"/>
                <w:color w:val="FF0000"/>
                <w:vertAlign w:val="baseline"/>
                <w:lang w:eastAsia="zh-CN"/>
              </w:rPr>
            </w:pPr>
          </w:p>
        </w:tc>
        <w:tc>
          <w:tcPr>
            <w:tcW w:w="0" w:type="auto"/>
          </w:tcPr>
          <w:p w14:paraId="01DD8C86">
            <w:pPr>
              <w:bidi w:val="0"/>
              <w:spacing w:line="240" w:lineRule="auto"/>
              <w:jc w:val="left"/>
              <w:rPr>
                <w:rFonts w:hint="default" w:ascii="Times New Roman" w:hAnsi="Times New Roman" w:cs="Times New Roman"/>
                <w:color w:val="FF0000"/>
                <w:vertAlign w:val="baseline"/>
                <w:lang w:eastAsia="zh-CN"/>
              </w:rPr>
            </w:pPr>
          </w:p>
        </w:tc>
      </w:tr>
      <w:tr w14:paraId="384BA7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3978113C">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FMS Rotary Stability, left (score)</w:t>
            </w:r>
          </w:p>
        </w:tc>
        <w:tc>
          <w:tcPr>
            <w:tcW w:w="0" w:type="auto"/>
          </w:tcPr>
          <w:p w14:paraId="5FD1D841">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Pre</w:t>
            </w:r>
          </w:p>
        </w:tc>
        <w:tc>
          <w:tcPr>
            <w:tcW w:w="0" w:type="auto"/>
          </w:tcPr>
          <w:p w14:paraId="1341C492">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1.75 (0.46)</w:t>
            </w:r>
          </w:p>
        </w:tc>
        <w:tc>
          <w:tcPr>
            <w:tcW w:w="0" w:type="auto"/>
          </w:tcPr>
          <w:p w14:paraId="0D81FFB5">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1.56 (0.53)</w:t>
            </w:r>
          </w:p>
        </w:tc>
        <w:tc>
          <w:tcPr>
            <w:tcW w:w="0" w:type="auto"/>
          </w:tcPr>
          <w:p w14:paraId="2AB0E5F0">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0.626</w:t>
            </w:r>
          </w:p>
        </w:tc>
        <w:tc>
          <w:tcPr>
            <w:tcW w:w="0" w:type="auto"/>
          </w:tcPr>
          <w:p w14:paraId="58530EB5">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0.016</w:t>
            </w:r>
          </w:p>
        </w:tc>
      </w:tr>
      <w:tr w14:paraId="1AEA52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3C653F3D">
            <w:pPr>
              <w:bidi w:val="0"/>
              <w:spacing w:line="240" w:lineRule="auto"/>
              <w:jc w:val="left"/>
              <w:rPr>
                <w:rFonts w:hint="default" w:ascii="Times New Roman" w:hAnsi="Times New Roman" w:cs="Times New Roman"/>
                <w:color w:val="FF0000"/>
                <w:vertAlign w:val="baseline"/>
                <w:lang w:eastAsia="zh-CN"/>
              </w:rPr>
            </w:pPr>
          </w:p>
        </w:tc>
        <w:tc>
          <w:tcPr>
            <w:tcW w:w="0" w:type="auto"/>
          </w:tcPr>
          <w:p w14:paraId="7C0537AB">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Post</w:t>
            </w:r>
          </w:p>
        </w:tc>
        <w:tc>
          <w:tcPr>
            <w:tcW w:w="0" w:type="auto"/>
          </w:tcPr>
          <w:p w14:paraId="0F366623">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1.88 (0.35)</w:t>
            </w:r>
          </w:p>
        </w:tc>
        <w:tc>
          <w:tcPr>
            <w:tcW w:w="0" w:type="auto"/>
          </w:tcPr>
          <w:p w14:paraId="0BD13C57">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1.78 (0.44)</w:t>
            </w:r>
          </w:p>
        </w:tc>
        <w:tc>
          <w:tcPr>
            <w:tcW w:w="0" w:type="auto"/>
          </w:tcPr>
          <w:p w14:paraId="5D3F4489">
            <w:pPr>
              <w:bidi w:val="0"/>
              <w:spacing w:line="240" w:lineRule="auto"/>
              <w:jc w:val="left"/>
              <w:rPr>
                <w:rFonts w:hint="default" w:ascii="Times New Roman" w:hAnsi="Times New Roman" w:cs="Times New Roman"/>
                <w:color w:val="FF0000"/>
                <w:vertAlign w:val="baseline"/>
                <w:lang w:eastAsia="zh-CN"/>
              </w:rPr>
            </w:pPr>
          </w:p>
        </w:tc>
        <w:tc>
          <w:tcPr>
            <w:tcW w:w="0" w:type="auto"/>
          </w:tcPr>
          <w:p w14:paraId="47A739E2">
            <w:pPr>
              <w:bidi w:val="0"/>
              <w:spacing w:line="240" w:lineRule="auto"/>
              <w:jc w:val="left"/>
              <w:rPr>
                <w:rFonts w:hint="default" w:ascii="Times New Roman" w:hAnsi="Times New Roman" w:cs="Times New Roman"/>
                <w:color w:val="FF0000"/>
                <w:vertAlign w:val="baseline"/>
                <w:lang w:eastAsia="zh-CN"/>
              </w:rPr>
            </w:pPr>
          </w:p>
        </w:tc>
      </w:tr>
      <w:tr w14:paraId="29AFA1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31AB0883">
            <w:pPr>
              <w:bidi w:val="0"/>
              <w:spacing w:line="240" w:lineRule="auto"/>
              <w:jc w:val="left"/>
              <w:rPr>
                <w:rFonts w:hint="default" w:ascii="Times New Roman" w:hAnsi="Times New Roman" w:cs="Times New Roman"/>
                <w:color w:val="FF0000"/>
                <w:vertAlign w:val="baseline"/>
                <w:lang w:eastAsia="zh-CN"/>
              </w:rPr>
            </w:pPr>
          </w:p>
        </w:tc>
        <w:tc>
          <w:tcPr>
            <w:tcW w:w="0" w:type="auto"/>
          </w:tcPr>
          <w:p w14:paraId="349E8926">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Post-pre difference (%)</w:t>
            </w:r>
          </w:p>
        </w:tc>
        <w:tc>
          <w:tcPr>
            <w:tcW w:w="0" w:type="auto"/>
          </w:tcPr>
          <w:p w14:paraId="68582758">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+7.1%</w:t>
            </w:r>
          </w:p>
        </w:tc>
        <w:tc>
          <w:tcPr>
            <w:tcW w:w="0" w:type="auto"/>
          </w:tcPr>
          <w:p w14:paraId="41DF7BD5">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+14.3%</w:t>
            </w:r>
          </w:p>
        </w:tc>
        <w:tc>
          <w:tcPr>
            <w:tcW w:w="0" w:type="auto"/>
          </w:tcPr>
          <w:p w14:paraId="73B122B4">
            <w:pPr>
              <w:bidi w:val="0"/>
              <w:spacing w:line="240" w:lineRule="auto"/>
              <w:jc w:val="left"/>
              <w:rPr>
                <w:rFonts w:hint="default" w:ascii="Times New Roman" w:hAnsi="Times New Roman" w:cs="Times New Roman"/>
                <w:color w:val="FF0000"/>
                <w:vertAlign w:val="baseline"/>
                <w:lang w:eastAsia="zh-CN"/>
              </w:rPr>
            </w:pPr>
          </w:p>
        </w:tc>
        <w:tc>
          <w:tcPr>
            <w:tcW w:w="0" w:type="auto"/>
          </w:tcPr>
          <w:p w14:paraId="261BA35E">
            <w:pPr>
              <w:bidi w:val="0"/>
              <w:spacing w:line="240" w:lineRule="auto"/>
              <w:jc w:val="left"/>
              <w:rPr>
                <w:rFonts w:hint="default" w:ascii="Times New Roman" w:hAnsi="Times New Roman" w:cs="Times New Roman"/>
                <w:color w:val="FF0000"/>
                <w:vertAlign w:val="baseline"/>
                <w:lang w:eastAsia="zh-CN"/>
              </w:rPr>
            </w:pPr>
          </w:p>
        </w:tc>
      </w:tr>
      <w:tr w14:paraId="417ACF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723DBF50">
            <w:pPr>
              <w:bidi w:val="0"/>
              <w:spacing w:line="240" w:lineRule="auto"/>
              <w:jc w:val="left"/>
              <w:rPr>
                <w:rFonts w:hint="default" w:ascii="Times New Roman" w:hAnsi="Times New Roman" w:cs="Times New Roman"/>
                <w:color w:val="FF0000"/>
                <w:vertAlign w:val="baseline"/>
                <w:lang w:eastAsia="zh-CN"/>
              </w:rPr>
            </w:pPr>
          </w:p>
        </w:tc>
        <w:tc>
          <w:tcPr>
            <w:tcW w:w="0" w:type="auto"/>
          </w:tcPr>
          <w:p w14:paraId="446435DF">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Post-pre ES (d)</w:t>
            </w:r>
          </w:p>
        </w:tc>
        <w:tc>
          <w:tcPr>
            <w:tcW w:w="0" w:type="auto"/>
          </w:tcPr>
          <w:p w14:paraId="69219824">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0.30 (small)</w:t>
            </w:r>
          </w:p>
        </w:tc>
        <w:tc>
          <w:tcPr>
            <w:tcW w:w="0" w:type="auto"/>
          </w:tcPr>
          <w:p w14:paraId="145BF595">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0.46 (small)</w:t>
            </w:r>
          </w:p>
        </w:tc>
        <w:tc>
          <w:tcPr>
            <w:tcW w:w="0" w:type="auto"/>
          </w:tcPr>
          <w:p w14:paraId="3641C7EF">
            <w:pPr>
              <w:bidi w:val="0"/>
              <w:spacing w:line="240" w:lineRule="auto"/>
              <w:jc w:val="left"/>
              <w:rPr>
                <w:rFonts w:hint="default" w:ascii="Times New Roman" w:hAnsi="Times New Roman" w:cs="Times New Roman"/>
                <w:color w:val="FF0000"/>
                <w:vertAlign w:val="baseline"/>
                <w:lang w:eastAsia="zh-CN"/>
              </w:rPr>
            </w:pPr>
          </w:p>
        </w:tc>
        <w:tc>
          <w:tcPr>
            <w:tcW w:w="0" w:type="auto"/>
          </w:tcPr>
          <w:p w14:paraId="5C9FCF02">
            <w:pPr>
              <w:bidi w:val="0"/>
              <w:spacing w:line="240" w:lineRule="auto"/>
              <w:jc w:val="left"/>
              <w:rPr>
                <w:rFonts w:hint="default" w:ascii="Times New Roman" w:hAnsi="Times New Roman" w:cs="Times New Roman"/>
                <w:color w:val="FF0000"/>
                <w:vertAlign w:val="baseline"/>
                <w:lang w:eastAsia="zh-CN"/>
              </w:rPr>
            </w:pPr>
          </w:p>
        </w:tc>
      </w:tr>
      <w:tr w14:paraId="56C682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55E75F33">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FMS Rotary Stability, right (score)</w:t>
            </w:r>
          </w:p>
        </w:tc>
        <w:tc>
          <w:tcPr>
            <w:tcW w:w="0" w:type="auto"/>
          </w:tcPr>
          <w:p w14:paraId="64DFE5FC">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Pre</w:t>
            </w:r>
          </w:p>
        </w:tc>
        <w:tc>
          <w:tcPr>
            <w:tcW w:w="0" w:type="auto"/>
          </w:tcPr>
          <w:p w14:paraId="486C5F13">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1.75 (0.46)</w:t>
            </w:r>
          </w:p>
        </w:tc>
        <w:tc>
          <w:tcPr>
            <w:tcW w:w="0" w:type="auto"/>
          </w:tcPr>
          <w:p w14:paraId="1F462E83">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2.00 (0.00)</w:t>
            </w:r>
          </w:p>
        </w:tc>
        <w:tc>
          <w:tcPr>
            <w:tcW w:w="0" w:type="auto"/>
          </w:tcPr>
          <w:p w14:paraId="26125DAC">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0.304</w:t>
            </w:r>
          </w:p>
        </w:tc>
        <w:tc>
          <w:tcPr>
            <w:tcW w:w="0" w:type="auto"/>
          </w:tcPr>
          <w:p w14:paraId="58955268">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0.070</w:t>
            </w:r>
          </w:p>
        </w:tc>
      </w:tr>
      <w:tr w14:paraId="3C45DE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5755031B">
            <w:pPr>
              <w:bidi w:val="0"/>
              <w:spacing w:line="240" w:lineRule="auto"/>
              <w:jc w:val="left"/>
              <w:rPr>
                <w:rFonts w:hint="default" w:ascii="Times New Roman" w:hAnsi="Times New Roman" w:cs="Times New Roman"/>
                <w:color w:val="FF0000"/>
                <w:vertAlign w:val="baseline"/>
                <w:lang w:eastAsia="zh-CN"/>
              </w:rPr>
            </w:pPr>
          </w:p>
        </w:tc>
        <w:tc>
          <w:tcPr>
            <w:tcW w:w="0" w:type="auto"/>
          </w:tcPr>
          <w:p w14:paraId="30E0CCA3">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Post</w:t>
            </w:r>
          </w:p>
        </w:tc>
        <w:tc>
          <w:tcPr>
            <w:tcW w:w="0" w:type="auto"/>
          </w:tcPr>
          <w:p w14:paraId="2335A8F6">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1.62 (0.52)#</w:t>
            </w:r>
          </w:p>
        </w:tc>
        <w:tc>
          <w:tcPr>
            <w:tcW w:w="0" w:type="auto"/>
          </w:tcPr>
          <w:p w14:paraId="59F5374B">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2.00 (0.00)#</w:t>
            </w:r>
          </w:p>
        </w:tc>
        <w:tc>
          <w:tcPr>
            <w:tcW w:w="0" w:type="auto"/>
          </w:tcPr>
          <w:p w14:paraId="1955326E">
            <w:pPr>
              <w:bidi w:val="0"/>
              <w:spacing w:line="240" w:lineRule="auto"/>
              <w:jc w:val="left"/>
              <w:rPr>
                <w:rFonts w:hint="default" w:ascii="Times New Roman" w:hAnsi="Times New Roman" w:cs="Times New Roman"/>
                <w:color w:val="FF0000"/>
                <w:vertAlign w:val="baseline"/>
                <w:lang w:eastAsia="zh-CN"/>
              </w:rPr>
            </w:pPr>
          </w:p>
        </w:tc>
        <w:tc>
          <w:tcPr>
            <w:tcW w:w="0" w:type="auto"/>
          </w:tcPr>
          <w:p w14:paraId="59BB02FD">
            <w:pPr>
              <w:bidi w:val="0"/>
              <w:spacing w:line="240" w:lineRule="auto"/>
              <w:jc w:val="left"/>
              <w:rPr>
                <w:rFonts w:hint="default" w:ascii="Times New Roman" w:hAnsi="Times New Roman" w:cs="Times New Roman"/>
                <w:color w:val="FF0000"/>
                <w:vertAlign w:val="baseline"/>
                <w:lang w:eastAsia="zh-CN"/>
              </w:rPr>
            </w:pPr>
          </w:p>
        </w:tc>
      </w:tr>
      <w:tr w14:paraId="1666BB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Pr>
          <w:p w14:paraId="284C25B3">
            <w:pPr>
              <w:bidi w:val="0"/>
              <w:spacing w:line="240" w:lineRule="auto"/>
              <w:jc w:val="left"/>
              <w:rPr>
                <w:rFonts w:hint="default" w:ascii="Times New Roman" w:hAnsi="Times New Roman" w:cs="Times New Roman"/>
                <w:color w:val="FF0000"/>
                <w:vertAlign w:val="baseline"/>
                <w:lang w:eastAsia="zh-CN"/>
              </w:rPr>
            </w:pPr>
          </w:p>
        </w:tc>
        <w:tc>
          <w:tcPr>
            <w:tcW w:w="0" w:type="auto"/>
          </w:tcPr>
          <w:p w14:paraId="196F7F67">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Post-pre difference (%)</w:t>
            </w:r>
          </w:p>
        </w:tc>
        <w:tc>
          <w:tcPr>
            <w:tcW w:w="0" w:type="auto"/>
          </w:tcPr>
          <w:p w14:paraId="766BE4A5">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-7.1%</w:t>
            </w:r>
          </w:p>
        </w:tc>
        <w:tc>
          <w:tcPr>
            <w:tcW w:w="0" w:type="auto"/>
          </w:tcPr>
          <w:p w14:paraId="463E9664">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+0.0%</w:t>
            </w:r>
          </w:p>
        </w:tc>
        <w:tc>
          <w:tcPr>
            <w:tcW w:w="0" w:type="auto"/>
          </w:tcPr>
          <w:p w14:paraId="5C1BD0C7">
            <w:pPr>
              <w:bidi w:val="0"/>
              <w:spacing w:line="240" w:lineRule="auto"/>
              <w:jc w:val="left"/>
              <w:rPr>
                <w:rFonts w:hint="default" w:ascii="Times New Roman" w:hAnsi="Times New Roman" w:cs="Times New Roman"/>
                <w:color w:val="FF0000"/>
                <w:vertAlign w:val="baseline"/>
                <w:lang w:eastAsia="zh-CN"/>
              </w:rPr>
            </w:pPr>
          </w:p>
        </w:tc>
        <w:tc>
          <w:tcPr>
            <w:tcW w:w="0" w:type="auto"/>
          </w:tcPr>
          <w:p w14:paraId="5AFB338A">
            <w:pPr>
              <w:bidi w:val="0"/>
              <w:spacing w:line="240" w:lineRule="auto"/>
              <w:jc w:val="left"/>
              <w:rPr>
                <w:rFonts w:hint="default" w:ascii="Times New Roman" w:hAnsi="Times New Roman" w:cs="Times New Roman"/>
                <w:color w:val="FF0000"/>
                <w:vertAlign w:val="baseline"/>
                <w:lang w:eastAsia="zh-CN"/>
              </w:rPr>
            </w:pPr>
          </w:p>
        </w:tc>
      </w:tr>
      <w:tr w14:paraId="31A66E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0" w:type="auto"/>
            <w:tcBorders>
              <w:bottom w:val="single" w:color="auto" w:sz="0" w:space="0"/>
            </w:tcBorders>
          </w:tcPr>
          <w:p w14:paraId="0D820114">
            <w:pPr>
              <w:bidi w:val="0"/>
              <w:spacing w:line="240" w:lineRule="auto"/>
              <w:jc w:val="left"/>
              <w:rPr>
                <w:rFonts w:hint="default" w:ascii="Times New Roman" w:hAnsi="Times New Roman" w:cs="Times New Roman"/>
                <w:color w:val="FF0000"/>
                <w:vertAlign w:val="baseline"/>
                <w:lang w:eastAsia="zh-CN"/>
              </w:rPr>
            </w:pPr>
          </w:p>
        </w:tc>
        <w:tc>
          <w:tcPr>
            <w:tcW w:w="0" w:type="auto"/>
            <w:tcBorders>
              <w:bottom w:val="single" w:color="auto" w:sz="0" w:space="0"/>
            </w:tcBorders>
          </w:tcPr>
          <w:p w14:paraId="27481309">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Post-pre ES (d)</w:t>
            </w:r>
          </w:p>
        </w:tc>
        <w:tc>
          <w:tcPr>
            <w:tcW w:w="0" w:type="auto"/>
            <w:tcBorders>
              <w:bottom w:val="single" w:color="auto" w:sz="0" w:space="0"/>
            </w:tcBorders>
          </w:tcPr>
          <w:p w14:paraId="66A98CE7">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-0.25 (small)</w:t>
            </w:r>
          </w:p>
        </w:tc>
        <w:tc>
          <w:tcPr>
            <w:tcW w:w="0" w:type="auto"/>
            <w:tcBorders>
              <w:bottom w:val="single" w:color="auto" w:sz="0" w:space="0"/>
            </w:tcBorders>
          </w:tcPr>
          <w:p w14:paraId="2DC881D8">
            <w:pPr>
              <w:bidi w:val="0"/>
              <w:spacing w:line="240" w:lineRule="auto"/>
              <w:jc w:val="left"/>
              <w:rPr>
                <w:rFonts w:hint="default" w:ascii="Times New Roman" w:hAnsi="Times New Roman" w:cs="Times New Roman"/>
                <w:color w:val="FF0000"/>
                <w:vertAlign w:val="baseline"/>
                <w:lang w:eastAsia="zh-CN"/>
              </w:rPr>
            </w:pPr>
            <w:r>
              <w:rPr>
                <w:rFonts w:hint="eastAsia" w:cs="Times New Roman"/>
                <w:color w:val="FF0000"/>
                <w:vertAlign w:val="baseline"/>
                <w:lang w:eastAsia="zh-CN"/>
              </w:rPr>
              <w:t>NA</w:t>
            </w:r>
          </w:p>
        </w:tc>
        <w:tc>
          <w:tcPr>
            <w:tcW w:w="0" w:type="auto"/>
            <w:tcBorders>
              <w:bottom w:val="single" w:color="auto" w:sz="0" w:space="0"/>
            </w:tcBorders>
          </w:tcPr>
          <w:p w14:paraId="37E4DB2D">
            <w:pPr>
              <w:bidi w:val="0"/>
              <w:spacing w:line="240" w:lineRule="auto"/>
              <w:jc w:val="left"/>
              <w:rPr>
                <w:rFonts w:hint="default" w:ascii="Times New Roman" w:hAnsi="Times New Roman" w:cs="Times New Roman"/>
                <w:color w:val="FF0000"/>
                <w:vertAlign w:val="baseline"/>
                <w:lang w:eastAsia="zh-CN"/>
              </w:rPr>
            </w:pPr>
          </w:p>
        </w:tc>
        <w:tc>
          <w:tcPr>
            <w:tcW w:w="0" w:type="auto"/>
            <w:tcBorders>
              <w:bottom w:val="single" w:color="auto" w:sz="0" w:space="0"/>
            </w:tcBorders>
          </w:tcPr>
          <w:p w14:paraId="37214420">
            <w:pPr>
              <w:bidi w:val="0"/>
              <w:spacing w:line="240" w:lineRule="auto"/>
              <w:jc w:val="left"/>
              <w:rPr>
                <w:rFonts w:hint="default" w:ascii="Times New Roman" w:hAnsi="Times New Roman" w:cs="Times New Roman"/>
                <w:color w:val="FF0000"/>
                <w:vertAlign w:val="baseline"/>
                <w:lang w:eastAsia="zh-CN"/>
              </w:rPr>
            </w:pPr>
          </w:p>
        </w:tc>
      </w:tr>
    </w:tbl>
    <w:p w14:paraId="1F8DF18A">
      <w:pPr>
        <w:bidi w:val="0"/>
        <w:spacing w:line="240" w:lineRule="auto"/>
        <w:jc w:val="left"/>
        <w:rPr>
          <w:lang w:eastAsia="zh-CN"/>
        </w:rPr>
      </w:pPr>
    </w:p>
    <w:p w14:paraId="131DFD15">
      <w:pPr>
        <w:bidi w:val="0"/>
        <w:spacing w:line="240" w:lineRule="auto"/>
        <w:jc w:val="left"/>
        <w:rPr>
          <w:rFonts w:hint="eastAsia"/>
          <w:color w:val="FF0000"/>
          <w:lang w:eastAsia="zh-CN"/>
        </w:rPr>
      </w:pPr>
      <w:r>
        <w:rPr>
          <w:rFonts w:hint="eastAsia"/>
          <w:color w:val="FF0000"/>
          <w:lang w:eastAsia="zh-CN"/>
        </w:rPr>
        <w:t>Note. Data are presented as mean (SD). Post-pre difference (%) was calculated as ((Post - Pre) / Pre) x 100. Post-pre ES (d) represents the within-group standardized change from pre to post, calculated as (Post - Pre) / sqrt((SD_pre^2 + SD_post^2)/2). Cohen's d magnitudes were interpreted as trivial for |d| &lt; 0.20, small for 0.20-0.49, moderate for 0.50-0.79, and large for &gt;= 0.80. The primary inference is the Group x Visit interaction from the mixed repeated-measures ANOVA. * p &lt; 0.05, ** p &lt; 0.01, and *** p &lt; 0.001 for Holm-adjusted within-group Pre vs Post comparisons; # indicates a Holm-adjusted between-group difference at Post. Detailed change scores, Holm-adjusted post hoc p values, and ANCOVA outputs are reported in the Supplementary Materials. FMS = Functional Movement Screen.</w:t>
      </w:r>
    </w:p>
    <w:p w14:paraId="1DCBC9DA">
      <w:pPr>
        <w:bidi w:val="0"/>
        <w:spacing w:line="240" w:lineRule="auto"/>
        <w:jc w:val="left"/>
        <w:rPr>
          <w:rFonts w:hint="eastAsia"/>
          <w:color w:val="FF0000"/>
          <w:lang w:eastAsia="zh-CN"/>
        </w:rPr>
      </w:pPr>
      <w:r>
        <w:rPr>
          <w:rFonts w:hint="eastAsia"/>
          <w:color w:val="FF0000"/>
          <w:lang w:eastAsia="zh-CN"/>
        </w:rPr>
        <w:t>Figure 3. FMS outcomes with statistically significant Group x Visit interactions displayed in the same row-by-column layout as Figures 1 and 2. Within each group cell, paired trajectories, boxplots, and half-violin distributions are displayed from left to right for the Pre and Post measurements. ES annotations are displayed above the trajectory panels, and asterisks denote significance levels based on Holm-adjusted within-group Pre vs Post comparisons. Inferential conclusions were based on the mixed repeated-measures ANOVA.</w:t>
      </w:r>
    </w:p>
    <w:p w14:paraId="4F2B7948">
      <w:pPr>
        <w:bidi w:val="0"/>
        <w:spacing w:line="240" w:lineRule="auto"/>
        <w:jc w:val="center"/>
        <w:rPr>
          <w:lang w:eastAsia="zh-CN"/>
        </w:rPr>
      </w:pPr>
      <w:r>
        <w:rPr>
          <w:lang w:eastAsia="zh-CN"/>
        </w:rPr>
        <w:drawing>
          <wp:inline distT="0" distB="0" distL="114300" distR="114300">
            <wp:extent cx="5715000" cy="3921760"/>
            <wp:effectExtent l="0" t="0" r="0" b="2540"/>
            <wp:docPr id="5" name="图片 5" descr="fms_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ms_main"/>
                    <pic:cNvPicPr>
                      <a:picLocks noChangeAspect="1"/>
                    </pic:cNvPicPr>
                  </pic:nvPicPr>
                  <pic:blipFill>
                    <a:blip r:embed="rId10"/>
                    <a:stretch>
                      <a:fillRect/>
                    </a:stretch>
                  </pic:blipFill>
                  <pic:spPr>
                    <a:xfrm>
                      <a:off x="0" y="0"/>
                      <a:ext cx="5715000" cy="3921760"/>
                    </a:xfrm>
                    <a:prstGeom prst="rect">
                      <a:avLst/>
                    </a:prstGeom>
                  </pic:spPr>
                </pic:pic>
              </a:graphicData>
            </a:graphic>
          </wp:inline>
        </w:drawing>
      </w:r>
    </w:p>
    <w:p w14:paraId="4981F49B">
      <w:pPr>
        <w:pStyle w:val="4"/>
        <w:bidi w:val="0"/>
        <w:spacing w:line="240" w:lineRule="auto"/>
        <w:jc w:val="left"/>
        <w:rPr>
          <w:rFonts w:hint="eastAsia"/>
          <w:color w:val="FF0000"/>
          <w:lang w:eastAsia="zh-CN"/>
        </w:rPr>
      </w:pPr>
      <w:r>
        <w:rPr>
          <w:rFonts w:hint="eastAsia"/>
          <w:color w:val="FF0000"/>
          <w:lang w:eastAsia="zh-CN"/>
        </w:rPr>
        <w:t>3.5 Sensitivity analyses</w:t>
      </w:r>
    </w:p>
    <w:p w14:paraId="4E7F94ED">
      <w:pPr>
        <w:bidi w:val="0"/>
        <w:spacing w:line="240" w:lineRule="auto"/>
        <w:jc w:val="left"/>
        <w:rPr>
          <w:rFonts w:hint="eastAsia"/>
          <w:color w:val="FF0000"/>
          <w:lang w:eastAsia="zh-CN"/>
        </w:rPr>
      </w:pPr>
      <w:r>
        <w:rPr>
          <w:rFonts w:hint="eastAsia"/>
          <w:color w:val="FF0000"/>
          <w:lang w:eastAsia="zh-CN"/>
        </w:rPr>
        <w:t>The ANCOVA sensitivity analyses, specified as post-test outcome ~ group + pre-test outcome, were consistent with the primary mixed-ANOVA results (Figure 4). After baseline adjustment, significant group effects remained evident for 15-m sprint time (p = 0.029), water-entry distance (p = 0.010), horizontal displacement (Delta x) (p = 0.035), horizontal velocity (p &lt;0.001), and FMS Total (0-21) (p = 0.002). The adjusted estimates remained in the same direction as the primary interaction-based analyses.</w:t>
      </w:r>
    </w:p>
    <w:p w14:paraId="26F7FE7C">
      <w:pPr>
        <w:bidi w:val="0"/>
        <w:spacing w:line="240" w:lineRule="auto"/>
        <w:jc w:val="left"/>
        <w:rPr>
          <w:rFonts w:hint="eastAsia"/>
          <w:color w:val="FF0000"/>
          <w:lang w:eastAsia="zh-CN"/>
        </w:rPr>
      </w:pPr>
      <w:r>
        <w:rPr>
          <w:rFonts w:hint="eastAsia"/>
          <w:color w:val="FF0000"/>
          <w:lang w:eastAsia="zh-CN"/>
        </w:rPr>
        <w:t>Figure 4. Baseline-adjusted confirmatory analyses for the selected performance outcomes and FMS Total. Positive standardized effects indicate a direction favoring INTG after baseline adjustment, horizontal lines denote 95% confidence intervals, and the estimates were consistent with the primary mixed-ANOVA analyses.</w:t>
      </w:r>
    </w:p>
    <w:p w14:paraId="5DABB0F5">
      <w:pPr>
        <w:bidi w:val="0"/>
        <w:spacing w:line="240" w:lineRule="auto"/>
        <w:jc w:val="center"/>
        <w:rPr>
          <w:lang w:eastAsia="zh-CN"/>
        </w:rPr>
      </w:pPr>
      <w:r>
        <w:rPr>
          <w:lang w:eastAsia="zh-CN"/>
        </w:rPr>
        <w:drawing>
          <wp:inline distT="0" distB="0" distL="114300" distR="114300">
            <wp:extent cx="5334000" cy="4180205"/>
            <wp:effectExtent l="0" t="0" r="0" b="10795"/>
            <wp:docPr id="6" name="图片 6" descr="sensitivity_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sensitivity_forest"/>
                    <pic:cNvPicPr>
                      <a:picLocks noChangeAspect="1"/>
                    </pic:cNvPicPr>
                  </pic:nvPicPr>
                  <pic:blipFill>
                    <a:blip r:embed="rId11"/>
                    <a:stretch>
                      <a:fillRect/>
                    </a:stretch>
                  </pic:blipFill>
                  <pic:spPr>
                    <a:xfrm>
                      <a:off x="0" y="0"/>
                      <a:ext cx="5334000" cy="4180205"/>
                    </a:xfrm>
                    <a:prstGeom prst="rect">
                      <a:avLst/>
                    </a:prstGeom>
                  </pic:spPr>
                </pic:pic>
              </a:graphicData>
            </a:graphic>
          </wp:inline>
        </w:drawing>
      </w:r>
    </w:p>
    <w:p w14:paraId="068B9F07">
      <w:pPr>
        <w:pStyle w:val="4"/>
        <w:bidi w:val="0"/>
        <w:spacing w:line="240" w:lineRule="auto"/>
        <w:jc w:val="left"/>
        <w:rPr>
          <w:rFonts w:hint="eastAsia"/>
          <w:color w:val="FF0000"/>
          <w:lang w:eastAsia="zh-CN"/>
        </w:rPr>
      </w:pPr>
      <w:r>
        <w:rPr>
          <w:rFonts w:hint="eastAsia"/>
          <w:color w:val="FF0000"/>
          <w:lang w:eastAsia="zh-CN"/>
        </w:rPr>
        <w:t>3.6 Supplementary results</w:t>
      </w:r>
    </w:p>
    <w:p w14:paraId="10186AED">
      <w:pPr>
        <w:bidi w:val="0"/>
        <w:spacing w:line="240" w:lineRule="auto"/>
        <w:jc w:val="left"/>
        <w:rPr>
          <w:rFonts w:hint="eastAsia"/>
          <w:color w:val="FF0000"/>
          <w:lang w:eastAsia="zh-CN"/>
        </w:rPr>
      </w:pPr>
      <w:r>
        <w:rPr>
          <w:rFonts w:hint="eastAsia"/>
          <w:color w:val="FF0000"/>
          <w:lang w:eastAsia="zh-CN"/>
        </w:rPr>
        <w:t>The remaining performance and FMS variables are reported in the Supplementary Materials. These outputs include the full mixed ANOVA results for all 21 outcomes, Holm-adjusted post hoc comparisons, assumption checks, outlier screening, and ANCOVA models. To maintain a focused Results section, these secondary and exploratory findings are not described in detail here.</w:t>
      </w:r>
    </w:p>
    <w:p w14:paraId="6B22CCE0">
      <w:pPr>
        <w:bidi w:val="0"/>
        <w:spacing w:line="240" w:lineRule="auto"/>
        <w:jc w:val="left"/>
        <w:rPr>
          <w:lang w:eastAsia="zh-CN"/>
        </w:rPr>
      </w:pPr>
      <w:bookmarkStart w:id="39" w:name="_GoBack"/>
      <w:bookmarkEnd w:id="39"/>
      <w:r>
        <w:rPr>
          <w:lang w:eastAsia="zh-CN"/>
        </w:rPr>
        <w:t xml:space="preserve">4. </w:t>
      </w:r>
      <w:bookmarkStart w:id="22" w:name="OLE_LINK35"/>
      <w:r>
        <w:rPr>
          <w:lang w:eastAsia="zh-CN"/>
        </w:rPr>
        <w:t>Discussion</w:t>
      </w:r>
    </w:p>
    <w:p w14:paraId="4BBB024E">
      <w:pPr>
        <w:bidi w:val="0"/>
        <w:rPr>
          <w:rFonts w:hint="eastAsia"/>
          <w:lang w:eastAsia="zh-CN"/>
        </w:rPr>
      </w:pPr>
      <w:bookmarkStart w:id="23" w:name="OLE_LINK15"/>
      <w:r>
        <w:rPr>
          <w:rFonts w:hint="eastAsia"/>
          <w:color w:val="FF0000"/>
          <w:lang w:eastAsia="zh-CN"/>
        </w:rPr>
        <w:t>The purpose of this study was to examine the effects of an 8-week integrated neuromuscular training (INT) program on start performance, functional movement quality, and lower-limb explosive performance in competitive swimmers. The main findings indicate that INT produced more favorable pre-to-post trajectories than conventional training for several start-performance and movement-quality outcomes. Significant Group x Visit interactions were observed for 15-m sprint time, water-entry distance, horizontal displacement (Delta x), horizontal velocity, FMS Total (0-21), FMS Hurdle Step (right and left), and FMS In-line Lunge (right), whereas no significant group-by-visit interactions were found for the generic lower-limb explosive power outcomes. The ANCOVA sensitivity analyses supported the same pattern after baseline adjustment. Together, these findings suggest that INT improved the transfer of dry-land neuromuscular adaptations to swimming-start performance and functional movement quality rather than producing broad between-group differences across all jump-based measures.</w:t>
      </w:r>
    </w:p>
    <w:p w14:paraId="75C52029">
      <w:pPr>
        <w:ind w:firstLine="420"/>
        <w:rPr>
          <w:lang w:eastAsia="zh-CN"/>
        </w:rPr>
      </w:pPr>
      <w:r>
        <w:rPr>
          <w:lang w:eastAsia="zh-CN"/>
        </w:rPr>
        <w:t>With respect to movement quality, the INTG showed significant improvements in the total Functional Movement Screen (FMS) score, along with favorable changes in selected components associated with dynamic stability, single-leg support, and trunk control. In contrast, the CON group did not exhibit meaningful improvements in either total FMS score or individual components, with several measures demonstrating a slight declining trend over time. These findings indicate that INT is effective in enhancing fundamental movement patterns, likely by improving neuromuscular coordination and postural control rather than isolated strength capacity.</w:t>
      </w:r>
    </w:p>
    <w:p w14:paraId="1E974F15">
      <w:pPr>
        <w:ind w:firstLine="420"/>
        <w:rPr>
          <w:lang w:eastAsia="zh-CN"/>
        </w:rPr>
      </w:pPr>
      <w:bookmarkStart w:id="24" w:name="OLE_LINK3"/>
      <w:r>
        <w:rPr>
          <w:lang w:eastAsia="zh-CN"/>
        </w:rPr>
        <w:t>Although within-group improvements in lower-limb explosive performance were observed in both groups, no significant between-group differences were detected. This finding contrasts with some previous studies reporting pronounced INT-induced gains in lower-limb explosive power</w:t>
      </w:r>
      <w:r>
        <w:rPr>
          <w:lang w:eastAsia="zh-CN"/>
        </w:rPr>
        <w:fldChar w:fldCharType="begin"/>
      </w:r>
      <w:r>
        <w:rPr>
          <w:lang w:eastAsia="zh-CN"/>
        </w:rPr>
        <w:instrText xml:space="preserve"> ADDIN ZOTERO_ITEM CSL_CITATION {"citationID":"XQu7kMDP","properties":{"formattedCitation":"(33,34)","plainCitation":"(33,34)","noteIndex":0},"citationItems":[{"id":531,"uris":["http://zotero.org/users/local/uTk9sRyd/items/BTLLTGV7"],"itemData":{"id":531,"type":"article-journal","container-title":"The Journal of Strength &amp; Conditioning Research","DOI":"10.1519/JSC.0000000000004394","issue":"6","journalAbbreviation":"J. Strength Cond. Res.","language":"en","page":"e384–e390","publisher":"LWW","source":"Google Scholar","title":"Preseason integrative neuromuscular training improves selected measures of physical fitness in highly trained, youth, male soccer players","volume":"37","author":[{"family":"Hammami","given":"Raouf"},{"family":"Negra","given":"Yassine"},{"family":"Nebigh","given":"Amar"},{"family":"Ramirez-Campillo","given":"Rodrigo"},{"family":"Moran","given":"Jason"},{"family":"Chaabene","given":"Helmi"}],"issued":{"date-parts":[["2023"]]}}},{"id":533,"uris":["http://zotero.org/users/local/uTk9sRyd/items/PZCXFX2I"],"itemData":{"id":533,"type":"article-journal","container-title":"The Journal of Strength &amp; Conditioning Research","DOI":"10.1519/JSC.0000000000002938","issue":"2","journalAbbreviation":"J. Strength Cond. Res.","language":"en","page":"516</w:instrText>
      </w:r>
      <w:r>
        <w:rPr>
          <w:rFonts w:hint="eastAsia"/>
          <w:lang w:eastAsia="zh-CN"/>
        </w:rPr>
        <w:instrText xml:space="preserve">–</w:instrText>
      </w:r>
      <w:r>
        <w:rPr>
          <w:lang w:eastAsia="zh-CN"/>
        </w:rPr>
        <w:instrText xml:space="preserve">526","publisher":"LWW","source":"Google Scholar","title":"In-season integrative neuromuscular strength training improves performance of early-adolescent soccer athletes","volume":"34","author":[{"family":"Panagoulis","given":"Charalampos"},{"family":"Chatzinikolaou","given":"Athanasios"},{"family":"Avloniti","given":"Alexandra"},{"family":"Leontsini","given":"Diamanda"},{"family":"Deli","given":"Chariklia K."},{"family":"Draganidis","given":"Dimitrios"},{"family":"Stampoulis","given":"Theodoros"},{"family":"Oikonomou","given":"Triantafyllos"},{"family":"Papanikolaou","given":"Konstantinos"},{"family":"Rafailakis","given":"Lefteris"}],"issued":{"date-parts":[["2020"]]}}}],"schema":"https://github.com/citation-style-language/schema/raw/master/csl-citation.json"} </w:instrText>
      </w:r>
      <w:r>
        <w:rPr>
          <w:lang w:eastAsia="zh-CN"/>
        </w:rPr>
        <w:fldChar w:fldCharType="separate"/>
      </w:r>
      <w:r>
        <w:rPr>
          <w:rFonts w:cs="Times New Roman"/>
        </w:rPr>
        <w:t>(33,34)</w:t>
      </w:r>
      <w:r>
        <w:rPr>
          <w:lang w:eastAsia="zh-CN"/>
        </w:rPr>
        <w:fldChar w:fldCharType="end"/>
      </w:r>
      <w:r>
        <w:rPr>
          <w:lang w:eastAsia="zh-CN"/>
        </w:rPr>
        <w:t xml:space="preserve">. </w:t>
      </w:r>
      <w:bookmarkEnd w:id="24"/>
      <w:r>
        <w:rPr>
          <w:lang w:eastAsia="zh-CN"/>
        </w:rPr>
        <w:t>These discrepancies across studies may be partly explained by differences in participant characteristics, training background, intervention design, and the specificity of outcome measures. In the present study, the INT program placed greater emphasis on dynamic stability, unilateral loading, and movement integration, which may favor improvements in movement quality and task-specific performance transfer rather than maximal vertical power output. Consequently, the present findings suggest that swimming start performance may be more closely related to enhanced movement efficiency and force application quality than to isolated gains in lower-limb explosive strength.</w:t>
      </w:r>
    </w:p>
    <w:bookmarkEnd w:id="23"/>
    <w:p w14:paraId="1B9A0FB4">
      <w:pPr>
        <w:pStyle w:val="4"/>
        <w:rPr>
          <w:lang w:eastAsia="zh-CN"/>
        </w:rPr>
      </w:pPr>
      <w:r>
        <w:rPr>
          <w:rFonts w:ascii="Times New Roman" w:hAnsi="Times New Roman" w:eastAsia="黑体"/>
          <w:lang w:eastAsia="zh-CN"/>
        </w:rPr>
        <w:t xml:space="preserve">4.1 </w:t>
      </w:r>
      <w:bookmarkStart w:id="25" w:name="OLE_LINK31"/>
      <w:bookmarkStart w:id="26" w:name="OLE_LINK27"/>
      <w:r>
        <w:rPr>
          <w:rFonts w:hint="eastAsia" w:ascii="Times New Roman" w:hAnsi="Times New Roman" w:eastAsia="黑体"/>
          <w:lang w:eastAsia="zh-CN"/>
        </w:rPr>
        <w:t>Effect of INT Training on start performance</w:t>
      </w:r>
    </w:p>
    <w:bookmarkEnd w:id="25"/>
    <w:p w14:paraId="052EE0CE">
      <w:pPr>
        <w:bidi w:val="0"/>
        <w:rPr>
          <w:rFonts w:hint="eastAsia"/>
          <w:lang w:eastAsia="zh-CN"/>
        </w:rPr>
      </w:pPr>
      <w:bookmarkStart w:id="27" w:name="OLE_LINK4"/>
      <w:bookmarkStart w:id="28" w:name="OLE_LINK16"/>
      <w:r>
        <w:rPr>
          <w:rFonts w:hint="eastAsia"/>
          <w:color w:val="FF0000"/>
          <w:lang w:eastAsia="zh-CN"/>
        </w:rPr>
        <w:t>Our results demonstrate that the 8-week INT intervention conferred substantial advantages in the trajectory of start-specific performance. Relative to CON, INTG showed a more favorable pre-to-post pattern for 15-m sprint time, water-entry distance, horizontal displacement, and horizontal velocity, with significant Group x Visit interactions across these outcomes. Post hoc contrasts indicated clear within-group improvements in INTG, whereas CON showed either smaller changes or changes in the opposite direction. Thus, the primary evidence in favor of INT was the differential change over time rather than isolated post-test comparisons.</w:t>
      </w:r>
    </w:p>
    <w:p w14:paraId="1EB9FB00">
      <w:pPr>
        <w:bidi w:val="0"/>
        <w:rPr>
          <w:rFonts w:hint="eastAsia"/>
          <w:lang w:eastAsia="zh-CN"/>
        </w:rPr>
      </w:pPr>
      <w:r>
        <w:rPr>
          <w:rFonts w:hint="eastAsia"/>
          <w:color w:val="FF0000"/>
          <w:lang w:eastAsia="zh-CN"/>
        </w:rPr>
        <w:t>From a biomechanical perspective, the swimming start represents a complex multi-joint movement requiring the rapid generation of horizontal impulse within a severely constrained temporal window. Unlike vertical jumping activities where ground contact duration permits progressive force development, the swimming start demands near-maximal force production within approximately 300-400 milliseconds of block contact, followed immediately by aerial transition(29,35). These specific demands are highly consistent with the principle of force-vector specificity highlighted in recent literature. A meta-analysis showed that horizontally oriented plyometric exercises are more effective at enhancing forward acceleration than vertical exercises(36). Specifically, an 8-week intervention demonstrated that horizontal-vector resistance training yielded superior improvements in swim-start performance compared with traditional vertical-vector training(37). This helps explain the divergent adaptations observed in our study. By incorporating horizontally oriented stretch-shortening-cycle activities, the INT program more closely matched the mechanical demands of the starting block, contributing to the increases in horizontal velocity and water-entry distance. In contrast, the CON program relied primarily on exercises that emphasized general maximal strength and therefore showed less transfer to the specific demands of the start.</w:t>
      </w:r>
    </w:p>
    <w:p w14:paraId="37C25ED7">
      <w:pPr>
        <w:ind w:firstLine="420"/>
        <w:rPr>
          <w:lang w:eastAsia="zh-CN"/>
        </w:rPr>
      </w:pPr>
      <w:r>
        <w:rPr>
          <w:lang w:eastAsia="zh-CN"/>
        </w:rPr>
        <w:t>When training on unstable surfaces, the neuromuscular system must continuously modulate muscle activation patterns to maintain dynamic equilibrium, thereby enhancing proprioceptive sensitivity and feedforward control mechanisms</w:t>
      </w:r>
      <w:r>
        <w:rPr>
          <w:lang w:eastAsia="zh-CN"/>
        </w:rPr>
        <w:fldChar w:fldCharType="begin"/>
      </w:r>
      <w:r>
        <w:rPr>
          <w:lang w:eastAsia="zh-CN"/>
        </w:rPr>
        <w:instrText xml:space="preserve"> ADDIN ZOTERO_ITEM CSL_CITATION {"citationID":"GXsTbBe0","properties":{"formattedCitation":"(38)","plainCitation":"(38)","noteIndex":0},"citationItems":[{"id":539,"uris":["http://zotero.org/users/local/uTk9sRyd/items/NV8JHHLB"],"itemData":{"id":539,"type":"article-journal","container-title":"British journal of sports medicine","DOI":"10.1136/bjsm.2009.061747","issue":"13","journalAbbreviation":"Br. J. Sports Med.","language":"en","page":"1073–1078","publisher":"British Association of Sport and Excercise Medicine","source":"Google Scholar","title":"Effect of a neuromuscular warm-up programme on muscle power, balance, speed and agility: a randomised controlled study","title-short":"Effect of a neuromuscular warm-up programme on muscle power, balance, speed and agility","volume":"43","author":[{"family":"Pasanen","given":"Kati"},{"family":"Parkkari","given":"Jari"},{"family":"Pasanen","given":"Matti"},{"family":"Kannus","given":"Pekka"}],"issued":{"date-parts":[["2009"]]}}}],"schema":"https://github.com/citation-style-language/schema/raw/master/csl-citation.json"} </w:instrText>
      </w:r>
      <w:r>
        <w:rPr>
          <w:lang w:eastAsia="zh-CN"/>
        </w:rPr>
        <w:fldChar w:fldCharType="separate"/>
      </w:r>
      <w:r>
        <w:rPr>
          <w:rFonts w:cs="Times New Roman"/>
        </w:rPr>
        <w:t>(38)</w:t>
      </w:r>
      <w:r>
        <w:rPr>
          <w:lang w:eastAsia="zh-CN"/>
        </w:rPr>
        <w:fldChar w:fldCharType="end"/>
      </w:r>
      <w:r>
        <w:rPr>
          <w:lang w:eastAsia="zh-CN"/>
        </w:rPr>
        <w:t>. Such adaptations are particularly critical during the swimming start, where the absence of prolonged ground contact time constrains the window for force application and amplifies the importance of force directionality and whole-body coordination</w:t>
      </w:r>
      <w:r>
        <w:rPr>
          <w:lang w:eastAsia="zh-CN"/>
        </w:rPr>
        <w:fldChar w:fldCharType="begin"/>
      </w:r>
      <w:r>
        <w:rPr>
          <w:lang w:eastAsia="zh-CN"/>
        </w:rPr>
        <w:instrText xml:space="preserve"> ADDIN ZOTERO_ITEM CSL_CITATION {"citationID":"566vlCVg","properties":{"formattedCitation":"(39)","plainCitation":"(39)","noteIndex":0},"citationItems":[{"id":543,"uris":["http://zotero.org/users/local/uTk9sRyd/items/PEFFFZSM"],"itemData":{"id":543,"type":"article-journal","container-title":"Journal of human kinetics","DOI":"10.2478/hukin-2014-0057","journalAbbreviation":"J. hum. kinet.","language":"en","page":"15","source":"Google Scholar","title":"Body composition and kinematic analysis of the grab start in youth swimmers","volume":"42","author":[{"family":"Alptekin","given":"Ahmet"}],"issued":{"date-parts":[["2014"]]}}}],"schema":"https://github.com/citation-style-language/schema/raw/master/csl-citation.json"} </w:instrText>
      </w:r>
      <w:r>
        <w:rPr>
          <w:lang w:eastAsia="zh-CN"/>
        </w:rPr>
        <w:fldChar w:fldCharType="separate"/>
      </w:r>
      <w:r>
        <w:rPr>
          <w:rFonts w:cs="Times New Roman"/>
        </w:rPr>
        <w:t>(39)</w:t>
      </w:r>
      <w:r>
        <w:rPr>
          <w:lang w:eastAsia="zh-CN"/>
        </w:rPr>
        <w:fldChar w:fldCharType="end"/>
      </w:r>
      <w:r>
        <w:rPr>
          <w:lang w:eastAsia="zh-CN"/>
        </w:rPr>
        <w:t>.</w:t>
      </w:r>
      <w:r>
        <w:rPr>
          <w:rFonts w:hint="eastAsia"/>
          <w:lang w:eastAsia="zh-CN"/>
        </w:rPr>
        <w:t xml:space="preserve"> </w:t>
      </w:r>
      <w:r>
        <w:rPr>
          <w:lang w:eastAsia="zh-CN"/>
        </w:rPr>
        <w:t xml:space="preserve">This improved force transfer </w:t>
      </w:r>
      <w:r>
        <w:rPr>
          <w:rFonts w:hint="eastAsia"/>
          <w:lang w:eastAsia="zh-CN"/>
        </w:rPr>
        <w:t xml:space="preserve">efficiency </w:t>
      </w:r>
      <w:r>
        <w:rPr>
          <w:lang w:eastAsia="zh-CN"/>
        </w:rPr>
        <w:t>allows swimmers to maintain a more streamlined body alignment at takeoff, thereby reducing energy dissipation and maximizing the conversion of lower-limb power into forward displacement</w:t>
      </w:r>
      <w:r>
        <w:rPr>
          <w:lang w:eastAsia="zh-CN"/>
        </w:rPr>
        <w:fldChar w:fldCharType="begin"/>
      </w:r>
      <w:r>
        <w:rPr>
          <w:lang w:eastAsia="zh-CN"/>
        </w:rPr>
        <w:instrText xml:space="preserve"> ADDIN ZOTERO_ITEM CSL_CITATION {"citationID":"Y9KD7Dwg","properties":{"formattedCitation":"(40)","plainCitation":"(40)","noteIndex":0},"citationItems":[{"id":594,"uris":["http://zotero.org/users/local/uTk9sRyd/items/P3Y99HR2"],"itemData":{"id":594,"type":"article-journal","container-title":"Journal of Sports Sciences","DOI":"10.1080/02640414.2012.736631","ISSN":"0264-0414, 1466-447X","issue":"5","journalAbbreviation":"J. Sports Sci.","language":"en","note":"TLDR: Results suggest that swimmers generating higher than average peak forces were more likely to produce a better overall start performance than those who produced forces lower than the average, for this population of athletes.","page":"468-478","source":"DOI.org (Crossref)","title":"The categorisation of swimming start performance with reference to force generation on the main block and footrest components of the omega OSB11 start blocks","volume":"31","author":[{"family":"Slawson","given":"Sian E."},{"family":"Conway","given":"Paul P."},{"family":"Cossor","given":"Jodi"},{"family":"Chakravorti","given":"Nandini"},{"family":"West","given":"Andrew A."}],"issued":{"date-parts":[["2013",3]]}}}],"schema":"https://github.com/citation-style-language/schema/raw/master/csl-citation.json"} </w:instrText>
      </w:r>
      <w:r>
        <w:rPr>
          <w:lang w:eastAsia="zh-CN"/>
        </w:rPr>
        <w:fldChar w:fldCharType="separate"/>
      </w:r>
      <w:r>
        <w:rPr>
          <w:rFonts w:cs="Times New Roman"/>
        </w:rPr>
        <w:t>(40)</w:t>
      </w:r>
      <w:r>
        <w:rPr>
          <w:lang w:eastAsia="zh-CN"/>
        </w:rPr>
        <w:fldChar w:fldCharType="end"/>
      </w:r>
      <w:r>
        <w:rPr>
          <w:lang w:eastAsia="zh-CN"/>
        </w:rPr>
        <w:t>.</w:t>
      </w:r>
      <w:r>
        <w:rPr>
          <w:rFonts w:hint="eastAsia"/>
          <w:lang w:eastAsia="zh-CN"/>
        </w:rPr>
        <w:t xml:space="preserve"> </w:t>
      </w:r>
      <w:r>
        <w:rPr>
          <w:lang w:eastAsia="zh-CN"/>
        </w:rPr>
        <w:t>Furthermore, the integration of horizontally-oriented plyometric exercises within the INT protocol likely facilitated sport-specific adaptations in SSC function and tendon stiffness. Unlike vertical jumping tasks that emphasize bilateral, symmetric force application, exercises such as bounding and single-leg hops require rapid unilateral force production with substantial horizontal momentum</w:t>
      </w:r>
      <w:r>
        <w:rPr>
          <w:lang w:eastAsia="zh-CN"/>
        </w:rPr>
        <w:fldChar w:fldCharType="begin"/>
      </w:r>
      <w:r>
        <w:rPr>
          <w:lang w:eastAsia="zh-CN"/>
        </w:rPr>
        <w:instrText xml:space="preserve"> ADDIN ZOTERO_ITEM CSL_CITATION {"citationID":"jj875CsO","properties":{"formattedCitation":"(41)","plainCitation":"(41)","noteIndex":0},"citationItems":[{"id":595,"uris":["http://zotero.org/users/local/uTk9sRyd/items/9P4KEQK5"],"itemData":{"id":595,"type":"article-journal","container-title":"PloS one","DOI":"10.1371/journal.pone.0153958","issue":"4","journalAbbreviation":"PLOS One","language":"en","page":"e0153958","publisher":"Public Library of Science San Francisco, CA USA","source":"Google Scholar","title":"Improving sprint performance in soccer: effectiveness of jump squat and olympic push press exercises","title-short":"Improving sprint performance in soccer","volume":"11","author":[{"family":"Loturco","given":"Irineu"},{"family":"Pereira","given":"Lucas Adriano"},{"family":"Kobal","given":"Ronaldo"},{"family":"Maldonado","given":"Thiago"},{"family":"Piazzi","given":"Alessandro Fromer"},{"family":"Bottino","given":"Altamiro"},{"family":"Kitamura","given":"Katia"},{"family":"Cal Abad","given":"Cesar Cavinato"},{"family":"Arruda","given":"Miguel","non-dropping-particle":"de"},{"family":"Nakamura","given":"Fabio Yuzo"}],"issued":{"date-parts":[["2016"]]}}}],"schema":"https://github.com/citation-style-language/schema/raw/master/csl-citation.json"} </w:instrText>
      </w:r>
      <w:r>
        <w:rPr>
          <w:lang w:eastAsia="zh-CN"/>
        </w:rPr>
        <w:fldChar w:fldCharType="separate"/>
      </w:r>
      <w:r>
        <w:rPr>
          <w:rFonts w:cs="Times New Roman"/>
        </w:rPr>
        <w:t>(41)</w:t>
      </w:r>
      <w:r>
        <w:rPr>
          <w:lang w:eastAsia="zh-CN"/>
        </w:rPr>
        <w:fldChar w:fldCharType="end"/>
      </w:r>
      <w:r>
        <w:rPr>
          <w:lang w:eastAsia="zh-CN"/>
        </w:rPr>
        <w:t>. These movement patterns selectively enhance the series elastic component's ability to store and release elastic energy during rapid transition phases, a mechanical property particularly relevant to the swimming start where the stretch reflex contributes substantially to propulsive force generation</w:t>
      </w:r>
      <w:r>
        <w:rPr>
          <w:lang w:eastAsia="zh-CN"/>
        </w:rPr>
        <w:fldChar w:fldCharType="begin"/>
      </w:r>
      <w:r>
        <w:rPr>
          <w:lang w:eastAsia="zh-CN"/>
        </w:rPr>
        <w:instrText xml:space="preserve"> ADDIN ZOTERO_ITEM CSL_CITATION {"citationID":"p34iU7oL","properties":{"formattedCitation":"(42)","plainCitation":"(42)","noteIndex":0},"citationItems":[{"id":597,"uris":["http://zotero.org/users/local/uTk9sRyd/items/YJWATY67"],"itemData":{"id":597,"type":"article-journal","container-title":"Journal of biomechanics","DOI":"10.1016/S0021-9290(00)00064-6","issue":"10","journalAbbreviation":"J. Biomech.","language":"en","page":"1197–1206","publisher":"Elsevier","source":"Google Scholar","title":"Stretch-shortening cycle: a powerful model to study normal and fatigued muscle","title-short":"Stretch-shortening cycle","volume":"33","author":[{"family":"Komi","given":"Paavo V."}],"issued":{"date-parts":[["2000"]]}}}],"schema":"https://github.com/citation-style-language/schema/raw/master/csl-citation.json"} </w:instrText>
      </w:r>
      <w:r>
        <w:rPr>
          <w:lang w:eastAsia="zh-CN"/>
        </w:rPr>
        <w:fldChar w:fldCharType="separate"/>
      </w:r>
      <w:r>
        <w:rPr>
          <w:rFonts w:cs="Times New Roman"/>
        </w:rPr>
        <w:t>(42)</w:t>
      </w:r>
      <w:r>
        <w:rPr>
          <w:lang w:eastAsia="zh-CN"/>
        </w:rPr>
        <w:fldChar w:fldCharType="end"/>
      </w:r>
      <w:r>
        <w:rPr>
          <w:lang w:eastAsia="zh-CN"/>
        </w:rPr>
        <w:t>. The observed improvements in FMS subcomponents reflecting dynamic stability and single-leg control provide indirect evidence for enhanced inter-muscular coordination and segmental control during unilateral, reactive movements</w:t>
      </w:r>
      <w:r>
        <w:rPr>
          <w:lang w:eastAsia="zh-CN"/>
        </w:rPr>
        <w:fldChar w:fldCharType="begin"/>
      </w:r>
      <w:r>
        <w:rPr>
          <w:lang w:eastAsia="zh-CN"/>
        </w:rPr>
        <w:instrText xml:space="preserve"> ADDIN ZOTERO_ITEM CSL_CITATION {"citationID":"RR08bNbw","properties":{"formattedCitation":"(43)","plainCitation":"(43)","noteIndex":0},"citationItems":[{"id":599,"uris":["http://zotero.org/users/local/uTk9sRyd/items/6V3Z82RA"],"itemData":{"id":599,"type"</w:instrText>
      </w:r>
      <w:r>
        <w:rPr>
          <w:rFonts w:hint="eastAsia"/>
          <w:lang w:eastAsia="zh-CN"/>
        </w:rPr>
        <w:instrText xml:space="preserve">:"article-journal","abstract":"Studies have shown that reduced neuromuscular control or strength increases the risk of acute injuries. It is hypothesized that a non‐functional movement pattern can predispose for injuries. In the present paper a detailed description of a test battery consisting of nine different tests to screen athletic movement pattern is provided. The aim was to evaluate the inter‐ and intra‐rater reliability of the test battery on a group of male elite soccer players. Twenty‐six healthy</w:instrText>
      </w:r>
      <w:r>
        <w:rPr>
          <w:lang w:eastAsia="zh-CN"/>
        </w:rPr>
        <w:instrText xml:space="preserve"> elite soccer players (17–28 years) were screened. Eighteen participated at a second occasion 7 days later. No significant difference (\n              P\n              =0.31) was found between test occasion 1 (LS means 18.3, 95% confidence interval 14.9–2</w:instrText>
      </w:r>
      <w:r>
        <w:rPr>
          <w:rFonts w:hint="eastAsia"/>
          <w:lang w:eastAsia="zh-CN"/>
        </w:rPr>
        <w:instrText xml:space="preserve">1.7) and test occasion 2 (18.0, 14.4–21.7) in the mean total score of the test battery. No significant difference in the inter‐rater reliability was found between the eight physiotherapists at the two test occasions. The intra‐class correlation coefficient was 0.80 and 0.81, respectively. The test battery showed good inter‐ and intra‐rater reliability. The screening battery is easy to use for familiarized professionals and requires minimal equipment. However, further studies are needed to confirm the vali</w:instrText>
      </w:r>
      <w:r>
        <w:rPr>
          <w:lang w:eastAsia="zh-CN"/>
        </w:rPr>
        <w:instrText xml:space="preserve">dity of the test battery in injury prevention, rehabilitation and performance enhancement.","container-title":"Scandinavian Journal of Medicine &amp; Science in Sports","DOI":"10.1111/j.1600-0838.2010.01267.x","ISSN":"0905-7188, 1600-0838","issue":"3","journa</w:instrText>
      </w:r>
      <w:r>
        <w:rPr>
          <w:rFonts w:hint="eastAsia"/>
          <w:lang w:eastAsia="zh-CN"/>
        </w:rPr>
        <w:instrText xml:space="preserve">lAbbreviation":"Scand. J. Med. Sci. Sports","language":"en","license":"http://onlinelibrary.wiley.com/termsAndConditions#vor","note":"TLDR: The test battery showed good inter‐ and intra‐rater reliability and is easy to use for familiarized professionals a</w:instrText>
      </w:r>
      <w:r>
        <w:rPr>
          <w:lang w:eastAsia="zh-CN"/>
        </w:rPr>
        <w:instrText xml:space="preserve">nd requires minimal equipment, however, further studies are needed to confirm the validity of the test battery in injury prevention, rehabilitation and performance enhancement.","page":"306-315","source":"DOI.org (Crossref)","title":"A nine-test screening battery for athletes: a reliability study","title-short":"A nine-test screening battery for athletes","volume":"22","author":[{"family":"Frohm","given":"A."},{"family":"Heijne","given":"A."},{"family":"Kowalski","given":"J."},{"family":"Svensson","given":"P."},{"family":"Myklebust","given":"G."}],"issued":{"date-parts":[["2012",6]]}}}],"schema":"https://github.com/citation-style-language/schema/raw/master/csl-citation.json"} </w:instrText>
      </w:r>
      <w:r>
        <w:rPr>
          <w:lang w:eastAsia="zh-CN"/>
        </w:rPr>
        <w:fldChar w:fldCharType="separate"/>
      </w:r>
      <w:r>
        <w:rPr>
          <w:rFonts w:cs="Times New Roman"/>
        </w:rPr>
        <w:t>(43)</w:t>
      </w:r>
      <w:r>
        <w:rPr>
          <w:lang w:eastAsia="zh-CN"/>
        </w:rPr>
        <w:fldChar w:fldCharType="end"/>
      </w:r>
      <w:r>
        <w:rPr>
          <w:rFonts w:hint="eastAsia"/>
          <w:lang w:eastAsia="zh-CN"/>
        </w:rPr>
        <w:t>.</w:t>
      </w:r>
    </w:p>
    <w:p w14:paraId="6D02CC87">
      <w:pPr>
        <w:ind w:firstLine="420"/>
        <w:rPr>
          <w:lang w:eastAsia="zh-CN"/>
        </w:rPr>
      </w:pPr>
      <w:r>
        <w:rPr>
          <w:lang w:eastAsia="zh-CN"/>
        </w:rPr>
        <w:t xml:space="preserve">Overall, the present findings indicate that by systematically integrating strength, stability, and speed components, INT can substantially enhance start-specific performance in competitive swimmers. These advantages appear to be attributable to improvements in </w:t>
      </w:r>
      <w:r>
        <w:rPr>
          <w:rFonts w:hint="eastAsia"/>
          <w:lang w:eastAsia="zh-CN"/>
        </w:rPr>
        <w:t xml:space="preserve">maximizing </w:t>
      </w:r>
      <w:r>
        <w:rPr>
          <w:lang w:eastAsia="zh-CN"/>
        </w:rPr>
        <w:t xml:space="preserve">efficiency and task-specific </w:t>
      </w:r>
      <w:r>
        <w:rPr>
          <w:rFonts w:hint="eastAsia"/>
          <w:lang w:eastAsia="zh-CN"/>
        </w:rPr>
        <w:t xml:space="preserve">force </w:t>
      </w:r>
      <w:r>
        <w:rPr>
          <w:lang w:eastAsia="zh-CN"/>
        </w:rPr>
        <w:t>transfer, rather than isolated gains in single physical fitness components.</w:t>
      </w:r>
      <w:bookmarkEnd w:id="26"/>
    </w:p>
    <w:bookmarkEnd w:id="27"/>
    <w:bookmarkEnd w:id="28"/>
    <w:p w14:paraId="1F6D5945">
      <w:pPr>
        <w:pStyle w:val="4"/>
        <w:rPr>
          <w:lang w:eastAsia="zh-CN"/>
        </w:rPr>
      </w:pPr>
      <w:r>
        <w:rPr>
          <w:rFonts w:ascii="Times New Roman" w:hAnsi="Times New Roman" w:eastAsia="黑体"/>
          <w:lang w:eastAsia="zh-CN"/>
        </w:rPr>
        <w:t xml:space="preserve">4.2 </w:t>
      </w:r>
      <w:r>
        <w:rPr>
          <w:rFonts w:hint="eastAsia" w:ascii="Times New Roman" w:hAnsi="Times New Roman" w:eastAsia="黑体"/>
          <w:lang w:eastAsia="zh-CN"/>
        </w:rPr>
        <w:t>Effect of INT training on functional movement</w:t>
      </w:r>
    </w:p>
    <w:p w14:paraId="687B9B89">
      <w:pPr>
        <w:ind w:firstLine="420"/>
        <w:rPr>
          <w:lang w:eastAsia="zh-CN"/>
        </w:rPr>
      </w:pPr>
      <w:bookmarkStart w:id="29" w:name="OLE_LINK18"/>
      <w:bookmarkStart w:id="30" w:name="OLE_LINK17"/>
      <w:r>
        <w:rPr>
          <w:lang w:eastAsia="zh-CN"/>
        </w:rPr>
        <w:t>Our results indicate that INT confers clear advantages in improving functional movement quality in competitive swimmers. The total FMS score increased in the INT group with a moderate-to-large effect size (ES = 0.79), whereas the CON group exhibited a decline (ES = −0.26). At the component level, the INT group demonstrated consistent positive changes across most FMS subtests, particularly those reflecting unilateral control and dynamic stability. Notable improvements were observed in the Hurdle Step, Deep Squat, and In-Line Lunge</w:t>
      </w:r>
      <w:r>
        <w:rPr>
          <w:rFonts w:hint="eastAsia"/>
          <w:lang w:eastAsia="zh-CN"/>
        </w:rPr>
        <w:t>.</w:t>
      </w:r>
      <w:r>
        <w:rPr>
          <w:lang w:eastAsia="zh-CN"/>
        </w:rPr>
        <w:t xml:space="preserve"> In contrast, changes in the CON group were trivial or negative. These findings suggest that strength training is insufficient to elicit spontaneous improvements in movement quality, and targeted neuromuscular interventions are </w:t>
      </w:r>
      <w:r>
        <w:rPr>
          <w:rFonts w:hint="eastAsia"/>
          <w:lang w:eastAsia="zh-CN"/>
        </w:rPr>
        <w:t>important</w:t>
      </w:r>
      <w:r>
        <w:rPr>
          <w:lang w:eastAsia="zh-CN"/>
        </w:rPr>
        <w:t xml:space="preserve"> </w:t>
      </w:r>
      <w:r>
        <w:rPr>
          <w:rFonts w:hint="eastAsia"/>
          <w:lang w:eastAsia="zh-CN"/>
        </w:rPr>
        <w:t>in not only</w:t>
      </w:r>
      <w:r>
        <w:rPr>
          <w:lang w:eastAsia="zh-CN"/>
        </w:rPr>
        <w:t xml:space="preserve"> strengthen</w:t>
      </w:r>
      <w:r>
        <w:rPr>
          <w:rFonts w:hint="eastAsia"/>
          <w:lang w:eastAsia="zh-CN"/>
        </w:rPr>
        <w:t xml:space="preserve">ing </w:t>
      </w:r>
      <w:r>
        <w:rPr>
          <w:lang w:eastAsia="zh-CN"/>
        </w:rPr>
        <w:t xml:space="preserve">proprioception </w:t>
      </w:r>
      <w:r>
        <w:rPr>
          <w:rFonts w:hint="eastAsia"/>
          <w:lang w:eastAsia="zh-CN"/>
        </w:rPr>
        <w:t>but also correcting muscle asymmetries</w:t>
      </w:r>
      <w:r>
        <w:rPr>
          <w:lang w:eastAsia="zh-CN"/>
        </w:rPr>
        <w:t>.</w:t>
      </w:r>
    </w:p>
    <w:bookmarkEnd w:id="29"/>
    <w:p w14:paraId="2C8D9DD8">
      <w:pPr>
        <w:ind w:firstLine="420"/>
        <w:rPr>
          <w:lang w:eastAsia="zh-CN"/>
        </w:rPr>
      </w:pPr>
      <w:r>
        <w:rPr>
          <w:lang w:eastAsia="zh-CN"/>
        </w:rPr>
        <w:t xml:space="preserve">First, the INT program significantly enhanced </w:t>
      </w:r>
      <w:bookmarkStart w:id="31" w:name="OLE_LINK19"/>
      <w:r>
        <w:rPr>
          <w:lang w:eastAsia="zh-CN"/>
        </w:rPr>
        <w:t>proprioception</w:t>
      </w:r>
      <w:bookmarkEnd w:id="31"/>
      <w:r>
        <w:rPr>
          <w:lang w:eastAsia="zh-CN"/>
        </w:rPr>
        <w:t xml:space="preserve"> and core stability. Functional balance relies heavily on multi-sensory integration and proprioceptive feedback</w:t>
      </w:r>
      <w:r>
        <w:rPr>
          <w:lang w:eastAsia="zh-CN"/>
        </w:rPr>
        <w:fldChar w:fldCharType="begin"/>
      </w:r>
      <w:r>
        <w:rPr>
          <w:lang w:eastAsia="zh-CN"/>
        </w:rPr>
        <w:instrText xml:space="preserve"> ADDIN ZOTERO_ITEM CSL_CITATION {"citationID":"XsPyxUL5","properties":{"formattedCitation":"(44)","plainCitation":"(44)","noteIndex":0},"citationItems":[{"id":629,"uris":["http://zotero.org/users/local/uTk9sRyd/items/FDA8QXLA"],"itemData":{"id":629,"type":"article-journal","abstract":"Abstract\n            A knee injury with anterior cruciate ligament (ACL) rupture may cause deficits in proprioception, increased laxity and decreased muscle strength. Although it may be common knowledge that these factors affect knee function, only a few studies have been performed where this has been investigated in the clinical situation, and the results are not conclusive. The purpose of this study was therefore to investigate how and to what extent proprioception, laxit</w:instrText>
      </w:r>
      <w:r>
        <w:rPr>
          <w:rFonts w:hint="eastAsia"/>
          <w:lang w:eastAsia="zh-CN"/>
        </w:rPr>
        <w:instrText xml:space="preserve">y and strength affect knee joint function and evaluate if the methods commonly used for estimating these factors clinically seem to be relevant. The study encompassed 36 patients with ACL deficiency. A single‐leg hop test for distance and subjective ratin</w:instrText>
      </w:r>
      <w:r>
        <w:rPr>
          <w:lang w:eastAsia="zh-CN"/>
        </w:rPr>
        <w:instrText xml:space="preserve">g of knee function were defined as dependent variables and analyzed separately in stepwise linear regression models where proprioception, knee joint laxity, hamstrings and quadriceps strength, age and sex were defined as independent variables. Higher thre</w:instrText>
      </w:r>
      <w:r>
        <w:rPr>
          <w:rFonts w:hint="eastAsia"/>
          <w:lang w:eastAsia="zh-CN"/>
        </w:rPr>
        <w:instrText xml:space="preserve">shold values (poorer proprioception), increased side‐to‐side difference of anterior laxity and poorer strength significantly predicted shorter length of the hop test. Higher rating of subjective function corresponded to female gender, lesser side‐to‐side </w:instrText>
      </w:r>
      <w:r>
        <w:rPr>
          <w:lang w:eastAsia="zh-CN"/>
        </w:rPr>
        <w:instrText xml:space="preserve">difference of anterior laxity and better proprioception.","container-title":"Knee Surgery, Sports Traumatology, Arthroscopy","DOI":"10.1007/s00167-006-0128-4","ISSN":"0942-2056, 1433-7347","issue":"1","journalAbbreviation":"Knee Surg. Sports Traumatol. Arthrosc.","language":"en","license":"http://onlinelibrary.wiley.com/termsAndConditions#vor","page":"9-16","source":"DOI.org (Crossref)","title":"Clinical measurements of proprioception, muscle strength and laxity in relation to function in the ACL-injured knee","volume":"15","author":[{"family":"Roberts","given":"D."},{"family":"Ageberg","given":"E."},{"family":"Andersson","given":"G."},{"family":"Fridén","given":"T."}],"issued":{"date-parts":[["2007",1]]}}}],"schema":"https://github.com/citation-style-language/schema/raw/master/csl-citation.json"} </w:instrText>
      </w:r>
      <w:r>
        <w:rPr>
          <w:lang w:eastAsia="zh-CN"/>
        </w:rPr>
        <w:fldChar w:fldCharType="separate"/>
      </w:r>
      <w:r>
        <w:rPr>
          <w:rFonts w:cs="Times New Roman"/>
          <w:sz w:val="24"/>
        </w:rPr>
        <w:t>(44)</w:t>
      </w:r>
      <w:r>
        <w:rPr>
          <w:lang w:eastAsia="zh-CN"/>
        </w:rPr>
        <w:fldChar w:fldCharType="end"/>
      </w:r>
      <w:r>
        <w:rPr>
          <w:lang w:eastAsia="zh-CN"/>
        </w:rPr>
        <w:t>. Prolonged water-based training provides limited proprioceptive stimulation, often leading to poor postural control on land. By utilizing unstable surfaces (e.g., BOSU planks) and core stabilization drills, the INT protocol directly challenged the sensorimotor system. Previous studies demonstrate that core stability training on unstable surfaces significantly enhances dynamic balance and shortens neuromuscular reaction times</w:t>
      </w:r>
      <w:r>
        <w:rPr>
          <w:lang w:eastAsia="zh-CN"/>
        </w:rPr>
        <w:fldChar w:fldCharType="begin"/>
      </w:r>
      <w:r>
        <w:rPr>
          <w:lang w:eastAsia="zh-CN"/>
        </w:rPr>
        <w:instrText xml:space="preserve"> ADDIN ZOTERO_ITEM CSL_CITATION {"citationID":"nT7fqcUJ","properties":{"formattedCitation":"(45\\uc0\\u8211{}47)","plainCitation":"(45–47)","noteIndex":0},"citationItems":[{"id":633,"uris":["http://zotero.org/users/local/uTk9sRyd/items/BFU2CFHB"],"itemData":{"id":633,"type":"article-journal","container-title":"Sports Medicine","DOI":"10.1007/s40279-015-0384-x","ISSN":"0112-1642, 1179-2035","issue":"12","journalAbbreviation":"Sports Med.","language":"en","page":"1645-1669","source":"DOI.org (Crossref)","title":"Effects of strength training using unstable surfaces on strength, power and balance performance across the lifespan: a systematic review and meta-analysis","title-short":"Effects of strength training using unstable surfaces on strength, power and balance performance across the lifespan","volume":"45","author":[{"family":"Behm","given":"David G."},{"family":"Muehlbauer","given":"Thomas"},{"family":"Kibele","given":"Armin"},{"family":"Granacher","given":"Urs"}],"issued":{"date-parts":[["2015",12]]}}},{"id":624,"uris":["http://zotero.org/users/local/uTk9sRyd/items/PAUY69B7"],"itemData":{"id":624,"type":"article-journal","container-title":"Journal of Sport Biomechanics","issue":"1","journalAbbreviation":"J. Sport Biomech.","language":"en","page":"17–29","publisher":"Journal of Sport Biomechanics","source":"Google Scholar","title":"Comparing the effects of dry-land and in-water core stability training programs on swimmers’ upper body balance and performance","volume":"4","author":[{"family":"Harati","given":"Javad"},{"family":"Daneshmandi","given":"Hassan"},{"family":"Shahabi Kaseb","given":"Mohammad Reza"}],"issued":{"date-parts":[["2018"]]}}},{"id":631,"uris":["http://zotero.org/users/local/uTk9sRyd/items/RJ6UIIET"],"itemData":{"id":631,"type":"article-journal","container-title":"Journal of athletic training","issue":"1","journalAbbreviation":"J. athl. train.","language":"en","page":"80","source":"Google Scholar","title":"The sensorimotor system, part II: the role of proprioception in motor control and functional joint stability","title-short":"The sensorimotor system, part II","volume":"37","author":[{"family":"Riemann","given":"Bryan L."},{"family":"Lephart","given":"Scott M."}],"issued":{"date-parts":[["2002"]]}}}],"schema":"https://github.com/citation-style-language/schema/raw/master/csl-citation.json"} </w:instrText>
      </w:r>
      <w:r>
        <w:rPr>
          <w:lang w:eastAsia="zh-CN"/>
        </w:rPr>
        <w:fldChar w:fldCharType="separate"/>
      </w:r>
      <w:r>
        <w:rPr>
          <w:rFonts w:cs="Times New Roman"/>
          <w:sz w:val="24"/>
        </w:rPr>
        <w:t>(45–47)</w:t>
      </w:r>
      <w:r>
        <w:rPr>
          <w:lang w:eastAsia="zh-CN"/>
        </w:rPr>
        <w:fldChar w:fldCharType="end"/>
      </w:r>
      <w:r>
        <w:rPr>
          <w:lang w:eastAsia="zh-CN"/>
        </w:rPr>
        <w:t>. This mechanism directly explains the substantial improvements observed in the Rotary Stability and Deep Squat components, confirming that INT optimizes central motor control and postural coordination.</w:t>
      </w:r>
    </w:p>
    <w:p w14:paraId="4FED35B1">
      <w:pPr>
        <w:ind w:firstLine="420"/>
        <w:rPr>
          <w:lang w:eastAsia="zh-CN"/>
        </w:rPr>
      </w:pPr>
      <w:r>
        <w:rPr>
          <w:lang w:eastAsia="zh-CN"/>
        </w:rPr>
        <w:t xml:space="preserve">Second, the INT program effectively addressed muscular </w:t>
      </w:r>
      <w:r>
        <w:rPr>
          <w:rFonts w:hint="eastAsia"/>
          <w:lang w:eastAsia="zh-CN"/>
        </w:rPr>
        <w:t xml:space="preserve">control </w:t>
      </w:r>
      <w:r>
        <w:rPr>
          <w:lang w:eastAsia="zh-CN"/>
        </w:rPr>
        <w:t>asymmetries. Repetitive swimming strokes often promote compensatory load redistribution, which is a primary risk factor for overuse injuries. Research indicates that athletes with superior unilateral movement proficiency exhibit higher overall movement quality and lower injury incidence</w:t>
      </w:r>
      <w:r>
        <w:rPr>
          <w:lang w:eastAsia="zh-CN"/>
        </w:rPr>
        <w:fldChar w:fldCharType="begin"/>
      </w:r>
      <w:r>
        <w:rPr>
          <w:lang w:eastAsia="zh-CN"/>
        </w:rPr>
        <w:instrText xml:space="preserve"> ADDIN ZOTERO_ITEM CSL_CITATION {"citationID":"KnQq2ya0","properties":{"formattedCitation":"(48)","plainCitation":"(48)","noteIndex":0},"citationItems":[{"id":625,"uris":["http://zotero.org/users/local/uTk9sRyd/items/I5IEIP7J"],"itemData":{"id":625,"type":"article-journal","container-title":"Physical Therapy in Sport","DOI":"10.1016/j.ptsp.2018.10.009","journalAbbreviation":"Phys. Ther. Sport","language":"en","page":"192–200","publisher":"Elsevier","source":"Google Scholar","title":"Association between double-leg squat and single-leg squat performance and injury incidence among incoming NCAA division I athletes: a prospective cohort study","title-short":"Association between double-leg squat and single-leg squat performance and injury incidence among incoming NCAA division I athletes","volume":"34","author":[{"family":"Eckard","given":"Timothy"},{"family":"Padua","given":"Darin"},{"family":"Mauntel","given":"Timothy"},{"family":"Frank","given":"Barnett"},{"family":"Pietrosimone","given":"Laura"},{"family":"Begalle","given":"Rebecca"},{"family":"Goto","given":"Shiho"},{"family":"Clark","given":"Michael"},{"family":"Kucera","given":"Kristen"}],"issued":{"date-parts":[["2018"]]}}}],"schema":"https://github.com/citation-style-language/schema/raw/master/csl-citation.json"} </w:instrText>
      </w:r>
      <w:r>
        <w:rPr>
          <w:lang w:eastAsia="zh-CN"/>
        </w:rPr>
        <w:fldChar w:fldCharType="separate"/>
      </w:r>
      <w:r>
        <w:rPr>
          <w:rFonts w:cs="Times New Roman"/>
          <w:sz w:val="24"/>
        </w:rPr>
        <w:t>(48)</w:t>
      </w:r>
      <w:r>
        <w:rPr>
          <w:lang w:eastAsia="zh-CN"/>
        </w:rPr>
        <w:fldChar w:fldCharType="end"/>
      </w:r>
      <w:r>
        <w:rPr>
          <w:lang w:eastAsia="zh-CN"/>
        </w:rPr>
        <w:t xml:space="preserve">. Our INT protocol </w:t>
      </w:r>
      <w:r>
        <w:rPr>
          <w:rFonts w:hint="eastAsia"/>
          <w:lang w:eastAsia="zh-CN"/>
        </w:rPr>
        <w:t>added</w:t>
      </w:r>
      <w:r>
        <w:rPr>
          <w:lang w:eastAsia="zh-CN"/>
        </w:rPr>
        <w:t xml:space="preserve"> asymmetrical and single-leg loading tasks to correct these imbalances. Studies have shown that targeted neuromuscular interventions focusing on postural control and unilateral stability can reduce joint injury rates by up to 60%</w:t>
      </w:r>
      <w:r>
        <w:rPr>
          <w:lang w:eastAsia="zh-CN"/>
        </w:rPr>
        <w:fldChar w:fldCharType="begin"/>
      </w:r>
      <w:r>
        <w:rPr>
          <w:lang w:eastAsia="zh-CN"/>
        </w:rPr>
        <w:instrText xml:space="preserve"> ADDIN ZOTERO_ITEM CSL_CITATION {"citationID":"aLajItDf","properties":{"formattedCitation":"(49,50)","plainCitation":"(49,50)","noteIndex":0},"citationItems":[{"id":202,"uris":["http://zotero.org/users/local/uTk9sRyd/items/48DBAL77"],"itemData":{"id":202,"type":"article-journal","container-title":"Journal of human kinetics","DOI":"10.1515/hukin-2015-0150","journalAbbreviation":"J. hum. kinet.","language":"en","note":"TLDR: Low limb neuromuscular asymmetry of 10-15% exists and this can be considered as a reference value for male and female basketball and volleyball players.","page":"135","source":"Google Scholar","title":"Lower limb neuromuscular asymmetry in volleyball and basketball players","volume":"50","author":[{"family":"Fort-Vanmeerhaeghe","given":"Azahara"},{"family":"Gual","given":"Gabriel"},{"family":"Romero-Rodriguez","given":"Daniel"},{"family":"Unnitha","given":"Viswanath"}],"issued":{"date-parts":[["2016"]]}}},{"id":626,"uris":["http://zotero.org/users/local/uTk9sRyd/items/N5BY3P8Z"],"itemData":{"id":626,"type":"article-journal","container-title":"International Journal of Sports Medicine","DOI":"10.1055/s-0033-1349874","ISSN":"0172-4622, 1439-3964","issue":"4","journalAbbreviation":"Int. J. Sports Med.","language":"en","page":"351-355","source":"DOI.org (Crossref)","title":"Sport injuries aligned to peak height velocity in talented pubertal soccer players","volume":"35","author":[{"family":"Van Der Sluis","given":"A."},{"family":"Elferink-Gemser","given":"M."},{"family":"Coelho-e-Silva","given":"M."},{"family":"Nijboer","given":"J."},{"family":"Brink","given":"M."},{"family":"Visscher","given":"C."}],"issued":{"date-parts":[["2013",9,10]]}}}],"schema":"https://github.com/citation-style-language/schema/raw/master/csl-citation.json"} </w:instrText>
      </w:r>
      <w:r>
        <w:rPr>
          <w:lang w:eastAsia="zh-CN"/>
        </w:rPr>
        <w:fldChar w:fldCharType="separate"/>
      </w:r>
      <w:r>
        <w:rPr>
          <w:rFonts w:cs="Times New Roman"/>
          <w:sz w:val="24"/>
        </w:rPr>
        <w:t>(49,50)</w:t>
      </w:r>
      <w:r>
        <w:rPr>
          <w:lang w:eastAsia="zh-CN"/>
        </w:rPr>
        <w:fldChar w:fldCharType="end"/>
      </w:r>
      <w:r>
        <w:rPr>
          <w:lang w:eastAsia="zh-CN"/>
        </w:rPr>
        <w:t>. The significant gains in the Hurdle Step and In-Line Lunge tests confirm that INT successfully enhanced unilateral dynamic control, thereby correcting functional asymmetries in these swimmers.</w:t>
      </w:r>
    </w:p>
    <w:p w14:paraId="6FA2397F">
      <w:pPr>
        <w:ind w:firstLine="420"/>
        <w:rPr>
          <w:lang w:eastAsia="zh-CN"/>
        </w:rPr>
      </w:pPr>
      <w:r>
        <w:rPr>
          <w:lang w:eastAsia="zh-CN"/>
        </w:rPr>
        <w:t>Additionally, the age-specific responsiveness to neuromuscular training explains the divergent results between the two groups. Adolescent athletes are undergoing rapid musculoskeletal growth, which frequently outpaces neuromuscular adaptation, leading to abnormal joint loading and increased injury risk</w:t>
      </w:r>
      <w:r>
        <w:rPr>
          <w:lang w:eastAsia="zh-CN"/>
        </w:rPr>
        <w:fldChar w:fldCharType="begin"/>
      </w:r>
      <w:r>
        <w:rPr>
          <w:lang w:eastAsia="zh-CN"/>
        </w:rPr>
        <w:instrText xml:space="preserve"> ADDIN ZOTERO_ITEM CSL_CITATION {"citationID":"K0U5j2rC","properties":{"formattedCitation":"(51)","plainCitation":"(51)","noteIndex":0},"citationItems":[{"id":636,"uris":["http://zotero.org/users/local/uTk9sRyd/items/37YWYF5B"],"itemData":{"id":636,"type":"article-journal","container-title":"Frontiers in physiology","DOI":"10.3389/fphys.2017.00987","journalAbbreviation":"Front. Physiol.","language":"en","page":"987","publisher":"Frontiers Media SA","source":"Google Scholar","title":"Imbalances in the development of muscle and tendon as risk factor for tendinopathies in youth athletes: a review of current evidence and concepts of prevention","title-short":"Imbalances in the development of muscle and tendon as risk factor for tendinopathies in youth athletes","volume":"8","author":[{"family":"Mersmann","given":"Falk"},{"family":"Bohm","given":"Sebastian"},{"family":"Arampatzis","given":"Adamantios"}],"issued":{"date-parts":[["2017"]]}}}],"schema":"https://github.com/citation-style-language/schema/raw/master/csl-citation.json"} </w:instrText>
      </w:r>
      <w:r>
        <w:rPr>
          <w:lang w:eastAsia="zh-CN"/>
        </w:rPr>
        <w:fldChar w:fldCharType="separate"/>
      </w:r>
      <w:r>
        <w:rPr>
          <w:rFonts w:cs="Times New Roman"/>
          <w:sz w:val="24"/>
        </w:rPr>
        <w:t>(51)</w:t>
      </w:r>
      <w:r>
        <w:rPr>
          <w:lang w:eastAsia="zh-CN"/>
        </w:rPr>
        <w:fldChar w:fldCharType="end"/>
      </w:r>
      <w:r>
        <w:rPr>
          <w:lang w:eastAsia="zh-CN"/>
        </w:rPr>
        <w:t>. Traditional strength training—as performed by the CON group—primarily targets muscular output but lacks the coordinative stimulus required to optimize neuro-motor pathways. By integrating balance, speed, plyometric, and coordinative elements, INT provides the necessary neural activation to match physical growth</w:t>
      </w:r>
      <w:r>
        <w:rPr>
          <w:lang w:eastAsia="zh-CN"/>
        </w:rPr>
        <w:fldChar w:fldCharType="begin"/>
      </w:r>
      <w:r>
        <w:rPr>
          <w:lang w:eastAsia="zh-CN"/>
        </w:rPr>
        <w:instrText xml:space="preserve"> ADDIN ZOTERO_ITEM CSL_CITATION {"citationID":"dQy9NXSf","properties":{"formattedCitation":"(44,52)","plainCitation":"(44,52)","noteIndex":0},"citationItems":[{"id":627,"uris":["http://zotero.org/users/local/uTk9sRyd/items/Z5CQSR6F"],"itemData":{"id":627,"type":"article-journal","abstract":"Background:\n              In female athletes, sports-related injuries to the anterior cruciate ligament (ACL) increase during adolescence and peak in incidence during the mid- to late teens. Although biomechanical investigations indicate that a potential window of opportunity exists for optimal timing for the initiation of integrative neuromuscular training (NMT) in young female athletes, the influence of the timing of initiation of these programs on the efficacy of ACL injury reduction has yet to be evaluated.\n            \n            \n              Hypothesis/Purpose:\n              The purpose of the current report was to systematically review and synthesize the scientific literature regarding the influence of age of NMT implementation on the effectiveness for reduction of ACL injury incidence. The hypothesis tested was that NMT would show a greater effect in younger populations.\n            \n            \n              Study Design:\n              Meta-analysis; Level of evidence 1a.\n            \n            \n              Methods:\n              Data were pooled from 14 clinical trials that met the inclusion criteria of (1) number of ACL injuries reported; (2) NMT program used; (3) female participants were included; (4) investigations used prospective, controlled trials; and (5) age of participants was documented or was obtainable upon contact with the authors. A meta-analysis with odds ratio (OR) was used to compare the ratios of ACL injuries between intervention and control groups among differing age categorizations.\n            \n            \n              Results:\n              A meta-analysis of the 14 included studies demonstrated significantly greater knee injury reduction in female athletes who were categorized in the preventive NMT group compared with those who were in the control group (OR: 0.54; 95% confidence interval [CI]: 0.35, 0.83). Lower ACL injuries in mid-teens (OR 0.28; CI: 0.18, 0.42) compared with late teens (OR 0.48; CI: 0.21, 1.07) and early adults (OR 1.01; CI: 0.62, 1.64) were found in participants undergoing NMT.\n            \n            \n              Conclusion:\n              The findings of this meta-analysis revealed an age-related association between NMT implementation and reduction of ACL incidence. Both biomechanical and the current epidemiological data indicate that the potential window of opportunity for optimized ACL injury risk reduction may be before the onset of neuromuscular deficits and peak knee injury incidence in female athletes. Specifically, it may be optimal to initiate integrative NMT programs during early adolescence, before the period of altered mechanics that increase injury risk.","container-title":"The American Journal of Sports Medicine","DOI":"10.1177/0363546512460637","ISSN":"0363-5465, 1552-3365","issue":"1","journalAbbreviation":"Am. J. Sports Med.","language":"en","page":"203-215","source":"DOI.org (Crossref)","title":"The influence of age on the effectiveness of neuromuscular training to reduce anterior cruciate ligament injury in female athletes: a meta-analysis","title-short":"The influence of age on the effectiveness of neuromuscular training to reduce anterior cruciate ligament injury in female athletes","volume":"41","author":[{"family":"Myer","given":"Gregory D."},{"family":"Sugimoto","given":"Dai"},{"family":"Thomas","given":"Staci"},{"family":"Hewett","given":"Timothy E."}],"issued":{"date-parts":[["2013",1]]}}},{"id":629,"uris":["http://zotero.org/users/local/uTk9sRyd/items/FDA8QXLA"],"itemData":{"id":629,"type":"article-journal","abstract":"Abstract\n            A knee injury with anterior cruciate ligament (ACL) rupture may cause deficits in proprioception, increased laxity and decreased muscle strength. Although it may be common knowledge that these factors affect knee function, only a few studies have been performed where this has been investigated in the clinical situation, and the results are not conclusive. The purpose of this study was therefore to investigate how and to </w:instrText>
      </w:r>
      <w:r>
        <w:rPr>
          <w:rFonts w:hint="eastAsia"/>
          <w:lang w:eastAsia="zh-CN"/>
        </w:rPr>
        <w:instrText xml:space="preserve">what extent proprioception, laxity and strength affect knee joint function and evaluate if the methods commonly used for estimating these factors clinically seem to be relevant. The study encompassed 36 patients with ACL deficiency. A single‐leg hop test </w:instrText>
      </w:r>
      <w:r>
        <w:rPr>
          <w:lang w:eastAsia="zh-CN"/>
        </w:rPr>
        <w:instrText xml:space="preserve">for distance and subjective rating of knee function were defined as dependent variables and analyzed separately in stepwise linear regression models where proprioception, knee joint laxity, hamstrings and quadriceps strength, age and sex were defined as i</w:instrText>
      </w:r>
      <w:r>
        <w:rPr>
          <w:rFonts w:hint="eastAsia"/>
          <w:lang w:eastAsia="zh-CN"/>
        </w:rPr>
        <w:instrText xml:space="preserve">ndependent variables. Higher threshold values (poorer proprioception), increased side‐to‐side difference of anterior laxity and poorer strength significantly predicted shorter length of the hop test. Higher rating of subjective function corresponded to female gender, lesser side‐to‐side difference of anterior laxity and better proprioception.","container-title":"Knee Surgery, Sports Traumatology, Arthroscopy","DOI":"10.1007/s00167-006-0128-4","ISSN":"0942-2056, 1433-7347","issue":"1","journalAbbreviation"</w:instrText>
      </w:r>
      <w:r>
        <w:rPr>
          <w:lang w:eastAsia="zh-CN"/>
        </w:rPr>
        <w:instrText xml:space="preserve">:"Knee Surg. Sports Traumatol. Arthrosc.","language":"en","license":"http://onlinelibrary.wiley.com/termsAndConditions#vor","page":"9-16","source":"DOI.org (Crossref)","title":"Clinical measurements of proprioception, muscle strength and laxity in relation to function in the ACL-injured knee","volume":"15","author":[{"family":"Roberts","given":"D."},{"family":"Ageberg","given":"E."},{"family":"Andersson","given":"G."},{"family":"Fridén","given":"T."}],"issued":{"date-parts":[["2007",1]]}}}],"schema":"https://github.com/citation-style-language/schema/raw/master/csl-citation.json"} </w:instrText>
      </w:r>
      <w:r>
        <w:rPr>
          <w:lang w:eastAsia="zh-CN"/>
        </w:rPr>
        <w:fldChar w:fldCharType="separate"/>
      </w:r>
      <w:r>
        <w:rPr>
          <w:rFonts w:cs="Times New Roman"/>
          <w:sz w:val="24"/>
        </w:rPr>
        <w:t>(44,52)</w:t>
      </w:r>
      <w:r>
        <w:rPr>
          <w:lang w:eastAsia="zh-CN"/>
        </w:rPr>
        <w:fldChar w:fldCharType="end"/>
      </w:r>
      <w:r>
        <w:rPr>
          <w:lang w:eastAsia="zh-CN"/>
        </w:rPr>
        <w:t>. Consequently, traditional resistance</w:t>
      </w:r>
      <w:r>
        <w:rPr>
          <w:rFonts w:hint="eastAsia"/>
          <w:lang w:eastAsia="zh-CN"/>
        </w:rPr>
        <w:t xml:space="preserve"> or strength</w:t>
      </w:r>
      <w:r>
        <w:rPr>
          <w:lang w:eastAsia="zh-CN"/>
        </w:rPr>
        <w:t xml:space="preserve"> training is insufficient; targeted neuromuscular interventions are essential for youth swimmers to optimize fundamental movement patterns, thereby establishing a robust biomechanical foundation for long-term injury prevention.</w:t>
      </w:r>
    </w:p>
    <w:bookmarkEnd w:id="30"/>
    <w:p w14:paraId="3D84BB8B">
      <w:pPr>
        <w:pStyle w:val="4"/>
        <w:rPr>
          <w:lang w:eastAsia="zh-CN"/>
        </w:rPr>
      </w:pPr>
      <w:r>
        <w:rPr>
          <w:rFonts w:ascii="Times New Roman" w:hAnsi="Times New Roman" w:eastAsia="黑体"/>
          <w:lang w:eastAsia="zh-CN"/>
        </w:rPr>
        <w:t xml:space="preserve">4.3 </w:t>
      </w:r>
      <w:bookmarkStart w:id="32" w:name="OLE_LINK32"/>
      <w:r>
        <w:rPr>
          <w:rFonts w:hint="eastAsia" w:ascii="Times New Roman" w:hAnsi="Times New Roman" w:eastAsia="黑体"/>
          <w:lang w:eastAsia="zh-CN"/>
        </w:rPr>
        <w:t>Effect of INT training on lower limbs explosive power</w:t>
      </w:r>
    </w:p>
    <w:p w14:paraId="688EEBDF">
      <w:pPr>
        <w:ind w:firstLine="420" w:firstLineChars="200"/>
        <w:rPr>
          <w:lang w:eastAsia="zh-CN"/>
        </w:rPr>
      </w:pPr>
      <w:bookmarkStart w:id="33" w:name="OLE_LINK45"/>
      <w:bookmarkStart w:id="34" w:name="OLE_LINK12"/>
      <w:r>
        <w:rPr>
          <w:lang w:eastAsia="zh-CN"/>
        </w:rPr>
        <w:t xml:space="preserve">The INT intervention </w:t>
      </w:r>
      <w:r>
        <w:rPr>
          <w:rFonts w:hint="eastAsia"/>
          <w:lang w:eastAsia="zh-CN"/>
        </w:rPr>
        <w:t>showed</w:t>
      </w:r>
      <w:r>
        <w:rPr>
          <w:lang w:eastAsia="zh-CN"/>
        </w:rPr>
        <w:t xml:space="preserve"> significant within-group improvements in the squat jump (ES = 0.67) and standing long jump (ES = 0.34), along with a non-significant increase in the countermovement jump (</w:t>
      </w:r>
      <w:r>
        <w:rPr>
          <w:rFonts w:hint="eastAsia"/>
          <w:i/>
          <w:iCs/>
          <w:lang w:eastAsia="zh-CN"/>
        </w:rPr>
        <w:t>P</w:t>
      </w:r>
      <w:r>
        <w:rPr>
          <w:rFonts w:hint="eastAsia"/>
          <w:lang w:eastAsia="zh-CN"/>
        </w:rPr>
        <w:t xml:space="preserve"> &gt; 0.05, </w:t>
      </w:r>
      <w:r>
        <w:rPr>
          <w:lang w:eastAsia="zh-CN"/>
        </w:rPr>
        <w:t>ES = 0.77). Although between-group differences were not statistically significant, the INT group exhibited consistently larger effect sizes across all three measures compared to the CON group, suggesting a positive training response</w:t>
      </w:r>
      <w:r>
        <w:rPr>
          <w:rFonts w:hint="eastAsia"/>
          <w:lang w:eastAsia="zh-CN"/>
        </w:rPr>
        <w:t>.</w:t>
      </w:r>
      <w:r>
        <w:rPr>
          <w:lang w:eastAsia="zh-CN"/>
        </w:rPr>
        <w:t xml:space="preserve"> This lack of </w:t>
      </w:r>
      <w:r>
        <w:rPr>
          <w:rFonts w:hint="eastAsia"/>
          <w:lang w:eastAsia="zh-CN"/>
        </w:rPr>
        <w:t xml:space="preserve">within-group </w:t>
      </w:r>
      <w:r>
        <w:rPr>
          <w:lang w:eastAsia="zh-CN"/>
        </w:rPr>
        <w:t>significant improvement in the CMJ contrasts with previous studies reporting marked vertical power</w:t>
      </w:r>
      <w:bookmarkEnd w:id="33"/>
      <w:r>
        <w:rPr>
          <w:lang w:eastAsia="zh-CN"/>
        </w:rPr>
        <w:fldChar w:fldCharType="begin"/>
      </w:r>
      <w:r>
        <w:rPr>
          <w:lang w:eastAsia="zh-CN"/>
        </w:rPr>
        <w:instrText xml:space="preserve"> ADDIN ZOTERO_ITEM CSL_CITATION {"citationID":"iuS9kYFR","properties":{"formattedCitation":"(12,53)","plainCitation":"(12,53)","noteIndex":0},"citationItems":[{"id":206,"uris":["http://zotero.org/users/local/uTk9sRyd/items/LQFY9FBE"],"itemData":{"id":206,"type":"article-journal","container-title":"Strength &amp; Conditioning Journal","DOI":"10.1519/SSC.0000000000000229","issue":"3","journalAbbreviation":"Strength Cond. J.","language":"en","note":"TLDR: A flexible approach is provided to INTEGRATIVE NEUROMUSCULAR TRAINING with the goal to improve injuries resilience and to enhance sport and motor skill performance.","page":"36–48","publisher":"LWW","source":"Google Scholar","title":"Integrative neuromuscular training and injury prevention in youth athletes. Part I: identifying risk factors","title-short":"Integrative neuromuscular training and injury prevention in youth athletes. Part I","volume":"38","author":[{"family":"Fort-Vanmeerhaeghe","given":"Azahara"},{"family":"Romero-Rodriguez","given":"Daniel"},{"family":"Montalvo","given":"Alicia M."},{"family":"Kiefer","given":"Adam W."},{"family":"Lloyd","given":"Rhodri S."},{"family":"Myer","given":"Gregory D."}],"issued":{"date-parts":[["2016"]]}}},{"id":559,"uris":["http://zotero.org/users/local/uTk9sRyd/item</w:instrText>
      </w:r>
      <w:r>
        <w:rPr>
          <w:rFonts w:hint="eastAsia"/>
          <w:lang w:eastAsia="zh-CN"/>
        </w:rPr>
        <w:instrText xml:space="preserve">s/X952GHXS"],"itemData":{"id":559,"type":"article-journal","container-title":"体育科学","issue":"11","journalAbbreviation":"体育科学","language":"zh","page":"28–38","source":"Google Scholar","title":"整合性神经肌肉训练对听障乒乓球运动员下肢功能性不对称与平衡能力的影响","volume":"38","author":[{"literal":"雷正方"},{"literal":"张瑛秋"}],"issued":{"date-parts":[["2018"]]}}}],"schema":"https://github.com/citation-style-language/schema/raw/master/csl-citation.json"} </w:instrText>
      </w:r>
      <w:r>
        <w:rPr>
          <w:lang w:eastAsia="zh-CN"/>
        </w:rPr>
        <w:fldChar w:fldCharType="separate"/>
      </w:r>
      <w:r>
        <w:rPr>
          <w:rFonts w:cs="Times New Roman"/>
          <w:sz w:val="24"/>
        </w:rPr>
        <w:t>(12,53)</w:t>
      </w:r>
      <w:r>
        <w:rPr>
          <w:lang w:eastAsia="zh-CN"/>
        </w:rPr>
        <w:fldChar w:fldCharType="end"/>
      </w:r>
      <w:r>
        <w:rPr>
          <w:lang w:eastAsia="zh-CN"/>
        </w:rPr>
        <w:t xml:space="preserve"> and team sports</w:t>
      </w:r>
      <w:r>
        <w:rPr>
          <w:lang w:eastAsia="zh-CN"/>
        </w:rPr>
        <w:fldChar w:fldCharType="begin"/>
      </w:r>
      <w:r>
        <w:rPr>
          <w:lang w:eastAsia="zh-CN"/>
        </w:rPr>
        <w:instrText xml:space="preserve"> ADDIN ZOTERO_ITEM CSL_CITATION {"citationID":"BcDCH9u3","properties":{"formattedCitation":"(27,54)","plainCitation":"(27,54)","noteIndex":0},"citationItems":[{"id":197,"uris":["http://zotero.org/users/local/uTk9sRyd/items/PCUKIMCI"],"itemData":{"id":197,</w:instrText>
      </w:r>
      <w:r>
        <w:rPr>
          <w:rFonts w:hint="eastAsia"/>
          <w:lang w:eastAsia="zh-CN"/>
        </w:rPr>
        <w:instrText xml:space="preserve">"type":"article-journal","container-title":"体育科学","issue":"2","journalAbbreviation":"体育科学","language":"zh","page":"66–75","source":"Google Scholar","title":"整合性神经肌肉训练对提高女子运动员运动表现及预防运动损伤的影响","volume":"37","author":[{"literal":"何鹏飞"},{"literal":"董范"},{"literal":"姜自立"}],"issued":{"date-parts":[["2017"]]}}},{"id":561,"uris":["http://zotero.org/users/local/uTk9sRyd/items/8YBN2GB2"],"itemData":{"id":561,"type":"article-journal","abstract":"The study was a two‐armed, parallel group, cluster randomized controlled trial in which 15 teams (160 players) were assigned to either an experimental group (\n              EG\n              , 8 teams n = 86), which warmed‐up with bodyweight neuromuscular exercises, or a control group (\n              CG\n              , 7 teams, n = 74) that performed standard tactical‐technical exercises before training. All injuries during the 2015‐2016 regular season were counted. Epidemiologic incidence proportion and incidence rate were also calculated. Countermovement jump (\n              CMJ\n              ) and composite Y‐Excursion Balance test (\n              YBT\n              ) were used to assess lower limb strength and postural control. A total of 111 injuries were recorded. Chi‐square test detected statistically significant</w:instrText>
      </w:r>
      <w:r>
        <w:rPr>
          <w:lang w:eastAsia="zh-CN"/>
        </w:rPr>
        <w:instrText xml:space="preserve"> differences between\n              EG\n              and\n              CG\n              (32 vs 79,\n              P\n               = .006). Significant differences in the injuries sustained in the\n              EG\n              (21 vs 11,\n         </w:instrText>
      </w:r>
      <w:r>
        <w:rPr>
          <w:rFonts w:hint="eastAsia"/>
          <w:lang w:eastAsia="zh-CN"/>
        </w:rPr>
        <w:instrText xml:space="preserve">     P\n               = .024) and\n              CG\n              (52 vs 27,\n              P\n               = .0001) during training and matches, respectively, were observed. Significant differences in post‐intervention injuries were observed between </w:instrText>
      </w:r>
      <w:r>
        <w:rPr>
          <w:lang w:eastAsia="zh-CN"/>
        </w:rPr>
        <w:instrText xml:space="preserve">in\n              EG\n              and\n              CG\n              during training (21 vs 52,\n              P\n               &lt; .0001) and matches (11 vs 27,\n              P\n               = .006). Significant differences in epidemiologic incidence (0.37 vs 1.07,\n              P\n               = .023) and incidence rate (1.66 vs 4.69,\n              P\n               = .012) between the\n              EG\n              and the\n              CG\n              were found. Significant improvement in\n              CMJ\n              (+9.4%,\n              P\n               &lt; .0001;\n              d\n               = 1.2) and composite\n              YBT\n              (right: +4.4%,\n              P\n               = .001,\n              d\n     </w:instrText>
      </w:r>
      <w:r>
        <w:rPr>
          <w:rFonts w:hint="eastAsia"/>
          <w:lang w:eastAsia="zh-CN"/>
        </w:rPr>
        <w:instrText xml:space="preserve">          = 1.0; left: +3.0%,\n              P\n               = .003;\n              d\n               = 0.8) for the\n              EG\n              was noted. Significant differences in post‐intervention\n              CMJ\n              (+5.9%,\n    </w:instrText>
      </w:r>
      <w:r>
        <w:rPr>
          <w:lang w:eastAsia="zh-CN"/>
        </w:rPr>
        <w:instrText xml:space="preserve">          P\n               = .004) and composite\n              YBT\n              scores (right, +3.7%,\n              P\n               = .012; left, +2.3%,\n              P\n               = .007) between the\n              EG\n              and the\n</w:instrText>
      </w:r>
      <w:r>
        <w:rPr>
          <w:rFonts w:hint="eastAsia"/>
          <w:lang w:eastAsia="zh-CN"/>
        </w:rPr>
        <w:instrText xml:space="preserve">              CG\n              were observed. Including bodyweight neuromuscular training into warm‐up routines reduced the incidence of serious lower limb injuries in elite female basketball players.","container-title":"Scandinavian Journal of Medicine </w:instrText>
      </w:r>
      <w:r>
        <w:rPr>
          <w:lang w:eastAsia="zh-CN"/>
        </w:rPr>
        <w:instrText xml:space="preserve">&amp; Science in Sports","DOI":"10.1111/sms.13034","ISSN":"0905-7188, 1600-0838","issue":"4","journalAbbreviation":"Scand. J. Med. Sci. Sports","language":"en","license":"http://onlinelibrary.wiley.com/termsAndConditions#vor","page":"1451-1460","source":"DOI.org (Crossref)","title":"Neuromuscular training reduces lower limb injuries in elite female basketball players. A cluster randomized controlled trial","volume":"28","author":[{"family":"Bonato","given":"M."},{"family":"Benis","given":"R."},{"family":"La Torre","given":"A."}],"issued":{"date-parts":[["2018",4]]}}}],"schema":"https://github.com/citation-style-language/schema/raw/master/csl-citation.json"} </w:instrText>
      </w:r>
      <w:r>
        <w:rPr>
          <w:lang w:eastAsia="zh-CN"/>
        </w:rPr>
        <w:fldChar w:fldCharType="separate"/>
      </w:r>
      <w:r>
        <w:rPr>
          <w:rFonts w:cs="Times New Roman"/>
          <w:sz w:val="24"/>
        </w:rPr>
        <w:t>(27,54)</w:t>
      </w:r>
      <w:r>
        <w:rPr>
          <w:lang w:eastAsia="zh-CN"/>
        </w:rPr>
        <w:fldChar w:fldCharType="end"/>
      </w:r>
      <w:r>
        <w:rPr>
          <w:lang w:eastAsia="zh-CN"/>
        </w:rPr>
        <w:t xml:space="preserve">, </w:t>
      </w:r>
      <w:bookmarkStart w:id="35" w:name="OLE_LINK21"/>
      <w:r>
        <w:rPr>
          <w:lang w:eastAsia="zh-CN"/>
        </w:rPr>
        <w:t>but appears consistent when considering the biomechanical demands and training-specific characteristics of swimming</w:t>
      </w:r>
      <w:r>
        <w:rPr>
          <w:rFonts w:hint="eastAsia"/>
          <w:lang w:eastAsia="zh-CN"/>
        </w:rPr>
        <w:t xml:space="preserve"> start</w:t>
      </w:r>
      <w:r>
        <w:rPr>
          <w:lang w:eastAsia="zh-CN"/>
        </w:rPr>
        <w:t>, which differ substantially from those of land-based and team sports.</w:t>
      </w:r>
      <w:bookmarkStart w:id="36" w:name="OLE_LINK23"/>
      <w:r>
        <w:rPr>
          <w:lang w:eastAsia="zh-CN"/>
        </w:rPr>
        <w:t xml:space="preserve"> </w:t>
      </w:r>
      <w:bookmarkEnd w:id="36"/>
      <w:bookmarkStart w:id="37" w:name="OLE_LINK25"/>
      <w:r>
        <w:rPr>
          <w:lang w:eastAsia="zh-CN"/>
        </w:rPr>
        <w:t xml:space="preserve">This divergence indicates that the neuromuscular adaptations elicited by our INT protocol are highly direction-specific, prioritizing horizontal force production over vertical jumping </w:t>
      </w:r>
      <w:r>
        <w:rPr>
          <w:rFonts w:hint="eastAsia"/>
          <w:lang w:eastAsia="zh-CN"/>
        </w:rPr>
        <w:t>ability</w:t>
      </w:r>
      <w:r>
        <w:rPr>
          <w:lang w:eastAsia="zh-CN"/>
        </w:rPr>
        <w:t>.</w:t>
      </w:r>
      <w:r>
        <w:rPr>
          <w:lang w:eastAsia="zh-CN"/>
        </w:rPr>
        <w:fldChar w:fldCharType="begin"/>
      </w:r>
      <w:r>
        <w:rPr>
          <w:lang w:eastAsia="zh-CN"/>
        </w:rPr>
        <w:instrText xml:space="preserve"> ADDIN ZOTERO_ITEM CSL_CITATION {"citationID":"6XZtlh7f","properties":{"formattedCitation":"(55,56)","plainCitation":"(55,56)","noteIndex":0},"citationItems":[{"id":567,"uris":["http://zotero.org/users/local/uTk9sRyd/items/RYUBGXNR"],"itemData":{"id":567,"type":"article-journal","container-title":"International Journal of Sports Medicine","DOI":"10.1055/s-0029-1241208","ISSN":"0172-4622, 1439-3964","issue":"1","journalAbbreviation":"Int. J. Sports Med.","language":"en","page":"16-21","source":"DOI.org (Crossref)","title":"Kinematical profiling of the front crawl start","volume":"31","author":[{"family":"Vantorre","given":"J."},{"family":"Seifert","given":"L."},{"family":"Fernandes","given":"R. J."},{"family":"Boas","given":"J.P. V."},{"family":"Chollet","given":"D."}],"issued":{"date-parts":[["2010",1]]}}},{"id":568,"uris":["http://zotero.org/users/local/uTk9sRyd/items/ZEJRVJBJ"],"itemData":{"id":568,"type":"article-journal","container-title":"Journal of sports science &amp; medicine","issue":"2","journalAbbreviation":"J. sports sci. med.","language":"en","page":"223","source":"Google Scholar","title":"Biomechanical analysis of the swim-start: a review","title-short":"Biomechanical analysis of the swim-start","volume":"13","author":[{"family":"Vantorre","given":"Julien"},{"family":"Chollet","given":"Didier"},{"family":"Seifert","given":"Ludovic"}],"issued":{"date-parts":[["2014"]]}}}],"schema":"https://github.com/citation-style-language/schema/raw/master/csl-citation.json"} </w:instrText>
      </w:r>
      <w:r>
        <w:rPr>
          <w:lang w:eastAsia="zh-CN"/>
        </w:rPr>
        <w:fldChar w:fldCharType="separate"/>
      </w:r>
      <w:r>
        <w:rPr>
          <w:rFonts w:cs="Times New Roman"/>
          <w:sz w:val="24"/>
        </w:rPr>
        <w:t>(55,56)</w:t>
      </w:r>
      <w:r>
        <w:rPr>
          <w:lang w:eastAsia="zh-CN"/>
        </w:rPr>
        <w:fldChar w:fldCharType="end"/>
      </w:r>
      <w:r>
        <w:rPr>
          <w:lang w:eastAsia="zh-CN"/>
        </w:rPr>
        <w:t>.</w:t>
      </w:r>
      <w:bookmarkEnd w:id="37"/>
    </w:p>
    <w:bookmarkEnd w:id="32"/>
    <w:bookmarkEnd w:id="35"/>
    <w:p w14:paraId="6D22746D">
      <w:pPr>
        <w:rPr>
          <w:lang w:eastAsia="zh-CN"/>
        </w:rPr>
      </w:pPr>
      <w:r>
        <w:rPr>
          <w:rFonts w:hint="eastAsia"/>
          <w:lang w:eastAsia="zh-CN"/>
        </w:rPr>
        <w:t>Our</w:t>
      </w:r>
      <w:r>
        <w:rPr>
          <w:lang w:eastAsia="zh-CN"/>
        </w:rPr>
        <w:t xml:space="preserve"> INT protocol implemented in the present study primarily emphasized unstable support, unilateral loading, and dynamic postural control, and incorporated partially task-specific drills. Such training characteristics are more associated with horizontal acceleration and force vector orientation than with maximal vertical force production</w:t>
      </w:r>
      <w:r>
        <w:rPr>
          <w:lang w:eastAsia="zh-CN"/>
        </w:rPr>
        <w:fldChar w:fldCharType="begin"/>
      </w:r>
      <w:r>
        <w:rPr>
          <w:lang w:eastAsia="zh-CN"/>
        </w:rPr>
        <w:instrText xml:space="preserve"> ADDIN ZOTERO_ITEM CSL_CITATION {"citationID":"X9herDOO","properties":{"formattedCitation":"(57)","plainCitation":"(57)","noteIndex":0},"citationItems":[{"id":572,"uris":["http://zotero.org/users/local/uTk9sRyd/items/ZN5C2IZ7"],"itemData":{"id":572,"type":"article-journal","container-title":"Sports","DOI":"10.3390/sports7020030","issue":"2","journalAbbreviation":"Sports","language":"en","page":"30","publisher":"MDPI","source":"Google Scholar","title":"The magical horizontal force muscle? A preliminary study examining the “force-vector” theory","title-short":"The magical horizontal force muscle?","volume":"7","author":[{"family":"Fitzpatrick","given":"David A."},{"family":"Cimadoro","given":"Giuseppe"},{"family":"Cleather","given":"Daniel J."}],"issued":{"date-parts":[["2019"]]}}}],"schema":"https://github.com/citation-style-language/schema/raw/master/csl-citation.json"} </w:instrText>
      </w:r>
      <w:r>
        <w:rPr>
          <w:lang w:eastAsia="zh-CN"/>
        </w:rPr>
        <w:fldChar w:fldCharType="separate"/>
      </w:r>
      <w:r>
        <w:rPr>
          <w:rFonts w:cs="Times New Roman"/>
          <w:sz w:val="24"/>
        </w:rPr>
        <w:t>(57)</w:t>
      </w:r>
      <w:r>
        <w:rPr>
          <w:lang w:eastAsia="zh-CN"/>
        </w:rPr>
        <w:fldChar w:fldCharType="end"/>
      </w:r>
      <w:r>
        <w:rPr>
          <w:lang w:eastAsia="zh-CN"/>
        </w:rPr>
        <w:t>. This approach aligns with the principle of force-direction specificity</w:t>
      </w:r>
      <w:r>
        <w:rPr>
          <w:lang w:eastAsia="zh-CN"/>
        </w:rPr>
        <w:fldChar w:fldCharType="begin"/>
      </w:r>
      <w:r>
        <w:rPr>
          <w:lang w:eastAsia="zh-CN"/>
        </w:rPr>
        <w:instrText xml:space="preserve"> ADDIN ZOTERO_ITEM CSL_CITATION {"citationID":"cr0iV8I6","properties":{"formattedCitation":"(58)","plainCitation":"(58)","noteIndex":0},"citationItems":[{"id":571,"uris":["http://zotero.org/users/local/uTk9sRyd/items/GN9XL6II"],"itemData":{"id":571,"type":"article-journal","container-title":"Strength &amp; Conditioning Journal","DOI":"10.1519/SSC.0b013e3181e91eec","issue":"4","journalAbbreviation":"Strength Cond. J.","language":"en","page":"100–106","publisher":"LWW","source":"Google Scholar","title":"Transference of strength and power adaptation to sports performance—horizontal and vertical force production","volume":"32","author":[{"family":"Randell","given":"Aaron D."},{"family":"Cronin","given":"John B."},{"family":"Keogh","given":"Justin WL"},{"family":"Gill","given":"Nicholas D."}],"issued":{"date-parts":[["2010"]]}}}],"schema":"https://github.com/citation-style-language/schema/raw/master/csl-citation.json"} </w:instrText>
      </w:r>
      <w:r>
        <w:rPr>
          <w:lang w:eastAsia="zh-CN"/>
        </w:rPr>
        <w:fldChar w:fldCharType="separate"/>
      </w:r>
      <w:r>
        <w:rPr>
          <w:rFonts w:cs="Times New Roman"/>
          <w:sz w:val="24"/>
        </w:rPr>
        <w:t>(58)</w:t>
      </w:r>
      <w:r>
        <w:rPr>
          <w:lang w:eastAsia="zh-CN"/>
        </w:rPr>
        <w:fldChar w:fldCharType="end"/>
      </w:r>
      <w:r>
        <w:rPr>
          <w:lang w:eastAsia="zh-CN"/>
        </w:rPr>
        <w:t>. Previous research has demonstrated that athletes whose performance relies heavily on horizontal force application—such as in sprinting</w:t>
      </w:r>
      <w:r>
        <w:rPr>
          <w:lang w:eastAsia="zh-CN"/>
        </w:rPr>
        <w:fldChar w:fldCharType="begin"/>
      </w:r>
      <w:r>
        <w:rPr>
          <w:lang w:eastAsia="zh-CN"/>
        </w:rPr>
        <w:instrText xml:space="preserve"> ADDIN ZOTERO_ITEM CSL_CITATION {"citationID":"JFvCi4Lp","properties":{"formattedCitation":"(59)","plainCitation":"(59)","noteIndex":0},"citationItems":[{"id":574,"uris":["http://zotero.org/users/local/uTk9sRyd/items/3LSL9W6S"],"itemData":{"id":574,"type":"article-journal","container-title":"Journal of Sports Science","issue":"4","journalAbbreviation":"J. Sports Sci.","language":"en","page":"183–8","source":"Google Scholar","title":"The reliability of the prowler in high school male football players","volume":"4","author":[{"family":"Tano","given":"Granite"},{"family":"Bishop","given":"Alan"},{"family":"Climstein","given":"Mike"},{"family":"DeBeliso","given":"Mark"}],"issued":{"date-parts":[["2016"]]}}}],"schema":"https://github.com/citation-style-language/schema/raw/master/csl-citation.json"} </w:instrText>
      </w:r>
      <w:r>
        <w:rPr>
          <w:lang w:eastAsia="zh-CN"/>
        </w:rPr>
        <w:fldChar w:fldCharType="separate"/>
      </w:r>
      <w:r>
        <w:rPr>
          <w:rFonts w:cs="Times New Roman"/>
          <w:sz w:val="24"/>
        </w:rPr>
        <w:t>(59)</w:t>
      </w:r>
      <w:r>
        <w:rPr>
          <w:lang w:eastAsia="zh-CN"/>
        </w:rPr>
        <w:fldChar w:fldCharType="end"/>
      </w:r>
      <w:r>
        <w:rPr>
          <w:lang w:eastAsia="zh-CN"/>
        </w:rPr>
        <w:t>, sled pushing</w:t>
      </w:r>
      <w:r>
        <w:rPr>
          <w:lang w:eastAsia="zh-CN"/>
        </w:rPr>
        <w:fldChar w:fldCharType="begin"/>
      </w:r>
      <w:r>
        <w:rPr>
          <w:lang w:eastAsia="zh-CN"/>
        </w:rPr>
        <w:instrText xml:space="preserve"> ADDIN ZOTERO_ITEM CSL_CITATION {"citationID":"rrS4U8Je","properties":{"formattedCitation":"(60,61)","plainCitation":"(60,61)","noteIndex":0},"citationItems":[{"id":573,"uris":["http://zotero.org/users/local/uTk9sRyd/items/FSJ6WA9F"],"itemData":{"id":573,"type":"article-journal","container-title":"The Journal of Strength &amp; Conditioning Research","DOI":"10.1519/JSC.0000000000001510","issue":"4","journalAbbreviation":"J. Strength Cond. Res.","language":"en","page":"999–1008","publisher":"LWW","source":"Google Scholar","title":"Effects of a six-week hip thrust vs. front squat resistance training program on performance in adolescent males: a randomized controlled trial","title-short":"Effects of a six-week hip thrust vs. front squat resistance training program on performance in adolescent males","volume":"31","author":[{"family":"Contreras","given":"Bret"},{"family":"Vigotsky","given":"Andrew D."},{"family":"Schoenfeld","given":"Brad J."},{"family":"Beardsley","given":"Chris"},{"family":"McMaster","given":"Daniel T."},{"family":"Reyneke","given":"Jan HT"},{"family":"Cronin","given":"John B."}],"issued":{"date-parts":[["2017"]]}}},{"id":578,"uris":["http://zotero.org/users/local/uTk9sRyd/items/CVNK6QID"],"itemData":{"id":578,"type":"article-journal","container-title":"International journal of sports physiology and performance","DOI":"10.1123/ijspp.2016-0444","issue":"6","journalAbbreviation":"Int. J. Sports Physiol. Perform.","language":"en","page":"840–844","publisher":"Human Kinetics, Inc.","source":"Google Scholar","title":"Very-heavy sled training for improving horizontal-force output in soccer players","volume":"12","author":[{"family":"Morin","given":"Jean-Benoît"},{"family":"Petrakos","given":"George"},{"family":"Jiménez-Reyes","given":"Pedro"},{"family":"Brown","given":"Scott R."},{"family":"Samozino","given":"Pierre"},{"family":"Cross","given":"Matt R."}],"issued":{"date-parts":[["2017"]]}}}],"schema":"https://github.com/citation-style-language/schema/raw/master/csl-citation.json"} </w:instrText>
      </w:r>
      <w:r>
        <w:rPr>
          <w:lang w:eastAsia="zh-CN"/>
        </w:rPr>
        <w:fldChar w:fldCharType="separate"/>
      </w:r>
      <w:r>
        <w:rPr>
          <w:rFonts w:cs="Times New Roman"/>
          <w:sz w:val="24"/>
        </w:rPr>
        <w:t>(60,61)</w:t>
      </w:r>
      <w:r>
        <w:rPr>
          <w:lang w:eastAsia="zh-CN"/>
        </w:rPr>
        <w:fldChar w:fldCharType="end"/>
      </w:r>
      <w:r>
        <w:rPr>
          <w:lang w:eastAsia="zh-CN"/>
        </w:rPr>
        <w:t>, and collision-based team sports—derive greater benefit from training modalities that include substantial horizontal force components, rather than purely vertical power exercises. Similarly, the swimming start requires athletes to generate a large impulse against the starting block to maximize horizontal velocity and forward displacement prior to water entry</w:t>
      </w:r>
      <w:r>
        <w:rPr>
          <w:lang w:eastAsia="zh-CN"/>
        </w:rPr>
        <w:fldChar w:fldCharType="begin"/>
      </w:r>
      <w:r>
        <w:rPr>
          <w:lang w:eastAsia="zh-CN"/>
        </w:rPr>
        <w:instrText xml:space="preserve"> ADDIN ZOTERO_ITEM CSL_CITATION {"citationID":"WYgq997Q","properties":{"formattedCitation":"(62)","plainCitation":"(62)","noteIndex":0},"citationItems":[{"id":579,"uris":["http://zotero.org/users/local/uTk9sRyd/items/MG3BWDJT"],"itemData":{"id":579,"type":"article-journal","container-title":"PeerJ","DOI":"10.7717/peerj.10937","journalAbbreviation":"PeerJ","language":"en","page":"e10937","publisher":"PeerJ Inc.","source":"Google Scholar","title":"Pushing up or pushing out—an initial investigation into horizontal-versus vertical-force training on swimming start performance: a pilot study","title-short":"Pushing up or pushing out—an initial investigation into horizontal-versus vertical-force training on swimming start performance","volume":"9","author":[{"family":"Thng","given":"Shiqi"},{"family":"Pearson","given":"Simon"},{"family":"Keogh","given":"Justin WL"}],"issued":{"date-parts":[["2021"]]}}}],"schema":"https://github.com/citation-style-language/schema/raw/master/csl-citation.json"} </w:instrText>
      </w:r>
      <w:r>
        <w:rPr>
          <w:lang w:eastAsia="zh-CN"/>
        </w:rPr>
        <w:fldChar w:fldCharType="separate"/>
      </w:r>
      <w:r>
        <w:rPr>
          <w:rFonts w:cs="Times New Roman"/>
          <w:sz w:val="24"/>
        </w:rPr>
        <w:t>(62)</w:t>
      </w:r>
      <w:r>
        <w:rPr>
          <w:lang w:eastAsia="zh-CN"/>
        </w:rPr>
        <w:fldChar w:fldCharType="end"/>
      </w:r>
      <w:r>
        <w:rPr>
          <w:rFonts w:hint="eastAsia"/>
          <w:lang w:eastAsia="zh-CN"/>
        </w:rPr>
        <w:t>.</w:t>
      </w:r>
      <w:r>
        <w:rPr>
          <w:lang w:eastAsia="zh-CN"/>
        </w:rPr>
        <w:t>Therefore, the neuromuscular adaptations elicited by INT were specifically directed toward horizontally oriented force production and whole-body coordination, rendering standard vertical jump tests insufficient to fully capture these sport-specific gains.</w:t>
      </w:r>
    </w:p>
    <w:p w14:paraId="43955EF8">
      <w:pPr>
        <w:rPr>
          <w:lang w:eastAsia="zh-CN"/>
        </w:rPr>
      </w:pPr>
      <w:r>
        <w:rPr>
          <w:lang w:eastAsia="zh-CN"/>
        </w:rPr>
        <w:t>An alternative explanation for the observed pattern of results lies in the neurodevelopmental characteristics of the study population. All participants were competitive adolescent swimmers undergoing significant biological maturation, a developmental window characterized by heightened neural plasticity and inter-individual variability in neuromuscular responsiveness</w:t>
      </w:r>
      <w:r>
        <w:rPr>
          <w:lang w:eastAsia="zh-CN"/>
        </w:rPr>
        <w:fldChar w:fldCharType="begin"/>
      </w:r>
      <w:r>
        <w:rPr>
          <w:lang w:eastAsia="zh-CN"/>
        </w:rPr>
        <w:instrText xml:space="preserve"> ADDIN ZOTERO_ITEM CSL_CITATION {"citationID":"FIAYo97A","properties":{"formattedCitation":"(63,64)","plainCitation":"(63,64)","noteIndex":0},"citationItems":[{"id":581,"uris":["http://zotero.org/users/local/uTk9sRyd/items/D2S9T64G"],"itemData":{"id":581,"type":"book","language":"en","publisher":"Human kinetics","source":"Google Scholar","title":"Growth, maturation, and physical activity","URL":"https://books.google.com/books?hl=zh-CN&amp;lr=&amp;id=VqFcFsykj6EC&amp;oi=fnd&amp;pg=PA1&amp;dq=Growth,+Maturation,+and+Physical+Activity.&amp;ots=ylVLITmSL8&amp;sig=evaoyW7CgEtSVWsIIsjU4RVHP0U","author":[{"family":"Malina","given":"Robert M."},{"family":"Bouchard","given":"Claude"},{"family":"Bar-Or","given":"Oded"}],"accessed":{"date-parts":[["2026",2,8]]},"issued":{"date-parts":[["2004"]]}}},{"id":582,"uris":["http://zotero.org/users/local/uTk9sRyd/items/2KN83U7V"],"itemData":{"id":582,"type":"article-journal","container-title":"Frontiers in physiology","DOI":"10.3389/fphys.2016.00164","journalAbbreviation":"Front. Physiol.","language":"en","page":"164","publisher":"Frontiers Media SA","source":"Google Scholar","title":"Effects of resistance training in youth athletes on muscular fitness and athletic performance: a conceptual model for long-term athlete development","title-short":"Effects of resistance training in youth athletes on muscular fitness and athletic performance","volume":"7","author":[{"family":"Granacher","given":"Urs"},{"family":"Lesinski","given":"Melanie"},{"family":"Büsch","given":"Dirk"},{"family":"Muehlbauer","given":"Thomas"},{"family":"Prieske","given":"Olaf"},{"family":"Puta","given":"Christian"},{"family":"Gollhofer","given":"Albert"},{"family":"Behm","given":"David G."}],"issued":{"date-parts":[["2016"]]}}}],"schema":"https://github.com/citation-style-language/schema/raw/master/csl-citation.json"} </w:instrText>
      </w:r>
      <w:r>
        <w:rPr>
          <w:lang w:eastAsia="zh-CN"/>
        </w:rPr>
        <w:fldChar w:fldCharType="separate"/>
      </w:r>
      <w:r>
        <w:rPr>
          <w:rFonts w:cs="Times New Roman"/>
          <w:sz w:val="24"/>
        </w:rPr>
        <w:t>(63,64)</w:t>
      </w:r>
      <w:r>
        <w:rPr>
          <w:lang w:eastAsia="zh-CN"/>
        </w:rPr>
        <w:fldChar w:fldCharType="end"/>
      </w:r>
      <w:r>
        <w:rPr>
          <w:lang w:eastAsia="zh-CN"/>
        </w:rPr>
        <w:t>. During adolescence, the neuromuscular system undergoes rapid refinement, optimizing motor unit recruitment and neural efficiency in response to coordinative training stimuli</w:t>
      </w:r>
      <w:r>
        <w:rPr>
          <w:lang w:eastAsia="zh-CN"/>
        </w:rPr>
        <w:fldChar w:fldCharType="begin"/>
      </w:r>
      <w:r>
        <w:rPr>
          <w:lang w:eastAsia="zh-CN"/>
        </w:rPr>
        <w:instrText xml:space="preserve"> ADDIN ZOTERO_ITEM CSL_CITATION {"citationID":"hAgs2Qdh","properties":{"formattedCitation":"(65)","plainCitation":"(65)","noteIndex":0},"citationItems":[{"id":584,"uris":["http://zotero.org/users/local/uTk9sRyd/items/RFIYNLV7"],"itemData":{"id":584,"type":"article-journal","container-title":"Neuroimage","DOI":"10.1016/j.neuroimage.2010.11.021","issue":"4","journalAbbreviation":"Neuroimage","language":"en","page":"3093–3100","publisher":"Elsevier","source":"Google Scholar","title":"Beyond age and gender: relationships between cortical and subcortical brain volume and cognitive-motor abilities in school-age children","title-short":"Beyond age and gender","volume":"54","author":[{"family":"Pangelinan","given":"Melissa M."},{"family":"Zhang","given":"Guangyu"},{"family":"VanMeter","given":"John W."},{"family":"Clark","given":"Jane E."},{"family":"Hatfield","given":"Bradley D."},{"family":"Haufler","given":"Amy J."}],"issued":{"date-parts":[["2011"]]}}}],"schema":"https://github.com/citation-style-language/schema/raw/master/csl-citation.json"} </w:instrText>
      </w:r>
      <w:r>
        <w:rPr>
          <w:lang w:eastAsia="zh-CN"/>
        </w:rPr>
        <w:fldChar w:fldCharType="separate"/>
      </w:r>
      <w:r>
        <w:rPr>
          <w:rFonts w:cs="Times New Roman"/>
          <w:sz w:val="24"/>
        </w:rPr>
        <w:t>(65)</w:t>
      </w:r>
      <w:r>
        <w:rPr>
          <w:lang w:eastAsia="zh-CN"/>
        </w:rPr>
        <w:fldChar w:fldCharType="end"/>
      </w:r>
      <w:r>
        <w:rPr>
          <w:lang w:eastAsia="zh-CN"/>
        </w:rPr>
        <w:t>. These developmental processes render young athletes particularly responsive to coordinative and skill-acquisition training stimuli, potentially producing performance enhancements through neural efficiency mechanisms distinct from peripheral morphological adaptations</w:t>
      </w:r>
      <w:r>
        <w:rPr>
          <w:lang w:eastAsia="zh-CN"/>
        </w:rPr>
        <w:fldChar w:fldCharType="begin"/>
      </w:r>
      <w:r>
        <w:rPr>
          <w:lang w:eastAsia="zh-CN"/>
        </w:rPr>
        <w:instrText xml:space="preserve"> ADDIN ZOTERO_ITEM CSL_CITATION {"citationID":"RZSkBH3b","properties":{"formattedCitation":"(66)","plainCitation":"(66)","noteIndex":0},"citationItems":[{"id":586,"uris":["http://zotero.org/users/local/uTk9sRyd/items/XZF9RS4A"],"itemData":{"id":586,"type":"article-journal","container-title":"Journal of Science and Medicine in Sport","DOI":"10.1016/j.jsams.2018.05.006","issue":"12","journalAbbreviation":"J. Sci. Med. Sport","language":"en","page":"1281–1285","publisher":"Elsevier","source":"Google Scholar","title":"The relationship between talent identification testing parameters and performance in elite junior swimmers","volume":"21","author":[{"family":"Mitchell","given":"Lachlan JG"},{"family":"Rattray","given":"Ben"},{"family":"Saunders","given":"Philo U."},{"family":"Pyne","given":"David B."}],"issued":{"date-parts":[["2018"]]}}}],"schema":"https://github.com/citation-style-language/schema/raw/master/csl-citation.json"} </w:instrText>
      </w:r>
      <w:r>
        <w:rPr>
          <w:lang w:eastAsia="zh-CN"/>
        </w:rPr>
        <w:fldChar w:fldCharType="separate"/>
      </w:r>
      <w:r>
        <w:rPr>
          <w:rFonts w:cs="Times New Roman"/>
          <w:sz w:val="24"/>
        </w:rPr>
        <w:t>(66)</w:t>
      </w:r>
      <w:r>
        <w:rPr>
          <w:lang w:eastAsia="zh-CN"/>
        </w:rPr>
        <w:fldChar w:fldCharType="end"/>
      </w:r>
      <w:r>
        <w:rPr>
          <w:lang w:eastAsia="zh-CN"/>
        </w:rPr>
        <w:t>.</w:t>
      </w:r>
      <w:r>
        <w:rPr>
          <w:rFonts w:hint="eastAsia"/>
          <w:lang w:eastAsia="zh-CN"/>
        </w:rPr>
        <w:t xml:space="preserve"> </w:t>
      </w:r>
      <w:r>
        <w:rPr>
          <w:lang w:eastAsia="zh-CN"/>
        </w:rPr>
        <w:t>This rapid, generalized adaptation across both groups likely created a ceiling effect within the short 8-week timeframe. Combined with the considerable inter-individual variability inherent to the adolescent growth spurt</w:t>
      </w:r>
      <w:r>
        <w:rPr>
          <w:lang w:eastAsia="zh-CN"/>
        </w:rPr>
        <w:fldChar w:fldCharType="begin"/>
      </w:r>
      <w:r>
        <w:rPr>
          <w:lang w:eastAsia="zh-CN"/>
        </w:rPr>
        <w:instrText xml:space="preserve"> ADDIN ZOTERO_ITEM CSL_CITATION {"citationID":"yitwmisb","properties":{"formattedCitation":"(67)","plainCitation":"(67)","noteIndex":0},"citationItems":[{"id":587,"uris":["http://zotero.org/users/local/uTk9sRyd/items/6I4HPQPS"],"itemData":{"id":587,"type":"book","language":"en","publisher":"Human Kinetics","source":"Google Scholar","title":"Growth, maturation, physical activity, and sport","URL":"https://books.google.com/books?hl=zh-CN&amp;lr=&amp;id=6VBUEQAAQBAJ&amp;oi=fnd&amp;pg=PP1&amp;dq=Growth,+Maturation,+and+Physical+Activity.&amp;ots=gjImkbE4Qs&amp;sig=xdSDcZqDD88NUJE4nwWBfTQgY_c","author":[{"family":"Malina","given":"Robert M."}],"accessed":{"date-parts":[["2026",2,8]]},"issued":{"date-parts":[["2025"]]}}}],"schema":"https://github.com/citation-style-language/schema/raw/master/csl-citation.json"} </w:instrText>
      </w:r>
      <w:r>
        <w:rPr>
          <w:lang w:eastAsia="zh-CN"/>
        </w:rPr>
        <w:fldChar w:fldCharType="separate"/>
      </w:r>
      <w:r>
        <w:rPr>
          <w:rFonts w:cs="Times New Roman"/>
          <w:sz w:val="24"/>
        </w:rPr>
        <w:t>(67)</w:t>
      </w:r>
      <w:r>
        <w:rPr>
          <w:lang w:eastAsia="zh-CN"/>
        </w:rPr>
        <w:fldChar w:fldCharType="end"/>
      </w:r>
      <w:r>
        <w:rPr>
          <w:rFonts w:hint="eastAsia"/>
          <w:lang w:eastAsia="zh-CN"/>
        </w:rPr>
        <w:t xml:space="preserve"> </w:t>
      </w:r>
      <w:r>
        <w:rPr>
          <w:lang w:eastAsia="zh-CN"/>
        </w:rPr>
        <w:t>these concurrent improvements in basic explosive metrics constrained the magnitude of detectable statistical differences between the two groups</w:t>
      </w:r>
      <w:r>
        <w:rPr>
          <w:lang w:eastAsia="zh-CN"/>
        </w:rPr>
        <w:fldChar w:fldCharType="begin"/>
      </w:r>
      <w:r>
        <w:rPr>
          <w:lang w:eastAsia="zh-CN"/>
        </w:rPr>
        <w:instrText xml:space="preserve"> ADDIN ZOTERO_ITEM CSL_CITATION {"citationID":"hepBzU5s","properties":{"formattedCitation":"(68)","plainCitation":"(68)","noteIndex":0},"citationItems":[{"id":588,"uris":["http://zotero.org/users/local/uTk9sRyd/items/YGTD7ZEN"],"itemData":{"id":588,"type":"article-journal","container-title":"Pediatric exercise science","DOI":"10.1123/pes.23.2.186","issue":"2","journalAbbreviation":"Pediatr. exerc. sci.","language":"en","page":"186–206","publisher":"Human Kinetics, Inc.","source":"Google Scholar","title":"Effects of strength training on motor performance skills in children and adolescents: a meta-analysis","title-short":"Effects of strength training on motor performance skills in children and adolescents","volume":"23","author":[{"family":"Behringer","given":"Michael"},{"family":"Vom Heede","given":"Andreas"},{"family":"Matthews","given":"Maria"},{"family":"Mester","given":"Joachim"}],"issued":{"date-parts":[["2011"]]}}}],"schema":"https://github.com/citation-style-language/schema/raw/master/csl-citation.json"} </w:instrText>
      </w:r>
      <w:r>
        <w:rPr>
          <w:lang w:eastAsia="zh-CN"/>
        </w:rPr>
        <w:fldChar w:fldCharType="separate"/>
      </w:r>
      <w:r>
        <w:rPr>
          <w:rFonts w:cs="Times New Roman"/>
          <w:sz w:val="24"/>
        </w:rPr>
        <w:t>(68)</w:t>
      </w:r>
      <w:r>
        <w:rPr>
          <w:lang w:eastAsia="zh-CN"/>
        </w:rPr>
        <w:fldChar w:fldCharType="end"/>
      </w:r>
      <w:r>
        <w:rPr>
          <w:lang w:eastAsia="zh-CN"/>
        </w:rPr>
        <w:t>.</w:t>
      </w:r>
    </w:p>
    <w:p w14:paraId="5177B429">
      <w:pPr>
        <w:pStyle w:val="4"/>
        <w:rPr>
          <w:lang w:eastAsia="zh-CN"/>
        </w:rPr>
      </w:pPr>
      <w:r>
        <w:rPr>
          <w:rFonts w:ascii="Times New Roman" w:hAnsi="Times New Roman" w:eastAsia="黑体"/>
          <w:lang w:eastAsia="zh-CN"/>
        </w:rPr>
        <w:t>4.4 Limitations</w:t>
      </w:r>
    </w:p>
    <w:bookmarkEnd w:id="34"/>
    <w:p w14:paraId="6B36C9AD">
      <w:pPr>
        <w:ind w:firstLine="420"/>
      </w:pPr>
      <w:bookmarkStart w:id="38" w:name="OLE_LINK22"/>
      <w:r>
        <w:rPr>
          <w:lang w:eastAsia="zh-CN"/>
        </w:rPr>
        <w:t>Several limitations of the present study should be acknowledged. First, the relatively small sample size may limit the statistical power to detect subtle between-group differences, particularly for secondary performance outcomes. Second, due to the nature of the exercise intervention, double-blinding was not possible, although rigorous blinding of outcome assessors was implemented. Third, while neurodevelopmental characteristics were considered in the interpretation of results, biological maturation</w:t>
      </w:r>
      <w:r>
        <w:rPr>
          <w:rFonts w:hint="eastAsia"/>
          <w:lang w:eastAsia="zh-CN"/>
        </w:rPr>
        <w:t xml:space="preserve"> </w:t>
      </w:r>
      <w:r>
        <w:rPr>
          <w:lang w:eastAsia="zh-CN"/>
        </w:rPr>
        <w:t>was not objectively measured, which could confound inter-individual variability. Fourth, conventional vertical jump tests (CMJ and SJ) may lack the sensitivity to capture neuromuscular adaptations specific to the horizontal demands of the swimming start, potentially underestimating task-specific training effects. Fifth, this study focused on short-term adaptations following an 8-week intervention; therefore, the long-term retention of these improvements and their actual impact on injury incidence remain unclear. Finally, although the FMS provides a practical assessment of movement quality, it remains a composite screening tool and does not directly quantify underlying biomechanical or neuromuscular mechanisms.</w:t>
      </w:r>
    </w:p>
    <w:p w14:paraId="7CE061FC">
      <w:pPr>
        <w:pStyle w:val="3"/>
      </w:pPr>
      <w:r>
        <w:rPr>
          <w:rFonts w:ascii="Times New Roman" w:hAnsi="Times New Roman" w:eastAsia="黑体"/>
        </w:rPr>
        <w:t>5. Conclusion</w:t>
      </w:r>
    </w:p>
    <w:p w14:paraId="4AFD6BD3">
      <w:pPr>
        <w:bidi w:val="0"/>
        <w:rPr>
          <w:rFonts w:hint="eastAsia"/>
          <w:lang w:eastAsia="zh-CN"/>
        </w:rPr>
      </w:pPr>
      <w:r>
        <w:rPr>
          <w:rFonts w:hint="eastAsia"/>
          <w:color w:val="FF0000"/>
          <w:lang w:eastAsia="zh-CN"/>
        </w:rPr>
        <w:t>This study demonstrates that an 8-week integrated neuromuscular training (INT) program improved start-related performance and movement quality in youth swimmers. Compared with conventional training, INT produced more favorable pre-to-post changes in 15-m sprint time, water-entry distance, horizontal displacement, horizontal velocity, and selected FMS outcomes, while generic lower-limb explosive power outcomes did not show significant group-by-visit interactions. These findings suggest that INT is an effective dry-land strategy for improving the movement quality and swimming-start mechanics of young swimmers.</w:t>
      </w:r>
    </w:p>
    <w:p w14:paraId="21B9DC55">
      <w:pPr>
        <w:rPr>
          <w:rFonts w:hint="eastAsia"/>
          <w:lang w:eastAsia="zh-CN"/>
        </w:rPr>
      </w:pPr>
    </w:p>
    <w:p w14:paraId="04D2F466">
      <w:pPr>
        <w:spacing w:line="320" w:lineRule="exact"/>
        <w:rPr>
          <w:b/>
          <w:bCs/>
        </w:rPr>
      </w:pPr>
      <w:r>
        <w:rPr>
          <w:rFonts w:hint="eastAsia"/>
          <w:b/>
          <w:bCs/>
        </w:rPr>
        <w:t>Declarations</w:t>
      </w:r>
    </w:p>
    <w:p w14:paraId="2BF6A46E">
      <w:pPr>
        <w:widowControl w:val="0"/>
        <w:numPr>
          <w:ilvl w:val="0"/>
          <w:numId w:val="7"/>
        </w:numPr>
        <w:kinsoku w:val="0"/>
        <w:adjustRightInd w:val="0"/>
        <w:spacing w:line="320" w:lineRule="exact"/>
        <w:ind w:left="0" w:firstLine="0"/>
        <w:jc w:val="left"/>
      </w:pPr>
      <w:r>
        <w:rPr>
          <w:rFonts w:hint="eastAsia"/>
        </w:rPr>
        <w:t>Competing Interests</w:t>
      </w:r>
    </w:p>
    <w:p w14:paraId="300ECC5B">
      <w:pPr>
        <w:widowControl w:val="0"/>
        <w:kinsoku w:val="0"/>
        <w:adjustRightInd w:val="0"/>
        <w:spacing w:line="320" w:lineRule="exact"/>
        <w:jc w:val="left"/>
      </w:pPr>
      <w:r>
        <w:rPr>
          <w:rFonts w:hint="eastAsia"/>
        </w:rPr>
        <w:t>The authors declare that they have no competing interests.</w:t>
      </w:r>
    </w:p>
    <w:p w14:paraId="42C281F8">
      <w:pPr>
        <w:widowControl w:val="0"/>
        <w:numPr>
          <w:ilvl w:val="0"/>
          <w:numId w:val="7"/>
        </w:numPr>
        <w:kinsoku w:val="0"/>
        <w:adjustRightInd w:val="0"/>
        <w:spacing w:line="320" w:lineRule="exact"/>
        <w:ind w:left="0" w:firstLine="0"/>
        <w:jc w:val="left"/>
      </w:pPr>
      <w:r>
        <w:rPr>
          <w:rFonts w:hint="eastAsia"/>
        </w:rPr>
        <w:t>Funding</w:t>
      </w:r>
    </w:p>
    <w:p w14:paraId="3B00E8CD">
      <w:pPr>
        <w:widowControl w:val="0"/>
        <w:kinsoku w:val="0"/>
        <w:adjustRightInd w:val="0"/>
        <w:spacing w:line="320" w:lineRule="exact"/>
        <w:jc w:val="left"/>
      </w:pPr>
      <w:r>
        <w:rPr>
          <w:rFonts w:hint="eastAsia"/>
        </w:rPr>
        <w:t>This research received no external funding.</w:t>
      </w:r>
    </w:p>
    <w:p w14:paraId="0C7C6997">
      <w:pPr>
        <w:bidi w:val="0"/>
        <w:rPr>
          <w:rFonts w:hint="eastAsia"/>
          <w:lang w:eastAsia="zh-CN"/>
        </w:rPr>
      </w:pPr>
      <w:r>
        <w:rPr>
          <w:rFonts w:hint="eastAsia"/>
          <w:color w:val="FF0000"/>
          <w:lang w:eastAsia="zh-CN"/>
        </w:rPr>
        <w:t>Ethical Approval</w:t>
      </w:r>
    </w:p>
    <w:p w14:paraId="0009F956">
      <w:pPr>
        <w:bidi w:val="0"/>
      </w:pPr>
      <w:r>
        <w:rPr>
          <w:rFonts w:hint="eastAsia"/>
          <w:color w:val="FF0000"/>
          <w:lang w:eastAsia="zh-CN"/>
        </w:rPr>
        <w:t>This study was approved by the Ethics Committee of Chengdu Sport University, Sichuan, China (approval code [ETHICS APPROVAL CODE TO BE INSERTED]). All procedures were conducted in accordance with the Declaration of Helsinki.</w:t>
      </w:r>
    </w:p>
    <w:p w14:paraId="1300B888">
      <w:pPr>
        <w:bidi w:val="0"/>
        <w:rPr>
          <w:rFonts w:hint="eastAsia"/>
          <w:lang w:eastAsia="zh-CN"/>
        </w:rPr>
      </w:pPr>
      <w:r>
        <w:rPr>
          <w:rFonts w:hint="eastAsia"/>
          <w:color w:val="FF0000"/>
          <w:lang w:eastAsia="zh-CN"/>
        </w:rPr>
        <w:t>Consent to Participate</w:t>
      </w:r>
    </w:p>
    <w:p w14:paraId="7F06C8CC">
      <w:pPr>
        <w:bidi w:val="0"/>
      </w:pPr>
      <w:r>
        <w:rPr>
          <w:rFonts w:hint="eastAsia"/>
          <w:color w:val="FF0000"/>
          <w:lang w:eastAsia="zh-CN"/>
        </w:rPr>
        <w:t>Participants provided assent, and written informed consent was obtained from their parents or legal guardians before participation in the study.</w:t>
      </w:r>
    </w:p>
    <w:p w14:paraId="65BF2771">
      <w:pPr>
        <w:widowControl w:val="0"/>
        <w:numPr>
          <w:ilvl w:val="0"/>
          <w:numId w:val="7"/>
        </w:numPr>
        <w:kinsoku w:val="0"/>
        <w:adjustRightInd w:val="0"/>
        <w:spacing w:line="320" w:lineRule="exact"/>
        <w:ind w:left="0" w:firstLine="0"/>
        <w:jc w:val="left"/>
      </w:pPr>
      <w:r>
        <w:rPr>
          <w:rFonts w:hint="eastAsia"/>
        </w:rPr>
        <w:t>Consent for Publication</w:t>
      </w:r>
    </w:p>
    <w:p w14:paraId="0C09B63D">
      <w:pPr>
        <w:widowControl w:val="0"/>
        <w:kinsoku w:val="0"/>
        <w:adjustRightInd w:val="0"/>
        <w:spacing w:line="320" w:lineRule="exact"/>
        <w:jc w:val="left"/>
        <w:rPr>
          <w:lang w:eastAsia="zh-CN"/>
        </w:rPr>
      </w:pPr>
      <w:r>
        <w:t xml:space="preserve">Not applicable. </w:t>
      </w:r>
    </w:p>
    <w:p w14:paraId="3EB51DA4">
      <w:pPr>
        <w:pStyle w:val="145"/>
        <w:widowControl w:val="0"/>
        <w:numPr>
          <w:ilvl w:val="0"/>
          <w:numId w:val="7"/>
        </w:numPr>
        <w:kinsoku w:val="0"/>
        <w:adjustRightInd w:val="0"/>
        <w:spacing w:line="320" w:lineRule="exact"/>
        <w:ind w:left="0" w:firstLine="0"/>
        <w:contextualSpacing w:val="0"/>
        <w:jc w:val="left"/>
        <w:rPr>
          <w:lang w:eastAsia="zh-CN"/>
        </w:rPr>
      </w:pPr>
      <w:r>
        <w:rPr>
          <w:lang w:eastAsia="zh-CN"/>
        </w:rPr>
        <w:t>Availability of data and materials</w:t>
      </w:r>
    </w:p>
    <w:p w14:paraId="453EF6F1">
      <w:pPr>
        <w:widowControl w:val="0"/>
        <w:kinsoku w:val="0"/>
        <w:adjustRightInd w:val="0"/>
        <w:spacing w:line="320" w:lineRule="exact"/>
        <w:jc w:val="left"/>
        <w:rPr>
          <w:lang w:eastAsia="zh-CN"/>
        </w:rPr>
      </w:pPr>
    </w:p>
    <w:p w14:paraId="397890F8">
      <w:pPr>
        <w:widowControl w:val="0"/>
        <w:kinsoku w:val="0"/>
        <w:adjustRightInd w:val="0"/>
        <w:spacing w:line="320" w:lineRule="exact"/>
        <w:jc w:val="left"/>
        <w:rPr>
          <w:lang w:eastAsia="zh-CN"/>
        </w:rPr>
      </w:pPr>
      <w:r>
        <w:rPr>
          <w:lang w:eastAsia="zh-CN"/>
        </w:rPr>
        <w:t>The datasets generated and analyzed during the current study are available from the corresponding author upon reasonable request.</w:t>
      </w:r>
    </w:p>
    <w:p w14:paraId="084054DB">
      <w:pPr>
        <w:pStyle w:val="145"/>
        <w:widowControl w:val="0"/>
        <w:numPr>
          <w:ilvl w:val="0"/>
          <w:numId w:val="7"/>
        </w:numPr>
        <w:kinsoku w:val="0"/>
        <w:adjustRightInd w:val="0"/>
        <w:spacing w:line="320" w:lineRule="exact"/>
        <w:jc w:val="left"/>
        <w:rPr>
          <w:lang w:eastAsia="zh-CN"/>
        </w:rPr>
      </w:pPr>
      <w:r>
        <w:rPr>
          <w:lang w:eastAsia="zh-CN"/>
        </w:rPr>
        <w:t>CONSORT statement</w:t>
      </w:r>
    </w:p>
    <w:p w14:paraId="2703FEB2">
      <w:pPr>
        <w:widowControl w:val="0"/>
        <w:kinsoku w:val="0"/>
        <w:adjustRightInd w:val="0"/>
        <w:spacing w:line="320" w:lineRule="exact"/>
        <w:jc w:val="left"/>
        <w:rPr>
          <w:lang w:eastAsia="zh-CN"/>
        </w:rPr>
      </w:pPr>
      <w:r>
        <w:rPr>
          <w:lang w:eastAsia="zh-CN"/>
        </w:rPr>
        <w:t>This study was conducted and reported in accordance with the CONSORT (Consolidated Standards of Reporting Trials) guidelines for randomized controlled trials.</w:t>
      </w:r>
    </w:p>
    <w:p w14:paraId="79015DD0">
      <w:pPr>
        <w:pStyle w:val="145"/>
        <w:widowControl w:val="0"/>
        <w:numPr>
          <w:ilvl w:val="0"/>
          <w:numId w:val="7"/>
        </w:numPr>
        <w:kinsoku w:val="0"/>
        <w:adjustRightInd w:val="0"/>
        <w:spacing w:line="320" w:lineRule="exact"/>
        <w:jc w:val="left"/>
        <w:rPr>
          <w:lang w:eastAsia="zh-CN"/>
        </w:rPr>
      </w:pPr>
      <w:r>
        <w:rPr>
          <w:lang w:eastAsia="zh-CN"/>
        </w:rPr>
        <w:t>Ethics approval and consent to participate</w:t>
      </w:r>
    </w:p>
    <w:p w14:paraId="73AE9309">
      <w:pPr>
        <w:bidi w:val="0"/>
        <w:rPr>
          <w:rFonts w:hint="eastAsia"/>
          <w:lang w:eastAsia="zh-CN"/>
        </w:rPr>
      </w:pPr>
      <w:r>
        <w:rPr>
          <w:rFonts w:hint="eastAsia"/>
          <w:color w:val="FF0000"/>
          <w:lang w:eastAsia="zh-CN"/>
        </w:rPr>
        <w:t>This study was approved by the Ethics Committee of Chengdu Sport University, Sichuan, China (approval code [ETHICS APPROVAL CODE TO BE INSERTED]). All procedures were conducted in accordance with the Declaration of Helsinki.</w:t>
      </w:r>
    </w:p>
    <w:bookmarkEnd w:id="22"/>
    <w:bookmarkEnd w:id="38"/>
    <w:p w14:paraId="558A8C44">
      <w:pPr>
        <w:bidi w:val="0"/>
        <w:rPr>
          <w:rFonts w:hint="eastAsia"/>
          <w:lang w:eastAsia="zh-CN"/>
        </w:rPr>
      </w:pPr>
      <w:r>
        <w:rPr>
          <w:rFonts w:hint="eastAsia"/>
          <w:color w:val="FF0000"/>
          <w:lang w:eastAsia="zh-CN"/>
        </w:rPr>
        <w:t>Participants provided assent, and written informed consent was obtained from their parents or legal guardians before participation in the study.</w:t>
      </w:r>
    </w:p>
    <w:p w14:paraId="76540E0C">
      <w:pPr>
        <w:spacing w:after="200" w:line="276" w:lineRule="auto"/>
        <w:jc w:val="left"/>
        <w:rPr>
          <w:lang w:eastAsia="zh-CN"/>
        </w:rPr>
      </w:pPr>
      <w:r>
        <w:rPr>
          <w:lang w:eastAsia="zh-CN"/>
        </w:rPr>
        <w:br w:type="page"/>
      </w:r>
    </w:p>
    <w:p w14:paraId="0670AA7B">
      <w:pPr>
        <w:rPr>
          <w:b/>
          <w:bCs/>
          <w:lang w:eastAsia="zh-CN"/>
        </w:rPr>
      </w:pPr>
      <w:r>
        <w:rPr>
          <w:rFonts w:hint="eastAsia"/>
          <w:b/>
          <w:bCs/>
          <w:lang w:eastAsia="zh-CN"/>
        </w:rPr>
        <w:t>Reference</w:t>
      </w:r>
    </w:p>
    <w:p w14:paraId="60A5A3F7">
      <w:pPr>
        <w:pStyle w:val="166"/>
      </w:pPr>
      <w:r>
        <w:rPr>
          <w:b/>
          <w:bCs/>
          <w:lang w:eastAsia="zh-CN"/>
        </w:rPr>
        <w:fldChar w:fldCharType="begin"/>
      </w:r>
      <w:r>
        <w:rPr>
          <w:b/>
          <w:bCs/>
          <w:lang w:eastAsia="zh-CN"/>
        </w:rPr>
        <w:instrText xml:space="preserve"> ADDIN ZOTERO_BIBL {"uncited":[],"omitted":[],"custom":[]} CSL_BIBLIOGRAPHY </w:instrText>
      </w:r>
      <w:r>
        <w:rPr>
          <w:b/>
          <w:bCs/>
          <w:lang w:eastAsia="zh-CN"/>
        </w:rPr>
        <w:fldChar w:fldCharType="separate"/>
      </w:r>
      <w:r>
        <w:t xml:space="preserve">1. </w:t>
      </w:r>
      <w:r>
        <w:tab/>
      </w:r>
      <w:r>
        <w:t xml:space="preserve">Trost SG, Sallis JF, Pate RR, Freedson PS, Taylor WC, Dowda M. Evaluating a model of parental influence on youth physical activity. </w:t>
      </w:r>
      <w:r>
        <w:rPr>
          <w:i/>
          <w:iCs/>
        </w:rPr>
        <w:t>Am J Prev Med</w:t>
      </w:r>
      <w:r>
        <w:t xml:space="preserve"> (2003) 25:277–282. doi: 10.1016/S0749-3797(03)00217-4</w:t>
      </w:r>
    </w:p>
    <w:p w14:paraId="4D90267A">
      <w:pPr>
        <w:pStyle w:val="166"/>
      </w:pPr>
      <w:r>
        <w:t xml:space="preserve">2. </w:t>
      </w:r>
      <w:r>
        <w:tab/>
      </w:r>
      <w:r>
        <w:t xml:space="preserve">Lloyd RS, Oliver JL. The youth physical development model: a new approach to long-term athletic development. </w:t>
      </w:r>
      <w:r>
        <w:rPr>
          <w:i/>
          <w:iCs/>
        </w:rPr>
        <w:t>Strength Cond J</w:t>
      </w:r>
      <w:r>
        <w:t xml:space="preserve"> (2012) 34:61–72. doi: 10.1519/SSC.0b013e31825760ea</w:t>
      </w:r>
    </w:p>
    <w:p w14:paraId="2E20F7CE">
      <w:pPr>
        <w:pStyle w:val="166"/>
      </w:pPr>
      <w:r>
        <w:t xml:space="preserve">3. </w:t>
      </w:r>
      <w:r>
        <w:tab/>
      </w:r>
      <w:r>
        <w:t xml:space="preserve">Pichardo AW, Oliver JL, Harrison CB, Maulder PS, Lloyd RS. Integrating models of long-term athletic development to maximize the physical development of youth. </w:t>
      </w:r>
      <w:r>
        <w:rPr>
          <w:i/>
          <w:iCs/>
        </w:rPr>
        <w:t>Int J Sports Sci Coach</w:t>
      </w:r>
      <w:r>
        <w:t xml:space="preserve"> (2018) 13:1189–1199. doi: 10.1177/1747954118785503</w:t>
      </w:r>
    </w:p>
    <w:p w14:paraId="41CF5960">
      <w:pPr>
        <w:pStyle w:val="166"/>
      </w:pPr>
      <w:r>
        <w:t xml:space="preserve">4. </w:t>
      </w:r>
      <w:r>
        <w:tab/>
      </w:r>
      <w:r>
        <w:t xml:space="preserve">LaPrade RF, Agel J, Baker J, Brenner JS, Cordasco FA, Côté J, Engebretsen L, Feeley BT, Gould D, Hainline B, et al. AOSSM early sport specialization consensus statement. </w:t>
      </w:r>
      <w:r>
        <w:rPr>
          <w:i/>
          <w:iCs/>
        </w:rPr>
        <w:t>Orthop J Sports Med</w:t>
      </w:r>
      <w:r>
        <w:t xml:space="preserve"> (2016) 4:2325967116644241. doi: 10.1177/2325967116644241</w:t>
      </w:r>
    </w:p>
    <w:p w14:paraId="4AA492EA">
      <w:pPr>
        <w:pStyle w:val="166"/>
      </w:pPr>
      <w:r>
        <w:t xml:space="preserve">5. </w:t>
      </w:r>
      <w:r>
        <w:tab/>
      </w:r>
      <w:r>
        <w:t xml:space="preserve">Côté J, Lidor R, Hackfort D. ISSP position stand: to sample or to specialize? Seven postulates about youth sport activities that lead to continued participation and elite performance. </w:t>
      </w:r>
      <w:r>
        <w:rPr>
          <w:i/>
          <w:iCs/>
        </w:rPr>
        <w:t>Int J Sport Exercise Psychol</w:t>
      </w:r>
      <w:r>
        <w:t xml:space="preserve"> (2009) 7:7–17. doi: 10.1080/1612197X.2009.9671889</w:t>
      </w:r>
    </w:p>
    <w:p w14:paraId="26A4E916">
      <w:pPr>
        <w:pStyle w:val="166"/>
      </w:pPr>
      <w:r>
        <w:t xml:space="preserve">6. </w:t>
      </w:r>
      <w:r>
        <w:tab/>
      </w:r>
      <w:r>
        <w:t xml:space="preserve">Feeley BT, Agel J, LaPrade RF. When is it too early for single sport specialization? </w:t>
      </w:r>
      <w:r>
        <w:rPr>
          <w:i/>
          <w:iCs/>
        </w:rPr>
        <w:t>Am J Sports Med</w:t>
      </w:r>
      <w:r>
        <w:t xml:space="preserve"> (2016) 44:234–241. doi: 10.1177/0363546515576899</w:t>
      </w:r>
    </w:p>
    <w:p w14:paraId="1F8EAECF">
      <w:pPr>
        <w:pStyle w:val="166"/>
      </w:pPr>
      <w:r>
        <w:t xml:space="preserve">7. </w:t>
      </w:r>
      <w:r>
        <w:tab/>
      </w:r>
      <w:r>
        <w:t xml:space="preserve">Yustres I, Santos del Cerro J, Martín R, González-Mohíno F, Logan O, González-Ravé JM. Influence of early specialization in world-ranked swimmers and general patterns to success. </w:t>
      </w:r>
      <w:r>
        <w:rPr>
          <w:i/>
          <w:iCs/>
        </w:rPr>
        <w:t>PLOS One</w:t>
      </w:r>
      <w:r>
        <w:t xml:space="preserve"> (2019) 14:e0218601. doi: 10.1371/journal.pone.0218601</w:t>
      </w:r>
    </w:p>
    <w:p w14:paraId="3FD50F6B">
      <w:pPr>
        <w:pStyle w:val="166"/>
      </w:pPr>
      <w:r>
        <w:t xml:space="preserve">8. </w:t>
      </w:r>
      <w:r>
        <w:tab/>
      </w:r>
      <w:r>
        <w:t xml:space="preserve">Haywood KM, Getchell N. </w:t>
      </w:r>
      <w:r>
        <w:rPr>
          <w:i/>
          <w:iCs/>
        </w:rPr>
        <w:t>Life span motor development</w:t>
      </w:r>
      <w:r>
        <w:t>. Human kinetics. (2024). https://books.google.com/books?hl=zh-CN&amp;lr=&amp;id=uRwnEQAAQBAJ&amp;oi=fnd&amp;pg=PR1&amp;dq=During+critical+periods+of+neuromotor+development,+this+narrow+training+stimulus+may+constrain+the+development+of+fundamental+movement+skills&amp;ots=lUbfYoqtNU&amp;sig=NxiBbnYDUSttlnOs63_PtyxDIP0 [Accessed February 3, 2026]</w:t>
      </w:r>
    </w:p>
    <w:p w14:paraId="6BBD5C00">
      <w:pPr>
        <w:pStyle w:val="166"/>
      </w:pPr>
      <w:r>
        <w:t xml:space="preserve">9. </w:t>
      </w:r>
      <w:r>
        <w:tab/>
      </w:r>
      <w:r>
        <w:t xml:space="preserve">Van Hooren B, Croix MDS. Sensitive periods to train general motor abilities in children and adolescents: do they exist? A critical appraisal. </w:t>
      </w:r>
      <w:r>
        <w:rPr>
          <w:i/>
          <w:iCs/>
        </w:rPr>
        <w:t>Strength Cond J</w:t>
      </w:r>
      <w:r>
        <w:t xml:space="preserve"> (2020) 42:7–14. doi: 10.1519/SSC.0000000000000545</w:t>
      </w:r>
    </w:p>
    <w:p w14:paraId="5A7F6DED">
      <w:pPr>
        <w:pStyle w:val="166"/>
      </w:pPr>
      <w:r>
        <w:t xml:space="preserve">10. </w:t>
      </w:r>
      <w:r>
        <w:tab/>
      </w:r>
      <w:r>
        <w:t xml:space="preserve">Bullock GS, Brookreson N, Knab AM, Butler RJ. Examining fundamental movement competency and closed-chain upper-extremity dynamic balance in swimmers. </w:t>
      </w:r>
      <w:r>
        <w:rPr>
          <w:i/>
          <w:iCs/>
        </w:rPr>
        <w:t>J Strength Cond Res</w:t>
      </w:r>
      <w:r>
        <w:t xml:space="preserve"> (2017) 31:1544–1551. doi: 10.1519/JSC.0000000000001627</w:t>
      </w:r>
    </w:p>
    <w:p w14:paraId="65A8F5BC">
      <w:pPr>
        <w:pStyle w:val="166"/>
      </w:pPr>
      <w:r>
        <w:t xml:space="preserve">11. </w:t>
      </w:r>
      <w:r>
        <w:tab/>
      </w:r>
      <w:r>
        <w:t xml:space="preserve">Myer GD, Faigenbaum AD, Ford KR, Best TM, Bergeron MF, Hewett TE. When to initiate integrative neuromuscular training to reduce sports-related injuries and enhance health in youth? </w:t>
      </w:r>
      <w:r>
        <w:rPr>
          <w:i/>
          <w:iCs/>
        </w:rPr>
        <w:t>Curr Sports Med Rep</w:t>
      </w:r>
      <w:r>
        <w:t xml:space="preserve"> (2011) 10:155–166. doi: 10.1249/JSR.0b013e31821b1442</w:t>
      </w:r>
    </w:p>
    <w:p w14:paraId="1DE828EE">
      <w:pPr>
        <w:pStyle w:val="166"/>
      </w:pPr>
      <w:r>
        <w:t xml:space="preserve">12. </w:t>
      </w:r>
      <w:r>
        <w:tab/>
      </w:r>
      <w:r>
        <w:t xml:space="preserve">Fort-Vanmeerhaeghe A, Romero-Rodriguez D, Montalvo AM, Kiefer AW, Lloyd RS, Myer GD. Integrative neuromuscular training and injury prevention in youth athletes. Part I: identifying risk factors. </w:t>
      </w:r>
      <w:r>
        <w:rPr>
          <w:i/>
          <w:iCs/>
        </w:rPr>
        <w:t>Strength Cond J</w:t>
      </w:r>
      <w:r>
        <w:t xml:space="preserve"> (2016) 38:36–48. doi: 10.1519/SSC.0000000000000229</w:t>
      </w:r>
    </w:p>
    <w:p w14:paraId="6E77010F">
      <w:pPr>
        <w:pStyle w:val="166"/>
      </w:pPr>
      <w:r>
        <w:t xml:space="preserve">13. </w:t>
      </w:r>
      <w:r>
        <w:tab/>
      </w:r>
      <w:r>
        <w:t xml:space="preserve">Fort-Vanmeerhaeghe A, Romero-Rodriguez D, Lloyd RS, Kushner A, Myer GD. Integrative neuromuscular training in youth athletes. Part II: strategies to prevent injuries and improve performance. </w:t>
      </w:r>
      <w:r>
        <w:rPr>
          <w:i/>
          <w:iCs/>
        </w:rPr>
        <w:t>Strength Cond J</w:t>
      </w:r>
      <w:r>
        <w:t xml:space="preserve"> (2016) 38:9–27. doi: 10.1519/SSC.0000000000000234</w:t>
      </w:r>
    </w:p>
    <w:p w14:paraId="66708B0B">
      <w:pPr>
        <w:pStyle w:val="166"/>
      </w:pPr>
      <w:r>
        <w:t xml:space="preserve">14. </w:t>
      </w:r>
      <w:r>
        <w:tab/>
      </w:r>
      <w:r>
        <w:t xml:space="preserve">Maniazhagu D. Effect of two modes of integrative neuromuscular training on explosive power. </w:t>
      </w:r>
      <w:r>
        <w:rPr>
          <w:i/>
          <w:iCs/>
        </w:rPr>
        <w:t>Int J Phys Educ Sports Manag Yogic Sci</w:t>
      </w:r>
      <w:r>
        <w:t xml:space="preserve"> (2022) 12:18–26. doi: 10.5958/2278-795X.2022.00024.8</w:t>
      </w:r>
    </w:p>
    <w:p w14:paraId="069302BC">
      <w:pPr>
        <w:pStyle w:val="166"/>
      </w:pPr>
      <w:r>
        <w:t xml:space="preserve">15. </w:t>
      </w:r>
      <w:r>
        <w:tab/>
      </w:r>
      <w:r>
        <w:t xml:space="preserve">Singh LS, Singh NR, Singh WJ, Singh OR, Mola DW. Optimizing the speed and explosive power performance of football players: the effect of a six-week neuromuscular training. </w:t>
      </w:r>
      <w:r>
        <w:rPr>
          <w:i/>
          <w:iCs/>
        </w:rPr>
        <w:t>Phys Educ Theory Methodol</w:t>
      </w:r>
      <w:r>
        <w:t xml:space="preserve"> (2024) 24:697–703. doi: 10.17309/tmfv.2024.5.03</w:t>
      </w:r>
    </w:p>
    <w:p w14:paraId="50DCA2B0">
      <w:pPr>
        <w:pStyle w:val="166"/>
      </w:pPr>
      <w:r>
        <w:t xml:space="preserve">16. </w:t>
      </w:r>
      <w:r>
        <w:tab/>
      </w:r>
      <w:r>
        <w:t xml:space="preserve">Mendiguchia J, Martinez-Ruiz E, Morin JB, Samozino P, Edouard P, Alcaraz PE, Esparza-Ros F, Mendez-Villanueva A. Effects of hamstring-emphasized neuromuscular training on strength and sprinting mechanics in football players. </w:t>
      </w:r>
      <w:r>
        <w:rPr>
          <w:i/>
          <w:iCs/>
        </w:rPr>
        <w:t>Scand J Med Sci Sports</w:t>
      </w:r>
      <w:r>
        <w:t xml:space="preserve"> (2015) 25: doi: 10.1111/sms.12388</w:t>
      </w:r>
    </w:p>
    <w:p w14:paraId="3B5A2336">
      <w:pPr>
        <w:pStyle w:val="166"/>
      </w:pPr>
      <w:r>
        <w:t xml:space="preserve">17. </w:t>
      </w:r>
      <w:r>
        <w:tab/>
      </w:r>
      <w:r>
        <w:t xml:space="preserve">Shi K, Xiang M, Shi H, Duan R. Effects of neuromuscular training on athletes’ balance ability: a meta-analysis. </w:t>
      </w:r>
      <w:r>
        <w:rPr>
          <w:i/>
          <w:iCs/>
        </w:rPr>
        <w:t>Sports Med</w:t>
      </w:r>
      <w:r>
        <w:t xml:space="preserve"> (2025) doi: 10.1007/s40279-025-02335-x</w:t>
      </w:r>
    </w:p>
    <w:p w14:paraId="0C05B054">
      <w:pPr>
        <w:pStyle w:val="166"/>
      </w:pPr>
      <w:r>
        <w:t xml:space="preserve">18. </w:t>
      </w:r>
      <w:r>
        <w:tab/>
      </w:r>
      <w:r>
        <w:t xml:space="preserve">Wang P, Liu Y, Chen C. Effects of neuromuscular training on dynamic balance ability in athletes: a systematic review and meta-analysis. </w:t>
      </w:r>
      <w:r>
        <w:rPr>
          <w:i/>
          <w:iCs/>
        </w:rPr>
        <w:t>Heliyon</w:t>
      </w:r>
      <w:r>
        <w:t xml:space="preserve"> (2024) 10: https://www.cell.com/heliyon/fulltext/S2405-8440(24)11854-3 [Accessed February 3, 2026]</w:t>
      </w:r>
    </w:p>
    <w:p w14:paraId="514A3499">
      <w:pPr>
        <w:pStyle w:val="166"/>
      </w:pPr>
      <w:r>
        <w:t xml:space="preserve">19. </w:t>
      </w:r>
      <w:r>
        <w:tab/>
      </w:r>
      <w:r>
        <w:t xml:space="preserve">Zouhal H, Abderrahman AB, Dupont G, Truptin P, Le Bris R, Le Postec E, Sghaeir Z, Brughelli M, Granacher U, Bideau B. Effects of neuromuscular training on agility performance in elite soccer players. </w:t>
      </w:r>
      <w:r>
        <w:rPr>
          <w:i/>
          <w:iCs/>
        </w:rPr>
        <w:t>Front Physiol</w:t>
      </w:r>
      <w:r>
        <w:t xml:space="preserve"> (2019) 10:947. doi: 10.3389/fphys.2019.00947</w:t>
      </w:r>
    </w:p>
    <w:p w14:paraId="26D0A042">
      <w:pPr>
        <w:pStyle w:val="166"/>
      </w:pPr>
      <w:r>
        <w:t xml:space="preserve">20. </w:t>
      </w:r>
      <w:r>
        <w:tab/>
      </w:r>
      <w:r>
        <w:t xml:space="preserve">Emery CA, Roy T-O, Whittaker JL, Nettel-Aguirre A, Van Mechelen W. Neuromuscular training injury prevention strategies in youth sport: a systematic review and meta-analysis. </w:t>
      </w:r>
      <w:r>
        <w:rPr>
          <w:i/>
          <w:iCs/>
        </w:rPr>
        <w:t>Br J Sports Med</w:t>
      </w:r>
      <w:r>
        <w:t xml:space="preserve"> (2015) 49:865–870. doi: 10.1136/bjsports-2015-094639</w:t>
      </w:r>
    </w:p>
    <w:p w14:paraId="2CA0D32D">
      <w:pPr>
        <w:pStyle w:val="166"/>
      </w:pPr>
      <w:r>
        <w:t xml:space="preserve">21. </w:t>
      </w:r>
      <w:r>
        <w:tab/>
      </w:r>
      <w:r>
        <w:t xml:space="preserve">Zech A, Huebscher M, Vogt L, Banzer W, Hänsel F, Pfeifer K. Neuromuscular training for rehabilitation of sports injuries: a systematic review. </w:t>
      </w:r>
      <w:r>
        <w:rPr>
          <w:i/>
          <w:iCs/>
        </w:rPr>
        <w:t>Med Sci Sports Exercise</w:t>
      </w:r>
      <w:r>
        <w:t xml:space="preserve"> (2009) 41:1831–1841. doi: 10.1249/MSS.0b013e3181a3cf0d</w:t>
      </w:r>
    </w:p>
    <w:p w14:paraId="30D23EF7">
      <w:pPr>
        <w:pStyle w:val="166"/>
      </w:pPr>
      <w:r>
        <w:t xml:space="preserve">22. </w:t>
      </w:r>
      <w:r>
        <w:tab/>
      </w:r>
      <w:r>
        <w:t xml:space="preserve">Sadowski J, Mastalerz A, Gromisz W. Transfer of dry-land resistance training modalities to swimming performance. </w:t>
      </w:r>
      <w:r>
        <w:rPr>
          <w:i/>
          <w:iCs/>
        </w:rPr>
        <w:t>J hum kinet</w:t>
      </w:r>
      <w:r>
        <w:t xml:space="preserve"> (2020) 74:195. doi: 10.2478/hukin-2020-0025</w:t>
      </w:r>
    </w:p>
    <w:p w14:paraId="0CC64680">
      <w:pPr>
        <w:pStyle w:val="166"/>
      </w:pPr>
      <w:r>
        <w:t xml:space="preserve">23. </w:t>
      </w:r>
      <w:r>
        <w:tab/>
      </w:r>
      <w:r>
        <w:t xml:space="preserve">Hermosilla F, Sanders R, Gonzalez-Mohino F, Yustres I, Gonzalez-Rave JM. Effects of dry-land training programs on swimming turn performance: a systematic review. </w:t>
      </w:r>
      <w:r>
        <w:rPr>
          <w:i/>
          <w:iCs/>
        </w:rPr>
        <w:t>Int J Environ Res Public Health</w:t>
      </w:r>
      <w:r>
        <w:t xml:space="preserve"> (2021) 18:9340. doi: 10.3390/ijerph18179340</w:t>
      </w:r>
    </w:p>
    <w:p w14:paraId="2D8B5BE4">
      <w:pPr>
        <w:pStyle w:val="166"/>
      </w:pPr>
      <w:r>
        <w:t xml:space="preserve">24. </w:t>
      </w:r>
      <w:r>
        <w:tab/>
      </w:r>
      <w:r>
        <w:t xml:space="preserve">Crowley E, Harrison AJ, Lyons M. Dry-land resistance training practices of elite swimming strength and conditioning coaches. </w:t>
      </w:r>
      <w:r>
        <w:rPr>
          <w:i/>
          <w:iCs/>
        </w:rPr>
        <w:t>J Strength Cond Res</w:t>
      </w:r>
      <w:r>
        <w:t xml:space="preserve"> (2018) 32:2592–2600. doi: 10.1519/JSC.0000000000002599</w:t>
      </w:r>
    </w:p>
    <w:p w14:paraId="565106EE">
      <w:pPr>
        <w:pStyle w:val="166"/>
      </w:pPr>
      <w:r>
        <w:t xml:space="preserve">25. </w:t>
      </w:r>
      <w:r>
        <w:tab/>
      </w:r>
      <w:r>
        <w:t xml:space="preserve">Wang X, Lv C, Qin X, Ji S, Dong D. Effectiveness of plyometric training vs. complex training on the explosive power of lower limbs: a systematic review. </w:t>
      </w:r>
      <w:r>
        <w:rPr>
          <w:i/>
          <w:iCs/>
        </w:rPr>
        <w:t>Front Physiol</w:t>
      </w:r>
      <w:r>
        <w:t xml:space="preserve"> (2023) 13:1061110. doi: 10.3389/fphys.2022.1061110</w:t>
      </w:r>
    </w:p>
    <w:p w14:paraId="7D83AEC6">
      <w:pPr>
        <w:pStyle w:val="166"/>
      </w:pPr>
      <w:r>
        <w:t xml:space="preserve">26. </w:t>
      </w:r>
      <w:r>
        <w:tab/>
      </w:r>
      <w:r>
        <w:t xml:space="preserve">McKay AK, Stellingwerff T, Smith ES, Martin DT, Mujika I, Goosey-Tolfrey VL, Sheppard J, Burke LM. Defining training and performance caliber: a participant classification framework. </w:t>
      </w:r>
      <w:r>
        <w:rPr>
          <w:i/>
          <w:iCs/>
        </w:rPr>
        <w:t>Int J Sports Physiol Perform</w:t>
      </w:r>
      <w:r>
        <w:t xml:space="preserve"> (2021) 17:317–331. doi: 10.1123/ijspp.2021-0451</w:t>
      </w:r>
    </w:p>
    <w:p w14:paraId="3FD4EBB9">
      <w:pPr>
        <w:pStyle w:val="166"/>
        <w:rPr>
          <w:lang w:eastAsia="zh-CN"/>
        </w:rPr>
      </w:pPr>
      <w:r>
        <w:rPr>
          <w:lang w:eastAsia="zh-CN"/>
        </w:rPr>
        <w:t xml:space="preserve">27. </w:t>
      </w:r>
      <w:r>
        <w:rPr>
          <w:lang w:eastAsia="zh-CN"/>
        </w:rPr>
        <w:tab/>
      </w:r>
      <w:r>
        <w:rPr>
          <w:lang w:eastAsia="zh-CN"/>
        </w:rPr>
        <w:t>何鹏飞, 董范, 姜自立. 整合性神经肌肉训练对提高女子运动员运动表现及预防运动损伤的影响. 体育科学 (2017) 37:66–75.</w:t>
      </w:r>
    </w:p>
    <w:p w14:paraId="6663F38B">
      <w:pPr>
        <w:pStyle w:val="166"/>
      </w:pPr>
      <w:r>
        <w:t xml:space="preserve">28. </w:t>
      </w:r>
      <w:r>
        <w:tab/>
      </w:r>
      <w:r>
        <w:t xml:space="preserve">Zhao W, Wang C, Bi Y, Chen L. Effect of integrative neuromuscular training for injury prevention and sports performance of female badminton players. </w:t>
      </w:r>
      <w:r>
        <w:rPr>
          <w:i/>
          <w:iCs/>
        </w:rPr>
        <w:t>Biomed Res Int</w:t>
      </w:r>
      <w:r>
        <w:t xml:space="preserve"> (2021) 2021:5555853. doi: 10.1155/2021/5555853</w:t>
      </w:r>
    </w:p>
    <w:p w14:paraId="23830572">
      <w:pPr>
        <w:pStyle w:val="166"/>
      </w:pPr>
      <w:r>
        <w:t xml:space="preserve">29. </w:t>
      </w:r>
      <w:r>
        <w:tab/>
      </w:r>
      <w:r>
        <w:t xml:space="preserve">Faigenbaum AD, Farrell A, Fabiano M, Radler T, Naclerio F, Ratamess NA, Kang J, Myer GD. Effects of integrative neuromuscular training on fitness performance in children. </w:t>
      </w:r>
      <w:r>
        <w:rPr>
          <w:i/>
          <w:iCs/>
        </w:rPr>
        <w:t>Pediatr exerc sci</w:t>
      </w:r>
      <w:r>
        <w:t xml:space="preserve"> (2011) 23:573–584. doi: 10.1123/pes.23.4.573</w:t>
      </w:r>
    </w:p>
    <w:p w14:paraId="7474BA1B">
      <w:pPr>
        <w:pStyle w:val="166"/>
      </w:pPr>
      <w:r>
        <w:t xml:space="preserve">30. </w:t>
      </w:r>
      <w:r>
        <w:tab/>
      </w:r>
      <w:r>
        <w:t>Frost DM, Beach TA, Callaghan JP, McGill SM. Using the functional movement screen</w:t>
      </w:r>
      <w:r>
        <w:rPr>
          <w:vertAlign w:val="superscript"/>
        </w:rPr>
        <w:t>TM</w:t>
      </w:r>
      <w:r>
        <w:t xml:space="preserve"> to evaluate the effectiveness of training. </w:t>
      </w:r>
      <w:r>
        <w:rPr>
          <w:i/>
          <w:iCs/>
        </w:rPr>
        <w:t>J Strength Cond Res</w:t>
      </w:r>
      <w:r>
        <w:t xml:space="preserve"> (2012) 26:1620–1630. doi: 10.1519/JSC.0b013e318234ec59</w:t>
      </w:r>
    </w:p>
    <w:p w14:paraId="3D1499E4">
      <w:pPr>
        <w:pStyle w:val="166"/>
      </w:pPr>
      <w:r>
        <w:t xml:space="preserve">31. </w:t>
      </w:r>
      <w:r>
        <w:tab/>
      </w:r>
      <w:r>
        <w:t xml:space="preserve">Tor E, Pease DL, Ball KA. Key parameters of the swimming start and their relationship to start performance. </w:t>
      </w:r>
      <w:r>
        <w:rPr>
          <w:i/>
          <w:iCs/>
        </w:rPr>
        <w:t>J Sports Sci</w:t>
      </w:r>
      <w:r>
        <w:t xml:space="preserve"> (2015) 33:1313–1321. doi: 10.1080/02640414.2014.990486</w:t>
      </w:r>
    </w:p>
    <w:p w14:paraId="5A6091E0">
      <w:pPr>
        <w:pStyle w:val="166"/>
      </w:pPr>
      <w:r>
        <w:t xml:space="preserve">32. </w:t>
      </w:r>
      <w:r>
        <w:tab/>
      </w:r>
      <w:r>
        <w:t xml:space="preserve">Gignac GE, Szodorai ET. Effect size guidelines for individual differences researchers. </w:t>
      </w:r>
      <w:r>
        <w:rPr>
          <w:i/>
          <w:iCs/>
        </w:rPr>
        <w:t>Personal individ differ</w:t>
      </w:r>
      <w:r>
        <w:t xml:space="preserve"> (2016) 102:74–78. doi: 10.1016/j.paid.2016.06.069</w:t>
      </w:r>
    </w:p>
    <w:p w14:paraId="45C9143E">
      <w:pPr>
        <w:pStyle w:val="166"/>
      </w:pPr>
      <w:r>
        <w:t xml:space="preserve">33. </w:t>
      </w:r>
      <w:r>
        <w:tab/>
      </w:r>
      <w:r>
        <w:t xml:space="preserve">Hammami R, Negra Y, Nebigh A, Ramirez-Campillo R, Moran J, Chaabene H. Preseason integrative neuromuscular training improves selected measures of physical fitness in highly trained, youth, male soccer players. </w:t>
      </w:r>
      <w:r>
        <w:rPr>
          <w:i/>
          <w:iCs/>
        </w:rPr>
        <w:t>J Strength Cond Res</w:t>
      </w:r>
      <w:r>
        <w:t xml:space="preserve"> (2023) 37:e384–e390. doi: 10.1519/JSC.0000000000004394</w:t>
      </w:r>
    </w:p>
    <w:p w14:paraId="4E1A6E82">
      <w:pPr>
        <w:pStyle w:val="166"/>
      </w:pPr>
      <w:r>
        <w:t xml:space="preserve">34. </w:t>
      </w:r>
      <w:r>
        <w:tab/>
      </w:r>
      <w:r>
        <w:t xml:space="preserve">Panagoulis C, Chatzinikolaou A, Avloniti A, Leontsini D, Deli CK, Draganidis D, Stampoulis T, Oikonomou T, Papanikolaou K, Rafailakis L. In-season integrative neuromuscular strength training improves performance of early-adolescent soccer athletes. </w:t>
      </w:r>
      <w:r>
        <w:rPr>
          <w:i/>
          <w:iCs/>
        </w:rPr>
        <w:t>J Strength Cond Res</w:t>
      </w:r>
      <w:r>
        <w:t xml:space="preserve"> (2020) 34:516–526. doi: 10.1519/JSC.0000000000002938</w:t>
      </w:r>
    </w:p>
    <w:p w14:paraId="670E3EDA">
      <w:pPr>
        <w:pStyle w:val="166"/>
      </w:pPr>
      <w:r>
        <w:t xml:space="preserve">35. </w:t>
      </w:r>
      <w:r>
        <w:tab/>
      </w:r>
      <w:r>
        <w:t xml:space="preserve">Breed RVP, Young WB. The effect of a resistance training programme on the grab, track and swing starts in swimming. </w:t>
      </w:r>
      <w:r>
        <w:rPr>
          <w:i/>
          <w:iCs/>
        </w:rPr>
        <w:t>J Sports Sci</w:t>
      </w:r>
      <w:r>
        <w:t xml:space="preserve"> (2003) 21:213–220. doi: 10.1080/0264041031000071047</w:t>
      </w:r>
    </w:p>
    <w:p w14:paraId="288E11EE">
      <w:pPr>
        <w:pStyle w:val="166"/>
      </w:pPr>
      <w:r>
        <w:t xml:space="preserve">36. </w:t>
      </w:r>
      <w:r>
        <w:tab/>
      </w:r>
      <w:r>
        <w:t xml:space="preserve">Moran J, Ramirez-Campillo R, Liew B, Chaabene H, Behm DG, García-Hermoso A, Izquierdo M, Granacher U. Effects of vertically and horizontally orientated plyometric training on physical performance: a meta-analytical comparison. </w:t>
      </w:r>
      <w:r>
        <w:rPr>
          <w:i/>
          <w:iCs/>
        </w:rPr>
        <w:t>Sports Med</w:t>
      </w:r>
      <w:r>
        <w:t xml:space="preserve"> (2021) 51:65–79. doi: 10.1007/s40279-020-01340-6</w:t>
      </w:r>
    </w:p>
    <w:p w14:paraId="6D529E0A">
      <w:pPr>
        <w:pStyle w:val="166"/>
      </w:pPr>
      <w:r>
        <w:t xml:space="preserve">37. </w:t>
      </w:r>
      <w:r>
        <w:tab/>
      </w:r>
      <w:r>
        <w:t xml:space="preserve">Chen J-R, Ning Y-L, An T-Y, Tsai Y-L, Tseng K-W, Hsu C-C. Effects of horizontal and vertical vector resistance training on swim start performance: an eight-week intervention in division one collegiate swimmers in taiwan. </w:t>
      </w:r>
      <w:r>
        <w:rPr>
          <w:i/>
          <w:iCs/>
        </w:rPr>
        <w:t>J Funct Morphol Kinesiol</w:t>
      </w:r>
      <w:r>
        <w:t xml:space="preserve"> (2025) 10:236. doi: 10.3390/jfmk10030236</w:t>
      </w:r>
    </w:p>
    <w:p w14:paraId="1585E9E2">
      <w:pPr>
        <w:pStyle w:val="166"/>
      </w:pPr>
      <w:r>
        <w:t xml:space="preserve">38. </w:t>
      </w:r>
      <w:r>
        <w:tab/>
      </w:r>
      <w:r>
        <w:t xml:space="preserve">Pasanen K, Parkkari J, Pasanen M, Kannus P. Effect of a neuromuscular warm-up programme on muscle power, balance, speed and agility: a randomised controlled study. </w:t>
      </w:r>
      <w:r>
        <w:rPr>
          <w:i/>
          <w:iCs/>
        </w:rPr>
        <w:t>Br J Sports Med</w:t>
      </w:r>
      <w:r>
        <w:t xml:space="preserve"> (2009) 43:1073–1078. doi: 10.1136/bjsm.2009.061747</w:t>
      </w:r>
    </w:p>
    <w:p w14:paraId="4D6A4D81">
      <w:pPr>
        <w:pStyle w:val="166"/>
      </w:pPr>
      <w:r>
        <w:t xml:space="preserve">39. </w:t>
      </w:r>
      <w:r>
        <w:tab/>
      </w:r>
      <w:r>
        <w:t xml:space="preserve">Alptekin A. Body composition and kinematic analysis of the grab start in youth swimmers. </w:t>
      </w:r>
      <w:r>
        <w:rPr>
          <w:i/>
          <w:iCs/>
        </w:rPr>
        <w:t>J hum kinet</w:t>
      </w:r>
      <w:r>
        <w:t xml:space="preserve"> (2014) 42:15. doi: 10.2478/hukin-2014-0057</w:t>
      </w:r>
    </w:p>
    <w:p w14:paraId="022C35DE">
      <w:pPr>
        <w:pStyle w:val="166"/>
      </w:pPr>
      <w:r>
        <w:t xml:space="preserve">40. </w:t>
      </w:r>
      <w:r>
        <w:tab/>
      </w:r>
      <w:r>
        <w:t xml:space="preserve">Slawson SE, Conway PP, Cossor J, Chakravorti N, West AA. The categorisation of swimming start performance with reference to force generation on the main block and footrest components of the omega OSB11 start blocks. </w:t>
      </w:r>
      <w:r>
        <w:rPr>
          <w:i/>
          <w:iCs/>
        </w:rPr>
        <w:t>J Sports Sci</w:t>
      </w:r>
      <w:r>
        <w:t xml:space="preserve"> (2013) 31:468–478. doi: 10.1080/02640414.2012.736631</w:t>
      </w:r>
    </w:p>
    <w:p w14:paraId="751B3D9E">
      <w:pPr>
        <w:pStyle w:val="166"/>
      </w:pPr>
      <w:r>
        <w:t xml:space="preserve">41. </w:t>
      </w:r>
      <w:r>
        <w:tab/>
      </w:r>
      <w:r>
        <w:t xml:space="preserve">Loturco I, Pereira LA, Kobal R, Maldonado T, Piazzi AF, Bottino A, Kitamura K, Cal Abad CC, de Arruda M, Nakamura FY. Improving sprint performance in soccer: effectiveness of jump squat and olympic push press exercises. </w:t>
      </w:r>
      <w:r>
        <w:rPr>
          <w:i/>
          <w:iCs/>
        </w:rPr>
        <w:t>PLOS One</w:t>
      </w:r>
      <w:r>
        <w:t xml:space="preserve"> (2016) 11:e0153958. doi: 10.1371/journal.pone.0153958</w:t>
      </w:r>
    </w:p>
    <w:p w14:paraId="3117CA8A">
      <w:pPr>
        <w:pStyle w:val="166"/>
      </w:pPr>
      <w:r>
        <w:t xml:space="preserve">42. </w:t>
      </w:r>
      <w:r>
        <w:tab/>
      </w:r>
      <w:r>
        <w:t xml:space="preserve">Komi PV. Stretch-shortening cycle: a powerful model to study normal and fatigued muscle. </w:t>
      </w:r>
      <w:r>
        <w:rPr>
          <w:i/>
          <w:iCs/>
        </w:rPr>
        <w:t>J Biomech</w:t>
      </w:r>
      <w:r>
        <w:t xml:space="preserve"> (2000) 33:1197–1206. doi: 10.1016/S0021-9290(00)00064-6</w:t>
      </w:r>
    </w:p>
    <w:p w14:paraId="78C1EF83">
      <w:pPr>
        <w:pStyle w:val="166"/>
      </w:pPr>
      <w:r>
        <w:t xml:space="preserve">43. </w:t>
      </w:r>
      <w:r>
        <w:tab/>
      </w:r>
      <w:r>
        <w:t xml:space="preserve">Frohm A, Heijne A, Kowalski J, Svensson P, Myklebust G. A nine-test screening battery for athletes: a reliability study. </w:t>
      </w:r>
      <w:r>
        <w:rPr>
          <w:i/>
          <w:iCs/>
        </w:rPr>
        <w:t>Scand J Med Sci Sports</w:t>
      </w:r>
      <w:r>
        <w:t xml:space="preserve"> (2012) 22:306–315. doi: 10.1111/j.1600-0838.2010.01267.x</w:t>
      </w:r>
    </w:p>
    <w:p w14:paraId="430E7D8F">
      <w:pPr>
        <w:pStyle w:val="166"/>
      </w:pPr>
      <w:r>
        <w:t xml:space="preserve">44. </w:t>
      </w:r>
      <w:r>
        <w:tab/>
      </w:r>
      <w:r>
        <w:t xml:space="preserve">Roberts D, Ageberg E, Andersson G, Fridén T. Clinical measurements of proprioception, muscle strength and laxity in relation to function in the ACL-injured knee. </w:t>
      </w:r>
      <w:r>
        <w:rPr>
          <w:i/>
          <w:iCs/>
        </w:rPr>
        <w:t>Knee Surg Sports Traumatol Arthrosc</w:t>
      </w:r>
      <w:r>
        <w:t xml:space="preserve"> (2007) 15:9–16. doi: 10.1007/s00167-006-0128-4</w:t>
      </w:r>
    </w:p>
    <w:p w14:paraId="1DF3B24A">
      <w:pPr>
        <w:pStyle w:val="166"/>
      </w:pPr>
      <w:r>
        <w:t xml:space="preserve">45. </w:t>
      </w:r>
      <w:r>
        <w:tab/>
      </w:r>
      <w:r>
        <w:t xml:space="preserve">Behm DG, Muehlbauer T, Kibele A, Granacher U. Effects of strength training using unstable surfaces on strength, power and balance performance across the lifespan: a systematic review and meta-analysis. </w:t>
      </w:r>
      <w:r>
        <w:rPr>
          <w:i/>
          <w:iCs/>
        </w:rPr>
        <w:t>Sports Med</w:t>
      </w:r>
      <w:r>
        <w:t xml:space="preserve"> (2015) 45:1645–1669. doi: 10.1007/s40279-015-0384-x</w:t>
      </w:r>
    </w:p>
    <w:p w14:paraId="290B8478">
      <w:pPr>
        <w:pStyle w:val="166"/>
      </w:pPr>
      <w:r>
        <w:t xml:space="preserve">46. </w:t>
      </w:r>
      <w:r>
        <w:tab/>
      </w:r>
      <w:r>
        <w:t xml:space="preserve">Harati J, Daneshmandi H, Shahabi Kaseb MR. Comparing the effects of dry-land and in-water core stability training programs on swimmers’ upper body balance and performance. </w:t>
      </w:r>
      <w:r>
        <w:rPr>
          <w:i/>
          <w:iCs/>
        </w:rPr>
        <w:t>J Sport Biomech</w:t>
      </w:r>
      <w:r>
        <w:t xml:space="preserve"> (2018) 4:17–29.</w:t>
      </w:r>
    </w:p>
    <w:p w14:paraId="39E5C34A">
      <w:pPr>
        <w:pStyle w:val="166"/>
      </w:pPr>
      <w:r>
        <w:t xml:space="preserve">47. </w:t>
      </w:r>
      <w:r>
        <w:tab/>
      </w:r>
      <w:r>
        <w:t xml:space="preserve">Riemann BL, Lephart SM. The sensorimotor system, part II: the role of proprioception in motor control and functional joint stability. </w:t>
      </w:r>
      <w:r>
        <w:rPr>
          <w:i/>
          <w:iCs/>
        </w:rPr>
        <w:t>J athl train</w:t>
      </w:r>
      <w:r>
        <w:t xml:space="preserve"> (2002) 37:80.</w:t>
      </w:r>
    </w:p>
    <w:p w14:paraId="3E81C39A">
      <w:pPr>
        <w:pStyle w:val="166"/>
      </w:pPr>
      <w:r>
        <w:t xml:space="preserve">48. </w:t>
      </w:r>
      <w:r>
        <w:tab/>
      </w:r>
      <w:r>
        <w:t xml:space="preserve">Eckard T, Padua D, Mauntel T, Frank B, Pietrosimone L, Begalle R, Goto S, Clark M, Kucera K. Association between double-leg squat and single-leg squat performance and injury incidence among incoming NCAA division I athletes: a prospective cohort study. </w:t>
      </w:r>
      <w:r>
        <w:rPr>
          <w:i/>
          <w:iCs/>
        </w:rPr>
        <w:t>Phys Ther Sport</w:t>
      </w:r>
      <w:r>
        <w:t xml:space="preserve"> (2018) 34:192–200. doi: 10.1016/j.ptsp.2018.10.009</w:t>
      </w:r>
    </w:p>
    <w:p w14:paraId="1339BCFF">
      <w:pPr>
        <w:pStyle w:val="166"/>
      </w:pPr>
      <w:r>
        <w:t xml:space="preserve">49. </w:t>
      </w:r>
      <w:r>
        <w:tab/>
      </w:r>
      <w:r>
        <w:t xml:space="preserve">Fort-Vanmeerhaeghe A, Gual G, Romero-Rodriguez D, Unnitha V. Lower limb neuromuscular asymmetry in volleyball and basketball players. </w:t>
      </w:r>
      <w:r>
        <w:rPr>
          <w:i/>
          <w:iCs/>
        </w:rPr>
        <w:t>J hum kinet</w:t>
      </w:r>
      <w:r>
        <w:t xml:space="preserve"> (2016) 50:135. doi: 10.1515/hukin-2015-0150</w:t>
      </w:r>
    </w:p>
    <w:p w14:paraId="29143225">
      <w:pPr>
        <w:pStyle w:val="166"/>
      </w:pPr>
      <w:r>
        <w:t xml:space="preserve">50. </w:t>
      </w:r>
      <w:r>
        <w:tab/>
      </w:r>
      <w:r>
        <w:t xml:space="preserve">Van Der Sluis A, Elferink-Gemser M, Coelho-e-Silva M, Nijboer J, Brink M, Visscher C. Sport injuries aligned to peak height velocity in talented pubertal soccer players. </w:t>
      </w:r>
      <w:r>
        <w:rPr>
          <w:i/>
          <w:iCs/>
        </w:rPr>
        <w:t>Int J Sports Med</w:t>
      </w:r>
      <w:r>
        <w:t xml:space="preserve"> (2013) 35:351–355. doi: 10.1055/s-0033-1349874</w:t>
      </w:r>
    </w:p>
    <w:p w14:paraId="06D46F11">
      <w:pPr>
        <w:pStyle w:val="166"/>
      </w:pPr>
      <w:r>
        <w:t xml:space="preserve">51. </w:t>
      </w:r>
      <w:r>
        <w:tab/>
      </w:r>
      <w:r>
        <w:t xml:space="preserve">Mersmann F, Bohm S, Arampatzis A. Imbalances in the development of muscle and tendon as risk factor for tendinopathies in youth athletes: a review of current evidence and concepts of prevention. </w:t>
      </w:r>
      <w:r>
        <w:rPr>
          <w:i/>
          <w:iCs/>
        </w:rPr>
        <w:t>Front Physiol</w:t>
      </w:r>
      <w:r>
        <w:t xml:space="preserve"> (2017) 8:987. doi: 10.3389/fphys.2017.00987</w:t>
      </w:r>
    </w:p>
    <w:p w14:paraId="1EB58671">
      <w:pPr>
        <w:pStyle w:val="166"/>
      </w:pPr>
      <w:r>
        <w:t xml:space="preserve">52. </w:t>
      </w:r>
      <w:r>
        <w:tab/>
      </w:r>
      <w:r>
        <w:t xml:space="preserve">Myer GD, Sugimoto D, Thomas S, Hewett TE. The influence of age on the effectiveness of neuromuscular training to reduce anterior cruciate ligament injury in female athletes: a meta-analysis. </w:t>
      </w:r>
      <w:r>
        <w:rPr>
          <w:i/>
          <w:iCs/>
        </w:rPr>
        <w:t>Am J Sports Med</w:t>
      </w:r>
      <w:r>
        <w:t xml:space="preserve"> (2013) 41:203–215. doi: 10.1177/0363546512460637</w:t>
      </w:r>
    </w:p>
    <w:p w14:paraId="34F3576C">
      <w:pPr>
        <w:pStyle w:val="166"/>
      </w:pPr>
      <w:r>
        <w:t xml:space="preserve">53. </w:t>
      </w:r>
      <w:r>
        <w:tab/>
      </w:r>
      <w:r>
        <w:t>雷正方, 张瑛秋. 整合性神经肌肉训练对听障乒乓球运动员下肢功能性不对称与平衡能力的影响. 体育科学 (2018) 38:28–38.</w:t>
      </w:r>
    </w:p>
    <w:p w14:paraId="766D90D0">
      <w:pPr>
        <w:pStyle w:val="166"/>
      </w:pPr>
      <w:r>
        <w:t xml:space="preserve">54. </w:t>
      </w:r>
      <w:r>
        <w:tab/>
      </w:r>
      <w:r>
        <w:t xml:space="preserve">Bonato M, Benis R, La Torre A. Neuromuscular training reduces lower limb injuries in elite female basketball players. A cluster randomized controlled trial. </w:t>
      </w:r>
      <w:r>
        <w:rPr>
          <w:i/>
          <w:iCs/>
        </w:rPr>
        <w:t>Scand J Med Sci Sports</w:t>
      </w:r>
      <w:r>
        <w:t xml:space="preserve"> (2018) 28:1451–1460. doi: 10.1111/sms.13034</w:t>
      </w:r>
    </w:p>
    <w:p w14:paraId="64597FCF">
      <w:pPr>
        <w:pStyle w:val="166"/>
      </w:pPr>
      <w:r>
        <w:t xml:space="preserve">55. </w:t>
      </w:r>
      <w:r>
        <w:tab/>
      </w:r>
      <w:r>
        <w:t xml:space="preserve">Vantorre J, Seifert L, Fernandes RJ, Boas JPV, Chollet D. Kinematical profiling of the front crawl start. </w:t>
      </w:r>
      <w:r>
        <w:rPr>
          <w:i/>
          <w:iCs/>
        </w:rPr>
        <w:t>Int J Sports Med</w:t>
      </w:r>
      <w:r>
        <w:t xml:space="preserve"> (2010) 31:16–21. doi: 10.1055/s-0029-1241208</w:t>
      </w:r>
    </w:p>
    <w:p w14:paraId="588918F7">
      <w:pPr>
        <w:pStyle w:val="166"/>
      </w:pPr>
      <w:r>
        <w:t xml:space="preserve">56. </w:t>
      </w:r>
      <w:r>
        <w:tab/>
      </w:r>
      <w:r>
        <w:t xml:space="preserve">Vantorre J, Chollet D, Seifert L. Biomechanical analysis of the swim-start: a review. </w:t>
      </w:r>
      <w:r>
        <w:rPr>
          <w:i/>
          <w:iCs/>
        </w:rPr>
        <w:t>J sports sci med</w:t>
      </w:r>
      <w:r>
        <w:t xml:space="preserve"> (2014) 13:223.</w:t>
      </w:r>
    </w:p>
    <w:p w14:paraId="1E8FA3BC">
      <w:pPr>
        <w:pStyle w:val="166"/>
      </w:pPr>
      <w:r>
        <w:t xml:space="preserve">57. </w:t>
      </w:r>
      <w:r>
        <w:tab/>
      </w:r>
      <w:r>
        <w:t xml:space="preserve">Fitzpatrick DA, Cimadoro G, Cleather DJ. The magical horizontal force muscle? A preliminary study examining the “force-vector” theory. </w:t>
      </w:r>
      <w:r>
        <w:rPr>
          <w:i/>
          <w:iCs/>
        </w:rPr>
        <w:t>Sports</w:t>
      </w:r>
      <w:r>
        <w:t xml:space="preserve"> (2019) 7:30. doi: 10.3390/sports7020030</w:t>
      </w:r>
    </w:p>
    <w:p w14:paraId="07891B46">
      <w:pPr>
        <w:pStyle w:val="166"/>
      </w:pPr>
      <w:r>
        <w:t xml:space="preserve">58. </w:t>
      </w:r>
      <w:r>
        <w:tab/>
      </w:r>
      <w:r>
        <w:t xml:space="preserve">Randell AD, Cronin JB, Keogh JW, Gill ND. Transference of strength and power adaptation to sports performance—horizontal and vertical force production. </w:t>
      </w:r>
      <w:r>
        <w:rPr>
          <w:i/>
          <w:iCs/>
        </w:rPr>
        <w:t>Strength Cond J</w:t>
      </w:r>
      <w:r>
        <w:t xml:space="preserve"> (2010) 32:100–106. doi: 10.1519/SSC.0b013e3181e91eec</w:t>
      </w:r>
    </w:p>
    <w:p w14:paraId="31E7F3D8">
      <w:pPr>
        <w:pStyle w:val="166"/>
      </w:pPr>
      <w:r>
        <w:t xml:space="preserve">59. </w:t>
      </w:r>
      <w:r>
        <w:tab/>
      </w:r>
      <w:r>
        <w:t xml:space="preserve">Tano G, Bishop A, Climstein M, DeBeliso M. The reliability of the prowler in high school male football players. </w:t>
      </w:r>
      <w:r>
        <w:rPr>
          <w:i/>
          <w:iCs/>
        </w:rPr>
        <w:t>J Sports Sci</w:t>
      </w:r>
      <w:r>
        <w:t xml:space="preserve"> (2016) 4:183–8.</w:t>
      </w:r>
    </w:p>
    <w:p w14:paraId="2A826DC7">
      <w:pPr>
        <w:pStyle w:val="166"/>
      </w:pPr>
      <w:r>
        <w:t xml:space="preserve">60. </w:t>
      </w:r>
      <w:r>
        <w:tab/>
      </w:r>
      <w:r>
        <w:t xml:space="preserve">Contreras B, Vigotsky AD, Schoenfeld BJ, Beardsley C, McMaster DT, Reyneke JH, Cronin JB. Effects of a six-week hip thrust vs. front squat resistance training program on performance in adolescent males: a randomized controlled trial. </w:t>
      </w:r>
      <w:r>
        <w:rPr>
          <w:i/>
          <w:iCs/>
        </w:rPr>
        <w:t>J Strength Cond Res</w:t>
      </w:r>
      <w:r>
        <w:t xml:space="preserve"> (2017) 31:999–1008. doi: 10.1519/JSC.0000000000001510</w:t>
      </w:r>
    </w:p>
    <w:p w14:paraId="68BA29A2">
      <w:pPr>
        <w:pStyle w:val="166"/>
      </w:pPr>
      <w:r>
        <w:t xml:space="preserve">61. </w:t>
      </w:r>
      <w:r>
        <w:tab/>
      </w:r>
      <w:r>
        <w:t xml:space="preserve">Morin J-B, Petrakos G, Jiménez-Reyes P, Brown SR, Samozino P, Cross MR. Very-heavy sled training for improving horizontal-force output in soccer players. </w:t>
      </w:r>
      <w:r>
        <w:rPr>
          <w:i/>
          <w:iCs/>
        </w:rPr>
        <w:t>Int J Sports Physiol Perform</w:t>
      </w:r>
      <w:r>
        <w:t xml:space="preserve"> (2017) 12:840–844. doi: 10.1123/ijspp.2016-0444</w:t>
      </w:r>
    </w:p>
    <w:p w14:paraId="48DC0A7C">
      <w:pPr>
        <w:pStyle w:val="166"/>
      </w:pPr>
      <w:r>
        <w:t xml:space="preserve">62. </w:t>
      </w:r>
      <w:r>
        <w:tab/>
      </w:r>
      <w:r>
        <w:t xml:space="preserve">Thng S, Pearson S, Keogh JW. Pushing up or pushing out—an initial investigation into horizontal-versus vertical-force training on swimming start performance: a pilot study. </w:t>
      </w:r>
      <w:r>
        <w:rPr>
          <w:i/>
          <w:iCs/>
        </w:rPr>
        <w:t>PeerJ</w:t>
      </w:r>
      <w:r>
        <w:t xml:space="preserve"> (2021) 9:e10937. doi: 10.7717/peerj.10937</w:t>
      </w:r>
    </w:p>
    <w:p w14:paraId="3C8B20B2">
      <w:pPr>
        <w:pStyle w:val="166"/>
      </w:pPr>
      <w:r>
        <w:t xml:space="preserve">63. </w:t>
      </w:r>
      <w:r>
        <w:tab/>
      </w:r>
      <w:r>
        <w:t xml:space="preserve">Malina RM, Bouchard C, Bar-Or O. </w:t>
      </w:r>
      <w:r>
        <w:rPr>
          <w:i/>
          <w:iCs/>
        </w:rPr>
        <w:t>Growth, maturation, and physical activity</w:t>
      </w:r>
      <w:r>
        <w:t>. Human kinetics. (2004). https://books.google.com/books?hl=zh-CN&amp;lr=&amp;id=VqFcFsykj6EC&amp;oi=fnd&amp;pg=PA1&amp;dq=Growth,+Maturation,+and+Physical+Activity.&amp;ots=ylVLITmSL8&amp;sig=evaoyW7CgEtSVWsIIsjU4RVHP0U [Accessed February 8, 2026]</w:t>
      </w:r>
    </w:p>
    <w:p w14:paraId="40722AD9">
      <w:pPr>
        <w:pStyle w:val="166"/>
      </w:pPr>
      <w:r>
        <w:t xml:space="preserve">64. </w:t>
      </w:r>
      <w:r>
        <w:tab/>
      </w:r>
      <w:r>
        <w:t xml:space="preserve">Granacher U, Lesinski M, Büsch D, Muehlbauer T, Prieske O, Puta C, Gollhofer A, Behm DG. Effects of resistance training in youth athletes on muscular fitness and athletic performance: a conceptual model for long-term athlete development. </w:t>
      </w:r>
      <w:r>
        <w:rPr>
          <w:i/>
          <w:iCs/>
        </w:rPr>
        <w:t>Front Physiol</w:t>
      </w:r>
      <w:r>
        <w:t xml:space="preserve"> (2016) 7:164. doi: 10.3389/fphys.2016.00164</w:t>
      </w:r>
    </w:p>
    <w:p w14:paraId="76E2AD08">
      <w:pPr>
        <w:pStyle w:val="166"/>
      </w:pPr>
      <w:r>
        <w:t xml:space="preserve">65. </w:t>
      </w:r>
      <w:r>
        <w:tab/>
      </w:r>
      <w:r>
        <w:t xml:space="preserve">Pangelinan MM, Zhang G, VanMeter JW, Clark JE, Hatfield BD, Haufler AJ. Beyond age and gender: relationships between cortical and subcortical brain volume and cognitive-motor abilities in school-age children. </w:t>
      </w:r>
      <w:r>
        <w:rPr>
          <w:i/>
          <w:iCs/>
        </w:rPr>
        <w:t>Neuroimage</w:t>
      </w:r>
      <w:r>
        <w:t xml:space="preserve"> (2011) 54:3093–3100. doi: 10.1016/j.neuroimage.2010.11.021</w:t>
      </w:r>
    </w:p>
    <w:p w14:paraId="711502D1">
      <w:pPr>
        <w:pStyle w:val="166"/>
      </w:pPr>
      <w:r>
        <w:t xml:space="preserve">66. </w:t>
      </w:r>
      <w:r>
        <w:tab/>
      </w:r>
      <w:r>
        <w:t xml:space="preserve">Mitchell LJ, Rattray B, Saunders PU, Pyne DB. The relationship between talent identification testing parameters and performance in elite junior swimmers. </w:t>
      </w:r>
      <w:r>
        <w:rPr>
          <w:i/>
          <w:iCs/>
        </w:rPr>
        <w:t>J Sci Med Sport</w:t>
      </w:r>
      <w:r>
        <w:t xml:space="preserve"> (2018) 21:1281–1285. doi: 10.1016/j.jsams.2018.05.006</w:t>
      </w:r>
    </w:p>
    <w:p w14:paraId="4E19EFF4">
      <w:pPr>
        <w:pStyle w:val="166"/>
      </w:pPr>
      <w:r>
        <w:t xml:space="preserve">67. </w:t>
      </w:r>
      <w:r>
        <w:tab/>
      </w:r>
      <w:r>
        <w:t xml:space="preserve">Malina RM. </w:t>
      </w:r>
      <w:r>
        <w:rPr>
          <w:i/>
          <w:iCs/>
        </w:rPr>
        <w:t>Growth, maturation, physical activity, and sport</w:t>
      </w:r>
      <w:r>
        <w:t>. Human Kinetics. (2025). https://books.google.com/books?hl=zh-CN&amp;lr=&amp;id=6VBUEQAAQBAJ&amp;oi=fnd&amp;pg=PP1&amp;dq=Growth,+Maturation,+and+Physical+Activity.&amp;ots=gjImkbE4Qs&amp;sig=xdSDcZqDD88NUJE4nwWBfTQgY_c [Accessed February 8, 2026]</w:t>
      </w:r>
    </w:p>
    <w:p w14:paraId="5417505C">
      <w:pPr>
        <w:pStyle w:val="166"/>
      </w:pPr>
      <w:r>
        <w:t xml:space="preserve">68. </w:t>
      </w:r>
      <w:r>
        <w:tab/>
      </w:r>
      <w:r>
        <w:t xml:space="preserve">Behringer M, Vom Heede A, Matthews M, Mester J. Effects of strength training on motor performance skills in children and adolescents: a meta-analysis. </w:t>
      </w:r>
      <w:r>
        <w:rPr>
          <w:i/>
          <w:iCs/>
        </w:rPr>
        <w:t>Pediatr exerc sci</w:t>
      </w:r>
      <w:r>
        <w:t xml:space="preserve"> (2011) 23:186–206. doi: 10.1123/pes.23.2.186</w:t>
      </w:r>
    </w:p>
    <w:p w14:paraId="47F8C2ED">
      <w:pPr>
        <w:rPr>
          <w:b/>
          <w:bCs/>
          <w:lang w:eastAsia="zh-CN"/>
        </w:rPr>
      </w:pPr>
      <w:r>
        <w:rPr>
          <w:b/>
          <w:bCs/>
          <w:lang w:eastAsia="zh-CN"/>
        </w:rPr>
        <w:fldChar w:fldCharType="end"/>
      </w:r>
    </w:p>
    <w:sectPr>
      <w:footerReference r:id="rId5" w:type="default"/>
      <w:pgSz w:w="12240" w:h="15840"/>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MS Mincho">
    <w:panose1 w:val="02020609040205080304"/>
    <w:charset w:val="80"/>
    <w:family w:val="auto"/>
    <w:pitch w:val="default"/>
    <w:sig w:usb0="E00002FF" w:usb1="6AC7FDFB" w:usb2="08000012" w:usb3="00000000" w:csb0="4002009F" w:csb1="DFD7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19408337"/>
      <w:docPartObj>
        <w:docPartGallery w:val="autotext"/>
      </w:docPartObj>
    </w:sdtPr>
    <w:sdtContent>
      <w:p w14:paraId="52AB0BBB">
        <w:pPr>
          <w:pStyle w:val="24"/>
          <w:jc w:val="center"/>
        </w:pPr>
        <w:r>
          <w:fldChar w:fldCharType="begin"/>
        </w:r>
        <w:r>
          <w:instrText xml:space="preserve">PAGE   \* MERGEFORMAT</w:instrText>
        </w:r>
        <w:r>
          <w:fldChar w:fldCharType="separate"/>
        </w:r>
        <w:r>
          <w:rPr>
            <w:lang w:val="zh-CN" w:eastAsia="zh-CN"/>
          </w:rPr>
          <w:t>2</w:t>
        </w:r>
        <w:r>
          <w:fldChar w:fldCharType="end"/>
        </w:r>
      </w:p>
    </w:sdtContent>
  </w:sdt>
  <w:p w14:paraId="288DAA25">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2C271FFD"/>
    <w:multiLevelType w:val="multilevel"/>
    <w:tmpl w:val="2C271FFD"/>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2822"/>
    <w:rsid w:val="0002129D"/>
    <w:rsid w:val="00031719"/>
    <w:rsid w:val="00034616"/>
    <w:rsid w:val="000602B3"/>
    <w:rsid w:val="0006063C"/>
    <w:rsid w:val="0006295B"/>
    <w:rsid w:val="00065F0F"/>
    <w:rsid w:val="00081EF7"/>
    <w:rsid w:val="000854AA"/>
    <w:rsid w:val="000A39BB"/>
    <w:rsid w:val="000B3DC8"/>
    <w:rsid w:val="000C14F6"/>
    <w:rsid w:val="000C36DC"/>
    <w:rsid w:val="000E16BB"/>
    <w:rsid w:val="000F534B"/>
    <w:rsid w:val="000F638A"/>
    <w:rsid w:val="000F6A52"/>
    <w:rsid w:val="00101261"/>
    <w:rsid w:val="00143D80"/>
    <w:rsid w:val="0015074B"/>
    <w:rsid w:val="001612ED"/>
    <w:rsid w:val="00173AA5"/>
    <w:rsid w:val="00173C3E"/>
    <w:rsid w:val="00176D81"/>
    <w:rsid w:val="001848B7"/>
    <w:rsid w:val="00187388"/>
    <w:rsid w:val="00190A0F"/>
    <w:rsid w:val="00195F2D"/>
    <w:rsid w:val="001A3A2D"/>
    <w:rsid w:val="001B21DC"/>
    <w:rsid w:val="001B40DB"/>
    <w:rsid w:val="001C777D"/>
    <w:rsid w:val="001D25AA"/>
    <w:rsid w:val="001D69C0"/>
    <w:rsid w:val="001D6DAA"/>
    <w:rsid w:val="001E7924"/>
    <w:rsid w:val="001F10B3"/>
    <w:rsid w:val="0021240F"/>
    <w:rsid w:val="0021769F"/>
    <w:rsid w:val="00231FF2"/>
    <w:rsid w:val="00245D08"/>
    <w:rsid w:val="002525B8"/>
    <w:rsid w:val="0025339C"/>
    <w:rsid w:val="00264B85"/>
    <w:rsid w:val="002721F2"/>
    <w:rsid w:val="00276C7F"/>
    <w:rsid w:val="00277DF9"/>
    <w:rsid w:val="0028368F"/>
    <w:rsid w:val="00292429"/>
    <w:rsid w:val="0029639D"/>
    <w:rsid w:val="00296561"/>
    <w:rsid w:val="00296FAB"/>
    <w:rsid w:val="002A24DD"/>
    <w:rsid w:val="002A7550"/>
    <w:rsid w:val="002C3488"/>
    <w:rsid w:val="002F48DA"/>
    <w:rsid w:val="00307CC8"/>
    <w:rsid w:val="0032323D"/>
    <w:rsid w:val="00326F90"/>
    <w:rsid w:val="00331817"/>
    <w:rsid w:val="00345227"/>
    <w:rsid w:val="00345B58"/>
    <w:rsid w:val="003510DA"/>
    <w:rsid w:val="0035316E"/>
    <w:rsid w:val="003738F4"/>
    <w:rsid w:val="00395254"/>
    <w:rsid w:val="003A4F33"/>
    <w:rsid w:val="003B437B"/>
    <w:rsid w:val="003D026C"/>
    <w:rsid w:val="003D5F3B"/>
    <w:rsid w:val="003F4FDE"/>
    <w:rsid w:val="00400D61"/>
    <w:rsid w:val="004114FE"/>
    <w:rsid w:val="00415A62"/>
    <w:rsid w:val="00416999"/>
    <w:rsid w:val="0042567A"/>
    <w:rsid w:val="004261A0"/>
    <w:rsid w:val="0042656E"/>
    <w:rsid w:val="00437348"/>
    <w:rsid w:val="00451C5E"/>
    <w:rsid w:val="00452D0B"/>
    <w:rsid w:val="00474BC1"/>
    <w:rsid w:val="004940D4"/>
    <w:rsid w:val="00495602"/>
    <w:rsid w:val="004B44A2"/>
    <w:rsid w:val="004B74B3"/>
    <w:rsid w:val="004D3AE7"/>
    <w:rsid w:val="004E2928"/>
    <w:rsid w:val="004E7D66"/>
    <w:rsid w:val="004F7152"/>
    <w:rsid w:val="00512FDD"/>
    <w:rsid w:val="00515057"/>
    <w:rsid w:val="00520ED0"/>
    <w:rsid w:val="00532610"/>
    <w:rsid w:val="00543A19"/>
    <w:rsid w:val="005632F4"/>
    <w:rsid w:val="00570D8C"/>
    <w:rsid w:val="00575EE9"/>
    <w:rsid w:val="00577B7C"/>
    <w:rsid w:val="005809E3"/>
    <w:rsid w:val="005877F6"/>
    <w:rsid w:val="005909FC"/>
    <w:rsid w:val="005A759A"/>
    <w:rsid w:val="005B3637"/>
    <w:rsid w:val="005C0740"/>
    <w:rsid w:val="005C7F20"/>
    <w:rsid w:val="005F0D98"/>
    <w:rsid w:val="00611530"/>
    <w:rsid w:val="0061779A"/>
    <w:rsid w:val="006451B7"/>
    <w:rsid w:val="00657BC0"/>
    <w:rsid w:val="006B7312"/>
    <w:rsid w:val="006C4438"/>
    <w:rsid w:val="006C75CC"/>
    <w:rsid w:val="006D4FA5"/>
    <w:rsid w:val="006F4B4F"/>
    <w:rsid w:val="006F62C7"/>
    <w:rsid w:val="00714E22"/>
    <w:rsid w:val="00746EC5"/>
    <w:rsid w:val="00754766"/>
    <w:rsid w:val="007562D5"/>
    <w:rsid w:val="007564B7"/>
    <w:rsid w:val="007640F2"/>
    <w:rsid w:val="007678F9"/>
    <w:rsid w:val="00790AF8"/>
    <w:rsid w:val="007954DC"/>
    <w:rsid w:val="007A1DB1"/>
    <w:rsid w:val="007A51EB"/>
    <w:rsid w:val="007B3E18"/>
    <w:rsid w:val="007B7D58"/>
    <w:rsid w:val="007C2A38"/>
    <w:rsid w:val="007D40D0"/>
    <w:rsid w:val="007D6EF7"/>
    <w:rsid w:val="007E2510"/>
    <w:rsid w:val="007E32AC"/>
    <w:rsid w:val="007E5AD5"/>
    <w:rsid w:val="007F02E4"/>
    <w:rsid w:val="007F5FB4"/>
    <w:rsid w:val="00800573"/>
    <w:rsid w:val="00814229"/>
    <w:rsid w:val="00832223"/>
    <w:rsid w:val="00841AB3"/>
    <w:rsid w:val="00863736"/>
    <w:rsid w:val="0087722C"/>
    <w:rsid w:val="008A4833"/>
    <w:rsid w:val="008B5CED"/>
    <w:rsid w:val="008C0CE4"/>
    <w:rsid w:val="008C398C"/>
    <w:rsid w:val="008D4637"/>
    <w:rsid w:val="008D4847"/>
    <w:rsid w:val="008D4B91"/>
    <w:rsid w:val="008F4C74"/>
    <w:rsid w:val="008F778D"/>
    <w:rsid w:val="00911C05"/>
    <w:rsid w:val="00913A2E"/>
    <w:rsid w:val="00924579"/>
    <w:rsid w:val="00927AF5"/>
    <w:rsid w:val="00927C63"/>
    <w:rsid w:val="009331FD"/>
    <w:rsid w:val="00940C69"/>
    <w:rsid w:val="009560EE"/>
    <w:rsid w:val="00963F08"/>
    <w:rsid w:val="00971AAC"/>
    <w:rsid w:val="00973171"/>
    <w:rsid w:val="009A4261"/>
    <w:rsid w:val="009A7619"/>
    <w:rsid w:val="009B14D1"/>
    <w:rsid w:val="009B2ACE"/>
    <w:rsid w:val="009B4A57"/>
    <w:rsid w:val="009B544F"/>
    <w:rsid w:val="009C1F57"/>
    <w:rsid w:val="009C589C"/>
    <w:rsid w:val="009E00F4"/>
    <w:rsid w:val="009E1127"/>
    <w:rsid w:val="009E4312"/>
    <w:rsid w:val="009E5403"/>
    <w:rsid w:val="009F6699"/>
    <w:rsid w:val="00A118AF"/>
    <w:rsid w:val="00A151DB"/>
    <w:rsid w:val="00A24436"/>
    <w:rsid w:val="00A26977"/>
    <w:rsid w:val="00A32B33"/>
    <w:rsid w:val="00A61E57"/>
    <w:rsid w:val="00A70112"/>
    <w:rsid w:val="00A735A4"/>
    <w:rsid w:val="00A75547"/>
    <w:rsid w:val="00A85909"/>
    <w:rsid w:val="00A97C25"/>
    <w:rsid w:val="00AA1D8D"/>
    <w:rsid w:val="00AA41F6"/>
    <w:rsid w:val="00AA4311"/>
    <w:rsid w:val="00AC39B6"/>
    <w:rsid w:val="00AD6293"/>
    <w:rsid w:val="00AE4711"/>
    <w:rsid w:val="00B02526"/>
    <w:rsid w:val="00B053E3"/>
    <w:rsid w:val="00B12DD6"/>
    <w:rsid w:val="00B15312"/>
    <w:rsid w:val="00B3559F"/>
    <w:rsid w:val="00B41B3C"/>
    <w:rsid w:val="00B47730"/>
    <w:rsid w:val="00B50C0F"/>
    <w:rsid w:val="00B50E16"/>
    <w:rsid w:val="00B5204E"/>
    <w:rsid w:val="00B53D18"/>
    <w:rsid w:val="00B855BB"/>
    <w:rsid w:val="00B86337"/>
    <w:rsid w:val="00B8739B"/>
    <w:rsid w:val="00B91434"/>
    <w:rsid w:val="00BB07A7"/>
    <w:rsid w:val="00BC1BFD"/>
    <w:rsid w:val="00BC3ED0"/>
    <w:rsid w:val="00BE7A99"/>
    <w:rsid w:val="00C167F1"/>
    <w:rsid w:val="00C20204"/>
    <w:rsid w:val="00C21066"/>
    <w:rsid w:val="00C25286"/>
    <w:rsid w:val="00C309AE"/>
    <w:rsid w:val="00C41442"/>
    <w:rsid w:val="00C41BEA"/>
    <w:rsid w:val="00C41F23"/>
    <w:rsid w:val="00C527C8"/>
    <w:rsid w:val="00C56254"/>
    <w:rsid w:val="00C60620"/>
    <w:rsid w:val="00C6560D"/>
    <w:rsid w:val="00C7226C"/>
    <w:rsid w:val="00C74DE4"/>
    <w:rsid w:val="00C768DF"/>
    <w:rsid w:val="00C855E8"/>
    <w:rsid w:val="00CA4CCB"/>
    <w:rsid w:val="00CA7C9F"/>
    <w:rsid w:val="00CB0664"/>
    <w:rsid w:val="00CB259B"/>
    <w:rsid w:val="00CC767E"/>
    <w:rsid w:val="00CD41BD"/>
    <w:rsid w:val="00CF31A0"/>
    <w:rsid w:val="00D03BF3"/>
    <w:rsid w:val="00D240EF"/>
    <w:rsid w:val="00D25858"/>
    <w:rsid w:val="00D30911"/>
    <w:rsid w:val="00D31DD9"/>
    <w:rsid w:val="00D4059E"/>
    <w:rsid w:val="00D467EE"/>
    <w:rsid w:val="00D6763D"/>
    <w:rsid w:val="00D70682"/>
    <w:rsid w:val="00D9238E"/>
    <w:rsid w:val="00D93D8D"/>
    <w:rsid w:val="00D95E42"/>
    <w:rsid w:val="00DB710F"/>
    <w:rsid w:val="00DC7C84"/>
    <w:rsid w:val="00DD59C1"/>
    <w:rsid w:val="00DE095F"/>
    <w:rsid w:val="00DF102A"/>
    <w:rsid w:val="00E17B1B"/>
    <w:rsid w:val="00E21EC5"/>
    <w:rsid w:val="00E57388"/>
    <w:rsid w:val="00E67B8C"/>
    <w:rsid w:val="00E72BDA"/>
    <w:rsid w:val="00E72FC1"/>
    <w:rsid w:val="00E90276"/>
    <w:rsid w:val="00E91BEE"/>
    <w:rsid w:val="00E978E6"/>
    <w:rsid w:val="00EA0CF3"/>
    <w:rsid w:val="00EC10B1"/>
    <w:rsid w:val="00EC1A82"/>
    <w:rsid w:val="00ED6B5C"/>
    <w:rsid w:val="00EE172F"/>
    <w:rsid w:val="00EE1B1D"/>
    <w:rsid w:val="00EE2B02"/>
    <w:rsid w:val="00EE4F79"/>
    <w:rsid w:val="00EF4CFC"/>
    <w:rsid w:val="00F11A92"/>
    <w:rsid w:val="00F32D24"/>
    <w:rsid w:val="00F46105"/>
    <w:rsid w:val="00F55308"/>
    <w:rsid w:val="00F72C0F"/>
    <w:rsid w:val="00F81692"/>
    <w:rsid w:val="00F82319"/>
    <w:rsid w:val="00F832C4"/>
    <w:rsid w:val="00F94473"/>
    <w:rsid w:val="00F94DB6"/>
    <w:rsid w:val="00F94FA2"/>
    <w:rsid w:val="00FA0200"/>
    <w:rsid w:val="00FB38E0"/>
    <w:rsid w:val="00FB39C5"/>
    <w:rsid w:val="00FB7695"/>
    <w:rsid w:val="00FC693F"/>
    <w:rsid w:val="00FE446D"/>
    <w:rsid w:val="00FE6943"/>
    <w:rsid w:val="00FF2AFC"/>
    <w:rsid w:val="00FF7618"/>
    <w:rsid w:val="045118E1"/>
    <w:rsid w:val="0C593912"/>
    <w:rsid w:val="0CE46D36"/>
    <w:rsid w:val="10545AEF"/>
    <w:rsid w:val="134A6C68"/>
    <w:rsid w:val="147B18BA"/>
    <w:rsid w:val="174B4163"/>
    <w:rsid w:val="175470E6"/>
    <w:rsid w:val="187A7FF0"/>
    <w:rsid w:val="24D25252"/>
    <w:rsid w:val="27BC3E46"/>
    <w:rsid w:val="285244BB"/>
    <w:rsid w:val="2A4E06CB"/>
    <w:rsid w:val="2A58320D"/>
    <w:rsid w:val="2FEF1F17"/>
    <w:rsid w:val="30822A6D"/>
    <w:rsid w:val="36BB2966"/>
    <w:rsid w:val="383E5400"/>
    <w:rsid w:val="39826EDE"/>
    <w:rsid w:val="39F937D7"/>
    <w:rsid w:val="3F8065DE"/>
    <w:rsid w:val="4C32539B"/>
    <w:rsid w:val="5FA62A18"/>
    <w:rsid w:val="6BBB6967"/>
    <w:rsid w:val="6EBA508E"/>
    <w:rsid w:val="73F017C0"/>
    <w:rsid w:val="745D17F9"/>
    <w:rsid w:val="7CBD61B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0" w:line="400" w:lineRule="exact"/>
      <w:jc w:val="both"/>
    </w:pPr>
    <w:rPr>
      <w:rFonts w:ascii="Times New Roman" w:hAnsi="Times New Roman" w:eastAsia="宋体" w:cstheme="minorBidi"/>
      <w:sz w:val="21"/>
      <w:szCs w:val="22"/>
      <w:lang w:val="en-US" w:eastAsia="en-US" w:bidi="ar-SA"/>
    </w:rPr>
  </w:style>
  <w:style w:type="paragraph" w:styleId="3">
    <w:name w:val="heading 1"/>
    <w:basedOn w:val="1"/>
    <w:next w:val="1"/>
    <w:link w:val="140"/>
    <w:autoRedefine/>
    <w:qFormat/>
    <w:uiPriority w:val="9"/>
    <w:pPr>
      <w:keepNext/>
      <w:keepLines/>
      <w:spacing w:before="480"/>
      <w:outlineLvl w:val="0"/>
    </w:pPr>
    <w:rPr>
      <w:rFonts w:asciiTheme="majorHAnsi" w:hAnsiTheme="majorHAnsi" w:eastAsiaTheme="majorEastAsia" w:cstheme="majorBidi"/>
      <w:b/>
      <w:bCs/>
      <w:color w:val="000000" w:themeColor="text1"/>
      <w:sz w:val="28"/>
      <w:szCs w:val="28"/>
      <w14:textFill>
        <w14:solidFill>
          <w14:schemeClr w14:val="tx1"/>
        </w14:solidFill>
      </w14:textFill>
    </w:rPr>
  </w:style>
  <w:style w:type="paragraph" w:styleId="4">
    <w:name w:val="heading 2"/>
    <w:basedOn w:val="1"/>
    <w:next w:val="1"/>
    <w:link w:val="141"/>
    <w:autoRedefine/>
    <w:unhideWhenUsed/>
    <w:qFormat/>
    <w:uiPriority w:val="9"/>
    <w:pPr>
      <w:keepNext/>
      <w:keepLines/>
      <w:spacing w:before="200"/>
      <w:outlineLvl w:val="1"/>
    </w:pPr>
    <w:rPr>
      <w:rFonts w:asciiTheme="majorHAnsi" w:hAnsiTheme="majorHAnsi" w:eastAsiaTheme="majorEastAsia" w:cstheme="majorBidi"/>
      <w:b/>
      <w:bCs/>
      <w:color w:val="000000" w:themeColor="text1"/>
      <w:sz w:val="26"/>
      <w:szCs w:val="26"/>
      <w14:textFill>
        <w14:solidFill>
          <w14:schemeClr w14:val="tx1"/>
        </w14:solidFill>
      </w14:textFill>
    </w:rPr>
  </w:style>
  <w:style w:type="paragraph" w:styleId="5">
    <w:name w:val="heading 3"/>
    <w:basedOn w:val="1"/>
    <w:next w:val="1"/>
    <w:link w:val="142"/>
    <w:autoRedefine/>
    <w:unhideWhenUsed/>
    <w:qFormat/>
    <w:uiPriority w:val="9"/>
    <w:pPr>
      <w:keepNext/>
      <w:keepLines/>
      <w:spacing w:before="200" w:line="240" w:lineRule="auto"/>
      <w:outlineLvl w:val="2"/>
    </w:pPr>
    <w:rPr>
      <w:rFonts w:asciiTheme="majorHAnsi" w:hAnsiTheme="majorHAnsi" w:eastAsiaTheme="majorEastAsia" w:cstheme="majorBidi"/>
      <w:b/>
      <w:bCs/>
      <w:color w:val="000000" w:themeColor="text1"/>
      <w14:textFill>
        <w14:solidFill>
          <w14:schemeClr w14:val="tx1"/>
        </w14:solidFill>
      </w14:textFill>
    </w:rPr>
  </w:style>
  <w:style w:type="paragraph" w:styleId="6">
    <w:name w:val="heading 4"/>
    <w:basedOn w:val="1"/>
    <w:next w:val="1"/>
    <w:link w:val="152"/>
    <w:semiHidden/>
    <w:unhideWhenUsed/>
    <w:qFormat/>
    <w:uiPriority w:val="9"/>
    <w:pPr>
      <w:keepNext/>
      <w:keepLines/>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line="240" w:lineRule="auto"/>
    </w:pPr>
  </w:style>
  <w:style w:type="paragraph" w:styleId="25">
    <w:name w:val="header"/>
    <w:basedOn w:val="1"/>
    <w:link w:val="137"/>
    <w:unhideWhenUsed/>
    <w:qFormat/>
    <w:uiPriority w:val="99"/>
    <w:pPr>
      <w:tabs>
        <w:tab w:val="center" w:pos="4680"/>
        <w:tab w:val="right" w:pos="9360"/>
      </w:tabs>
      <w:spacing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7"/>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qFormat/>
    <w:uiPriority w:val="99"/>
    <w:rPr>
      <w:rFonts w:cs="Times New Roman"/>
      <w:szCs w:val="24"/>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yperlink"/>
    <w:basedOn w:val="133"/>
    <w:unhideWhenUsed/>
    <w:uiPriority w:val="99"/>
    <w:rPr>
      <w:color w:val="0000FF" w:themeColor="hyperlink"/>
      <w:u w:val="single"/>
      <w14:textFill>
        <w14:solidFill>
          <w14:schemeClr w14:val="hlink"/>
        </w14:solidFill>
      </w14:textFill>
    </w:rPr>
  </w:style>
  <w:style w:type="character" w:customStyle="1" w:styleId="137">
    <w:name w:val="页眉 字符"/>
    <w:basedOn w:val="133"/>
    <w:link w:val="25"/>
    <w:uiPriority w:val="99"/>
  </w:style>
  <w:style w:type="character" w:customStyle="1" w:styleId="138">
    <w:name w:val="页脚 字符"/>
    <w:basedOn w:val="133"/>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标题 1 字符"/>
    <w:basedOn w:val="133"/>
    <w:link w:val="3"/>
    <w:uiPriority w:val="9"/>
    <w:rPr>
      <w:rFonts w:asciiTheme="majorHAnsi" w:hAnsiTheme="majorHAnsi" w:eastAsiaTheme="majorEastAsia" w:cstheme="majorBidi"/>
      <w:b/>
      <w:bCs/>
      <w:color w:val="000000" w:themeColor="text1"/>
      <w:sz w:val="28"/>
      <w:szCs w:val="28"/>
      <w14:textFill>
        <w14:solidFill>
          <w14:schemeClr w14:val="tx1"/>
        </w14:solidFill>
      </w14:textFill>
    </w:rPr>
  </w:style>
  <w:style w:type="character" w:customStyle="1" w:styleId="141">
    <w:name w:val="标题 2 字符"/>
    <w:basedOn w:val="133"/>
    <w:link w:val="4"/>
    <w:uiPriority w:val="9"/>
    <w:rPr>
      <w:rFonts w:asciiTheme="majorHAnsi" w:hAnsiTheme="majorHAnsi" w:eastAsiaTheme="majorEastAsia" w:cstheme="majorBidi"/>
      <w:b/>
      <w:bCs/>
      <w:color w:val="000000" w:themeColor="text1"/>
      <w:sz w:val="26"/>
      <w:szCs w:val="26"/>
      <w14:textFill>
        <w14:solidFill>
          <w14:schemeClr w14:val="tx1"/>
        </w14:solidFill>
      </w14:textFill>
    </w:rPr>
  </w:style>
  <w:style w:type="character" w:customStyle="1" w:styleId="142">
    <w:name w:val="标题 3 字符"/>
    <w:basedOn w:val="133"/>
    <w:link w:val="5"/>
    <w:uiPriority w:val="9"/>
    <w:rPr>
      <w:rFonts w:asciiTheme="majorHAnsi" w:hAnsiTheme="majorHAnsi" w:eastAsiaTheme="majorEastAsia" w:cstheme="majorBidi"/>
      <w:b/>
      <w:bCs/>
      <w:color w:val="000000" w:themeColor="text1"/>
      <w:sz w:val="24"/>
      <w14:textFill>
        <w14:solidFill>
          <w14:schemeClr w14:val="tx1"/>
        </w14:solidFill>
      </w14:textFill>
    </w:rPr>
  </w:style>
  <w:style w:type="character" w:customStyle="1" w:styleId="143">
    <w:name w:val="标题 字符"/>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副标题 字符"/>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正文文本 字符"/>
    <w:basedOn w:val="133"/>
    <w:link w:val="19"/>
    <w:uiPriority w:val="99"/>
  </w:style>
  <w:style w:type="character" w:customStyle="1" w:styleId="147">
    <w:name w:val="正文文本 2 字符"/>
    <w:basedOn w:val="133"/>
    <w:link w:val="28"/>
    <w:uiPriority w:val="99"/>
  </w:style>
  <w:style w:type="character" w:customStyle="1" w:styleId="148">
    <w:name w:val="正文文本 3 字符"/>
    <w:basedOn w:val="133"/>
    <w:link w:val="17"/>
    <w:uiPriority w:val="99"/>
    <w:rPr>
      <w:sz w:val="16"/>
      <w:szCs w:val="16"/>
    </w:rPr>
  </w:style>
  <w:style w:type="character" w:customStyle="1" w:styleId="149">
    <w:name w:val="宏文本 字符"/>
    <w:basedOn w:val="133"/>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引用 字符"/>
    <w:basedOn w:val="133"/>
    <w:link w:val="150"/>
    <w:uiPriority w:val="29"/>
    <w:rPr>
      <w:i/>
      <w:iCs/>
      <w:color w:val="000000" w:themeColor="text1"/>
      <w14:textFill>
        <w14:solidFill>
          <w14:schemeClr w14:val="tx1"/>
        </w14:solidFill>
      </w14:textFill>
    </w:rPr>
  </w:style>
  <w:style w:type="character" w:customStyle="1" w:styleId="152">
    <w:name w:val="标题 4 字符"/>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标题 5 字符"/>
    <w:basedOn w:val="133"/>
    <w:link w:val="7"/>
    <w:semiHidden/>
    <w:uiPriority w:val="9"/>
    <w:rPr>
      <w:rFonts w:asciiTheme="majorHAnsi" w:hAnsiTheme="majorHAnsi" w:eastAsiaTheme="majorEastAsia" w:cstheme="majorBidi"/>
      <w:color w:val="254061" w:themeColor="accent1" w:themeShade="80"/>
    </w:rPr>
  </w:style>
  <w:style w:type="character" w:customStyle="1" w:styleId="154">
    <w:name w:val="标题 6 字符"/>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5">
    <w:name w:val="标题 7 字符"/>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标题 8 字符"/>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标题 9 字符"/>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明显引用 字符"/>
    <w:basedOn w:val="133"/>
    <w:link w:val="158"/>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 w:type="paragraph" w:customStyle="1" w:styleId="166">
    <w:name w:val="Bibliography"/>
    <w:basedOn w:val="1"/>
    <w:next w:val="1"/>
    <w:unhideWhenUsed/>
    <w:uiPriority w:val="37"/>
  </w:style>
  <w:style w:type="table" w:customStyle="1" w:styleId="167">
    <w:name w:val="三线表"/>
    <w:basedOn w:val="33"/>
    <w:uiPriority w:val="99"/>
    <w:pPr>
      <w:spacing w:after="0" w:line="240" w:lineRule="auto"/>
      <w:jc w:val="center"/>
    </w:pPr>
    <w:rPr>
      <w:rFonts w:ascii="Times New Roman" w:hAnsi="Times New Roman" w:eastAsia="宋体" w:cs="Times New Roman"/>
      <w:sz w:val="21"/>
      <w:szCs w:val="20"/>
      <w:lang w:eastAsia="zh-CN"/>
    </w:rPr>
    <w:tblPr>
      <w:tblBorders>
        <w:top w:val="single" w:color="auto" w:sz="12" w:space="0"/>
        <w:bottom w:val="single" w:color="auto" w:sz="12" w:space="0"/>
      </w:tblBorders>
    </w:tblPr>
    <w:tcPr>
      <w:vAlign w:val="center"/>
    </w:tcPr>
    <w:tblStylePr w:type="firstRow">
      <w:rPr>
        <w:rFonts w:eastAsia="宋体"/>
        <w:sz w:val="21"/>
      </w:rPr>
      <w:tcPr>
        <w:tcBorders>
          <w:top w:val="single" w:color="auto" w:sz="12" w:space="0"/>
          <w:left w:val="nil"/>
          <w:bottom w:val="single" w:color="auto" w:sz="6" w:space="0"/>
          <w:right w:val="nil"/>
          <w:insideH w:val="nil"/>
          <w:insideV w:val="nil"/>
          <w:tl2br w:val="nil"/>
          <w:tr2bl w:val="nil"/>
        </w:tcBorders>
      </w:tcPr>
    </w:tblStylePr>
  </w:style>
  <w:style w:type="character" w:customStyle="1" w:styleId="168">
    <w:name w:val="Unresolved Mention"/>
    <w:basedOn w:val="133"/>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3586</Words>
  <Characters>20639</Characters>
  <Lines>1</Lines>
  <Paragraphs>1</Paragraphs>
  <TotalTime>5</TotalTime>
  <ScaleCrop>false</ScaleCrop>
  <LinksUpToDate>false</LinksUpToDate>
  <CharactersWithSpaces>24084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13h</cp:lastModifiedBy>
  <cp:lastPrinted>2026-02-22T10:04:00Z</cp:lastPrinted>
  <dcterms:modified xsi:type="dcterms:W3CDTF">2026-04-12T09:07:14Z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id="6uMNoCUH"/&gt;&lt;style id="http://www.zotero.org/styles/frontiers-in-public-health" hasBibliography="1" bibliographyStyleHasBeenSet="1"/&gt;&lt;prefs&gt;&lt;pref name="fieldType" value="Field"/&gt;&lt;/prefs&gt;&lt;/data&gt;</vt:lpwstr>
  </property>
  <property fmtid="{D5CDD505-2E9C-101B-9397-08002B2CF9AE}" pid="3" name="KSOTemplateDocerSaveRecord">
    <vt:lpwstr>eyJoZGlkIjoiMDk2MzgxNTQ0NjgyOGFkYzlhODAzMzgyZDBhOWZkZTUiLCJ1c2VySWQiOiI2NDcxMjQ4MTQifQ==</vt:lpwstr>
  </property>
  <property fmtid="{D5CDD505-2E9C-101B-9397-08002B2CF9AE}" pid="4" name="KSOProductBuildVer">
    <vt:lpwstr>2052-12.1.0.25225</vt:lpwstr>
  </property>
  <property fmtid="{D5CDD505-2E9C-101B-9397-08002B2CF9AE}" pid="5" name="ICV">
    <vt:lpwstr>D09F418A286E481C984A4FC53381E331_12</vt:lpwstr>
  </property>
</Properties>
</file>