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Statistical Analysis Report for the INT Study</w:t>
      </w:r>
    </w:p>
    <w:p>
      <w:pPr>
        <w:pStyle w:val="Normal"/>
      </w:pPr>
      <w:r>
        <w:t xml:space="preserve">Generated on 2026-04-12 17:06.</w:t>
      </w:r>
    </w:p>
    <w:p>
      <w:pPr>
        <w:pStyle w:val="Titre2"/>
      </w:pPr>
      <w:r>
        <w:t xml:space="preserve">1. Statistical Methods</w:t>
      </w:r>
    </w:p>
    <w:p>
      <w:pPr>
        <w:pStyle w:val="Normal"/>
      </w:pPr>
      <w:r>
        <w:t xml:space="preserve">Pre- and post-test records were matched one-to-one using participant number, participant name, and group after standardizing spacing, full-width and half-width characters, letter case, and group codes. Descriptive statistics were summarized as mean (SD) for continuous variables and n (%) for categorical variables. The primary analytic framework was a 2 x 2 mixed repeated-measures ANOVA with Group (CON vs INTG) as the between-subject factor and Visit (Pre vs Post) as the within-subject factor, with the Group x Visit interaction treated as the primary effect of interest. Within-group pre-to-post standardized changes were additionally summarized using Cohen's d based on the pooled pre/post standard deviation. Holm-adjusted post hoc comparisons were computed for within-group pre-post contrasts and between-group contrasts at each visit, with the main text restricted to the prespecified primary outcomes. Assumption checks included normality and homogeneity assessments, while potential outliers were screened using studentized residuals from ANCOVA models with an absolute threshold greater than 3. Sensitivity analyses were performed with ANCOVA models specified as Post ~ Group + Pre. The significance threshold was set at p &lt; 0.05.</w:t>
      </w:r>
    </w:p>
    <w:p>
      <w:pPr>
        <w:pStyle w:val="Normal"/>
      </w:pPr>
      <w:r>
        <w:t xml:space="preserve">Sample-size planning was aligned to the final mixed repeated-measures ANOVA framework. Using G*Power, the unified settings were F tests / ANOVA: Repeated measures, within-between interaction, with alpha = 0.05, power = 0.80, two groups, two measurements, and a medium effect size (f = 0.25). The 15-m sprint time outcome was used as the representative primary endpoint because it most directly reflects swimming-start performance and was therefore the most clinically relevant target for the intervention.</w:t>
      </w:r>
    </w:p>
    <w:p>
      <w:pPr>
        <w:pStyle w:val="Titre2"/>
      </w:pPr>
      <w:r>
        <w:t xml:space="preserve">2. Results</w:t>
      </w:r>
    </w:p>
    <w:p>
      <w:pPr>
        <w:pStyle w:val="Titre3"/>
      </w:pPr>
      <w:r>
        <w:t xml:space="preserve">2.1 Participant matching and data completeness</w:t>
      </w:r>
    </w:p>
    <w:p>
      <w:pPr>
        <w:pStyle w:val="Normal"/>
      </w:pPr>
      <w:r>
        <w:t xml:space="preserve">No sports-related injuries occurred during testing or training. Training compliance was high in both groups (INTG: 95.5%; CON: 96.0%), and all 17 participants completed the intervention (INTG: n = 9; CON: n = 8). All 21 prespecified outcomes had complete paired values, and no missing outcome data were identified; therefore, all analyses were conducted on complete cases. Baseline characteristics and pre-intervention performance measures are summarized in Table 1, and no statistically significant between-group differences were observed at baseline.</w:t>
      </w:r>
    </w:p>
    <w:tbl xmlns:a="http://schemas.openxmlformats.org/drawingml/2006/main" xmlns:pic="http://schemas.openxmlformats.org/drawingml/2006/picture">
      <w:tblPr>
        <w:tblLayout w:type="fixed"/>
        <w:jc w:val="center"/>
        <w:tblLook w:firstRow="1" w:lastRow="0" w:firstColumn="0" w:lastColumn="0" w:noHBand="0" w:noVBand="1"/>
      </w:tblPr>
      <w:tblGrid>
        <w:gridCol w:w="3210"/>
        <w:gridCol w:w="800"/>
      </w:tblGrid>
      <w:tr>
        <w:trPr>
          <w:trHeight w:val="5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value</w:t>
            </w:r>
          </w:p>
        </w:tc>
      </w:tr>
      <w:tr>
        <w:trPr>
          <w:trHeight w:val="57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Paired participants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CON participants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INTG participants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Duplicate keys in pre-test file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Duplicate keys in post-test file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Unmatched pre-test records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Unmatched post-test records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Analyzable outcomes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w:t>
            </w:r>
          </w:p>
        </w:tc>
      </w:tr>
      <w:tr>
        <w:trPr>
          <w:trHeight w:val="57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Outcomes with complete paired values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w:t>
            </w:r>
          </w:p>
        </w:tc>
      </w:tr>
    </w:tbl>
    <w:p>
      <w:pPr>
        <w:pStyle w:val="Titre3"/>
      </w:pPr>
      <w:r>
        <w:t xml:space="preserve">2.2 Baseline characteristics</w:t>
      </w:r>
    </w:p>
    <w:p>
      <w:pPr>
        <w:pStyle w:val="Normal"/>
      </w:pPr>
      <w:r>
        <w:t xml:space="preserve">Table 1. Baseline characteristics and pre-intervention performance variables.</w:t>
      </w:r>
    </w:p>
    <w:tbl xmlns:a="http://schemas.openxmlformats.org/drawingml/2006/main" xmlns:pic="http://schemas.openxmlformats.org/drawingml/2006/picture">
      <w:tblPr>
        <w:tblLayout w:type="fixed"/>
        <w:jc w:val="center"/>
        <w:tblLook w:firstRow="1" w:lastRow="0" w:firstColumn="0" w:lastColumn="0" w:noHBand="0" w:noVBand="1"/>
      </w:tblPr>
      <w:tblGrid>
        <w:gridCol w:w="3250"/>
        <w:gridCol w:w="1476"/>
        <w:gridCol w:w="1476"/>
        <w:gridCol w:w="816"/>
      </w:tblGrid>
      <w:tr>
        <w:trPr>
          <w:trHeight w:val="5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INTG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w:t>
            </w:r>
          </w:p>
        </w:tc>
      </w:tr>
      <w:tr>
        <w:trPr>
          <w:trHeight w:val="57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Participant characteristics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Age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10.11 (1.54)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10.88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0.258</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Height (cm)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144.27 (13.79)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154.22 (11.83)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0.130</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 (kg)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34.20 (9.62)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42.05 (10.79)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0.137</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Training experience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2.33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2.71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0.551</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BMI (kg/m^2)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16.01 (1.63)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17.38 (2.53)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0.215</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Female,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 (66.7%)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 (62.5%)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Lower-limb explosive 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SJ (cm)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19.17 (4.92)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18.40 (4.18)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0.730</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CMJ (cm)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24.46 (6.34)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24.34 (6.80)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0.971</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SLJ (cm)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167.58 (26.59)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176.97 (20.86)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0.429</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Start 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15-m sprint time (s)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8.86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8.54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0.600</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Water-entry distance (cm)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175.56 (31.57)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188.79 (33.43)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0.417</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Horizontal displacement (Delta x) (cm)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68.28 (33.95)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74.10 (39.36)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0.750</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Horizontal velocity (m/s)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3.54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3.60 (0.41)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0.774</w:t>
            </w:r>
          </w:p>
        </w:tc>
      </w:tr>
      <w:tr>
        <w:trPr>
          <w:trHeight w:val="5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Functional movement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7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FMS Total (0-21)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13.67 (2.87)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13.12 (2.75)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0.697</w:t>
            </w:r>
          </w:p>
        </w:tc>
      </w:tr>
    </w:tbl>
    <w:p>
      <w:pPr>
        <w:pStyle w:val="Normal"/>
      </w:pPr>
      <w:r>
        <w:t xml:space="preserve">Note. Data are presented as mean (SD) or n (%). Baseline p values are descriptive rather than decisive evidence of comparability. BMI = body mass index; SJ = squat jump; CMJ = countermovement jump; SLJ = standing long jump; FMS = Functional Movement Screen.</w:t>
      </w:r>
    </w:p>
    <w:p>
      <w:pPr>
        <w:pStyle w:val="Titre3"/>
      </w:pPr>
      <w:r>
        <w:t xml:space="preserve">2.3 Lower-limb explosive power outcomes</w:t>
      </w:r>
    </w:p>
    <w:p>
      <w:pPr>
        <w:pStyle w:val="Normal"/>
      </w:pPr>
      <w:r>
        <w:t xml:space="preserve">The lower-limb explosive power findings are included in Table 2 and Figure 1. No statistically significant Group x Visit interactions were observed for squat jump (F(1,15) = 3.12, p = 0.097, partial eta squared = 0.172), countermovement jump (F(1,15) = 0.72, p = 0.408, partial eta squared = 0.046), or standing long jump (F(1,15) = 3.50, p = 0.081, partial eta squared = 0.189). These findings indicate that changes over time did not differ significantly between INTG and CON. Detailed main-effect and post hoc results are provided in the Supplementary Materials.</w:t>
      </w:r>
    </w:p>
    <w:p>
      <w:pPr>
        <w:pStyle w:val="Normal"/>
      </w:pPr>
      <w:r>
        <w:t xml:space="preserve">Table 2. Lower-limb explosive power outcomes from the mixed repeated-measures ANOVA.</w:t>
      </w:r>
    </w:p>
    <w:p>
      <w:pPr>
        <w:sectPr>
          <w:pgMar w:header="708" w:bottom="1417" w:top="1417" w:right="1417" w:left="1417" w:footer="708" w:gutter="0"/>
          <w:pgSz w:h="11906" w:w="16838" w:orient="landscape"/>
          <w:type w:val="oddPage"/>
          <w:cols/>
        </w:sectPr>
      </w:pPr>
    </w:p>
    <w:tbl xmlns:a="http://schemas.openxmlformats.org/drawingml/2006/main" xmlns:pic="http://schemas.openxmlformats.org/drawingml/2006/picture">
      <w:tblPr>
        <w:tblLayout w:type="fixed"/>
        <w:jc w:val="center"/>
        <w:tblLook w:firstRow="1" w:lastRow="0" w:firstColumn="0" w:lastColumn="0" w:noHBand="0" w:noVBand="1"/>
      </w:tblPr>
      <w:tblGrid>
        <w:gridCol w:w="2230"/>
        <w:gridCol w:w="1824"/>
        <w:gridCol w:w="1262"/>
        <w:gridCol w:w="1424"/>
        <w:gridCol w:w="1326"/>
        <w:gridCol w:w="1500"/>
      </w:tblGrid>
      <w:tr>
        <w:trPr>
          <w:trHeight w:val="45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INTG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Group x Visit 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Partial eta squared</w:t>
            </w:r>
          </w:p>
        </w:tc>
      </w:tr>
      <w:tr>
        <w:trPr>
          <w:trHeight w:val="452" w:hRule="auto"/>
        </w:trPr>
        <w:tc>
          <w:tcPr>
            <w:tcBorders>
              <w:bottom w:val="single" w:sz="7" w:space="0" w:color="595959"/>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Squat jump (cm)</w:t>
            </w:r>
          </w:p>
        </w:tc>
        <w:tc>
          <w:tcPr>
            <w:tcBorders>
              <w:bottom w:val="single" w:sz="7" w:space="0" w:color="595959"/>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Pre</w:t>
            </w:r>
          </w:p>
        </w:tc>
        <w:tc>
          <w:tcPr>
            <w:tcBorders>
              <w:bottom w:val="single" w:sz="7" w:space="0" w:color="595959"/>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18.40 (4.18)</w:t>
            </w:r>
          </w:p>
        </w:tc>
        <w:tc>
          <w:tcPr>
            <w:tcBorders>
              <w:bottom w:val="single" w:sz="7" w:space="0" w:color="595959"/>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19.17 (4.92)</w:t>
            </w:r>
          </w:p>
        </w:tc>
        <w:tc>
          <w:tcPr>
            <w:tcBorders>
              <w:bottom w:val="single" w:sz="7" w:space="0" w:color="595959"/>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0.097</w:t>
            </w:r>
          </w:p>
        </w:tc>
        <w:tc>
          <w:tcPr>
            <w:tcBorders>
              <w:bottom w:val="single" w:sz="7" w:space="0" w:color="595959"/>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0.172</w:t>
            </w:r>
          </w:p>
        </w:tc>
      </w:tr>
      <w:tr>
        <w:trPr>
          <w:trHeight w:val="451" w:hRule="auto"/>
        </w:trPr>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Post</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20.04 (5.16)**</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22.16 (3.96)***</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45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Post-pre difference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45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Post-pre ES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0.35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0.67 (moderate)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452" w:hRule="auto"/>
        </w:trPr>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Countermovement jump (cm)</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24.34 (6.80)</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24.46 (6.34)</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0.408</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0.046</w:t>
            </w:r>
          </w:p>
        </w:tc>
      </w:tr>
      <w:tr>
        <w:trPr>
          <w:trHeight w:val="451" w:hRule="auto"/>
        </w:trPr>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Post</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26.54 (4.33)</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28.95 (5.21)*</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45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Post-pre difference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45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Post-pre ES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0.39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0.77 (moderate)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452" w:hRule="auto"/>
        </w:trPr>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Standing long jump (cm)</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176.97 (20.86)</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167.58 (26.59)</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0.081</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0.189</w:t>
            </w:r>
          </w:p>
        </w:tc>
      </w:tr>
      <w:tr>
        <w:trPr>
          <w:trHeight w:val="451" w:hRule="auto"/>
        </w:trPr>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Post</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179.81 (23.66)</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176.70 (27.28)**</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45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Post-pre difference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4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Post-pre ES (d)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0.13 (trivial)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0.34 (small)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bl>
    <w:p>
      <w:pPr>
        <w:pStyle w:val="Normal"/>
      </w:pPr>
      <w:r>
        <w:t xml:space="preserve">Note. Data are presented as mean (SD). Post-pre difference (%) was calculated as ((Post - Pre) / Pre) x 100. Post-pre ES (d) represents the within-group standardized change from pre to post, calculated as (Post - Pre) / sqrt((SD_pre^2 + SD_post^2)/2). Cohen's d magnitudes were interpreted as trivial for |d| &lt; 0.20, small for 0.20-0.49, moderate for 0.50-0.79, and large for &gt;= 0.80. The primary inference is the Group x Visit interaction from the mixed repeated-measures ANOVA. * p &lt; 0.05, ** p &lt; 0.01, and *** p &lt; 0.001 for Holm-adjusted within-group Pre vs Post comparisons; # indicates a Holm-adjusted between-group difference at Post. Full main effects, change scores, Holm-adjusted post hoc p values, and ANCOVA outputs are reported in the Supplementary Materials. SJ = squat jump; CMJ = countermovement jump; SLJ = standing long jump.</w:t>
      </w:r>
    </w:p>
    <w:p>
      <w:pPr>
        <w:pStyle w:val="Normal"/>
      </w:pPr>
      <w:r>
        <w:t xml:space="preserve">Figure 1. Lower-limb explosive power outcomes arranged by rows and groups by columns. Within each group cell, paired trajectories, boxplots, and half-violin distributions are displayed from left to right for the Pre and Post measurements. ES annotations are displayed above the trajectory panels, and asterisks denote significance levels based on Holm-adjusted within-group Pre vs Post comparisons. Inferential conclusions were based on the mixed repeated-measures ANOVA.</w:t>
      </w:r>
    </w:p>
    <w:p>
      <w:pPr>
        <w:pStyle w:val="Normal"/>
      </w:pPr>
      <w:r>
        <w:rPr/>
        <w:drawing>
          <wp:inline distT="0" distB="0" distL="0" distR="0">
            <wp:extent cx="7772400" cy="466344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7772400" cy="4663440"/>
                    </a:xfrm>
                    <a:prstGeom prst="rect">
                      <a:avLst/>
                    </a:prstGeom>
                    <a:noFill/>
                  </pic:spPr>
                </pic:pic>
              </a:graphicData>
            </a:graphic>
          </wp:inline>
        </w:drawing>
      </w:r>
    </w:p>
    <w:p>
      <w:pPr>
        <w:sectPr>
          <w:pgMar w:header="708" w:bottom="1417" w:top="1417" w:right="1417" w:left="1417" w:footer="708" w:gutter="0"/>
          <w:pgSz w:h="16838" w:w="11906" w:orient="portrait"/>
          <w:type w:val="oddPage"/>
          <w:cols/>
        </w:sectPr>
      </w:pPr>
    </w:p>
    <w:p>
      <w:pPr>
        <w:pStyle w:val="Titre3"/>
      </w:pPr>
      <w:r>
        <w:t xml:space="preserve">2.4 Start-performance and kinematic outcomes</w:t>
      </w:r>
    </w:p>
    <w:p>
      <w:pPr>
        <w:pStyle w:val="Normal"/>
      </w:pPr>
      <w:r>
        <w:t xml:space="preserve">The main start-performance and kinematic findings are summarized in Table 3 and Figure 2. Significant Group x Visit interactions were observed for water-entry distance (F(1,15) = 30.05, p = 0.001, partial eta squared = 0.667), horizontal velocity (F(1,15) = 26.41, p = 0.001, partial eta squared = 0.638), 15-m sprint time (F(1,15) = 19.48, p = 0.001, partial eta squared = 0.565), and horizontal displacement (Delta x) (F(1,15) = 5.29, p = 0.036, partial eta squared = 0.261). These interaction effects were in favor of INTG. INTG reduced 15-m sprint time from 8.86 (1.40) s to 8.58 (1.26) s, whereas CON changed from 8.54 (1.04) s to 8.97 (1.11) s. Water-entry distance increased from 175.56 (31.57) cm to 208.55 (28.56) cm in INTG, while the corresponding change in CON was small. A comparable pattern was observed for the kinematic outcomes. INTG showed larger gains in horizontal displacement (68.28 (33.95) cm to 104.83 (19.62) cm) and horizontal velocity (3.54 (0.32) m/s to 3.97 (0.23) m/s), whereas CON displayed only modest displacement changes together with a decline in horizontal velocity. Holm-adjusted post hoc comparisons showed significant pre-to-post improvements in INTG for the four primary start-performance outcomes, whereas the clearest post-test between-group separation was observed for horizontal velocity. Figure 2 displays, from left to right within each group cell, paired trajectories, boxplots, and half-violin summaries for the Pre and Post distributions; inferential conclusions were based on the mixed repeated-measures ANOVA rather than on the visual summaries alone.</w:t>
      </w:r>
    </w:p>
    <w:p>
      <w:pPr>
        <w:pStyle w:val="Normal"/>
      </w:pPr>
      <w:r>
        <w:t xml:space="preserve">Table 3. Start-performance and kinematic outcomes from the mixed repeated-measures ANOVA.</w:t>
      </w:r>
    </w:p>
    <w:p>
      <w:pPr>
        <w:sectPr>
          <w:pgMar w:header="708" w:bottom="1417" w:top="1417" w:right="1417" w:left="1417" w:footer="708" w:gutter="0"/>
          <w:pgSz w:h="11906" w:w="16838" w:orient="landscape"/>
          <w:type w:val="oddPage"/>
          <w:cols/>
        </w:sectPr>
      </w:pPr>
    </w:p>
    <w:tbl xmlns:a="http://schemas.openxmlformats.org/drawingml/2006/main" xmlns:pic="http://schemas.openxmlformats.org/drawingml/2006/picture">
      <w:tblPr>
        <w:tblLayout w:type="fixed"/>
        <w:jc w:val="center"/>
        <w:tblLook w:firstRow="1" w:lastRow="0" w:firstColumn="0" w:lastColumn="0" w:noHBand="0" w:noVBand="1"/>
      </w:tblPr>
      <w:tblGrid>
        <w:gridCol w:w="2827"/>
        <w:gridCol w:w="1805"/>
        <w:gridCol w:w="1379"/>
        <w:gridCol w:w="1491"/>
        <w:gridCol w:w="1313"/>
        <w:gridCol w:w="1486"/>
      </w:tblGrid>
      <w:tr>
        <w:trPr>
          <w:trHeight w:val="449"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INTG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Group x Visit 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Partial eta squared</w:t>
            </w:r>
          </w:p>
        </w:tc>
      </w:tr>
      <w:tr>
        <w:trPr>
          <w:trHeight w:val="449" w:hRule="auto"/>
        </w:trPr>
        <w:tc>
          <w:tcPr>
            <w:tcBorders>
              <w:bottom w:val="single" w:sz="7" w:space="0" w:color="595959"/>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15-m sprint time (s)</w:t>
            </w:r>
          </w:p>
        </w:tc>
        <w:tc>
          <w:tcPr>
            <w:tcBorders>
              <w:bottom w:val="single" w:sz="7" w:space="0" w:color="595959"/>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Pre</w:t>
            </w:r>
          </w:p>
        </w:tc>
        <w:tc>
          <w:tcPr>
            <w:tcBorders>
              <w:bottom w:val="single" w:sz="7" w:space="0" w:color="595959"/>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8.54 (1.04)</w:t>
            </w:r>
          </w:p>
        </w:tc>
        <w:tc>
          <w:tcPr>
            <w:tcBorders>
              <w:bottom w:val="single" w:sz="7" w:space="0" w:color="595959"/>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8.86 (1.40)</w:t>
            </w:r>
          </w:p>
        </w:tc>
        <w:tc>
          <w:tcPr>
            <w:tcBorders>
              <w:bottom w:val="single" w:sz="7" w:space="0" w:color="595959"/>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0.001</w:t>
            </w:r>
          </w:p>
        </w:tc>
        <w:tc>
          <w:tcPr>
            <w:tcBorders>
              <w:bottom w:val="single" w:sz="7" w:space="0" w:color="595959"/>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0.565</w:t>
            </w:r>
          </w:p>
        </w:tc>
      </w:tr>
      <w:tr>
        <w:trPr>
          <w:trHeight w:val="449" w:hRule="auto"/>
        </w:trPr>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Post</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8.97 (1.11)**</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8.58 (1.26)*</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44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Post-pre difference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44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Post-pre ES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0.40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-0.21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450" w:hRule="auto"/>
        </w:trPr>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Water-entry distance (cm)</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188.79 (33.43)</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175.56 (31.57)</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0.001</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0.667</w:t>
            </w:r>
          </w:p>
        </w:tc>
      </w:tr>
      <w:tr>
        <w:trPr>
          <w:trHeight w:val="449" w:hRule="auto"/>
        </w:trPr>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Post</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193.68 (33.20)</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208.55 (28.56)***</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44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Post-pre difference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45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Post-pre ES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0.15 (trivial)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1.10 (large)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449" w:hRule="auto"/>
        </w:trPr>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Horizontal displacement (Delta x) (cm)</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74.10 (39.36)</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68.28 (33.95)</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0.036</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0.261</w:t>
            </w:r>
          </w:p>
        </w:tc>
      </w:tr>
      <w:tr>
        <w:trPr>
          <w:trHeight w:val="449" w:hRule="auto"/>
        </w:trPr>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Post</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85.71 (33.26)</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104.83 (19.62)***</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44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Post-pre difference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45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Post-pre ES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0.32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1.32 (large)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450" w:hRule="auto"/>
        </w:trPr>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Horizontal velocity (m/s)</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3.60 (0.41)</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3.54 (0.32)</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0.001</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0.638</w:t>
            </w:r>
          </w:p>
        </w:tc>
      </w:tr>
      <w:tr>
        <w:trPr>
          <w:trHeight w:val="449" w:hRule="auto"/>
        </w:trPr>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Post</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3.32 (0.31)*#</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3.97 (0.23)***#</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44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Post-pre difference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45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Post-pre ES (d)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-0.77 (moderate)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1.51 (large)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bl>
    <w:p>
      <w:pPr>
        <w:pStyle w:val="Normal"/>
      </w:pPr>
      <w:r>
        <w:t xml:space="preserve">Note. Data are presented as mean (SD). Post-pre difference (%) was calculated as ((Post - Pre) / Pre) x 100. Post-pre ES (d) represents the within-group standardized change from pre to post, calculated as (Post - Pre) / sqrt((SD_pre^2 + SD_post^2)/2). Cohen's d magnitudes were interpreted as trivial for |d| &lt; 0.20, small for 0.20-0.49, moderate for 0.50-0.79, and large for &gt;= 0.80. The primary inference is the Group x Visit interaction from the mixed repeated-measures ANOVA. * p &lt; 0.05, ** p &lt; 0.01, and *** p &lt; 0.001 for Holm-adjusted within-group Pre vs Post comparisons; # indicates a Holm-adjusted between-group difference at Post. Full main effects, change scores, Holm-adjusted post hoc p values, and ANCOVA outputs are reported in the Supplementary Materials.</w:t>
      </w:r>
    </w:p>
    <w:p>
      <w:pPr>
        <w:pStyle w:val="Normal"/>
      </w:pPr>
      <w:r>
        <w:t xml:space="preserve">Figure 2. Start-performance outcomes arranged by rows and groups by columns. Within each group cell, paired trajectories, boxplots, and half-violin distributions are displayed from left to right for the Pre and Post measurements. ES annotations are displayed above the trajectory panels, and asterisks denote significance levels based on Holm-adjusted within-group Pre vs Post comparisons. Horizontal displacement (Delta x) and Delta t are presented in the Supplementary Materials, and inferential conclusions were based on the mixed repeated-measures ANOVA.</w:t>
      </w:r>
    </w:p>
    <w:p>
      <w:pPr>
        <w:pStyle w:val="Normal"/>
      </w:pPr>
      <w:r>
        <w:rPr/>
        <w:drawing>
          <wp:inline distT="0" distB="0" distL="0" distR="0">
            <wp:extent cx="7772400" cy="50292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7772400" cy="5029200"/>
                    </a:xfrm>
                    <a:prstGeom prst="rect">
                      <a:avLst/>
                    </a:prstGeom>
                    <a:noFill/>
                  </pic:spPr>
                </pic:pic>
              </a:graphicData>
            </a:graphic>
          </wp:inline>
        </w:drawing>
      </w:r>
    </w:p>
    <w:p>
      <w:pPr>
        <w:sectPr>
          <w:pgMar w:header="708" w:bottom="1417" w:top="1417" w:right="1417" w:left="1417" w:footer="708" w:gutter="0"/>
          <w:pgSz w:h="16838" w:w="11906" w:orient="portrait"/>
          <w:type w:val="oddPage"/>
          <w:cols/>
        </w:sectPr>
      </w:pPr>
    </w:p>
    <w:p>
      <w:pPr>
        <w:pStyle w:val="Titre3"/>
      </w:pPr>
      <w:r>
        <w:t xml:space="preserve">2.5 Functional movement outcomes</w:t>
      </w:r>
    </w:p>
    <w:p>
      <w:pPr>
        <w:pStyle w:val="Normal"/>
      </w:pPr>
      <w:r>
        <w:t xml:space="preserve">The functional movement findings are presented in Table 4 and Figure 3. Significant Group x Visit interactions were found for FMS Total (F(1,15) = 7.33, p = 0.016, partial eta squared = 0.328), FMS Hurdle Step, right (F(1,15) = 9.71, p = 0.007, partial eta squared = 0.393), FMS Hurdle Step, left (F(1,15) = 7.06, p = 0.018, partial eta squared = 0.320), and FMS In-line Lunge, right (F(1,15) = 8.82, p = 0.010, partial eta squared = 0.370). The pattern of change was more favorable in INTG than in CON. The standard FMS Total score increased from 13.67 (2.87) to 15.56 (1.81) in INTG, whereas CON changed from 13.12 (2.75) to 12.38 (2.92). Improvements were also apparent in unilateral control tasks, including FMS Hurdle Step, right (2.00 (0.71) to 2.67 (0.50)), FMS Hurdle Step, left (1.78 (0.67) to 2.44 (0.73)), and FMS In-line Lunge, right (1.89 (0.60) to 2.44 (0.53)). Only the outcomes with significant interaction effects are described in detail here; the full FMS panel is provided in Table 4. Figure 3 is restricted to the FMS outcomes with statistically significant interaction effects.</w:t>
      </w:r>
    </w:p>
    <w:p>
      <w:pPr>
        <w:pStyle w:val="Normal"/>
      </w:pPr>
      <w:r>
        <w:t xml:space="preserve">Table 4. Functional movement outcomes from the mixed repeated-measures ANOVA.</w:t>
      </w:r>
    </w:p>
    <w:p>
      <w:pPr>
        <w:sectPr>
          <w:pgMar w:header="708" w:bottom="1417" w:top="1417" w:right="1417" w:left="1417" w:footer="708" w:gutter="0"/>
          <w:pgSz w:h="11906" w:w="16838" w:orient="landscape"/>
          <w:type w:val="oddPage"/>
          <w:cols/>
        </w:sectPr>
      </w:pPr>
    </w:p>
    <w:tbl xmlns:a="http://schemas.openxmlformats.org/drawingml/2006/main" xmlns:pic="http://schemas.openxmlformats.org/drawingml/2006/picture">
      <w:tblPr>
        <w:tblLayout w:type="fixed"/>
        <w:jc w:val="center"/>
        <w:tblLook w:firstRow="1" w:lastRow="0" w:firstColumn="0" w:lastColumn="0" w:noHBand="0" w:noVBand="1"/>
      </w:tblPr>
      <w:tblGrid>
        <w:gridCol w:w="2984"/>
        <w:gridCol w:w="1693"/>
        <w:gridCol w:w="1298"/>
        <w:gridCol w:w="1254"/>
        <w:gridCol w:w="1237"/>
        <w:gridCol w:w="1397"/>
      </w:tblGrid>
      <w:tr>
        <w:trPr>
          <w:trHeight w:val="4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CON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INTG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Group x Visit 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Partial eta squared</w:t>
            </w:r>
          </w:p>
        </w:tc>
      </w:tr>
      <w:tr>
        <w:trPr>
          <w:trHeight w:val="438" w:hRule="auto"/>
        </w:trPr>
        <w:tc>
          <w:tcPr>
            <w:tcBorders>
              <w:bottom w:val="single" w:sz="7" w:space="0" w:color="595959"/>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15"/>
                <w:szCs w:val="15"/>
                <w:color w:val="000000"/>
              </w:rPr>
            </w:pPr>
            <w:r>
              <w:rPr>
                <w:rFonts w:ascii="Times New Roman" w:hAnsi="Times New Roman" w:eastAsia="Times New Roman" w:cs="Times New Roman"/>
                <w:i w:val="false"/>
                <w:b w:val="true"/>
                <w:u w:val="none"/>
                <w:strike w:val="false"/>
                <w:sz w:val="15"/>
                <w:szCs w:val="15"/>
                <w:color w:val="000000"/>
              </w:rPr>
              <w:t xml:space="preserve">FMS Total (score)</w:t>
            </w:r>
          </w:p>
        </w:tc>
        <w:tc>
          <w:tcPr>
            <w:tcBorders>
              <w:bottom w:val="single" w:sz="7" w:space="0" w:color="595959"/>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Pre</w:t>
            </w:r>
          </w:p>
        </w:tc>
        <w:tc>
          <w:tcPr>
            <w:tcBorders>
              <w:bottom w:val="single" w:sz="7" w:space="0" w:color="595959"/>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13.12 (2.75)</w:t>
            </w:r>
          </w:p>
        </w:tc>
        <w:tc>
          <w:tcPr>
            <w:tcBorders>
              <w:bottom w:val="single" w:sz="7" w:space="0" w:color="595959"/>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13.67 (2.87)</w:t>
            </w:r>
          </w:p>
        </w:tc>
        <w:tc>
          <w:tcPr>
            <w:tcBorders>
              <w:bottom w:val="single" w:sz="7" w:space="0" w:color="595959"/>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0.016</w:t>
            </w:r>
          </w:p>
        </w:tc>
        <w:tc>
          <w:tcPr>
            <w:tcBorders>
              <w:bottom w:val="single" w:sz="7" w:space="0" w:color="595959"/>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0.328</w:t>
            </w:r>
          </w:p>
        </w:tc>
      </w:tr>
      <w:tr>
        <w:trPr>
          <w:trHeight w:val="438" w:hRule="auto"/>
        </w:trPr>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12.38 (2.92)#</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15.56 (1.81)*#</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difference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ES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-0.26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0.79 (moderate)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9" w:hRule="auto"/>
        </w:trPr>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15"/>
                <w:szCs w:val="15"/>
                <w:color w:val="000000"/>
              </w:rPr>
            </w:pPr>
            <w:r>
              <w:rPr>
                <w:rFonts w:ascii="Times New Roman" w:hAnsi="Times New Roman" w:eastAsia="Times New Roman" w:cs="Times New Roman"/>
                <w:i w:val="false"/>
                <w:b w:val="true"/>
                <w:u w:val="none"/>
                <w:strike w:val="false"/>
                <w:sz w:val="15"/>
                <w:szCs w:val="15"/>
                <w:color w:val="000000"/>
              </w:rPr>
              <w:t xml:space="preserve">FMS Hurdle Step, right (score)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2.00 (0.53)</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2.00 (0.71)</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0.007</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0.393</w:t>
            </w:r>
          </w:p>
        </w:tc>
      </w:tr>
      <w:tr>
        <w:trPr>
          <w:trHeight w:val="438" w:hRule="auto"/>
        </w:trPr>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1.75 (0.46)#</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2.67 (0.50)**#</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difference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ES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-0.50 (moderate)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1.09 (large)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8" w:hRule="auto"/>
        </w:trPr>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15"/>
                <w:szCs w:val="15"/>
                <w:color w:val="000000"/>
              </w:rPr>
            </w:pPr>
            <w:r>
              <w:rPr>
                <w:rFonts w:ascii="Times New Roman" w:hAnsi="Times New Roman" w:eastAsia="Times New Roman" w:cs="Times New Roman"/>
                <w:i w:val="false"/>
                <w:b w:val="true"/>
                <w:u w:val="none"/>
                <w:strike w:val="false"/>
                <w:sz w:val="15"/>
                <w:szCs w:val="15"/>
                <w:color w:val="000000"/>
              </w:rPr>
              <w:t xml:space="preserve">FMS Hurdle Step, left (score)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1.88 (0.64)</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1.78 (0.67)</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0.018</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0.320</w:t>
            </w:r>
          </w:p>
        </w:tc>
      </w:tr>
      <w:tr>
        <w:trPr>
          <w:trHeight w:val="438" w:hRule="auto"/>
        </w:trPr>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1.88 (0.35)</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2.44 (0.73)**</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difference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ES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0.00 (trivial)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0.96 (large)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9" w:hRule="auto"/>
        </w:trPr>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15"/>
                <w:szCs w:val="15"/>
                <w:color w:val="000000"/>
              </w:rPr>
            </w:pPr>
            <w:r>
              <w:rPr>
                <w:rFonts w:ascii="Times New Roman" w:hAnsi="Times New Roman" w:eastAsia="Times New Roman" w:cs="Times New Roman"/>
                <w:i w:val="false"/>
                <w:b w:val="true"/>
                <w:u w:val="none"/>
                <w:strike w:val="false"/>
                <w:sz w:val="15"/>
                <w:szCs w:val="15"/>
                <w:color w:val="000000"/>
              </w:rPr>
              <w:t xml:space="preserve">FMS In-line Lunge, right (score)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2.00 (0.00)</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1.89 (0.60)</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0.010</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0.370</w:t>
            </w:r>
          </w:p>
        </w:tc>
      </w:tr>
      <w:tr>
        <w:trPr>
          <w:trHeight w:val="438" w:hRule="auto"/>
        </w:trPr>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2.00 (0.00)#</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2.44 (0.53)***#</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difference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ES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0.98 (large)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8" w:hRule="auto"/>
        </w:trPr>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15"/>
                <w:szCs w:val="15"/>
                <w:color w:val="000000"/>
              </w:rPr>
            </w:pPr>
            <w:r>
              <w:rPr>
                <w:rFonts w:ascii="Times New Roman" w:hAnsi="Times New Roman" w:eastAsia="Times New Roman" w:cs="Times New Roman"/>
                <w:i w:val="false"/>
                <w:b w:val="true"/>
                <w:u w:val="none"/>
                <w:strike w:val="false"/>
                <w:sz w:val="15"/>
                <w:szCs w:val="15"/>
                <w:color w:val="000000"/>
              </w:rPr>
              <w:t xml:space="preserve">FMS Deep Squat (score)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2.12 (0.64)</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2.22 (0.83)</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0.109</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0.162</w:t>
            </w:r>
          </w:p>
        </w:tc>
      </w:tr>
      <w:tr>
        <w:trPr>
          <w:trHeight w:val="438" w:hRule="auto"/>
        </w:trPr>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2.00 (0.76)#</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2.67 (0.50)#</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difference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ES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-0.18 (trivial)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0.65 (moderate)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9" w:hRule="auto"/>
        </w:trPr>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15"/>
                <w:szCs w:val="15"/>
                <w:color w:val="000000"/>
              </w:rPr>
            </w:pPr>
            <w:r>
              <w:rPr>
                <w:rFonts w:ascii="Times New Roman" w:hAnsi="Times New Roman" w:eastAsia="Times New Roman" w:cs="Times New Roman"/>
                <w:i w:val="false"/>
                <w:b w:val="true"/>
                <w:u w:val="none"/>
                <w:strike w:val="false"/>
                <w:sz w:val="15"/>
                <w:szCs w:val="15"/>
                <w:color w:val="000000"/>
              </w:rPr>
              <w:t xml:space="preserve">FMS In-line Lunge, left (score)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2.00 (0.53)</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2.22 (0.44)</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0.336</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0.062</w:t>
            </w:r>
          </w:p>
        </w:tc>
      </w:tr>
      <w:tr>
        <w:trPr>
          <w:trHeight w:val="438" w:hRule="auto"/>
        </w:trPr>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1.75 (0.46)</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2.33 (0.71)</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difference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ES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-0.50 (moderate)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0.19 (trivial)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9" w:hRule="auto"/>
        </w:trPr>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15"/>
                <w:szCs w:val="15"/>
                <w:color w:val="000000"/>
              </w:rPr>
            </w:pPr>
            <w:r>
              <w:rPr>
                <w:rFonts w:ascii="Times New Roman" w:hAnsi="Times New Roman" w:eastAsia="Times New Roman" w:cs="Times New Roman"/>
                <w:i w:val="false"/>
                <w:b w:val="true"/>
                <w:u w:val="none"/>
                <w:strike w:val="false"/>
                <w:sz w:val="15"/>
                <w:szCs w:val="15"/>
                <w:color w:val="000000"/>
              </w:rPr>
              <w:t xml:space="preserve">FMS Shoulder Mobility, left (score)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1.25 (0.89)</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1.33 (0.71)</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0.527</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0.027</w:t>
            </w:r>
          </w:p>
        </w:tc>
      </w:tr>
      <w:tr>
        <w:trPr>
          <w:trHeight w:val="438" w:hRule="auto"/>
        </w:trPr>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1.50 (0.93)</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1.78 (0.83)*</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difference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ES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0.28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0.58 (moderate)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9" w:hRule="auto"/>
        </w:trPr>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15"/>
                <w:szCs w:val="15"/>
                <w:color w:val="000000"/>
              </w:rPr>
            </w:pPr>
            <w:r>
              <w:rPr>
                <w:rFonts w:ascii="Times New Roman" w:hAnsi="Times New Roman" w:eastAsia="Times New Roman" w:cs="Times New Roman"/>
                <w:i w:val="false"/>
                <w:b w:val="true"/>
                <w:u w:val="none"/>
                <w:strike w:val="false"/>
                <w:sz w:val="15"/>
                <w:szCs w:val="15"/>
                <w:color w:val="000000"/>
              </w:rPr>
              <w:t xml:space="preserve">FMS Shoulder Mobility, right (score)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1.38 (1.06)</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1.67 (0.71)</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0.239</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0.091</w:t>
            </w:r>
          </w:p>
        </w:tc>
      </w:tr>
      <w:tr>
        <w:trPr>
          <w:trHeight w:val="438" w:hRule="auto"/>
        </w:trPr>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1.25 (1.04)</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2.00 (0.71)</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difference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ES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-0.12 (trivial)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0.47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9" w:hRule="auto"/>
        </w:trPr>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15"/>
                <w:szCs w:val="15"/>
                <w:color w:val="000000"/>
              </w:rPr>
            </w:pPr>
            <w:r>
              <w:rPr>
                <w:rFonts w:ascii="Times New Roman" w:hAnsi="Times New Roman" w:eastAsia="Times New Roman" w:cs="Times New Roman"/>
                <w:i w:val="false"/>
                <w:b w:val="true"/>
                <w:u w:val="none"/>
                <w:strike w:val="false"/>
                <w:sz w:val="15"/>
                <w:szCs w:val="15"/>
                <w:color w:val="000000"/>
              </w:rPr>
              <w:t xml:space="preserve">FMS Active Straight-Leg Raise, left (score)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2.25 (1.04)</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2.56 (0.53)</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0.464</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0.036</w:t>
            </w:r>
          </w:p>
        </w:tc>
      </w:tr>
      <w:tr>
        <w:trPr>
          <w:trHeight w:val="438" w:hRule="auto"/>
        </w:trPr>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2.25 (1.04)</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2.78 (0.44)</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difference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ES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0.00 (trivial)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0.46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9" w:hRule="auto"/>
        </w:trPr>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15"/>
                <w:szCs w:val="15"/>
                <w:color w:val="000000"/>
              </w:rPr>
            </w:pPr>
            <w:r>
              <w:rPr>
                <w:rFonts w:ascii="Times New Roman" w:hAnsi="Times New Roman" w:eastAsia="Times New Roman" w:cs="Times New Roman"/>
                <w:i w:val="false"/>
                <w:b w:val="true"/>
                <w:u w:val="none"/>
                <w:strike w:val="false"/>
                <w:sz w:val="15"/>
                <w:szCs w:val="15"/>
                <w:color w:val="000000"/>
              </w:rPr>
              <w:t xml:space="preserve">FMS Active Straight-Leg Raise, right (score)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2.38 (1.06)</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2.67 (0.71)</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0.150</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0.133</w:t>
            </w:r>
          </w:p>
        </w:tc>
      </w:tr>
      <w:tr>
        <w:trPr>
          <w:trHeight w:val="438" w:hRule="auto"/>
        </w:trPr>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2.00 (1.07)</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2.67 (0.71)</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difference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ES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-0.35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0.00 (trivial)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9" w:hRule="auto"/>
        </w:trPr>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15"/>
                <w:szCs w:val="15"/>
                <w:color w:val="000000"/>
              </w:rPr>
            </w:pPr>
            <w:r>
              <w:rPr>
                <w:rFonts w:ascii="Times New Roman" w:hAnsi="Times New Roman" w:eastAsia="Times New Roman" w:cs="Times New Roman"/>
                <w:i w:val="false"/>
                <w:b w:val="true"/>
                <w:u w:val="none"/>
                <w:strike w:val="false"/>
                <w:sz w:val="15"/>
                <w:szCs w:val="15"/>
                <w:color w:val="000000"/>
              </w:rPr>
              <w:t xml:space="preserve">FMS Trunk Stability Push-Up (score)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2.25 (0.46)</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2.67 (0.50)</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0.955</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0.001</w:t>
            </w:r>
          </w:p>
        </w:tc>
      </w:tr>
      <w:tr>
        <w:trPr>
          <w:trHeight w:val="438" w:hRule="auto"/>
        </w:trPr>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2.12 (0.35)</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2.56 (0.53)</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difference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ES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-0.30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-0.22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9" w:hRule="auto"/>
        </w:trPr>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15"/>
                <w:szCs w:val="15"/>
                <w:color w:val="000000"/>
              </w:rPr>
            </w:pPr>
            <w:r>
              <w:rPr>
                <w:rFonts w:ascii="Times New Roman" w:hAnsi="Times New Roman" w:eastAsia="Times New Roman" w:cs="Times New Roman"/>
                <w:i w:val="false"/>
                <w:b w:val="true"/>
                <w:u w:val="none"/>
                <w:strike w:val="false"/>
                <w:sz w:val="15"/>
                <w:szCs w:val="15"/>
                <w:color w:val="000000"/>
              </w:rPr>
              <w:t xml:space="preserve">FMS Rotary Stability, left (score)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1.75 (0.46)</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1.56 (0.53)</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0.626</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0.016</w:t>
            </w:r>
          </w:p>
        </w:tc>
      </w:tr>
      <w:tr>
        <w:trPr>
          <w:trHeight w:val="438" w:hRule="auto"/>
        </w:trPr>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1.88 (0.35)</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1.78 (0.44)</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difference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ES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0.30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0.46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9" w:hRule="auto"/>
        </w:trPr>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15"/>
                <w:szCs w:val="15"/>
                <w:color w:val="000000"/>
              </w:rPr>
            </w:pPr>
            <w:r>
              <w:rPr>
                <w:rFonts w:ascii="Times New Roman" w:hAnsi="Times New Roman" w:eastAsia="Times New Roman" w:cs="Times New Roman"/>
                <w:i w:val="false"/>
                <w:b w:val="true"/>
                <w:u w:val="none"/>
                <w:strike w:val="false"/>
                <w:sz w:val="15"/>
                <w:szCs w:val="15"/>
                <w:color w:val="000000"/>
              </w:rPr>
              <w:t xml:space="preserve">FMS Rotary Stability, right (score)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Pre</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1.75 (0.46)</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2.00 (0.00)</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0.304</w:t>
            </w:r>
          </w:p>
        </w:tc>
        <w:tc>
          <w:tcPr>
            <w:tcBorders>
              <w:bottom w:val="single" w:sz="7" w:space="0" w:color="59595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0.070</w:t>
            </w:r>
          </w:p>
        </w:tc>
      </w:tr>
      <w:tr>
        <w:trPr>
          <w:trHeight w:val="438" w:hRule="auto"/>
        </w:trPr>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1.62 (0.52)#</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2.00 (0.00)#</w:t>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single" w:sz="7" w:space="0" w:color="59595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difference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r>
        <w:trPr>
          <w:trHeight w:val="438"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Post-pre ES (d)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-0.25 (small)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5"/>
                <w:szCs w:val="15"/>
                <w:color w:val="000000"/>
              </w:rPr>
            </w:pPr>
            <w:r>
              <w:rPr>
                <w:rFonts w:ascii="Times New Roman" w:hAnsi="Times New Roman" w:eastAsia="Times New Roman" w:cs="Times New Roman"/>
                <w:i w:val="false"/>
                <w:b w:val="false"/>
                <w:u w:val="none"/>
                <w:strike w:val="false"/>
                <w:sz w:val="15"/>
                <w:szCs w:val="15"/>
                <w:color w:val="000000"/>
              </w:rPr>
              <w:t xml:space="preserve"/>
            </w:r>
          </w:p>
        </w:tc>
      </w:tr>
    </w:tbl>
    <w:p>
      <w:pPr>
        <w:pStyle w:val="Normal"/>
      </w:pPr>
      <w:r>
        <w:t xml:space="preserve">Note. Data are presented as mean (SD). Post-pre difference (%) was calculated as ((Post - Pre) / Pre) x 100. Post-pre ES (d) represents the within-group standardized change from pre to post, calculated as (Post - Pre) / sqrt((SD_pre^2 + SD_post^2)/2). Cohen's d magnitudes were interpreted as trivial for |d| &lt; 0.20, small for 0.20-0.49, moderate for 0.50-0.79, and large for &gt;= 0.80. The primary inference is the Group x Visit interaction from the mixed repeated-measures ANOVA. * p &lt; 0.05, ** p &lt; 0.01, and *** p &lt; 0.001 for Holm-adjusted within-group Pre vs Post comparisons; # indicates a Holm-adjusted between-group difference at Post. Detailed change scores, Holm-adjusted post hoc p values, and ANCOVA outputs are reported in the Supplementary Materials. FMS = Functional Movement Screen.</w:t>
      </w:r>
    </w:p>
    <w:p>
      <w:pPr>
        <w:pStyle w:val="Normal"/>
      </w:pPr>
      <w:r>
        <w:t xml:space="preserve">Figure 3. FMS outcomes with statistically significant Group x Visit interactions displayed in the same row-by-column layout as Figures 1 and 2. Within each group cell, paired trajectories, boxplots, and half-violin distributions are displayed from left to right for the Pre and Post measurements. ES annotations are displayed above the trajectory panels, and asterisks denote significance levels based on Holm-adjusted within-group Pre vs Post comparisons. Inferential conclusions were based on the mixed repeated-measures ANOVA.</w:t>
      </w:r>
    </w:p>
    <w:p>
      <w:pPr>
        <w:pStyle w:val="Normal"/>
      </w:pPr>
      <w:r>
        <w:rPr/>
        <w:drawing>
          <wp:inline distT="0" distB="0" distL="0" distR="0">
            <wp:extent cx="7772400" cy="603504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7772400" cy="6035040"/>
                    </a:xfrm>
                    <a:prstGeom prst="rect">
                      <a:avLst/>
                    </a:prstGeom>
                    <a:noFill/>
                  </pic:spPr>
                </pic:pic>
              </a:graphicData>
            </a:graphic>
          </wp:inline>
        </w:drawing>
      </w:r>
    </w:p>
    <w:p>
      <w:pPr>
        <w:sectPr>
          <w:pgMar w:header="708" w:bottom="1417" w:top="1417" w:right="1417" w:left="1417" w:footer="708" w:gutter="0"/>
          <w:pgSz w:h="16838" w:w="11906" w:orient="portrait"/>
          <w:type w:val="oddPage"/>
          <w:cols/>
        </w:sectPr>
      </w:pPr>
    </w:p>
    <w:p>
      <w:pPr>
        <w:pStyle w:val="Titre3"/>
      </w:pPr>
      <w:r>
        <w:t xml:space="preserve">2.6 Sensitivity analyses</w:t>
      </w:r>
    </w:p>
    <w:p>
      <w:pPr>
        <w:pStyle w:val="Normal"/>
      </w:pPr>
      <w:r>
        <w:t xml:space="preserve">The ANCOVA sensitivity analyses were consistent with the primary mixed ANOVA findings. After baseline adjustment, statistically significant group effects remained evident for 15-m sprint time, Water-entry distance, Horizontal displacement (Delta x), Horizontal velocity, FMS Total. These models were treated as confirmatory sensitivity analyses rather than replacements for the interaction-based primary analyses.</w:t>
      </w:r>
    </w:p>
    <w:p>
      <w:pPr>
        <w:pStyle w:val="Normal"/>
      </w:pPr>
      <w:r>
        <w:t xml:space="preserve">Figure 4. Baseline-adjusted confirmatory analyses for the selected performance outcomes and FMS Total. Positive standardized effects indicate a direction favoring INTG after baseline adjustment, and horizontal lines denote 95% confidence intervals. These estimates were consistent with the primary mixed-ANOVA analyses.</w:t>
      </w:r>
    </w:p>
    <w:p>
      <w:pPr>
        <w:pStyle w:val="Normal"/>
      </w:pPr>
      <w:r>
        <w:rPr/>
        <w:drawing>
          <wp:inline distT="0" distB="0" distL="0" distR="0">
            <wp:extent cx="6126480" cy="475488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6126480" cy="4754880"/>
                    </a:xfrm>
                    <a:prstGeom prst="rect">
                      <a:avLst/>
                    </a:prstGeom>
                    <a:noFill/>
                  </pic:spPr>
                </pic:pic>
              </a:graphicData>
            </a:graphic>
          </wp:inline>
        </w:drawing>
      </w:r>
    </w:p>
    <w:p>
      <w:pPr>
        <w:pStyle w:val="Titre2"/>
      </w:pPr>
      <w:r>
        <w:t xml:space="preserve">3. Supplementary statistical outputs</w:t>
      </w:r>
    </w:p>
    <w:p>
      <w:pPr>
        <w:pStyle w:val="Normal"/>
      </w:pPr>
      <w:r>
        <w:t xml:space="preserve">Supplementary Table S1. Full mixed ANOVA effects for all outcomes, including Group, Visit, and Group x Visit terms.</w:t>
      </w:r>
    </w:p>
    <w:p>
      <w:pPr>
        <w:sectPr>
          <w:pgMar w:header="708" w:bottom="1417" w:top="1417" w:right="1417" w:left="1417" w:footer="708" w:gutter="0"/>
          <w:pgSz w:h="11906" w:w="16838" w:orient="landscape"/>
          <w:type w:val="oddPage"/>
          <w:cols/>
        </w:sectPr>
      </w:pPr>
    </w:p>
    <w:tbl xmlns:a="http://schemas.openxmlformats.org/drawingml/2006/main" xmlns:pic="http://schemas.openxmlformats.org/drawingml/2006/picture">
      <w:tblPr>
        <w:tblLayout w:type="fixed"/>
        <w:jc w:val="center"/>
        <w:tblLook w:firstRow="1" w:lastRow="0" w:firstColumn="0" w:lastColumn="0" w:noHBand="0" w:noVBand="1"/>
      </w:tblPr>
      <w:tblGrid>
        <w:gridCol w:w="2582"/>
        <w:gridCol w:w="1138"/>
        <w:gridCol w:w="1035"/>
        <w:gridCol w:w="855"/>
        <w:gridCol w:w="807"/>
        <w:gridCol w:w="807"/>
        <w:gridCol w:w="839"/>
        <w:gridCol w:w="1474"/>
      </w:tblGrid>
      <w:tr>
        <w:trPr>
          <w:trHeight w:val="54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Domain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Effect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Num 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Den 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Partial eta squared</w:t>
            </w:r>
          </w:p>
        </w:tc>
      </w:tr>
      <w:tr>
        <w:trPr>
          <w:trHeight w:val="541"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0.001</w:t>
            </w:r>
          </w:p>
        </w:tc>
      </w:tr>
      <w:tr>
        <w:trPr>
          <w:trHeight w:val="54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0.061</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19.480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0.565</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0.001</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54.600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0.784</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0.667</w:t>
            </w:r>
          </w:p>
        </w:tc>
      </w:tr>
      <w:tr>
        <w:trPr>
          <w:trHeight w:val="54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0.014</w:t>
            </w:r>
          </w:p>
        </w:tc>
      </w:tr>
      <w:tr>
        <w:trPr>
          <w:trHeight w:val="54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19.750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0.568</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0.261</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0.231</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0.069</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26.410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0.638</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0.017</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0.293</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0.046</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0.028</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36.740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0.710</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0.172</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0.018</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0.458</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0.189</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0.001</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0.429</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0.015</w:t>
            </w:r>
          </w:p>
        </w:tc>
      </w:tr>
      <w:tr>
        <w:trPr>
          <w:trHeight w:val="5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0.144</w:t>
            </w:r>
          </w:p>
        </w:tc>
      </w:tr>
      <w:tr>
        <w:trPr>
          <w:trHeight w:val="5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0.083</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0.328</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0.209</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0.118</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0.393</w:t>
            </w:r>
          </w:p>
        </w:tc>
      </w:tr>
      <w:tr>
        <w:trPr>
          <w:trHeight w:val="54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0.047</w:t>
            </w:r>
          </w:p>
        </w:tc>
      </w:tr>
      <w:tr>
        <w:trPr>
          <w:trHeight w:val="54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0.320</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0.320</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0.056</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0.370</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0.370</w:t>
            </w:r>
          </w:p>
        </w:tc>
      </w:tr>
      <w:tr>
        <w:trPr>
          <w:trHeight w:val="53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0.102</w:t>
            </w:r>
          </w:p>
        </w:tc>
      </w:tr>
      <w:tr>
        <w:trPr>
          <w:trHeight w:val="53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0.057</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0.162</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0.220</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0.010</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0.062</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0.015</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0.263</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0.027</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0.108</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0.020</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0.091</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0.084</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0.036</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0.036</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0.081</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0.133</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0.133</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0.244</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0.059</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0.001</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0.035</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0.174</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0.016</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0.220</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0.070</w:t>
            </w:r>
          </w:p>
        </w:tc>
      </w:tr>
      <w:tr>
        <w:trPr>
          <w:trHeight w:val="54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group:visit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0.070</w:t>
            </w:r>
          </w:p>
        </w:tc>
      </w:tr>
    </w:tbl>
    <w:p>
      <w:pPr>
        <w:pStyle w:val="Normal"/>
      </w:pPr>
      <w:r>
        <w:t xml:space="preserve">Supplementary Table S2. Detailed descriptive results, change scores, and Holm-adjusted post hoc comparisons for all outcomes.</w:t>
      </w:r>
    </w:p>
    <w:tbl xmlns:a="http://schemas.openxmlformats.org/drawingml/2006/main" xmlns:pic="http://schemas.openxmlformats.org/drawingml/2006/picture">
      <w:tblPr>
        <w:tblLayout w:type="fixed"/>
        <w:jc w:val="center"/>
        <w:tblLook w:firstRow="1" w:lastRow="0" w:firstColumn="0" w:lastColumn="0" w:noHBand="0" w:noVBand="1"/>
      </w:tblPr>
      <w:tblGrid>
        <w:gridCol w:w="2582"/>
        <w:gridCol w:w="1138"/>
        <w:gridCol w:w="1263"/>
        <w:gridCol w:w="1263"/>
        <w:gridCol w:w="1263"/>
        <w:gridCol w:w="1263"/>
        <w:gridCol w:w="1191"/>
        <w:gridCol w:w="1230"/>
        <w:gridCol w:w="1639"/>
        <w:gridCol w:w="1678"/>
        <w:gridCol w:w="1319"/>
        <w:gridCol w:w="1474"/>
        <w:gridCol w:w="1355"/>
        <w:gridCol w:w="1395"/>
        <w:gridCol w:w="1674"/>
        <w:gridCol w:w="1731"/>
        <w:gridCol w:w="1547"/>
      </w:tblGrid>
      <w:tr>
        <w:trPr>
          <w:trHeight w:val="54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Domain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 Pre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 Post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 Pre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 Post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 Change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 Change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 Post-pre ES (d)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 Post-pre ES (d)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 x Visit 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Partial eta squared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 Pre-Post 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 Pre-Post 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 Between-Group 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Post Between-Group 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ANCOVA Group P</w:t>
            </w:r>
          </w:p>
        </w:tc>
      </w:tr>
      <w:tr>
        <w:trPr>
          <w:trHeight w:val="541"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8.54 (1.04)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8.97 (1.11)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8.86 (1.40)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8.58 (1.26)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0.43 (0.44)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-0.27 (0.18)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0.40 (small)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-0.21 (small)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0.029</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188.79 (33.43)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193.68 (33.20)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175.56 (31.57)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208.55 (28.56)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4.89 (7.45)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33.00 (12.66)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0.15 (trivial)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1.10 (large)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0.010</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74.10 (39.36)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85.71 (33.26)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68.28 (33.95)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104.83 (19.62)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11.62 (17.31)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36.55 (25.89)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0.32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1.32 (large)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0.035</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3.60 (0.41)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3.32 (0.31)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3.54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3.97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-0.28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0.42 (0.25)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-0.77 (moderate)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1.51 (large)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&lt;0.001</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24.34 (6.80)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26.54 (4.33)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24.46 (6.34)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28.95 (5.21)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2.20 (4.49)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4.49 (6.31)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0.39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0.77 (moderate)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0.249</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18.40 (4.18)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20.04 (5.16)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19.17 (4.92)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22.16 (3.96)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1.64 (1.72)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2.99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0.35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0.67 (moderate)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0.016</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176.97 (20.86)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179.81 (23.66)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167.58 (26.59)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176.70 (27.28)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2.84 (7.52)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9.12 (6.33)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0.13 (trivial)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0.34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0.385</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0.21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0.26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0.20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0.27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0.07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0.45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0.78 (moderate)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0.848</w:t>
            </w:r>
          </w:p>
        </w:tc>
      </w:tr>
      <w:tr>
        <w:trPr>
          <w:trHeight w:val="54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13.12 (2.75)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12.38 (2.92)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13.67 (2.87)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15.56 (1.81)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-0.75 (1.83)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1.89 (2.15)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-0.26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0.79 (moderate)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0.002</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2.00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1.75 (0.46)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2.00 (0.71)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2.67 (0.50)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-0.25 (0.46)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0.67 (0.71)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-0.50 (moderate)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1.09 (large)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&lt;0.001</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1.88 (0.64)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1.88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1.78 (0.67)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2.44 (0.73)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0.67 (0.50)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 (trivial)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0.96 (large)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0.022</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1.89 (0.60)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2.44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0.56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0.98 (large)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0.014</w:t>
            </w:r>
          </w:p>
        </w:tc>
      </w:tr>
      <w:tr>
        <w:trPr>
          <w:trHeight w:val="54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2.12 (0.64)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2.00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2.22 (0.83)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2.67 (0.50)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-0.12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0.44 (0.88)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-0.18 (trivial)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0.65 (moderate)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0.028</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2.00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1.75 (0.46)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2.22 (0.44)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2.33 (0.71)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-0.25 (0.71)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0.11 (0.78)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-0.50 (moderate)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0.19 (trivial)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0.075</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1.25 (0.89)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1.50 (0.93)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1.33 (0.71)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1.78 (0.83)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0.25 (0.46)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0.44 (0.73)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0.28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0.58 (moderate)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0.372</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1.38 (1.06)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1.25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1.67 (0.71)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2.00 (0.71)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-0.12 (0.64)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0.33 (0.87)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-0.12 (trivial)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0.47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0.048</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2.25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2.25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2.56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2.78 (0.44)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0.22 (0.44)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 (trivial)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0.46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0.078</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2.38 (1.06)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2.00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2.67 (0.71)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2.67 (0.71)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-0.38 (0.74)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-0.35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 (trivial)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0.017</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2.25 (0.46)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2.12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2.67 (0.50)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2.56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-0.12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-0.11 (0.60)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-0.30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-0.22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0.056</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1.75 (0.46)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1.88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1.56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1.78 (0.44)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0.12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0.22 (0.44)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0.30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0.46 (small)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0.551</w:t>
            </w:r>
          </w:p>
        </w:tc>
      </w:tr>
      <w:tr>
        <w:trPr>
          <w:trHeight w:val="54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1.75 (0.46)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1.62 (0.52)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2.00 (0.00)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2.00 (0.00)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-0.12 (0.35)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 (0.00)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-0.25 (small)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0.007</w:t>
            </w:r>
          </w:p>
        </w:tc>
      </w:tr>
    </w:tbl>
    <w:p>
      <w:pPr>
        <w:pStyle w:val="Normal"/>
      </w:pPr>
      <w:r>
        <w:t xml:space="preserve">Supplementary Table S3. ANCOVA sensitivity analyses for the selected performance outcomes and FMS Total, with adjusted effect estimates and 95% confidence intervals.</w:t>
      </w:r>
    </w:p>
    <w:tbl xmlns:a="http://schemas.openxmlformats.org/drawingml/2006/main" xmlns:pic="http://schemas.openxmlformats.org/drawingml/2006/picture">
      <w:tblPr>
        <w:tblLayout w:type="fixed"/>
        <w:jc w:val="center"/>
        <w:tblLook w:firstRow="1" w:lastRow="0" w:firstColumn="0" w:lastColumn="0" w:noHBand="0" w:noVBand="1"/>
      </w:tblPr>
      <w:tblGrid>
        <w:gridCol w:w="2374"/>
        <w:gridCol w:w="1138"/>
        <w:gridCol w:w="2198"/>
        <w:gridCol w:w="1483"/>
        <w:gridCol w:w="960"/>
      </w:tblGrid>
      <w:tr>
        <w:trPr>
          <w:trHeight w:val="54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Domain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Adjusted effect favoring INTG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 P</w:t>
            </w:r>
          </w:p>
        </w:tc>
      </w:tr>
      <w:tr>
        <w:trPr>
          <w:trHeight w:val="541"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2.09 (1.04 to 3.14)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 = 0.029</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2.58 (1.51 to 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 = 0.010</w:t>
            </w:r>
          </w:p>
        </w:tc>
      </w:tr>
      <w:tr>
        <w:trPr>
          <w:trHeight w:val="54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1.33 (0.29 to 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 = 0.035</w:t>
            </w:r>
          </w:p>
        </w:tc>
      </w:tr>
      <w:tr>
        <w:trPr>
          <w:trHeight w:val="5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3.17 (2.13 to 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 &lt; 0.001</w:t>
            </w:r>
          </w:p>
        </w:tc>
      </w:tr>
      <w:tr>
        <w:trPr>
          <w:trHeight w:val="54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1.64 (0.60 to 2.69)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 = 0.002</w:t>
            </w:r>
          </w:p>
        </w:tc>
      </w:tr>
    </w:tbl>
    <w:tbl xmlns:a="http://schemas.openxmlformats.org/drawingml/2006/main" xmlns:pic="http://schemas.openxmlformats.org/drawingml/2006/picture">
      <w:tblPr>
        <w:tblLayout w:type="fixed"/>
        <w:jc w:val="center"/>
        <w:tblLook w:firstRow="1" w:lastRow="0" w:firstColumn="0" w:lastColumn="0" w:noHBand="0" w:noVBand="1"/>
      </w:tblPr>
      <w:tblGrid>
        <w:gridCol w:w="2319"/>
        <w:gridCol w:w="1118"/>
        <w:gridCol w:w="955"/>
        <w:gridCol w:w="558"/>
        <w:gridCol w:w="1006"/>
        <w:gridCol w:w="1006"/>
        <w:gridCol w:w="866"/>
        <w:gridCol w:w="827"/>
      </w:tblGrid>
      <w:tr>
        <w:trPr>
          <w:trHeight w:val="535"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Domain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Sum Sq</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Mean Sq</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 value</w:t>
            </w:r>
          </w:p>
        </w:tc>
      </w:tr>
      <w:tr>
        <w:trPr>
          <w:trHeight w:val="53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5.931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0.029</w:t>
            </w:r>
          </w:p>
        </w:tc>
      </w:tr>
      <w:tr>
        <w:trPr>
          <w:trHeight w:val="5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19.846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19.846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187.232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&lt;0.001</w:t>
            </w:r>
          </w:p>
        </w:tc>
      </w:tr>
      <w:tr>
        <w:trPr>
          <w:trHeight w:val="5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Residuals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r>
      <w:tr>
        <w:trPr>
          <w:trHeight w:val="5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936.933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936.933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8.716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0.010</w:t>
            </w:r>
          </w:p>
        </w:tc>
      </w:tr>
      <w:tr>
        <w:trPr>
          <w:trHeight w:val="5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12733.194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12733.194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118.452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&lt;0.001</w:t>
            </w:r>
          </w:p>
        </w:tc>
      </w:tr>
      <w:tr>
        <w:trPr>
          <w:trHeight w:val="5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Residuals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1504.955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107.497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r>
      <w:tr>
        <w:trPr>
          <w:trHeight w:val="5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1547.708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1547.708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0.035</w:t>
            </w:r>
          </w:p>
        </w:tc>
      </w:tr>
      <w:tr>
        <w:trPr>
          <w:trHeight w:val="5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6836.436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6836.436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24.024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&lt;0.001</w:t>
            </w:r>
          </w:p>
        </w:tc>
      </w:tr>
      <w:tr>
        <w:trPr>
          <w:trHeight w:val="5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Residuals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3983.943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284.567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r>
      <w:tr>
        <w:trPr>
          <w:trHeight w:val="5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39.470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&lt;0.001</w:t>
            </w:r>
          </w:p>
        </w:tc>
      </w:tr>
      <w:tr>
        <w:trPr>
          <w:trHeight w:val="5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0.007</w:t>
            </w:r>
          </w:p>
        </w:tc>
      </w:tr>
      <w:tr>
        <w:trPr>
          <w:trHeight w:val="5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Residuals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r>
      <w:tr>
        <w:trPr>
          <w:trHeight w:val="5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42.844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42.844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0.002</w:t>
            </w:r>
          </w:p>
        </w:tc>
      </w:tr>
      <w:tr>
        <w:trPr>
          <w:trHeight w:val="5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43.963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43.963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0.002</w:t>
            </w:r>
          </w:p>
        </w:tc>
      </w:tr>
      <w:tr>
        <w:trPr>
          <w:trHeight w:val="51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Residuals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42.134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3.010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r>
    </w:tbl>
    <w:p>
      <w:pPr>
        <w:pStyle w:val="Normal"/>
      </w:pPr>
      <w:r>
        <w:t xml:space="preserve">Supplementary Table S4. Assumption checks and outlier screening for all outcomes.</w:t>
      </w:r>
    </w:p>
    <w:tbl xmlns:a="http://schemas.openxmlformats.org/drawingml/2006/main" xmlns:pic="http://schemas.openxmlformats.org/drawingml/2006/picture">
      <w:tblPr>
        <w:tblLayout w:type="fixed"/>
        <w:jc w:val="center"/>
        <w:tblLook w:firstRow="1" w:lastRow="0" w:firstColumn="0" w:lastColumn="0" w:noHBand="0" w:noVBand="1"/>
      </w:tblPr>
      <w:tblGrid>
        <w:gridCol w:w="2492"/>
        <w:gridCol w:w="1108"/>
        <w:gridCol w:w="2388"/>
        <w:gridCol w:w="679"/>
        <w:gridCol w:w="855"/>
        <w:gridCol w:w="821"/>
        <w:gridCol w:w="1484"/>
        <w:gridCol w:w="763"/>
        <w:gridCol w:w="1534"/>
        <w:gridCol w:w="1051"/>
      </w:tblGrid>
      <w:tr>
        <w:trPr>
          <w:trHeight w:val="53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Domain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Test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Visit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Statistic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Subject 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Studentized residual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flag</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3.529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Shapiro-Wilk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for change 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Levene's test by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1__ZZW__CON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11__YZE__CON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12__QKN__CON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13__XXT__CON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15__HPP__CON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3__LXR__CON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5__MRX__CON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8__ZYY__CON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10__CXQ__INTG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14__LYX__INTG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16__WYX__INTG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17__MKR__INTG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2__ZZR__INTG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4__SX__INTG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6__ZJZH__INTG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7__GJX__INTG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15-m sprint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9__THY__INTG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1__ZZW__CON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11__YZE__CON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12__QKN__CON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13__XXT__CON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15__HPP__CON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3__LXR__CON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5__MRX__CON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8__ZYY__CON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10__CXQ__INTG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14__LYX__INTG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16__WYX__INTG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17__MKR__INTG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2__ZZR__INTG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4__SX__INTG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6__ZJZH__INTG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7__GJX__INTG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Water-entry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9__THY__INTG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1__ZZW__CON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11__YZE__CON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12__QKN__CON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13__XXT__CON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15__HPP__CON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3__LXR__CON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5__MRX__CON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8__ZYY__CON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10__CXQ__INTG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Yes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14__LYX__INTG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16__WYX__INTG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17__MKR__INTG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2__ZZR__INTG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4__SX__INTG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6__ZJZH__INTG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7__GJX__INTG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displacement (Delta 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9__THY__INTG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1__ZZW__CON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11__YZE__CON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12__QKN__CON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13__XXT__CON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15__HPP__CON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3__LXR__CON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5__MRX__CON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8__ZYY__CON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Yes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10__CXQ__INTG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14__LYX__INTG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16__WYX__INTG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17__MKR__INTG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2__ZZR__INTG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4__SX__INTG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6__ZJZH__INTG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7__GJX__INTG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Horizontal velocity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9__THY__INTG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1__ZZW__CON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11__YZE__CON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12__QKN__CON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13__XXT__CON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15__HPP__CON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3__LXR__CON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5__MRX__CON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8__ZYY__CON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10__CXQ__INTG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14__LYX__INTG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16__WYX__INTG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17__MKR__INTG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2__ZZR__INTG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4__SX__INTG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6__ZJZH__INTG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7__GJX__INTG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Countermovement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9__THY__INTG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Yes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1__ZZW__CON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Yes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11__YZE__CON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12__QKN__CON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13__XXT__CON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15__HPP__CON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3__LXR__CON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5__MRX__CON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8__ZYY__CON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10__CXQ__INTG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14__LYX__INTG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16__WYX__INTG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17__MKR__INTG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2__ZZR__INTG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4__SX__INTG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6__ZJZH__INTG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7__GJX__INTG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Squat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9__THY__INTG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1__ZZW__CON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11__YZE__CON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12__QKN__CON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13__XXT__CON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15__HPP__CON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3__LXR__CON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5__MRX__CON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8__ZYY__CON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10__CXQ__INTG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14__LYX__INTG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16__WYX__INTG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17__MKR__INTG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2__ZZR__INTG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4__SX__INTG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6__ZJZH__INTG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7__GJX__INTG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Standing long jump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9__THY__INTG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1__ZZW__CON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11__YZE__CON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12__QKN__CON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13__XXT__CON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15__HPP__CON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3__LXR__CON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5__MRX__CON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8__ZYY__CON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10__CXQ__INTG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14__LYX__INTG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16__WYX__INTG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17__MKR__INTG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2__ZZR__INTG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4__SX__INTG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6__ZJZH__INTG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7__GJX__INTG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Flight-time difference (Delta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9__THY__INTG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1__ZZW__CON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11__YZE__CON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12__QKN__CON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13__XXT__CON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15__HPP__CON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3__LXR__CON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5__MRX__CON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8__ZYY__CON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10__CXQ__INTG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14__LYX__INTG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16__WYX__INTG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17__MKR__INTG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2__ZZR__INTG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4__SX__INTG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6__ZJZH__INTG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7__GJX__INTG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9__THY__INTG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1__ZZW__CON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11__YZE__CON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12__QKN__CON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13__XXT__CON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15__HPP__CON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3__LXR__CON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5__MRX__CON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8__ZYY__CON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10__CXQ__INTG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14__LYX__INTG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16__WYX__INTG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17__MKR__INTG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2__ZZR__INTG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4__SX__INTG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6__ZJZH__INTG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7__GJX__INTG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9__THY__INTG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1__ZZW__CON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11__YZE__CON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12__QKN__CON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13__XXT__CON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15__HPP__CON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3__LXR__CON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5__MRX__CON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8__ZYY__CON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10__CXQ__INTG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14__LYX__INTG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16__WYX__INTG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17__MKR__INTG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2__ZZR__INTG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4__SX__INTG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6__ZJZH__INTG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7__GJX__INTG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Hurdle Step,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9__THY__INTG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Yes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1__ZZW__CON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11__YZE__CON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12__QKN__CON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13__XXT__CON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15__HPP__CON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3__LXR__CON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5__MRX__CON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8__ZYY__CON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10__CXQ__INTG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14__LYX__INTG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16__WYX__INTG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17__MKR__INTG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2__ZZR__INTG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4__SX__INTG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6__ZJZH__INTG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7__GJX__INTG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9__THY__INTG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1__ZZW__CON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11__YZE__CON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12__QKN__CON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13__XXT__CON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15__HPP__CON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3__LXR__CON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5__MRX__CON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8__ZYY__CON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10__CXQ__INTG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14__LYX__INTG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16__WYX__INTG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17__MKR__INTG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2__ZZR__INTG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4__SX__INTG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6__ZJZH__INTG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7__GJX__INTG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Deep Squat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9__THY__INTG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1__ZZW__CON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11__YZE__CON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12__QKN__CON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13__XXT__CON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15__HPP__CON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3__LXR__CON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5__MRX__CON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-1.911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8__ZYY__CON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10__CXQ__INTG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14__LYX__INTG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16__WYX__INTG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17__MKR__INTG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2__ZZR__INTG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4__SX__INTG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6__ZJZH__INTG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7__GJX__INTG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In-line Lunge,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9__THY__INTG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1__ZZW__CON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11__YZE__CON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12__QKN__CON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13__XXT__CON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15__HPP__CON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3__LXR__CON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5__MRX__CON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8__ZYY__CON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10__CXQ__INTG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14__LYX__INTG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16__WYX__INTG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17__MKR__INTG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2__ZZR__INTG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Yes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4__SX__INTG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6__ZJZH__INTG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7__GJX__INTG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9__THY__INTG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1__ZZW__CON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11__YZE__CON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12__QKN__CON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13__XXT__CON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15__HPP__CON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3__LXR__CON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5__MRX__CON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8__ZYY__CON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10__CXQ__INTG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14__LYX__INTG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16__WYX__INTG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17__MKR__INTG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2.523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2__ZZR__INTG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4__SX__INTG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6__ZJZH__INTG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7__GJX__INTG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Shoulder Mobility,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9__THY__INTG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1__ZZW__CON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11__YZE__CON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12__QKN__CON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13__XXT__CON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15__HPP__CON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3__LXR__CON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5__MRX__CON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8__ZYY__CON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10__CXQ__INTG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14__LYX__INTG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16__WYX__INTG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17__MKR__INTG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2__ZZR__INTG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4__SX__INTG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6__ZJZH__INTG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7__GJX__INTG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9__THY__INTG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1__ZZW__CON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11__YZE__CON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12__QKN__CON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13__XXT__CON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15__HPP__CON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3__LXR__CON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Yes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5__MRX__CON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8__ZYY__CON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10__CXQ__INTG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14__LYX__INTG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16__WYX__INTG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17__MKR__INTG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2__ZZR__INTG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4__SX__INTG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6__ZJZH__INTG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7__GJX__INTG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Active Straight-Leg Raise,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9__THY__INTG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1__ZZW__CON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11__YZE__CON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12__QKN__CON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13__XXT__CON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15__HPP__CON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3__LXR__CON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5__MRX__CON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8__ZYY__CON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10__CXQ__INTG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14__LYX__INTG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16__WYX__INTG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17__MKR__INTG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2__ZZR__INTG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4__SX__INTG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6__ZJZH__INTG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7__GJX__INTG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Trunk Stability Push-Up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9__THY__INTG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1__ZZW__CON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11__YZE__CON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12__QKN__CON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13__XXT__CON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15__HPP__CON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3__LXR__CON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5__MRX__CON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8__ZYY__CON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10__CXQ__INTG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14__LYX__INTG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16__WYX__INTG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17__MKR__INTG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2__ZZR__INTG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4__SX__INTG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6__ZJZH__INTG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7__GJX__INTG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9__THY__INTG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1__ZZW__CON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11__YZE__CON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12__QKN__CON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13__XXT__CON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15__HPP__CON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3__LXR__CON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5__MRX__CON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8__ZYY__CON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10__CXQ__INTG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14__LYX__INTG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16__WYX__INTG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17__MKR__INTG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2__ZZR__INTG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4__SX__INTG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6__ZJZH__INTG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7__GJX__INTG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r>
        <w:trPr>
          <w:trHeight w:val="536"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 Rotary Stability, right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FMS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Outlier screening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9__THY__INTG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INTG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w:t>
            </w:r>
          </w:p>
        </w:tc>
      </w:tr>
    </w:tbl>
    <w:p>
      <w:pPr>
        <w:sectPr>
          <w:pgMar w:header="708" w:bottom="1417" w:top="1417" w:right="1417" w:left="1417" w:footer="708" w:gutter="0"/>
          <w:pgSz w:h="16838" w:w="11906" w:orient="portrait"/>
          <w:type w:val="oddPage"/>
          <w:cols/>
        </w:sectPr>
      </w:pPr>
    </w:p>
    <w:p>
      <w:pPr>
        <w:pStyle w:val="Normal"/>
      </w:pPr>
      <w:r>
        <w:t xml:space="preserve">Supplementary Figure S1. Performance outcomes across the full analyzed performance panel, including Flight-time difference (Delta t).</w:t>
      </w:r>
    </w:p>
    <w:p>
      <w:pPr>
        <w:pStyle w:val="Normal"/>
      </w:pPr>
      <w:r>
        <w:rPr/>
        <w:drawing>
          <wp:inline distT="0" distB="0" distL="0" distR="0">
            <wp:extent cx="6217920" cy="475488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6217920" cy="4754880"/>
                    </a:xfrm>
                    <a:prstGeom prst="rect">
                      <a:avLst/>
                    </a:prstGeom>
                    <a:noFill/>
                  </pic:spPr>
                </pic:pic>
              </a:graphicData>
            </a:graphic>
          </wp:inline>
        </w:drawing>
      </w:r>
    </w:p>
    <w:p>
      <w:pPr>
        <w:pStyle w:val="Normal"/>
      </w:pPr>
      <w:r>
        <w:t xml:space="preserve">Supplementary Figure S2. FMS outcomes across all analyzed FMS variables.</w:t>
      </w:r>
    </w:p>
    <w:p>
      <w:pPr>
        <w:pStyle w:val="Normal"/>
      </w:pPr>
      <w:r>
        <w:rPr/>
        <w:drawing>
          <wp:inline distT="0" distB="0" distL="0" distR="0">
            <wp:extent cx="6217920" cy="493776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6217920" cy="4937760"/>
                    </a:xfrm>
                    <a:prstGeom prst="rect">
                      <a:avLst/>
                    </a:prstGeom>
                    <a:noFill/>
                  </pic:spPr>
                </pic:pic>
              </a:graphicData>
            </a:graphic>
          </wp:inline>
        </w:drawing>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1faad87083c6b97f8ab0fd70e6affbfbf2f294ad.png"/>
<Relationship Id="rId8" Type="http://schemas.openxmlformats.org/officeDocument/2006/relationships/image" Target="media/a0182560e0eee5f99c7e8edb8ca47906c2667bbc.png"/>
<Relationship Id="rId9" Type="http://schemas.openxmlformats.org/officeDocument/2006/relationships/image" Target="media/65b686848a4239be0ff98bb20b8c738aaae74a4e.png"/>
<Relationship Id="rId10" Type="http://schemas.openxmlformats.org/officeDocument/2006/relationships/image" Target="media/386070c96e68051745163605f5ba8f6507f3cd2f.png"/>
<Relationship Id="rId11" Type="http://schemas.openxmlformats.org/officeDocument/2006/relationships/image" Target="media/bade4042ea3f968f7b6efcf9ddce9590c1cbf7ac.png"/>
<Relationship Id="rId12" Type="http://schemas.openxmlformats.org/officeDocument/2006/relationships/image" Target="media/28810685f6bbe81e32e673b7b28f61b621649e6a.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2026-04-12T17:06:30Z</dcterms:modified>
  <cp:category/>
</cp:coreProperties>
</file>