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48"/>
          <w:szCs w:val="48"/>
        </w:rPr>
        <w:t xml:space="preserve">RMF ENGAGEMENT CHECKLIST</w:t>
      </w:r>
    </w:p>
    <w:p>
      <w:pPr>
        <w:spacing w:after="120" w:before="120"/>
        <w:jc w:val="center"/>
      </w:pPr>
      <w:r>
        <w:rPr>
          <w:rFonts w:ascii="Arial" w:cs="Arial" w:eastAsia="Arial" w:hAnsi="Arial"/>
          <w:color w:val="2E75B6"/>
          <w:sz w:val="28"/>
          <w:szCs w:val="28"/>
        </w:rPr>
        <w:t xml:space="preserve">Program Milestone Alignment Guide</w:t>
      </w:r>
    </w:p>
    <w:p>
      <w:pPr>
        <w:spacing w:after="120" w:before="120"/>
        <w:jc w:val="center"/>
      </w:pPr>
      <w:r>
        <w:rPr>
          <w:rFonts w:ascii="Arial" w:cs="Arial" w:eastAsia="Arial" w:hAnsi="Arial"/>
          <w:color w:val="2E75B6"/>
          <w:sz w:val="28"/>
          <w:szCs w:val="28"/>
        </w:rPr>
        <w:t xml:space="preserve">DoD Risk Management Framework</w:t>
      </w:r>
    </w:p>
    <w:p>
      <w:pPr>
        <w:spacing w:after="60" w:before="60"/>
        <w:jc w:val="center"/>
      </w:pPr>
      <w:r>
        <w:rPr>
          <w:rFonts w:ascii="Arial" w:cs="Arial" w:eastAsia="Arial" w:hAnsi="Arial"/>
          <w:color w:val="666666"/>
          <w:sz w:val="20"/>
          <w:szCs w:val="20"/>
        </w:rPr>
        <w:t xml:space="preserve">Version 1.0  |  June 2026  |  FOUO</w:t>
      </w:r>
    </w:p>
    <w:p>
      <w:r>
        <w:br w:type="page"/>
      </w:r>
    </w:p>
    <w:p>
      <w:pPr>
        <w:pStyle w:val="Heading1"/>
        <w:shd w:fill="1F3864" w:val="clear"/>
        <w:spacing w:after="120" w:before="240"/>
      </w:pPr>
      <w:r>
        <w:rPr>
          <w:rFonts w:ascii="Arial" w:cs="Arial" w:eastAsia="Arial" w:hAnsi="Arial"/>
          <w:b/>
          <w:bCs/>
          <w:color w:val="FFFFFF"/>
          <w:sz w:val="28"/>
          <w:szCs w:val="28"/>
        </w:rPr>
        <w:t xml:space="preserve">PURPOSE AND SCOPE</w:t>
      </w:r>
    </w:p>
    <w:p>
      <w:pPr>
        <w:spacing w:after="80" w:before="80"/>
      </w:pPr>
      <w:r>
        <w:t xml:space="preserve"/>
      </w:r>
    </w:p>
    <w:p>
      <w:pPr>
        <w:spacing w:after="60" w:before="60"/>
      </w:pPr>
      <w:r>
        <w:rPr>
          <w:rFonts w:ascii="Arial" w:cs="Arial" w:eastAsia="Arial" w:hAnsi="Arial"/>
          <w:b w:val="false"/>
          <w:bCs w:val="false"/>
          <w:sz w:val="20"/>
          <w:szCs w:val="20"/>
        </w:rPr>
        <w:t xml:space="preserve">This checklist ensures all Risk Management Framework (RMF) stakeholders are engaged at the correct program milestone, from concept through continuous monitoring. It is designed to prevent the most common process failure in DoD RMF programs: late engagement of key personnel and security requirements.</w:t>
      </w:r>
    </w:p>
    <w:p>
      <w:pPr>
        <w:spacing w:after="80" w:before="80"/>
      </w:pPr>
      <w:r>
        <w:t xml:space="preserve"/>
      </w:r>
    </w:p>
    <w:p>
      <w:pPr>
        <w:spacing w:after="60" w:before="60"/>
      </w:pPr>
      <w:r>
        <w:rPr>
          <w:rFonts w:ascii="Arial" w:cs="Arial" w:eastAsia="Arial" w:hAnsi="Arial"/>
          <w:b w:val="false"/>
          <w:bCs w:val="false"/>
          <w:sz w:val="20"/>
          <w:szCs w:val="20"/>
        </w:rPr>
        <w:t xml:space="preserve">Use this checklist at every major program review. Complete the Excel companion file (RMF_Engagement_Checklist.xlsx) to track status across all checklist items. Attach the completed checklist to the eMASS authorization package.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2CC" w:val="clear"/>
            <w:tcMar>
              <w:top w:type="dxa" w:w="120"/>
              <w:left w:type="dxa" w:w="160"/>
              <w:bottom w:type="dxa" w:w="120"/>
              <w:right w:type="dxa" w:w="160"/>
            </w:tcMar>
          </w:tcPr>
          <w:p>
            <w:r>
              <w:rPr>
                <w:rFonts w:ascii="Arial" w:cs="Arial" w:eastAsia="Arial" w:hAnsi="Arial"/>
                <w:b/>
                <w:bCs/>
                <w:color w:val="7B3F00"/>
                <w:sz w:val="18"/>
                <w:szCs w:val="18"/>
              </w:rPr>
              <w:t xml:space="preserve">NOTE: </w:t>
            </w:r>
            <w:r>
              <w:rPr>
                <w:rFonts w:ascii="Arial" w:cs="Arial" w:eastAsia="Arial" w:hAnsi="Arial"/>
                <w:color w:val="7B3F00"/>
                <w:sz w:val="18"/>
                <w:szCs w:val="18"/>
              </w:rPr>
              <w:t xml:space="preserve">This checklist should be maintained by the ISSM and reviewed at each program IPT. The PM is accountable for ensuring all gate conditions are met before proceeding to the next milestone.</w:t>
            </w:r>
          </w:p>
        </w:tc>
      </w:tr>
    </w:tbl>
    <w:p>
      <w:pPr>
        <w:spacing w:after="80" w:before="80"/>
      </w:pPr>
      <w:r>
        <w:t xml:space="preserve"/>
      </w:r>
    </w:p>
    <w:p>
      <w:pPr>
        <w:pStyle w:val="Heading1"/>
        <w:shd w:fill="1F3864" w:val="clear"/>
        <w:spacing w:after="120" w:before="240"/>
      </w:pPr>
      <w:r>
        <w:rPr>
          <w:rFonts w:ascii="Arial" w:cs="Arial" w:eastAsia="Arial" w:hAnsi="Arial"/>
          <w:b/>
          <w:bCs/>
          <w:color w:val="FFFFFF"/>
          <w:sz w:val="28"/>
          <w:szCs w:val="28"/>
        </w:rPr>
        <w:t xml:space="preserve">HOW TO USE THIS CHECKLIST</w:t>
      </w:r>
    </w:p>
    <w:p>
      <w:pPr>
        <w:spacing w:after="80" w:before="80"/>
      </w:pPr>
      <w:r>
        <w:t xml:space="preserve"/>
      </w:r>
    </w:p>
    <w:p>
      <w:pPr>
        <w:spacing w:after="60" w:before="60"/>
      </w:pPr>
      <w:r>
        <w:rPr>
          <w:rFonts w:ascii="Arial" w:cs="Arial" w:eastAsia="Arial" w:hAnsi="Arial"/>
          <w:b w:val="false"/>
          <w:bCs w:val="false"/>
          <w:sz w:val="20"/>
          <w:szCs w:val="20"/>
        </w:rPr>
        <w:t xml:space="preserve">Step 1: Identify your current program phase in the left column of the Excel checklist.</w:t>
      </w:r>
    </w:p>
    <w:p>
      <w:pPr>
        <w:spacing w:after="60" w:before="60"/>
      </w:pPr>
      <w:r>
        <w:rPr>
          <w:rFonts w:ascii="Arial" w:cs="Arial" w:eastAsia="Arial" w:hAnsi="Arial"/>
          <w:b w:val="false"/>
          <w:bCs w:val="false"/>
          <w:sz w:val="20"/>
          <w:szCs w:val="20"/>
        </w:rPr>
        <w:t xml:space="preserve">Step 2: For each row in that phase, confirm the action has been completed.</w:t>
      </w:r>
    </w:p>
    <w:p>
      <w:pPr>
        <w:spacing w:after="60" w:before="60"/>
      </w:pPr>
      <w:r>
        <w:rPr>
          <w:rFonts w:ascii="Arial" w:cs="Arial" w:eastAsia="Arial" w:hAnsi="Arial"/>
          <w:b w:val="false"/>
          <w:bCs w:val="false"/>
          <w:sz w:val="20"/>
          <w:szCs w:val="20"/>
        </w:rPr>
        <w:t xml:space="preserve">Step 3: Update the Status column: Not Started, In Progress, Complete, or Deferred/Waived.</w:t>
      </w:r>
    </w:p>
    <w:p>
      <w:pPr>
        <w:spacing w:after="60" w:before="60"/>
      </w:pPr>
      <w:r>
        <w:rPr>
          <w:rFonts w:ascii="Arial" w:cs="Arial" w:eastAsia="Arial" w:hAnsi="Arial"/>
          <w:b w:val="false"/>
          <w:bCs w:val="false"/>
          <w:sz w:val="20"/>
          <w:szCs w:val="20"/>
        </w:rPr>
        <w:t xml:space="preserve">Step 4: For any Deferred or Waived item, document the justification in the Notes column and obtain ISSM or AO concurrence.</w:t>
      </w:r>
    </w:p>
    <w:p>
      <w:pPr>
        <w:spacing w:after="60" w:before="60"/>
      </w:pPr>
      <w:r>
        <w:rPr>
          <w:rFonts w:ascii="Arial" w:cs="Arial" w:eastAsia="Arial" w:hAnsi="Arial"/>
          <w:b w:val="false"/>
          <w:bCs w:val="false"/>
          <w:sz w:val="20"/>
          <w:szCs w:val="20"/>
        </w:rPr>
        <w:t xml:space="preserve">Step 5: Attach the completed checklist to the eMASS authorization package at Step 5.</w:t>
      </w:r>
    </w:p>
    <w:p>
      <w:pPr>
        <w:spacing w:after="80" w:before="80"/>
      </w:pPr>
      <w:r>
        <w:t xml:space="preserve"/>
      </w:r>
    </w:p>
    <w:p>
      <w:pPr>
        <w:pStyle w:val="Heading1"/>
        <w:shd w:fill="1F3864" w:val="clear"/>
        <w:spacing w:after="120" w:before="240"/>
      </w:pPr>
      <w:r>
        <w:rPr>
          <w:rFonts w:ascii="Arial" w:cs="Arial" w:eastAsia="Arial" w:hAnsi="Arial"/>
          <w:b/>
          <w:bCs/>
          <w:color w:val="FFFFFF"/>
          <w:sz w:val="28"/>
          <w:szCs w:val="28"/>
        </w:rPr>
        <w:t xml:space="preserve">MILESTONE ENGAGEMENT REQUIREMENTS</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Pre-Milestone A / Concept Phase</w:t>
      </w:r>
    </w:p>
    <w:p>
      <w:pPr>
        <w:spacing w:after="60" w:before="60"/>
      </w:pPr>
      <w:r>
        <w:rPr>
          <w:rFonts w:ascii="Arial" w:cs="Arial" w:eastAsia="Arial" w:hAnsi="Arial"/>
          <w:b/>
          <w:bCs/>
          <w:sz w:val="20"/>
          <w:szCs w:val="20"/>
        </w:rPr>
        <w:t xml:space="preserve">Objective: Establish the RMF foundation before any design decisions are made.</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Assign ISSM and ISSO billets — positions filled with qualified personnel (DoD 8140 compliant)</w:t>
      </w:r>
    </w:p>
    <w:p>
      <w:pPr>
        <w:pStyle w:val="ListParagraph"/>
        <w:numPr>
          <w:ilvl w:val="0"/>
          <w:numId w:val="2"/>
        </w:numPr>
        <w:spacing w:after="40" w:before="40"/>
      </w:pPr>
      <w:r>
        <w:rPr>
          <w:rFonts w:ascii="Arial" w:cs="Arial" w:eastAsia="Arial" w:hAnsi="Arial"/>
          <w:sz w:val="20"/>
          <w:szCs w:val="20"/>
        </w:rPr>
        <w:t xml:space="preserve">Conduct initial mission impact analysis to inform system boundary definition</w:t>
      </w:r>
    </w:p>
    <w:p>
      <w:pPr>
        <w:pStyle w:val="ListParagraph"/>
        <w:numPr>
          <w:ilvl w:val="0"/>
          <w:numId w:val="2"/>
        </w:numPr>
        <w:spacing w:after="40" w:before="40"/>
      </w:pPr>
      <w:r>
        <w:rPr>
          <w:rFonts w:ascii="Arial" w:cs="Arial" w:eastAsia="Arial" w:hAnsi="Arial"/>
          <w:sz w:val="20"/>
          <w:szCs w:val="20"/>
        </w:rPr>
        <w:t xml:space="preserve">Complete FIPS 199 categorization: determine Confidentiality, Integrity, and Availability impact levels</w:t>
      </w:r>
    </w:p>
    <w:p>
      <w:pPr>
        <w:pStyle w:val="ListParagraph"/>
        <w:numPr>
          <w:ilvl w:val="0"/>
          <w:numId w:val="2"/>
        </w:numPr>
        <w:spacing w:after="40" w:before="40"/>
      </w:pPr>
      <w:r>
        <w:rPr>
          <w:rFonts w:ascii="Arial" w:cs="Arial" w:eastAsia="Arial" w:hAnsi="Arial"/>
          <w:sz w:val="20"/>
          <w:szCs w:val="20"/>
        </w:rPr>
        <w:t xml:space="preserve">Register the system in eMASS and assign all required eMASS roles</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Milestone A — Program Initiation</w:t>
      </w:r>
    </w:p>
    <w:p>
      <w:pPr>
        <w:spacing w:after="60" w:before="60"/>
      </w:pPr>
      <w:r>
        <w:rPr>
          <w:rFonts w:ascii="Arial" w:cs="Arial" w:eastAsia="Arial" w:hAnsi="Arial"/>
          <w:b/>
          <w:bCs/>
          <w:sz w:val="20"/>
          <w:szCs w:val="20"/>
        </w:rPr>
        <w:t xml:space="preserve">Objective: Lock the control baseline and brief all stakeholders before design begins.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Select the initial control baseline (Low / Moderate / High) in eMASS</w:t>
      </w:r>
    </w:p>
    <w:p>
      <w:pPr>
        <w:pStyle w:val="ListParagraph"/>
        <w:numPr>
          <w:ilvl w:val="0"/>
          <w:numId w:val="2"/>
        </w:numPr>
        <w:spacing w:after="40" w:before="40"/>
      </w:pPr>
      <w:r>
        <w:rPr>
          <w:rFonts w:ascii="Arial" w:cs="Arial" w:eastAsia="Arial" w:hAnsi="Arial"/>
          <w:sz w:val="20"/>
          <w:szCs w:val="20"/>
        </w:rPr>
        <w:t xml:space="preserve">Apply any organization-defined overlays, platform overlays, or tailoring decisions</w:t>
      </w:r>
    </w:p>
    <w:p>
      <w:pPr>
        <w:pStyle w:val="ListParagraph"/>
        <w:numPr>
          <w:ilvl w:val="0"/>
          <w:numId w:val="2"/>
        </w:numPr>
        <w:spacing w:after="40" w:before="40"/>
      </w:pPr>
      <w:r>
        <w:rPr>
          <w:rFonts w:ascii="Arial" w:cs="Arial" w:eastAsia="Arial" w:hAnsi="Arial"/>
          <w:sz w:val="20"/>
          <w:szCs w:val="20"/>
        </w:rPr>
        <w:t xml:space="preserve">Hold the System Security Engineering (SSE) Kickoff — mandatory attendance: PM, ISSM, ISSO, ISSE, AO Representative</w:t>
      </w:r>
    </w:p>
    <w:p>
      <w:pPr>
        <w:pStyle w:val="ListParagraph"/>
        <w:numPr>
          <w:ilvl w:val="0"/>
          <w:numId w:val="2"/>
        </w:numPr>
        <w:spacing w:after="40" w:before="40"/>
      </w:pPr>
      <w:r>
        <w:rPr>
          <w:rFonts w:ascii="Arial" w:cs="Arial" w:eastAsia="Arial" w:hAnsi="Arial"/>
          <w:sz w:val="20"/>
          <w:szCs w:val="20"/>
        </w:rPr>
        <w:t xml:space="preserve">Draft the System Security Plan (SSP) outline in eMASS — do not leave empty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2CC" w:val="clear"/>
            <w:tcMar>
              <w:top w:type="dxa" w:w="120"/>
              <w:left w:type="dxa" w:w="160"/>
              <w:bottom w:type="dxa" w:w="120"/>
              <w:right w:type="dxa" w:w="160"/>
            </w:tcMar>
          </w:tcPr>
          <w:p>
            <w:r>
              <w:rPr>
                <w:rFonts w:ascii="Arial" w:cs="Arial" w:eastAsia="Arial" w:hAnsi="Arial"/>
                <w:b/>
                <w:bCs/>
                <w:color w:val="7B3F00"/>
                <w:sz w:val="18"/>
                <w:szCs w:val="18"/>
              </w:rPr>
              <w:t xml:space="preserve">NOTE: </w:t>
            </w:r>
            <w:r>
              <w:rPr>
                <w:rFonts w:ascii="Arial" w:cs="Arial" w:eastAsia="Arial" w:hAnsi="Arial"/>
                <w:color w:val="7B3F00"/>
                <w:sz w:val="18"/>
                <w:szCs w:val="18"/>
              </w:rPr>
              <w:t xml:space="preserve">The SSE Kickoff is the single highest-leverage activity in the RMF process. Programs that skip it consistently experience late-stage rework. Document attendance as a formal program record.</w:t>
            </w:r>
          </w:p>
        </w:tc>
      </w:tr>
    </w:tbl>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System Design / SDD Phase</w:t>
      </w:r>
    </w:p>
    <w:p>
      <w:pPr>
        <w:spacing w:after="60" w:before="60"/>
      </w:pPr>
      <w:r>
        <w:rPr>
          <w:rFonts w:ascii="Arial" w:cs="Arial" w:eastAsia="Arial" w:hAnsi="Arial"/>
          <w:b/>
          <w:bCs/>
          <w:sz w:val="20"/>
          <w:szCs w:val="20"/>
        </w:rPr>
        <w:t xml:space="preserve">Objective: Integrate security controls into the system design — not retrofitted after the fact.</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ISSE participates in all design reviews; security requirements are traceable to controls</w:t>
      </w:r>
    </w:p>
    <w:p>
      <w:pPr>
        <w:pStyle w:val="ListParagraph"/>
        <w:numPr>
          <w:ilvl w:val="0"/>
          <w:numId w:val="2"/>
        </w:numPr>
        <w:spacing w:after="40" w:before="40"/>
      </w:pPr>
      <w:r>
        <w:rPr>
          <w:rFonts w:ascii="Arial" w:cs="Arial" w:eastAsia="Arial" w:hAnsi="Arial"/>
          <w:sz w:val="20"/>
          <w:szCs w:val="20"/>
        </w:rPr>
        <w:t xml:space="preserve">Document control implementation statements in eMASS SSP as designs are finalized</w:t>
      </w:r>
    </w:p>
    <w:p>
      <w:pPr>
        <w:pStyle w:val="ListParagraph"/>
        <w:numPr>
          <w:ilvl w:val="0"/>
          <w:numId w:val="2"/>
        </w:numPr>
        <w:spacing w:after="40" w:before="40"/>
      </w:pPr>
      <w:r>
        <w:rPr>
          <w:rFonts w:ascii="Arial" w:cs="Arial" w:eastAsia="Arial" w:hAnsi="Arial"/>
          <w:sz w:val="20"/>
          <w:szCs w:val="20"/>
        </w:rPr>
        <w:t xml:space="preserve">Upload supporting artifacts and link to controls in eMASS</w:t>
      </w:r>
    </w:p>
    <w:p>
      <w:pPr>
        <w:pStyle w:val="ListParagraph"/>
        <w:numPr>
          <w:ilvl w:val="0"/>
          <w:numId w:val="2"/>
        </w:numPr>
        <w:spacing w:after="40" w:before="40"/>
      </w:pPr>
      <w:r>
        <w:rPr>
          <w:rFonts w:ascii="Arial" w:cs="Arial" w:eastAsia="Arial" w:hAnsi="Arial"/>
          <w:sz w:val="20"/>
          <w:szCs w:val="20"/>
        </w:rPr>
        <w:t xml:space="preserve">Identify residual risks; open draft POA&amp;Ms for known gaps before assessment</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Pre-Test / Critical Design Review (CDR)</w:t>
      </w:r>
    </w:p>
    <w:p>
      <w:pPr>
        <w:spacing w:after="60" w:before="60"/>
      </w:pPr>
      <w:r>
        <w:rPr>
          <w:rFonts w:ascii="Arial" w:cs="Arial" w:eastAsia="Arial" w:hAnsi="Arial"/>
          <w:b/>
          <w:bCs/>
          <w:sz w:val="20"/>
          <w:szCs w:val="20"/>
        </w:rPr>
        <w:t xml:space="preserve">Objective: Finalize the assessment scope and lock it before testing begins.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Finalize and approve the Security Assessment Plan (SAP) — scope is locked; changes after this point require ISSM and AO approval</w:t>
      </w:r>
    </w:p>
    <w:p>
      <w:pPr>
        <w:pStyle w:val="ListParagraph"/>
        <w:numPr>
          <w:ilvl w:val="0"/>
          <w:numId w:val="2"/>
        </w:numPr>
        <w:spacing w:after="40" w:before="40"/>
      </w:pPr>
      <w:r>
        <w:rPr>
          <w:rFonts w:ascii="Arial" w:cs="Arial" w:eastAsia="Arial" w:hAnsi="Arial"/>
          <w:sz w:val="20"/>
          <w:szCs w:val="20"/>
        </w:rPr>
        <w:t xml:space="preserve">Run STIG/SCAP scans and document results in eMASS</w:t>
      </w:r>
    </w:p>
    <w:p>
      <w:pPr>
        <w:pStyle w:val="ListParagraph"/>
        <w:numPr>
          <w:ilvl w:val="0"/>
          <w:numId w:val="2"/>
        </w:numPr>
        <w:spacing w:after="40" w:before="40"/>
      </w:pPr>
      <w:r>
        <w:rPr>
          <w:rFonts w:ascii="Arial" w:cs="Arial" w:eastAsia="Arial" w:hAnsi="Arial"/>
          <w:sz w:val="20"/>
          <w:szCs w:val="20"/>
        </w:rPr>
        <w:t xml:space="preserve">Conduct the Technical Review Evaluation (TRE)</w:t>
      </w:r>
    </w:p>
    <w:p>
      <w:pPr>
        <w:pStyle w:val="ListParagraph"/>
        <w:numPr>
          <w:ilvl w:val="0"/>
          <w:numId w:val="2"/>
        </w:numPr>
        <w:spacing w:after="40" w:before="40"/>
      </w:pPr>
      <w:r>
        <w:rPr>
          <w:rFonts w:ascii="Arial" w:cs="Arial" w:eastAsia="Arial" w:hAnsi="Arial"/>
          <w:sz w:val="20"/>
          <w:szCs w:val="20"/>
        </w:rPr>
        <w:t xml:space="preserve">Adjudicate all findings; update POA&amp;Ms with specific root causes and realistic milestones</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IOT&amp;E / System Integration</w:t>
      </w:r>
    </w:p>
    <w:p>
      <w:pPr>
        <w:spacing w:after="60" w:before="60"/>
      </w:pPr>
      <w:r>
        <w:rPr>
          <w:rFonts w:ascii="Arial" w:cs="Arial" w:eastAsia="Arial" w:hAnsi="Arial"/>
          <w:b/>
          <w:bCs/>
          <w:sz w:val="20"/>
          <w:szCs w:val="20"/>
        </w:rPr>
        <w:t xml:space="preserve">Objective: Complete the security assessment and compile the authorization package.</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Complete the Security Assessment Report (SAR)</w:t>
      </w:r>
    </w:p>
    <w:p>
      <w:pPr>
        <w:pStyle w:val="ListParagraph"/>
        <w:numPr>
          <w:ilvl w:val="0"/>
          <w:numId w:val="2"/>
        </w:numPr>
        <w:spacing w:after="40" w:before="40"/>
      </w:pPr>
      <w:r>
        <w:rPr>
          <w:rFonts w:ascii="Arial" w:cs="Arial" w:eastAsia="Arial" w:hAnsi="Arial"/>
          <w:sz w:val="20"/>
          <w:szCs w:val="20"/>
        </w:rPr>
        <w:t xml:space="preserve">Compile the full authorization package: SSP, SAR, POA&amp;M, and this completed checklist</w:t>
      </w:r>
    </w:p>
    <w:p>
      <w:pPr>
        <w:pStyle w:val="ListParagraph"/>
        <w:numPr>
          <w:ilvl w:val="0"/>
          <w:numId w:val="2"/>
        </w:numPr>
        <w:spacing w:after="40" w:before="40"/>
      </w:pPr>
      <w:r>
        <w:rPr>
          <w:rFonts w:ascii="Arial" w:cs="Arial" w:eastAsia="Arial" w:hAnsi="Arial"/>
          <w:sz w:val="20"/>
          <w:szCs w:val="20"/>
        </w:rPr>
        <w:t xml:space="preserve">PM reviews and endorses the package before submission to AO</w:t>
      </w:r>
    </w:p>
    <w:p>
      <w:pPr>
        <w:pStyle w:val="ListParagraph"/>
        <w:numPr>
          <w:ilvl w:val="0"/>
          <w:numId w:val="2"/>
        </w:numPr>
        <w:spacing w:after="40" w:before="40"/>
      </w:pPr>
      <w:r>
        <w:rPr>
          <w:rFonts w:ascii="Arial" w:cs="Arial" w:eastAsia="Arial" w:hAnsi="Arial"/>
          <w:sz w:val="20"/>
          <w:szCs w:val="20"/>
        </w:rPr>
        <w:t xml:space="preserve">Submit the package to the Authorizing Official for review</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ATO Decision</w:t>
      </w:r>
    </w:p>
    <w:p>
      <w:pPr>
        <w:pStyle w:val="ListParagraph"/>
        <w:numPr>
          <w:ilvl w:val="0"/>
          <w:numId w:val="2"/>
        </w:numPr>
        <w:spacing w:after="40" w:before="40"/>
      </w:pPr>
      <w:r>
        <w:rPr>
          <w:rFonts w:ascii="Arial" w:cs="Arial" w:eastAsia="Arial" w:hAnsi="Arial"/>
          <w:sz w:val="20"/>
          <w:szCs w:val="20"/>
        </w:rPr>
        <w:t xml:space="preserve">AO issues ATO, IATO, or DATO — with specific conditions if applicable</w:t>
      </w:r>
    </w:p>
    <w:p>
      <w:pPr>
        <w:pStyle w:val="ListParagraph"/>
        <w:numPr>
          <w:ilvl w:val="0"/>
          <w:numId w:val="2"/>
        </w:numPr>
        <w:spacing w:after="40" w:before="40"/>
      </w:pPr>
      <w:r>
        <w:rPr>
          <w:rFonts w:ascii="Arial" w:cs="Arial" w:eastAsia="Arial" w:hAnsi="Arial"/>
          <w:sz w:val="20"/>
          <w:szCs w:val="20"/>
        </w:rPr>
        <w:t xml:space="preserve">All ATO conditions are documented in eMASS and assigned to responsible parties</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Post-ATO / Operations &amp; Maintenance</w:t>
      </w:r>
    </w:p>
    <w:p>
      <w:pPr>
        <w:spacing w:after="60" w:before="60"/>
      </w:pPr>
      <w:r>
        <w:rPr>
          <w:rFonts w:ascii="Arial" w:cs="Arial" w:eastAsia="Arial" w:hAnsi="Arial"/>
          <w:b/>
          <w:bCs/>
          <w:sz w:val="20"/>
          <w:szCs w:val="20"/>
        </w:rPr>
        <w:t xml:space="preserve">Objective: Maintain the security posture — an ATO is not a one-time event.</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Establish and document the Continuous Monitoring (ConMon) strategy in eMASS</w:t>
      </w:r>
    </w:p>
    <w:p>
      <w:pPr>
        <w:pStyle w:val="ListParagraph"/>
        <w:numPr>
          <w:ilvl w:val="0"/>
          <w:numId w:val="2"/>
        </w:numPr>
        <w:spacing w:after="40" w:before="40"/>
      </w:pPr>
      <w:r>
        <w:rPr>
          <w:rFonts w:ascii="Arial" w:cs="Arial" w:eastAsia="Arial" w:hAnsi="Arial"/>
          <w:sz w:val="20"/>
          <w:szCs w:val="20"/>
        </w:rPr>
        <w:t xml:space="preserve">Execute monthly or quarterly STIG scans per ConMon schedule; import results to eMASS</w:t>
      </w:r>
    </w:p>
    <w:p>
      <w:pPr>
        <w:pStyle w:val="ListParagraph"/>
        <w:numPr>
          <w:ilvl w:val="0"/>
          <w:numId w:val="2"/>
        </w:numPr>
        <w:spacing w:after="40" w:before="40"/>
      </w:pPr>
      <w:r>
        <w:rPr>
          <w:rFonts w:ascii="Arial" w:cs="Arial" w:eastAsia="Arial" w:hAnsi="Arial"/>
          <w:sz w:val="20"/>
          <w:szCs w:val="20"/>
        </w:rPr>
        <w:t xml:space="preserve">Conduct quarterly POA&amp;M scrubs; escalate any item past 180 days to AO</w:t>
      </w:r>
    </w:p>
    <w:p>
      <w:pPr>
        <w:pStyle w:val="ListParagraph"/>
        <w:numPr>
          <w:ilvl w:val="0"/>
          <w:numId w:val="2"/>
        </w:numPr>
        <w:spacing w:after="40" w:before="40"/>
      </w:pPr>
      <w:r>
        <w:rPr>
          <w:rFonts w:ascii="Arial" w:cs="Arial" w:eastAsia="Arial" w:hAnsi="Arial"/>
          <w:sz w:val="20"/>
          <w:szCs w:val="20"/>
        </w:rPr>
        <w:t xml:space="preserve">Initiate annual security review 90 days before ATO expiration</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Change Control Board (CCB)</w:t>
      </w:r>
    </w:p>
    <w:p>
      <w:pPr>
        <w:pStyle w:val="ListParagraph"/>
        <w:numPr>
          <w:ilvl w:val="0"/>
          <w:numId w:val="2"/>
        </w:numPr>
        <w:spacing w:after="40" w:before="40"/>
      </w:pPr>
      <w:r>
        <w:rPr>
          <w:rFonts w:ascii="Arial" w:cs="Arial" w:eastAsia="Arial" w:hAnsi="Arial"/>
          <w:sz w:val="20"/>
          <w:szCs w:val="20"/>
        </w:rPr>
        <w:t xml:space="preserve">All proposed system changes are reviewed for security impact (Security Impact Assessment Report — SIAR) before CCB approval</w:t>
      </w:r>
    </w:p>
    <w:p>
      <w:pPr>
        <w:pStyle w:val="ListParagraph"/>
        <w:numPr>
          <w:ilvl w:val="0"/>
          <w:numId w:val="2"/>
        </w:numPr>
        <w:spacing w:after="40" w:before="40"/>
      </w:pPr>
      <w:r>
        <w:rPr>
          <w:rFonts w:ascii="Arial" w:cs="Arial" w:eastAsia="Arial" w:hAnsi="Arial"/>
          <w:sz w:val="20"/>
          <w:szCs w:val="20"/>
        </w:rPr>
        <w:t xml:space="preserve">ISSM reviews every SIAR; AO is notified for significant changes</w:t>
      </w:r>
    </w:p>
    <w:p>
      <w:pPr>
        <w:pStyle w:val="ListParagraph"/>
        <w:numPr>
          <w:ilvl w:val="0"/>
          <w:numId w:val="2"/>
        </w:numPr>
        <w:spacing w:after="40" w:before="40"/>
      </w:pPr>
      <w:r>
        <w:rPr>
          <w:rFonts w:ascii="Arial" w:cs="Arial" w:eastAsia="Arial" w:hAnsi="Arial"/>
          <w:sz w:val="20"/>
          <w:szCs w:val="20"/>
        </w:rPr>
        <w:t xml:space="preserve">Approved changes with security impact: update SSP and artifacts in eMASS within 30 days</w:t>
      </w:r>
    </w:p>
    <w:p>
      <w:pPr>
        <w:spacing w:after="80" w:before="80"/>
      </w:pPr>
      <w:r>
        <w:t xml:space="preserve"/>
      </w:r>
    </w:p>
    <w:p>
      <w:pPr>
        <w:pStyle w:val="Heading1"/>
        <w:shd w:fill="1F3864" w:val="clear"/>
        <w:spacing w:after="120" w:before="240"/>
      </w:pPr>
      <w:r>
        <w:rPr>
          <w:rFonts w:ascii="Arial" w:cs="Arial" w:eastAsia="Arial" w:hAnsi="Arial"/>
          <w:b/>
          <w:bCs/>
          <w:color w:val="FFFFFF"/>
          <w:sz w:val="28"/>
          <w:szCs w:val="28"/>
        </w:rPr>
        <w:t xml:space="preserve">ROLES QUICK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300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DoD 8140 Requirement</w:t>
            </w:r>
          </w:p>
        </w:tc>
        <w:tc>
          <w:tcPr>
            <w:tcW w:type="dxa" w:w="4560"/>
            <w:gridSpan w:val="1"/>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RMF Accountability</w:t>
            </w:r>
          </w:p>
        </w:tc>
      </w:tr>
      <w:t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AO</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Senior leader; delegated authority</w:t>
            </w:r>
          </w:p>
        </w:tc>
        <w:tc>
          <w:tcPr>
            <w:tcW w:type="dxa" w:w="4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Issues authorization decision; accountable for mission risk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DAU PM training; no eMASS cert required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Resources the program; treats ATO as a gate condition; endorses package</w:t>
            </w:r>
          </w:p>
        </w:tc>
      </w:tr>
      <w:t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ISSM</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IAM Level II (CISSP, CISM, CAP)</w:t>
            </w:r>
          </w:p>
        </w:tc>
        <w:tc>
          <w:tcPr>
            <w:tcW w:type="dxa" w:w="4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Owns the ATO package end-to-end; manages ISSO and RMF program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ISSO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IAM Level I (Security+, CySA+, CAP)</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Day-to-day eMASS operator; maintains SSP, artifacts, scans, POA&amp;Ms</w:t>
            </w:r>
          </w:p>
        </w:tc>
      </w:tr>
      <w:t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ISSE</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IASAE Level II preferred (CISSP-ISSEP)</w:t>
            </w:r>
          </w:p>
        </w:tc>
        <w:tc>
          <w:tcPr>
            <w:tcW w:type="dxa" w:w="45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Integrates security into system design; must engage from concept phase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SCA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IAT/IAM Level II; independent of system team</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Conducts TRE and produces SAR; must be independent of ISSO/ISSM</w:t>
            </w:r>
          </w:p>
        </w:tc>
      </w:tr>
    </w:tbl>
    <w:p>
      <w:pPr>
        <w:spacing w:after="80" w:before="80"/>
      </w:pPr>
      <w:r>
        <w:t xml:space="preserve"/>
      </w:r>
    </w:p>
    <w:p>
      <w:pPr>
        <w:pStyle w:val="Heading1"/>
        <w:shd w:fill="1F3864" w:val="clear"/>
        <w:spacing w:after="120" w:before="240"/>
      </w:pPr>
      <w:r>
        <w:rPr>
          <w:rFonts w:ascii="Arial" w:cs="Arial" w:eastAsia="Arial" w:hAnsi="Arial"/>
          <w:b/>
          <w:bCs/>
          <w:color w:val="FFFFFF"/>
          <w:sz w:val="28"/>
          <w:szCs w:val="28"/>
        </w:rPr>
        <w:t xml:space="preserve">REFERENCES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DoDI 8510.01 — DoD Risk Management Framework for IT</w:t>
      </w:r>
    </w:p>
    <w:p>
      <w:pPr>
        <w:pStyle w:val="ListParagraph"/>
        <w:numPr>
          <w:ilvl w:val="0"/>
          <w:numId w:val="2"/>
        </w:numPr>
        <w:spacing w:after="40" w:before="40"/>
      </w:pPr>
      <w:r>
        <w:rPr>
          <w:rFonts w:ascii="Arial" w:cs="Arial" w:eastAsia="Arial" w:hAnsi="Arial"/>
          <w:sz w:val="20"/>
          <w:szCs w:val="20"/>
        </w:rPr>
        <w:t xml:space="preserve">NIST SP 800-37 Rev 2 — RMF for Information Systems and Organizations</w:t>
      </w:r>
    </w:p>
    <w:p>
      <w:pPr>
        <w:pStyle w:val="ListParagraph"/>
        <w:numPr>
          <w:ilvl w:val="0"/>
          <w:numId w:val="2"/>
        </w:numPr>
        <w:spacing w:after="40" w:before="40"/>
      </w:pPr>
      <w:r>
        <w:rPr>
          <w:rFonts w:ascii="Arial" w:cs="Arial" w:eastAsia="Arial" w:hAnsi="Arial"/>
          <w:sz w:val="20"/>
          <w:szCs w:val="20"/>
        </w:rPr>
        <w:t xml:space="preserve">NIST SP 800-53 Rev 5 — Security and Privacy Controls</w:t>
      </w:r>
    </w:p>
    <w:p>
      <w:pPr>
        <w:pStyle w:val="ListParagraph"/>
        <w:numPr>
          <w:ilvl w:val="0"/>
          <w:numId w:val="2"/>
        </w:numPr>
        <w:spacing w:after="40" w:before="40"/>
      </w:pPr>
      <w:r>
        <w:rPr>
          <w:rFonts w:ascii="Arial" w:cs="Arial" w:eastAsia="Arial" w:hAnsi="Arial"/>
          <w:sz w:val="20"/>
          <w:szCs w:val="20"/>
        </w:rPr>
        <w:t xml:space="preserve">NIST SP 800-160 Vol 1 — Systems Security Engineering</w:t>
      </w:r>
    </w:p>
    <w:p>
      <w:pPr>
        <w:pStyle w:val="ListParagraph"/>
        <w:numPr>
          <w:ilvl w:val="0"/>
          <w:numId w:val="2"/>
        </w:numPr>
        <w:spacing w:after="40" w:before="40"/>
      </w:pPr>
      <w:r>
        <w:rPr>
          <w:rFonts w:ascii="Arial" w:cs="Arial" w:eastAsia="Arial" w:hAnsi="Arial"/>
          <w:sz w:val="20"/>
          <w:szCs w:val="20"/>
        </w:rPr>
        <w:t xml:space="preserve">DoD 8140.01M — Cyberspace Workforce Qualification and Management Program</w:t>
      </w:r>
    </w:p>
    <w:p>
      <w:pPr>
        <w:pStyle w:val="ListParagraph"/>
        <w:numPr>
          <w:ilvl w:val="0"/>
          <w:numId w:val="2"/>
        </w:numPr>
        <w:spacing w:after="40" w:before="40"/>
      </w:pPr>
      <w:r>
        <w:rPr>
          <w:rFonts w:ascii="Arial" w:cs="Arial" w:eastAsia="Arial" w:hAnsi="Arial"/>
          <w:sz w:val="20"/>
          <w:szCs w:val="20"/>
        </w:rPr>
        <w:t xml:space="preserve">DISA RMF Knowledge Service — rmfks.osd.mil</w:t>
      </w:r>
    </w:p>
    <w:p>
      <w:pPr>
        <w:pStyle w:val="ListParagraph"/>
        <w:numPr>
          <w:ilvl w:val="0"/>
          <w:numId w:val="2"/>
        </w:numPr>
        <w:spacing w:after="40" w:before="40"/>
      </w:pPr>
      <w:r>
        <w:rPr>
          <w:rFonts w:ascii="Arial" w:cs="Arial" w:eastAsia="Arial" w:hAnsi="Arial"/>
          <w:sz w:val="20"/>
          <w:szCs w:val="20"/>
        </w:rPr>
        <w:t xml:space="preserve">AFSSI 8510 — Air Force Implementation of the DoD RMF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999999"/>
        <w:sz w:val="14"/>
        <w:szCs w:val="14"/>
      </w:rPr>
      <w:t xml:space="preserve">   |   DoD RMF Process Improvement Suite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3864"/>
        <w:sz w:val="16"/>
        <w:szCs w:val="16"/>
      </w:rPr>
      <w:t xml:space="preserve">RMF Engagement Checklist   </w:t>
    </w:r>
    <w:r>
      <w:rPr>
        <w:rFonts w:ascii="Arial" w:cs="Arial" w:eastAsia="Arial" w:hAnsi="Arial"/>
        <w:color w:val="666666"/>
        <w:sz w:val="14"/>
        <w:szCs w:val="14"/>
      </w:rPr>
      <w:t xml:space="preserve">DISTRIBUTION: FOR OFFICIAL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2026-06-04T12:06:07.507Z</dcterms:created>
  <dcterms:modified xsi:type="dcterms:W3CDTF">2026-06-04T12:06:07.507Z</dcterms:modified>
</cp:coreProperties>
</file>

<file path=docProps/custom.xml><?xml version="1.0" encoding="utf-8"?>
<Properties xmlns="http://schemas.openxmlformats.org/officeDocument/2006/custom-properties" xmlns:vt="http://schemas.openxmlformats.org/officeDocument/2006/docPropsVTypes"/>
</file>