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3864"/>
          <w:sz w:val="48"/>
          <w:szCs w:val="48"/>
        </w:rPr>
        <w:t xml:space="preserve">RMF ROLE-SPECIFIC
ONBOARDING PACKAGE</w:t>
      </w:r>
    </w:p>
    <w:p>
      <w:pPr>
        <w:spacing w:after="120" w:before="120"/>
        <w:jc w:val="center"/>
      </w:pPr>
      <w:r>
        <w:rPr>
          <w:rFonts w:ascii="Arial" w:cs="Arial" w:eastAsia="Arial" w:hAnsi="Arial"/>
          <w:color w:val="2E75B6"/>
          <w:sz w:val="28"/>
          <w:szCs w:val="28"/>
        </w:rPr>
        <w:t xml:space="preserve">ISSM  |  ISSO  |  ISSE  |  PM</w:t>
      </w:r>
    </w:p>
    <w:p>
      <w:pPr>
        <w:spacing w:after="120" w:before="120"/>
        <w:jc w:val="center"/>
      </w:pPr>
      <w:r>
        <w:rPr>
          <w:rFonts w:ascii="Arial" w:cs="Arial" w:eastAsia="Arial" w:hAnsi="Arial"/>
          <w:color w:val="2E75B6"/>
          <w:sz w:val="28"/>
          <w:szCs w:val="28"/>
        </w:rPr>
        <w:t xml:space="preserve">DoD Risk Management Framework</w:t>
      </w:r>
    </w:p>
    <w:p>
      <w:pPr>
        <w:spacing w:after="60" w:before="60"/>
        <w:jc w:val="center"/>
      </w:pPr>
      <w:r>
        <w:rPr>
          <w:rFonts w:ascii="Arial" w:cs="Arial" w:eastAsia="Arial" w:hAnsi="Arial"/>
          <w:color w:val="666666"/>
          <w:sz w:val="20"/>
          <w:szCs w:val="20"/>
        </w:rPr>
        <w:t xml:space="preserve">Version 1.0  |  June 2026  |  FOUO</w:t>
      </w:r>
    </w:p>
    <w:p>
      <w:r>
        <w:br w:type="page"/>
      </w:r>
    </w:p>
    <w:p>
      <w:pPr>
        <w:pStyle w:val="Heading1"/>
        <w:shd w:fill="1F3864" w:val="clear"/>
        <w:spacing w:after="120" w:before="240"/>
      </w:pPr>
      <w:r>
        <w:rPr>
          <w:rFonts w:ascii="Arial" w:cs="Arial" w:eastAsia="Arial" w:hAnsi="Arial"/>
          <w:b/>
          <w:bCs/>
          <w:color w:val="FFFFFF"/>
          <w:sz w:val="28"/>
          <w:szCs w:val="28"/>
        </w:rPr>
        <w:t xml:space="preserve">HOW TO USE THIS PACKAGE</w:t>
      </w:r>
    </w:p>
    <w:p>
      <w:pPr>
        <w:spacing w:after="80" w:before="80"/>
      </w:pPr>
      <w:r>
        <w:t xml:space="preserve"/>
      </w:r>
    </w:p>
    <w:p>
      <w:pPr>
        <w:spacing w:after="60" w:before="60"/>
      </w:pPr>
      <w:r>
        <w:rPr>
          <w:rFonts w:ascii="Arial" w:cs="Arial" w:eastAsia="Arial" w:hAnsi="Arial"/>
          <w:b w:val="false"/>
          <w:bCs w:val="false"/>
          <w:sz w:val="20"/>
          <w:szCs w:val="20"/>
        </w:rPr>
        <w:t xml:space="preserve">This package provides role-specific onboarding for the four primary RMF roles. Each section covers: qualifications required, eMASS access level, Day 1 actions, critical rules, and key references.</w:t>
      </w:r>
    </w:p>
    <w:p>
      <w:pPr>
        <w:spacing w:after="80" w:before="80"/>
      </w:pPr>
      <w:r>
        <w:t xml:space="preserve"/>
      </w:r>
    </w:p>
    <w:p>
      <w:pPr>
        <w:spacing w:after="60" w:before="60"/>
      </w:pPr>
      <w:r>
        <w:rPr>
          <w:rFonts w:ascii="Arial" w:cs="Arial" w:eastAsia="Arial" w:hAnsi="Arial"/>
          <w:b w:val="false"/>
          <w:bCs w:val="false"/>
          <w:sz w:val="20"/>
          <w:szCs w:val="20"/>
        </w:rPr>
        <w:t xml:space="preserve">Use the companion Excel file (RMF_Role_Onboarding_Package.xlsx) to track task completion for each incoming role-holder. A new person filling any of these roles should be able to complete this onboarding in their first week.</w:t>
      </w:r>
    </w:p>
    <w:p>
      <w:pPr>
        <w:spacing w:after="80" w:before="80"/>
      </w:pPr>
      <w:r>
        <w:t xml:space="preserve"/>
      </w:r>
    </w:p>
    <w:p>
      <w:r>
        <w:br w:type="page"/>
      </w:r>
    </w:p>
    <w:p>
      <w:pPr>
        <w:pStyle w:val="Heading1"/>
        <w:shd w:fill="1F3864" w:val="clear"/>
        <w:spacing w:after="120" w:before="240"/>
      </w:pPr>
      <w:r>
        <w:rPr>
          <w:rFonts w:ascii="Arial" w:cs="Arial" w:eastAsia="Arial" w:hAnsi="Arial"/>
          <w:b/>
          <w:bCs/>
          <w:color w:val="FFFFFF"/>
          <w:sz w:val="28"/>
          <w:szCs w:val="28"/>
        </w:rPr>
        <w:t xml:space="preserve">ISSM — Information System Security Manager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DoD 8140 Requirement</w:t>
            </w:r>
          </w:p>
        </w:tc>
        <w:tc>
          <w:tcPr>
            <w:tcW w:type="dxa" w:w="69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DoD 8140 IAM Level II — CISSP, CISM, CAP, or GSLC</w:t>
            </w:r>
          </w:p>
        </w:tc>
      </w:tr>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eMASS Role</w:t>
            </w:r>
          </w:p>
        </w:tc>
        <w:tc>
          <w:tcPr>
            <w:tcW w:type="dxa" w:w="69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ISSM role in eMASS — full package authority</w:t>
            </w:r>
          </w:p>
        </w:tc>
      </w:tr>
    </w:tbl>
    <w:p>
      <w:pPr>
        <w:spacing w:after="80" w:before="80"/>
      </w:pPr>
      <w:r>
        <w:t xml:space="preserve"/>
      </w:r>
    </w:p>
    <w:p>
      <w:pPr>
        <w:spacing w:after="60" w:before="60"/>
      </w:pPr>
      <w:r>
        <w:rPr>
          <w:rFonts w:ascii="Arial" w:cs="Arial" w:eastAsia="Arial" w:hAnsi="Arial"/>
          <w:b w:val="false"/>
          <w:bCs w:val="false"/>
          <w:sz w:val="20"/>
          <w:szCs w:val="20"/>
        </w:rPr>
        <w:t xml:space="preserve">The ISSM owns the ATO package from cradle to grave. You are accountable to the Authorizing Official for the security posture of all assigned systems. Your primary job is to ensure the RMF process runs on schedule, the ISSO is supported, and the authorization package is complete and accurate before it reaches the AO.</w:t>
      </w:r>
    </w:p>
    <w:p>
      <w:pPr>
        <w:spacing w:after="80" w:before="80"/>
      </w:pPr>
      <w:r>
        <w:t xml:space="preserve"/>
      </w:r>
    </w:p>
    <w:p>
      <w:pPr>
        <w:pStyle w:val="Heading2"/>
        <w:pBdr>
          <w:bottom w:val="single" w:color="2E75B6" w:sz="4" w:space="1"/>
        </w:pBdr>
        <w:spacing w:after="100" w:before="200"/>
      </w:pPr>
      <w:r>
        <w:rPr>
          <w:rFonts w:ascii="Arial" w:cs="Arial" w:eastAsia="Arial" w:hAnsi="Arial"/>
          <w:b/>
          <w:bCs/>
          <w:color w:val="2E75B6"/>
          <w:sz w:val="24"/>
          <w:szCs w:val="24"/>
        </w:rPr>
        <w:t xml:space="preserve">Day 1 Actions — Complete Within Your First Week</w:t>
      </w:r>
    </w:p>
    <w:p>
      <w:pPr>
        <w:pStyle w:val="ListParagraph"/>
        <w:numPr>
          <w:ilvl w:val="0"/>
          <w:numId w:val="2"/>
        </w:numPr>
        <w:spacing w:after="40" w:before="40"/>
      </w:pPr>
      <w:r>
        <w:rPr>
          <w:rFonts w:ascii="Arial" w:cs="Arial" w:eastAsia="Arial" w:hAnsi="Arial"/>
          <w:sz w:val="20"/>
          <w:szCs w:val="20"/>
        </w:rPr>
        <w:t xml:space="preserve">Log into eMASS — confirm your role is assigned as ISSM on each system</w:t>
      </w:r>
    </w:p>
    <w:p>
      <w:pPr>
        <w:pStyle w:val="ListParagraph"/>
        <w:numPr>
          <w:ilvl w:val="0"/>
          <w:numId w:val="2"/>
        </w:numPr>
        <w:spacing w:after="40" w:before="40"/>
      </w:pPr>
      <w:r>
        <w:rPr>
          <w:rFonts w:ascii="Arial" w:cs="Arial" w:eastAsia="Arial" w:hAnsi="Arial"/>
          <w:sz w:val="20"/>
          <w:szCs w:val="20"/>
        </w:rPr>
        <w:t xml:space="preserve">Review the current SSP status and identify any gaps in implementation statements</w:t>
      </w:r>
    </w:p>
    <w:p>
      <w:pPr>
        <w:pStyle w:val="ListParagraph"/>
        <w:numPr>
          <w:ilvl w:val="0"/>
          <w:numId w:val="2"/>
        </w:numPr>
        <w:spacing w:after="40" w:before="40"/>
      </w:pPr>
      <w:r>
        <w:rPr>
          <w:rFonts w:ascii="Arial" w:cs="Arial" w:eastAsia="Arial" w:hAnsi="Arial"/>
          <w:sz w:val="20"/>
          <w:szCs w:val="20"/>
        </w:rPr>
        <w:t xml:space="preserve">Review all open POA&amp;Ms — identify any past 180 days and escalate immediately</w:t>
      </w:r>
    </w:p>
    <w:p>
      <w:pPr>
        <w:pStyle w:val="ListParagraph"/>
        <w:numPr>
          <w:ilvl w:val="0"/>
          <w:numId w:val="2"/>
        </w:numPr>
        <w:spacing w:after="40" w:before="40"/>
      </w:pPr>
      <w:r>
        <w:rPr>
          <w:rFonts w:ascii="Arial" w:cs="Arial" w:eastAsia="Arial" w:hAnsi="Arial"/>
          <w:sz w:val="20"/>
          <w:szCs w:val="20"/>
        </w:rPr>
        <w:t xml:space="preserve">Confirm the ISSO is qualified (DoD 8140 IAM Level I) and has eMASS access</w:t>
      </w:r>
    </w:p>
    <w:p>
      <w:pPr>
        <w:pStyle w:val="ListParagraph"/>
        <w:numPr>
          <w:ilvl w:val="0"/>
          <w:numId w:val="2"/>
        </w:numPr>
        <w:spacing w:after="40" w:before="40"/>
      </w:pPr>
      <w:r>
        <w:rPr>
          <w:rFonts w:ascii="Arial" w:cs="Arial" w:eastAsia="Arial" w:hAnsi="Arial"/>
          <w:sz w:val="20"/>
          <w:szCs w:val="20"/>
        </w:rPr>
        <w:t xml:space="preserve">Obtain the current ATO expiration date — calendar the 90-day renewal trigger</w:t>
      </w:r>
    </w:p>
    <w:p>
      <w:pPr>
        <w:spacing w:after="80" w:before="80"/>
      </w:pPr>
      <w:r>
        <w:t xml:space="preserve"/>
      </w:r>
    </w:p>
    <w:p>
      <w:pPr>
        <w:pStyle w:val="Heading2"/>
        <w:pBdr>
          <w:bottom w:val="single" w:color="2E75B6" w:sz="4" w:space="1"/>
        </w:pBdr>
        <w:spacing w:after="100" w:before="200"/>
      </w:pPr>
      <w:r>
        <w:rPr>
          <w:rFonts w:ascii="Arial" w:cs="Arial" w:eastAsia="Arial" w:hAnsi="Arial"/>
          <w:b/>
          <w:bCs/>
          <w:color w:val="2E75B6"/>
          <w:sz w:val="24"/>
          <w:szCs w:val="24"/>
        </w:rPr>
        <w:t xml:space="preserve">Critical Rules — Never Violate These</w:t>
      </w:r>
    </w:p>
    <w:p>
      <w:pPr>
        <w:pStyle w:val="ListParagraph"/>
        <w:numPr>
          <w:ilvl w:val="0"/>
          <w:numId w:val="2"/>
        </w:numPr>
        <w:spacing w:after="40" w:before="40"/>
      </w:pPr>
      <w:r>
        <w:rPr>
          <w:rFonts w:ascii="Arial" w:cs="Arial" w:eastAsia="Arial" w:hAnsi="Arial"/>
          <w:sz w:val="20"/>
          <w:szCs w:val="20"/>
        </w:rPr>
        <w:t xml:space="preserve">Never approve a control as Implemented in eMASS without verifying the artifact exists and is linked</w:t>
      </w:r>
    </w:p>
    <w:p>
      <w:pPr>
        <w:pStyle w:val="ListParagraph"/>
        <w:numPr>
          <w:ilvl w:val="0"/>
          <w:numId w:val="2"/>
        </w:numPr>
        <w:spacing w:after="40" w:before="40"/>
      </w:pPr>
      <w:r>
        <w:rPr>
          <w:rFonts w:ascii="Arial" w:cs="Arial" w:eastAsia="Arial" w:hAnsi="Arial"/>
          <w:sz w:val="20"/>
          <w:szCs w:val="20"/>
        </w:rPr>
        <w:t xml:space="preserve">POA&amp;Ms must have a resource owner who is not the ISSO</w:t>
      </w:r>
    </w:p>
    <w:p>
      <w:pPr>
        <w:pStyle w:val="ListParagraph"/>
        <w:numPr>
          <w:ilvl w:val="0"/>
          <w:numId w:val="2"/>
        </w:numPr>
        <w:spacing w:after="40" w:before="40"/>
      </w:pPr>
      <w:r>
        <w:rPr>
          <w:rFonts w:ascii="Arial" w:cs="Arial" w:eastAsia="Arial" w:hAnsi="Arial"/>
          <w:sz w:val="20"/>
          <w:szCs w:val="20"/>
        </w:rPr>
        <w:t xml:space="preserve">SAP scope must be locked before assessment begins — no scope changes after testing starts</w:t>
      </w:r>
    </w:p>
    <w:p>
      <w:pPr>
        <w:pStyle w:val="ListParagraph"/>
        <w:numPr>
          <w:ilvl w:val="0"/>
          <w:numId w:val="2"/>
        </w:numPr>
        <w:spacing w:after="40" w:before="40"/>
      </w:pPr>
      <w:r>
        <w:rPr>
          <w:rFonts w:ascii="Arial" w:cs="Arial" w:eastAsia="Arial" w:hAnsi="Arial"/>
          <w:sz w:val="20"/>
          <w:szCs w:val="20"/>
        </w:rPr>
        <w:t xml:space="preserve">The ATO package goes to the AO only after PM endorsement is obtained</w:t>
      </w:r>
    </w:p>
    <w:p>
      <w:pPr>
        <w:spacing w:after="80" w:before="80"/>
      </w:pPr>
      <w:r>
        <w:t xml:space="preserve"/>
      </w:r>
    </w:p>
    <w:p>
      <w:pPr>
        <w:pStyle w:val="Heading2"/>
        <w:pBdr>
          <w:bottom w:val="single" w:color="2E75B6" w:sz="4" w:space="1"/>
        </w:pBdr>
        <w:spacing w:after="100" w:before="200"/>
      </w:pPr>
      <w:r>
        <w:rPr>
          <w:rFonts w:ascii="Arial" w:cs="Arial" w:eastAsia="Arial" w:hAnsi="Arial"/>
          <w:b/>
          <w:bCs/>
          <w:color w:val="2E75B6"/>
          <w:sz w:val="24"/>
          <w:szCs w:val="24"/>
        </w:rPr>
        <w:t xml:space="preserve">Key References</w:t>
      </w:r>
    </w:p>
    <w:p>
      <w:pPr>
        <w:pStyle w:val="ListParagraph"/>
        <w:numPr>
          <w:ilvl w:val="0"/>
          <w:numId w:val="2"/>
        </w:numPr>
        <w:spacing w:after="40" w:before="40"/>
      </w:pPr>
      <w:r>
        <w:rPr>
          <w:rFonts w:ascii="Arial" w:cs="Arial" w:eastAsia="Arial" w:hAnsi="Arial"/>
          <w:sz w:val="20"/>
          <w:szCs w:val="20"/>
        </w:rPr>
        <w:t xml:space="preserve">DoDI 8510.01</w:t>
      </w:r>
    </w:p>
    <w:p>
      <w:pPr>
        <w:pStyle w:val="ListParagraph"/>
        <w:numPr>
          <w:ilvl w:val="0"/>
          <w:numId w:val="2"/>
        </w:numPr>
        <w:spacing w:after="40" w:before="40"/>
      </w:pPr>
      <w:r>
        <w:rPr>
          <w:rFonts w:ascii="Arial" w:cs="Arial" w:eastAsia="Arial" w:hAnsi="Arial"/>
          <w:sz w:val="20"/>
          <w:szCs w:val="20"/>
        </w:rPr>
        <w:t xml:space="preserve">NIST SP 800-37 Rev 2</w:t>
      </w:r>
    </w:p>
    <w:p>
      <w:pPr>
        <w:pStyle w:val="ListParagraph"/>
        <w:numPr>
          <w:ilvl w:val="0"/>
          <w:numId w:val="2"/>
        </w:numPr>
        <w:spacing w:after="40" w:before="40"/>
      </w:pPr>
      <w:r>
        <w:rPr>
          <w:rFonts w:ascii="Arial" w:cs="Arial" w:eastAsia="Arial" w:hAnsi="Arial"/>
          <w:sz w:val="20"/>
          <w:szCs w:val="20"/>
        </w:rPr>
        <w:t xml:space="preserve">DISA RMF Knowledge Service (rmfks.osd.mil)</w:t>
      </w:r>
    </w:p>
    <w:p>
      <w:pPr>
        <w:pStyle w:val="ListParagraph"/>
        <w:numPr>
          <w:ilvl w:val="0"/>
          <w:numId w:val="2"/>
        </w:numPr>
        <w:spacing w:after="40" w:before="40"/>
      </w:pPr>
      <w:r>
        <w:rPr>
          <w:rFonts w:ascii="Arial" w:cs="Arial" w:eastAsia="Arial" w:hAnsi="Arial"/>
          <w:sz w:val="20"/>
          <w:szCs w:val="20"/>
        </w:rPr>
        <w:t xml:space="preserve">AFSSI 8510</w:t>
      </w:r>
    </w:p>
    <w:p>
      <w:pPr>
        <w:spacing w:after="80" w:before="80"/>
      </w:pPr>
      <w:r>
        <w:t xml:space="preserve"/>
      </w:r>
    </w:p>
    <w:p>
      <w:r>
        <w:br w:type="page"/>
      </w:r>
    </w:p>
    <w:p>
      <w:pPr>
        <w:pStyle w:val="Heading1"/>
        <w:shd w:fill="2E75B6" w:val="clear"/>
        <w:spacing w:after="120" w:before="240"/>
      </w:pPr>
      <w:r>
        <w:rPr>
          <w:rFonts w:ascii="Arial" w:cs="Arial" w:eastAsia="Arial" w:hAnsi="Arial"/>
          <w:b/>
          <w:bCs/>
          <w:color w:val="FFFFFF"/>
          <w:sz w:val="28"/>
          <w:szCs w:val="28"/>
        </w:rPr>
        <w:t xml:space="preserve">ISSO — Information System Security Officer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DoD 8140 Requirement</w:t>
            </w:r>
          </w:p>
        </w:tc>
        <w:tc>
          <w:tcPr>
            <w:tcW w:type="dxa" w:w="69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DoD 8140 IAM Level I — Security+, CySA+, CAP, or equivalent</w:t>
            </w:r>
          </w:p>
        </w:tc>
      </w:tr>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eMASS Role</w:t>
            </w:r>
          </w:p>
        </w:tc>
        <w:tc>
          <w:tcPr>
            <w:tcW w:type="dxa" w:w="69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ISSO role in eMASS — edit SSP, upload artifacts, manage POA&amp;Ms</w:t>
            </w:r>
          </w:p>
        </w:tc>
      </w:tr>
    </w:tbl>
    <w:p>
      <w:pPr>
        <w:spacing w:after="80" w:before="80"/>
      </w:pPr>
      <w:r>
        <w:t xml:space="preserve"/>
      </w:r>
    </w:p>
    <w:p>
      <w:pPr>
        <w:spacing w:after="60" w:before="60"/>
      </w:pPr>
      <w:r>
        <w:rPr>
          <w:rFonts w:ascii="Arial" w:cs="Arial" w:eastAsia="Arial" w:hAnsi="Arial"/>
          <w:b w:val="false"/>
          <w:bCs w:val="false"/>
          <w:sz w:val="20"/>
          <w:szCs w:val="20"/>
        </w:rPr>
        <w:t xml:space="preserve">The ISSO is the engine of the RMF process. You are responsible for ensuring eMASS is accurate, artifacts are current, scans are run on schedule, and POA&amp;Ms reflect real findings with real owners. Your ISSM depends on you for an accurate picture of the system's security posture.</w:t>
      </w:r>
    </w:p>
    <w:p>
      <w:pPr>
        <w:spacing w:after="80" w:before="80"/>
      </w:pPr>
      <w:r>
        <w:t xml:space="preserve"/>
      </w:r>
    </w:p>
    <w:p>
      <w:pPr>
        <w:pStyle w:val="Heading2"/>
        <w:pBdr>
          <w:bottom w:val="single" w:color="2E75B6" w:sz="4" w:space="1"/>
        </w:pBdr>
        <w:spacing w:after="100" w:before="200"/>
      </w:pPr>
      <w:r>
        <w:rPr>
          <w:rFonts w:ascii="Arial" w:cs="Arial" w:eastAsia="Arial" w:hAnsi="Arial"/>
          <w:b/>
          <w:bCs/>
          <w:color w:val="2E75B6"/>
          <w:sz w:val="24"/>
          <w:szCs w:val="24"/>
        </w:rPr>
        <w:t xml:space="preserve">Day 1 Actions — Complete Within Your First Week</w:t>
      </w:r>
    </w:p>
    <w:p>
      <w:pPr>
        <w:pStyle w:val="ListParagraph"/>
        <w:numPr>
          <w:ilvl w:val="0"/>
          <w:numId w:val="2"/>
        </w:numPr>
        <w:spacing w:after="40" w:before="40"/>
      </w:pPr>
      <w:r>
        <w:rPr>
          <w:rFonts w:ascii="Arial" w:cs="Arial" w:eastAsia="Arial" w:hAnsi="Arial"/>
          <w:sz w:val="20"/>
          <w:szCs w:val="20"/>
        </w:rPr>
        <w:t xml:space="preserve">Complete DISA eMASS role-based training (if not already done)</w:t>
      </w:r>
    </w:p>
    <w:p>
      <w:pPr>
        <w:pStyle w:val="ListParagraph"/>
        <w:numPr>
          <w:ilvl w:val="0"/>
          <w:numId w:val="2"/>
        </w:numPr>
        <w:spacing w:after="40" w:before="40"/>
      </w:pPr>
      <w:r>
        <w:rPr>
          <w:rFonts w:ascii="Arial" w:cs="Arial" w:eastAsia="Arial" w:hAnsi="Arial"/>
          <w:sz w:val="20"/>
          <w:szCs w:val="20"/>
        </w:rPr>
        <w:t xml:space="preserve">Obtain eMASS access for your assigned system — confirm ISSO role is assigned</w:t>
      </w:r>
    </w:p>
    <w:p>
      <w:pPr>
        <w:pStyle w:val="ListParagraph"/>
        <w:numPr>
          <w:ilvl w:val="0"/>
          <w:numId w:val="2"/>
        </w:numPr>
        <w:spacing w:after="40" w:before="40"/>
      </w:pPr>
      <w:r>
        <w:rPr>
          <w:rFonts w:ascii="Arial" w:cs="Arial" w:eastAsia="Arial" w:hAnsi="Arial"/>
          <w:sz w:val="20"/>
          <w:szCs w:val="20"/>
        </w:rPr>
        <w:t xml:space="preserve">Read the current SSP — identify sections that are incomplete or boilerplate</w:t>
      </w:r>
    </w:p>
    <w:p>
      <w:pPr>
        <w:pStyle w:val="ListParagraph"/>
        <w:numPr>
          <w:ilvl w:val="0"/>
          <w:numId w:val="2"/>
        </w:numPr>
        <w:spacing w:after="40" w:before="40"/>
      </w:pPr>
      <w:r>
        <w:rPr>
          <w:rFonts w:ascii="Arial" w:cs="Arial" w:eastAsia="Arial" w:hAnsi="Arial"/>
          <w:sz w:val="20"/>
          <w:szCs w:val="20"/>
        </w:rPr>
        <w:t xml:space="preserve">Pull the most recent scan results — identify any findings not yet in eMASS</w:t>
      </w:r>
    </w:p>
    <w:p>
      <w:pPr>
        <w:pStyle w:val="ListParagraph"/>
        <w:numPr>
          <w:ilvl w:val="0"/>
          <w:numId w:val="2"/>
        </w:numPr>
        <w:spacing w:after="40" w:before="40"/>
      </w:pPr>
      <w:r>
        <w:rPr>
          <w:rFonts w:ascii="Arial" w:cs="Arial" w:eastAsia="Arial" w:hAnsi="Arial"/>
          <w:sz w:val="20"/>
          <w:szCs w:val="20"/>
        </w:rPr>
        <w:t xml:space="preserve">Review all open POA&amp;Ms — identify any with missing root cause or resource owner</w:t>
      </w:r>
    </w:p>
    <w:p>
      <w:pPr>
        <w:spacing w:after="80" w:before="80"/>
      </w:pPr>
      <w:r>
        <w:t xml:space="preserve"/>
      </w:r>
    </w:p>
    <w:p>
      <w:pPr>
        <w:pStyle w:val="Heading2"/>
        <w:pBdr>
          <w:bottom w:val="single" w:color="2E75B6" w:sz="4" w:space="1"/>
        </w:pBdr>
        <w:spacing w:after="100" w:before="200"/>
      </w:pPr>
      <w:r>
        <w:rPr>
          <w:rFonts w:ascii="Arial" w:cs="Arial" w:eastAsia="Arial" w:hAnsi="Arial"/>
          <w:b/>
          <w:bCs/>
          <w:color w:val="2E75B6"/>
          <w:sz w:val="24"/>
          <w:szCs w:val="24"/>
        </w:rPr>
        <w:t xml:space="preserve">Critical Rules — Never Violate These</w:t>
      </w:r>
    </w:p>
    <w:p>
      <w:pPr>
        <w:pStyle w:val="ListParagraph"/>
        <w:numPr>
          <w:ilvl w:val="0"/>
          <w:numId w:val="2"/>
        </w:numPr>
        <w:spacing w:after="40" w:before="40"/>
      </w:pPr>
      <w:r>
        <w:rPr>
          <w:rFonts w:ascii="Arial" w:cs="Arial" w:eastAsia="Arial" w:hAnsi="Arial"/>
          <w:sz w:val="20"/>
          <w:szCs w:val="20"/>
        </w:rPr>
        <w:t xml:space="preserve">Implementation statements must describe the actual system — never copy boilerplate without editing</w:t>
      </w:r>
    </w:p>
    <w:p>
      <w:pPr>
        <w:pStyle w:val="ListParagraph"/>
        <w:numPr>
          <w:ilvl w:val="0"/>
          <w:numId w:val="2"/>
        </w:numPr>
        <w:spacing w:after="40" w:before="40"/>
      </w:pPr>
      <w:r>
        <w:rPr>
          <w:rFonts w:ascii="Arial" w:cs="Arial" w:eastAsia="Arial" w:hAnsi="Arial"/>
          <w:sz w:val="20"/>
          <w:szCs w:val="20"/>
        </w:rPr>
        <w:t xml:space="preserve">Every artifact must be linked to the specific control it supports in eMASS — a general document is not evidence</w:t>
      </w:r>
    </w:p>
    <w:p>
      <w:pPr>
        <w:pStyle w:val="ListParagraph"/>
        <w:numPr>
          <w:ilvl w:val="0"/>
          <w:numId w:val="2"/>
        </w:numPr>
        <w:spacing w:after="40" w:before="40"/>
      </w:pPr>
      <w:r>
        <w:rPr>
          <w:rFonts w:ascii="Arial" w:cs="Arial" w:eastAsia="Arial" w:hAnsi="Arial"/>
          <w:sz w:val="20"/>
          <w:szCs w:val="20"/>
        </w:rPr>
        <w:t xml:space="preserve">You document and track findings — you do not own the fix. Resource owners must be operational or technical personnel</w:t>
      </w:r>
    </w:p>
    <w:p>
      <w:pPr>
        <w:pStyle w:val="ListParagraph"/>
        <w:numPr>
          <w:ilvl w:val="0"/>
          <w:numId w:val="2"/>
        </w:numPr>
        <w:spacing w:after="40" w:before="40"/>
      </w:pPr>
      <w:r>
        <w:rPr>
          <w:rFonts w:ascii="Arial" w:cs="Arial" w:eastAsia="Arial" w:hAnsi="Arial"/>
          <w:sz w:val="20"/>
          <w:szCs w:val="20"/>
        </w:rPr>
        <w:t xml:space="preserve">STIG scan results must be imported to eMASS within 30 days of scan completion</w:t>
      </w:r>
    </w:p>
    <w:p>
      <w:pPr>
        <w:spacing w:after="80" w:before="80"/>
      </w:pPr>
      <w:r>
        <w:t xml:space="preserve"/>
      </w:r>
    </w:p>
    <w:p>
      <w:pPr>
        <w:pStyle w:val="Heading2"/>
        <w:pBdr>
          <w:bottom w:val="single" w:color="2E75B6" w:sz="4" w:space="1"/>
        </w:pBdr>
        <w:spacing w:after="100" w:before="200"/>
      </w:pPr>
      <w:r>
        <w:rPr>
          <w:rFonts w:ascii="Arial" w:cs="Arial" w:eastAsia="Arial" w:hAnsi="Arial"/>
          <w:b/>
          <w:bCs/>
          <w:color w:val="2E75B6"/>
          <w:sz w:val="24"/>
          <w:szCs w:val="24"/>
        </w:rPr>
        <w:t xml:space="preserve">Key References</w:t>
      </w:r>
    </w:p>
    <w:p>
      <w:pPr>
        <w:pStyle w:val="ListParagraph"/>
        <w:numPr>
          <w:ilvl w:val="0"/>
          <w:numId w:val="2"/>
        </w:numPr>
        <w:spacing w:after="40" w:before="40"/>
      </w:pPr>
      <w:r>
        <w:rPr>
          <w:rFonts w:ascii="Arial" w:cs="Arial" w:eastAsia="Arial" w:hAnsi="Arial"/>
          <w:sz w:val="20"/>
          <w:szCs w:val="20"/>
        </w:rPr>
        <w:t xml:space="preserve">DISA STIG Library (public.cyber.mil)</w:t>
      </w:r>
    </w:p>
    <w:p>
      <w:pPr>
        <w:pStyle w:val="ListParagraph"/>
        <w:numPr>
          <w:ilvl w:val="0"/>
          <w:numId w:val="2"/>
        </w:numPr>
        <w:spacing w:after="40" w:before="40"/>
      </w:pPr>
      <w:r>
        <w:rPr>
          <w:rFonts w:ascii="Arial" w:cs="Arial" w:eastAsia="Arial" w:hAnsi="Arial"/>
          <w:sz w:val="20"/>
          <w:szCs w:val="20"/>
        </w:rPr>
        <w:t xml:space="preserve">DISA eMASS User Guide</w:t>
      </w:r>
    </w:p>
    <w:p>
      <w:pPr>
        <w:pStyle w:val="ListParagraph"/>
        <w:numPr>
          <w:ilvl w:val="0"/>
          <w:numId w:val="2"/>
        </w:numPr>
        <w:spacing w:after="40" w:before="40"/>
      </w:pPr>
      <w:r>
        <w:rPr>
          <w:rFonts w:ascii="Arial" w:cs="Arial" w:eastAsia="Arial" w:hAnsi="Arial"/>
          <w:sz w:val="20"/>
          <w:szCs w:val="20"/>
        </w:rPr>
        <w:t xml:space="preserve">NIST SP 800-53A Rev 5</w:t>
      </w:r>
    </w:p>
    <w:p>
      <w:pPr>
        <w:pStyle w:val="ListParagraph"/>
        <w:numPr>
          <w:ilvl w:val="0"/>
          <w:numId w:val="2"/>
        </w:numPr>
        <w:spacing w:after="40" w:before="40"/>
      </w:pPr>
      <w:r>
        <w:rPr>
          <w:rFonts w:ascii="Arial" w:cs="Arial" w:eastAsia="Arial" w:hAnsi="Arial"/>
          <w:sz w:val="20"/>
          <w:szCs w:val="20"/>
        </w:rPr>
        <w:t xml:space="preserve">DISA RMF Knowledge Service (rmfks.osd.mil)</w:t>
      </w:r>
    </w:p>
    <w:p>
      <w:pPr>
        <w:spacing w:after="80" w:before="80"/>
      </w:pPr>
      <w:r>
        <w:t xml:space="preserve"/>
      </w:r>
    </w:p>
    <w:p>
      <w:r>
        <w:br w:type="page"/>
      </w:r>
    </w:p>
    <w:p>
      <w:pPr>
        <w:pStyle w:val="Heading1"/>
        <w:shd w:fill="375623" w:val="clear"/>
        <w:spacing w:after="120" w:before="240"/>
      </w:pPr>
      <w:r>
        <w:rPr>
          <w:rFonts w:ascii="Arial" w:cs="Arial" w:eastAsia="Arial" w:hAnsi="Arial"/>
          <w:b/>
          <w:bCs/>
          <w:color w:val="FFFFFF"/>
          <w:sz w:val="28"/>
          <w:szCs w:val="28"/>
        </w:rPr>
        <w:t xml:space="preserve">ISSE — Information System Security Engineer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DoD 8140 Requirement</w:t>
            </w:r>
          </w:p>
        </w:tc>
        <w:tc>
          <w:tcPr>
            <w:tcW w:type="dxa" w:w="69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DoD 8140 IASAE Level II preferred — CISSP-ISSEP or equivalent; strong systems engineering background required</w:t>
            </w:r>
          </w:p>
        </w:tc>
      </w:tr>
      <w:tr>
        <w:tc>
          <w:tcPr>
            <w:tcW w:type="dxa" w:w="2400"/>
            <w:tcBorders>
              <w:top w:val="single" w:color="AAAAAA" w:sz="1"/>
              <w:left w:val="single" w:color="AAAAAA" w:sz="1"/>
              <w:bottom w:val="single" w:color="AAAAAA" w:sz="1"/>
              <w:right w:val="single" w:color="AAAAAA" w:sz="1"/>
            </w:tcBorders>
            <w:shd w:fill="375623"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eMASS Role</w:t>
            </w:r>
          </w:p>
        </w:tc>
        <w:tc>
          <w:tcPr>
            <w:tcW w:type="dxa" w:w="69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SME / reviewer — read access in eMASS; provides technical input to ISSO</w:t>
            </w:r>
          </w:p>
        </w:tc>
      </w:tr>
    </w:tbl>
    <w:p>
      <w:pPr>
        <w:spacing w:after="80" w:before="80"/>
      </w:pPr>
      <w:r>
        <w:t xml:space="preserve"/>
      </w:r>
    </w:p>
    <w:p>
      <w:pPr>
        <w:spacing w:after="60" w:before="60"/>
      </w:pPr>
      <w:r>
        <w:rPr>
          <w:rFonts w:ascii="Arial" w:cs="Arial" w:eastAsia="Arial" w:hAnsi="Arial"/>
          <w:b w:val="false"/>
          <w:bCs w:val="false"/>
          <w:sz w:val="20"/>
          <w:szCs w:val="20"/>
        </w:rPr>
        <w:t xml:space="preserve">The ISSE is the most under-resourced and most critical role in the RMF process. Your job is to ensure security is built into the system — not bolted on at the end. You must engage during design, not just during assessment. Late ISSE engagement is the single biggest driver of ATO delays.</w:t>
      </w:r>
    </w:p>
    <w:p>
      <w:pPr>
        <w:spacing w:after="80" w:before="80"/>
      </w:pPr>
      <w:r>
        <w:t xml:space="preserve"/>
      </w:r>
    </w:p>
    <w:p>
      <w:pPr>
        <w:pStyle w:val="Heading2"/>
        <w:pBdr>
          <w:bottom w:val="single" w:color="2E75B6" w:sz="4" w:space="1"/>
        </w:pBdr>
        <w:spacing w:after="100" w:before="200"/>
      </w:pPr>
      <w:r>
        <w:rPr>
          <w:rFonts w:ascii="Arial" w:cs="Arial" w:eastAsia="Arial" w:hAnsi="Arial"/>
          <w:b/>
          <w:bCs/>
          <w:color w:val="2E75B6"/>
          <w:sz w:val="24"/>
          <w:szCs w:val="24"/>
        </w:rPr>
        <w:t xml:space="preserve">Day 1 Actions — Complete Within Your First Week</w:t>
      </w:r>
    </w:p>
    <w:p>
      <w:pPr>
        <w:pStyle w:val="ListParagraph"/>
        <w:numPr>
          <w:ilvl w:val="0"/>
          <w:numId w:val="2"/>
        </w:numPr>
        <w:spacing w:after="40" w:before="40"/>
      </w:pPr>
      <w:r>
        <w:rPr>
          <w:rFonts w:ascii="Arial" w:cs="Arial" w:eastAsia="Arial" w:hAnsi="Arial"/>
          <w:sz w:val="20"/>
          <w:szCs w:val="20"/>
        </w:rPr>
        <w:t xml:space="preserve">Obtain the system architecture document and data flow diagrams</w:t>
      </w:r>
    </w:p>
    <w:p>
      <w:pPr>
        <w:pStyle w:val="ListParagraph"/>
        <w:numPr>
          <w:ilvl w:val="0"/>
          <w:numId w:val="2"/>
        </w:numPr>
        <w:spacing w:after="40" w:before="40"/>
      </w:pPr>
      <w:r>
        <w:rPr>
          <w:rFonts w:ascii="Arial" w:cs="Arial" w:eastAsia="Arial" w:hAnsi="Arial"/>
          <w:sz w:val="20"/>
          <w:szCs w:val="20"/>
        </w:rPr>
        <w:t xml:space="preserve">Review the current SSP control selection — identify controls requiring technical design decisions</w:t>
      </w:r>
    </w:p>
    <w:p>
      <w:pPr>
        <w:pStyle w:val="ListParagraph"/>
        <w:numPr>
          <w:ilvl w:val="0"/>
          <w:numId w:val="2"/>
        </w:numPr>
        <w:spacing w:after="40" w:before="40"/>
      </w:pPr>
      <w:r>
        <w:rPr>
          <w:rFonts w:ascii="Arial" w:cs="Arial" w:eastAsia="Arial" w:hAnsi="Arial"/>
          <w:sz w:val="20"/>
          <w:szCs w:val="20"/>
        </w:rPr>
        <w:t xml:space="preserve">Attend the next design review or CCB — introduce yourself as the security engineering lead</w:t>
      </w:r>
    </w:p>
    <w:p>
      <w:pPr>
        <w:pStyle w:val="ListParagraph"/>
        <w:numPr>
          <w:ilvl w:val="0"/>
          <w:numId w:val="2"/>
        </w:numPr>
        <w:spacing w:after="40" w:before="40"/>
      </w:pPr>
      <w:r>
        <w:rPr>
          <w:rFonts w:ascii="Arial" w:cs="Arial" w:eastAsia="Arial" w:hAnsi="Arial"/>
          <w:sz w:val="20"/>
          <w:szCs w:val="20"/>
        </w:rPr>
        <w:t xml:space="preserve">Identify applicable STIGs for each system component type</w:t>
      </w:r>
    </w:p>
    <w:p>
      <w:pPr>
        <w:pStyle w:val="ListParagraph"/>
        <w:numPr>
          <w:ilvl w:val="0"/>
          <w:numId w:val="2"/>
        </w:numPr>
        <w:spacing w:after="40" w:before="40"/>
      </w:pPr>
      <w:r>
        <w:rPr>
          <w:rFonts w:ascii="Arial" w:cs="Arial" w:eastAsia="Arial" w:hAnsi="Arial"/>
          <w:sz w:val="20"/>
          <w:szCs w:val="20"/>
        </w:rPr>
        <w:t xml:space="preserve">Review any existing POA&amp;Ms for findings that require engineering fixes</w:t>
      </w:r>
    </w:p>
    <w:p>
      <w:pPr>
        <w:spacing w:after="80" w:before="80"/>
      </w:pPr>
      <w:r>
        <w:t xml:space="preserve"/>
      </w:r>
    </w:p>
    <w:p>
      <w:pPr>
        <w:pStyle w:val="Heading2"/>
        <w:pBdr>
          <w:bottom w:val="single" w:color="2E75B6" w:sz="4" w:space="1"/>
        </w:pBdr>
        <w:spacing w:after="100" w:before="200"/>
      </w:pPr>
      <w:r>
        <w:rPr>
          <w:rFonts w:ascii="Arial" w:cs="Arial" w:eastAsia="Arial" w:hAnsi="Arial"/>
          <w:b/>
          <w:bCs/>
          <w:color w:val="2E75B6"/>
          <w:sz w:val="24"/>
          <w:szCs w:val="24"/>
        </w:rPr>
        <w:t xml:space="preserve">Critical Rules — Never Violate These</w:t>
      </w:r>
    </w:p>
    <w:p>
      <w:pPr>
        <w:pStyle w:val="ListParagraph"/>
        <w:numPr>
          <w:ilvl w:val="0"/>
          <w:numId w:val="2"/>
        </w:numPr>
        <w:spacing w:after="40" w:before="40"/>
      </w:pPr>
      <w:r>
        <w:rPr>
          <w:rFonts w:ascii="Arial" w:cs="Arial" w:eastAsia="Arial" w:hAnsi="Arial"/>
          <w:sz w:val="20"/>
          <w:szCs w:val="20"/>
        </w:rPr>
        <w:t xml:space="preserve">Security must be traceable from control to design decision — if a control cannot be tied to a specific design feature, it is not implemented</w:t>
      </w:r>
    </w:p>
    <w:p>
      <w:pPr>
        <w:pStyle w:val="ListParagraph"/>
        <w:numPr>
          <w:ilvl w:val="0"/>
          <w:numId w:val="2"/>
        </w:numPr>
        <w:spacing w:after="40" w:before="40"/>
      </w:pPr>
      <w:r>
        <w:rPr>
          <w:rFonts w:ascii="Arial" w:cs="Arial" w:eastAsia="Arial" w:hAnsi="Arial"/>
          <w:sz w:val="20"/>
          <w:szCs w:val="20"/>
        </w:rPr>
        <w:t xml:space="preserve">STIG applicability determinations must be documented and justified — do not mark STIGs Not Applicable without written justification</w:t>
      </w:r>
    </w:p>
    <w:p>
      <w:pPr>
        <w:pStyle w:val="ListParagraph"/>
        <w:numPr>
          <w:ilvl w:val="0"/>
          <w:numId w:val="2"/>
        </w:numPr>
        <w:spacing w:after="40" w:before="40"/>
      </w:pPr>
      <w:r>
        <w:rPr>
          <w:rFonts w:ascii="Arial" w:cs="Arial" w:eastAsia="Arial" w:hAnsi="Arial"/>
          <w:sz w:val="20"/>
          <w:szCs w:val="20"/>
        </w:rPr>
        <w:t xml:space="preserve">Provide technical implementation narratives to the ISSO in plain language — the ISSO should not have to guess how a control works</w:t>
      </w:r>
    </w:p>
    <w:p>
      <w:pPr>
        <w:spacing w:after="80" w:before="80"/>
      </w:pPr>
      <w:r>
        <w:t xml:space="preserve"/>
      </w:r>
    </w:p>
    <w:p>
      <w:pPr>
        <w:pStyle w:val="Heading2"/>
        <w:pBdr>
          <w:bottom w:val="single" w:color="2E75B6" w:sz="4" w:space="1"/>
        </w:pBdr>
        <w:spacing w:after="100" w:before="200"/>
      </w:pPr>
      <w:r>
        <w:rPr>
          <w:rFonts w:ascii="Arial" w:cs="Arial" w:eastAsia="Arial" w:hAnsi="Arial"/>
          <w:b/>
          <w:bCs/>
          <w:color w:val="2E75B6"/>
          <w:sz w:val="24"/>
          <w:szCs w:val="24"/>
        </w:rPr>
        <w:t xml:space="preserve">Key References</w:t>
      </w:r>
    </w:p>
    <w:p>
      <w:pPr>
        <w:pStyle w:val="ListParagraph"/>
        <w:numPr>
          <w:ilvl w:val="0"/>
          <w:numId w:val="2"/>
        </w:numPr>
        <w:spacing w:after="40" w:before="40"/>
      </w:pPr>
      <w:r>
        <w:rPr>
          <w:rFonts w:ascii="Arial" w:cs="Arial" w:eastAsia="Arial" w:hAnsi="Arial"/>
          <w:sz w:val="20"/>
          <w:szCs w:val="20"/>
        </w:rPr>
        <w:t xml:space="preserve">NIST SP 800-160 Vol 1 — Systems Security Engineering</w:t>
      </w:r>
    </w:p>
    <w:p>
      <w:pPr>
        <w:pStyle w:val="ListParagraph"/>
        <w:numPr>
          <w:ilvl w:val="0"/>
          <w:numId w:val="2"/>
        </w:numPr>
        <w:spacing w:after="40" w:before="40"/>
      </w:pPr>
      <w:r>
        <w:rPr>
          <w:rFonts w:ascii="Arial" w:cs="Arial" w:eastAsia="Arial" w:hAnsi="Arial"/>
          <w:sz w:val="20"/>
          <w:szCs w:val="20"/>
        </w:rPr>
        <w:t xml:space="preserve">DISA STIG Library (public.cyber.mil)</w:t>
      </w:r>
    </w:p>
    <w:p>
      <w:pPr>
        <w:pStyle w:val="ListParagraph"/>
        <w:numPr>
          <w:ilvl w:val="0"/>
          <w:numId w:val="2"/>
        </w:numPr>
        <w:spacing w:after="40" w:before="40"/>
      </w:pPr>
      <w:r>
        <w:rPr>
          <w:rFonts w:ascii="Arial" w:cs="Arial" w:eastAsia="Arial" w:hAnsi="Arial"/>
          <w:sz w:val="20"/>
          <w:szCs w:val="20"/>
        </w:rPr>
        <w:t xml:space="preserve">NSA/CSS Technical Cyber Threat Framework</w:t>
      </w:r>
    </w:p>
    <w:p>
      <w:pPr>
        <w:pStyle w:val="ListParagraph"/>
        <w:numPr>
          <w:ilvl w:val="0"/>
          <w:numId w:val="2"/>
        </w:numPr>
        <w:spacing w:after="40" w:before="40"/>
      </w:pPr>
      <w:r>
        <w:rPr>
          <w:rFonts w:ascii="Arial" w:cs="Arial" w:eastAsia="Arial" w:hAnsi="Arial"/>
          <w:sz w:val="20"/>
          <w:szCs w:val="20"/>
        </w:rPr>
        <w:t xml:space="preserve">NIST SP 800-53 Rev 5</w:t>
      </w:r>
    </w:p>
    <w:p>
      <w:pPr>
        <w:spacing w:after="80" w:before="80"/>
      </w:pPr>
      <w:r>
        <w:t xml:space="preserve"/>
      </w:r>
    </w:p>
    <w:p>
      <w:r>
        <w:br w:type="page"/>
      </w:r>
    </w:p>
    <w:p>
      <w:pPr>
        <w:pStyle w:val="Heading1"/>
        <w:shd w:fill="7B3F00" w:val="clear"/>
        <w:spacing w:after="120" w:before="240"/>
      </w:pPr>
      <w:r>
        <w:rPr>
          <w:rFonts w:ascii="Arial" w:cs="Arial" w:eastAsia="Arial" w:hAnsi="Arial"/>
          <w:b/>
          <w:bCs/>
          <w:color w:val="FFFFFF"/>
          <w:sz w:val="28"/>
          <w:szCs w:val="28"/>
        </w:rPr>
        <w:t xml:space="preserve">PM — Program Manager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7B3F0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DoD 8140 Requirement</w:t>
            </w:r>
          </w:p>
        </w:tc>
        <w:tc>
          <w:tcPr>
            <w:tcW w:type="dxa" w:w="69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DAU Program Management coursework — no DoD 8140 technical cert required; governance and accountability role</w:t>
            </w:r>
          </w:p>
        </w:tc>
      </w:tr>
      <w:tr>
        <w:tc>
          <w:tcPr>
            <w:tcW w:type="dxa" w:w="2400"/>
            <w:tcBorders>
              <w:top w:val="single" w:color="AAAAAA" w:sz="1"/>
              <w:left w:val="single" w:color="AAAAAA" w:sz="1"/>
              <w:bottom w:val="single" w:color="AAAAAA" w:sz="1"/>
              <w:right w:val="single" w:color="AAAAAA" w:sz="1"/>
            </w:tcBorders>
            <w:shd w:fill="7B3F00" w:val="clear"/>
            <w:tcMar>
              <w:top w:type="dxa" w:w="80"/>
              <w:left w:type="dxa" w:w="120"/>
              <w:bottom w:type="dxa" w:w="80"/>
              <w:right w:type="dxa" w:w="120"/>
            </w:tcMar>
            <w:vAlign w:val="center"/>
          </w:tcPr>
          <w:p>
            <w:pPr>
              <w:jc w:val="left"/>
            </w:pPr>
            <w:r>
              <w:rPr>
                <w:rFonts w:ascii="Arial" w:cs="Arial" w:eastAsia="Arial" w:hAnsi="Arial"/>
                <w:b/>
                <w:bCs/>
                <w:sz w:val="18"/>
                <w:szCs w:val="18"/>
              </w:rPr>
              <w:t xml:space="preserve">eMASS Role</w:t>
            </w:r>
          </w:p>
        </w:tc>
        <w:tc>
          <w:tcPr>
            <w:tcW w:type="dxa" w:w="69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Read-only or no eMASS access — endorses package; does not manage eMASS directly</w:t>
            </w:r>
          </w:p>
        </w:tc>
      </w:tr>
    </w:tbl>
    <w:p>
      <w:pPr>
        <w:spacing w:after="80" w:before="80"/>
      </w:pPr>
      <w:r>
        <w:t xml:space="preserve"/>
      </w:r>
    </w:p>
    <w:p>
      <w:pPr>
        <w:spacing w:after="60" w:before="60"/>
      </w:pPr>
      <w:r>
        <w:rPr>
          <w:rFonts w:ascii="Arial" w:cs="Arial" w:eastAsia="Arial" w:hAnsi="Arial"/>
          <w:b w:val="false"/>
          <w:bCs w:val="false"/>
          <w:sz w:val="20"/>
          <w:szCs w:val="20"/>
        </w:rPr>
        <w:t xml:space="preserve">As PM, you are accountable for the ATO as a program deliverable — the same way you are accountable for cost, schedule, and performance. You do not need eMASS expertise, but you must understand the timeline, resource your team, and treat ATO milestones as real gates that affect IOC and FOC.</w:t>
      </w:r>
    </w:p>
    <w:p>
      <w:pPr>
        <w:spacing w:after="80" w:before="80"/>
      </w:pPr>
      <w:r>
        <w:t xml:space="preserve"/>
      </w:r>
    </w:p>
    <w:p>
      <w:pPr>
        <w:pStyle w:val="Heading2"/>
        <w:pBdr>
          <w:bottom w:val="single" w:color="2E75B6" w:sz="4" w:space="1"/>
        </w:pBdr>
        <w:spacing w:after="100" w:before="200"/>
      </w:pPr>
      <w:r>
        <w:rPr>
          <w:rFonts w:ascii="Arial" w:cs="Arial" w:eastAsia="Arial" w:hAnsi="Arial"/>
          <w:b/>
          <w:bCs/>
          <w:color w:val="2E75B6"/>
          <w:sz w:val="24"/>
          <w:szCs w:val="24"/>
        </w:rPr>
        <w:t xml:space="preserve">Day 1 Actions — Complete Within Your First Week</w:t>
      </w:r>
    </w:p>
    <w:p>
      <w:pPr>
        <w:pStyle w:val="ListParagraph"/>
        <w:numPr>
          <w:ilvl w:val="0"/>
          <w:numId w:val="2"/>
        </w:numPr>
        <w:spacing w:after="40" w:before="40"/>
      </w:pPr>
      <w:r>
        <w:rPr>
          <w:rFonts w:ascii="Arial" w:cs="Arial" w:eastAsia="Arial" w:hAnsi="Arial"/>
          <w:sz w:val="20"/>
          <w:szCs w:val="20"/>
        </w:rPr>
        <w:t xml:space="preserve">Confirm ISSM and ISSO billets are filled by qualified personnel (ask for 8140 certs)</w:t>
      </w:r>
    </w:p>
    <w:p>
      <w:pPr>
        <w:pStyle w:val="ListParagraph"/>
        <w:numPr>
          <w:ilvl w:val="0"/>
          <w:numId w:val="2"/>
        </w:numPr>
        <w:spacing w:after="40" w:before="40"/>
      </w:pPr>
      <w:r>
        <w:rPr>
          <w:rFonts w:ascii="Arial" w:cs="Arial" w:eastAsia="Arial" w:hAnsi="Arial"/>
          <w:sz w:val="20"/>
          <w:szCs w:val="20"/>
        </w:rPr>
        <w:t xml:space="preserve">Obtain the current ATO expiration date and add to the IMS as a critical path item</w:t>
      </w:r>
    </w:p>
    <w:p>
      <w:pPr>
        <w:pStyle w:val="ListParagraph"/>
        <w:numPr>
          <w:ilvl w:val="0"/>
          <w:numId w:val="2"/>
        </w:numPr>
        <w:spacing w:after="40" w:before="40"/>
      </w:pPr>
      <w:r>
        <w:rPr>
          <w:rFonts w:ascii="Arial" w:cs="Arial" w:eastAsia="Arial" w:hAnsi="Arial"/>
          <w:sz w:val="20"/>
          <w:szCs w:val="20"/>
        </w:rPr>
        <w:t xml:space="preserve">Review the POA&amp;M for any open items past 180 days — ask the ISSM why they are not closed</w:t>
      </w:r>
    </w:p>
    <w:p>
      <w:pPr>
        <w:pStyle w:val="ListParagraph"/>
        <w:numPr>
          <w:ilvl w:val="0"/>
          <w:numId w:val="2"/>
        </w:numPr>
        <w:spacing w:after="40" w:before="40"/>
      </w:pPr>
      <w:r>
        <w:rPr>
          <w:rFonts w:ascii="Arial" w:cs="Arial" w:eastAsia="Arial" w:hAnsi="Arial"/>
          <w:sz w:val="20"/>
          <w:szCs w:val="20"/>
        </w:rPr>
        <w:t xml:space="preserve">Confirm the ISSE is assigned and knows their engagement schedule</w:t>
      </w:r>
    </w:p>
    <w:p>
      <w:pPr>
        <w:pStyle w:val="ListParagraph"/>
        <w:numPr>
          <w:ilvl w:val="0"/>
          <w:numId w:val="2"/>
        </w:numPr>
        <w:spacing w:after="40" w:before="40"/>
      </w:pPr>
      <w:r>
        <w:rPr>
          <w:rFonts w:ascii="Arial" w:cs="Arial" w:eastAsia="Arial" w:hAnsi="Arial"/>
          <w:sz w:val="20"/>
          <w:szCs w:val="20"/>
        </w:rPr>
        <w:t xml:space="preserve">Confirm budget is allocated for the SCA / third-party assessor</w:t>
      </w:r>
    </w:p>
    <w:p>
      <w:pPr>
        <w:spacing w:after="80" w:before="80"/>
      </w:pPr>
      <w:r>
        <w:t xml:space="preserve"/>
      </w:r>
    </w:p>
    <w:p>
      <w:pPr>
        <w:pStyle w:val="Heading2"/>
        <w:pBdr>
          <w:bottom w:val="single" w:color="2E75B6" w:sz="4" w:space="1"/>
        </w:pBdr>
        <w:spacing w:after="100" w:before="200"/>
      </w:pPr>
      <w:r>
        <w:rPr>
          <w:rFonts w:ascii="Arial" w:cs="Arial" w:eastAsia="Arial" w:hAnsi="Arial"/>
          <w:b/>
          <w:bCs/>
          <w:color w:val="2E75B6"/>
          <w:sz w:val="24"/>
          <w:szCs w:val="24"/>
        </w:rPr>
        <w:t xml:space="preserve">Critical Rules — Never Violate These</w:t>
      </w:r>
    </w:p>
    <w:p>
      <w:pPr>
        <w:pStyle w:val="ListParagraph"/>
        <w:numPr>
          <w:ilvl w:val="0"/>
          <w:numId w:val="2"/>
        </w:numPr>
        <w:spacing w:after="40" w:before="40"/>
      </w:pPr>
      <w:r>
        <w:rPr>
          <w:rFonts w:ascii="Arial" w:cs="Arial" w:eastAsia="Arial" w:hAnsi="Arial"/>
          <w:sz w:val="20"/>
          <w:szCs w:val="20"/>
        </w:rPr>
        <w:t xml:space="preserve">ATO is a gate condition — IOC cannot occur without an active ATO or IATO</w:t>
      </w:r>
    </w:p>
    <w:p>
      <w:pPr>
        <w:pStyle w:val="ListParagraph"/>
        <w:numPr>
          <w:ilvl w:val="0"/>
          <w:numId w:val="2"/>
        </w:numPr>
        <w:spacing w:after="40" w:before="40"/>
      </w:pPr>
      <w:r>
        <w:rPr>
          <w:rFonts w:ascii="Arial" w:cs="Arial" w:eastAsia="Arial" w:hAnsi="Arial"/>
          <w:sz w:val="20"/>
          <w:szCs w:val="20"/>
        </w:rPr>
        <w:t xml:space="preserve">POA&amp;M resource owners must be your program personnel, not the ISSM or ISSO</w:t>
      </w:r>
    </w:p>
    <w:p>
      <w:pPr>
        <w:pStyle w:val="ListParagraph"/>
        <w:numPr>
          <w:ilvl w:val="0"/>
          <w:numId w:val="2"/>
        </w:numPr>
        <w:spacing w:after="40" w:before="40"/>
      </w:pPr>
      <w:r>
        <w:rPr>
          <w:rFonts w:ascii="Arial" w:cs="Arial" w:eastAsia="Arial" w:hAnsi="Arial"/>
          <w:sz w:val="20"/>
          <w:szCs w:val="20"/>
        </w:rPr>
        <w:t xml:space="preserve">Every system change that goes to CCB must have a completed SIAR before your approval</w:t>
      </w:r>
    </w:p>
    <w:p>
      <w:pPr>
        <w:pStyle w:val="ListParagraph"/>
        <w:numPr>
          <w:ilvl w:val="0"/>
          <w:numId w:val="2"/>
        </w:numPr>
        <w:spacing w:after="40" w:before="40"/>
      </w:pPr>
      <w:r>
        <w:rPr>
          <w:rFonts w:ascii="Arial" w:cs="Arial" w:eastAsia="Arial" w:hAnsi="Arial"/>
          <w:sz w:val="20"/>
          <w:szCs w:val="20"/>
        </w:rPr>
        <w:t xml:space="preserve">The PM endorsement memo is a substantive review, not a rubber stamp — understand what you are signing</w:t>
      </w:r>
    </w:p>
    <w:p>
      <w:pPr>
        <w:spacing w:after="80" w:before="80"/>
      </w:pPr>
      <w:r>
        <w:t xml:space="preserve"/>
      </w:r>
    </w:p>
    <w:p>
      <w:pPr>
        <w:pStyle w:val="Heading2"/>
        <w:pBdr>
          <w:bottom w:val="single" w:color="2E75B6" w:sz="4" w:space="1"/>
        </w:pBdr>
        <w:spacing w:after="100" w:before="200"/>
      </w:pPr>
      <w:r>
        <w:rPr>
          <w:rFonts w:ascii="Arial" w:cs="Arial" w:eastAsia="Arial" w:hAnsi="Arial"/>
          <w:b/>
          <w:bCs/>
          <w:color w:val="2E75B6"/>
          <w:sz w:val="24"/>
          <w:szCs w:val="24"/>
        </w:rPr>
        <w:t xml:space="preserve">Key References</w:t>
      </w:r>
    </w:p>
    <w:p>
      <w:pPr>
        <w:pStyle w:val="ListParagraph"/>
        <w:numPr>
          <w:ilvl w:val="0"/>
          <w:numId w:val="2"/>
        </w:numPr>
        <w:spacing w:after="40" w:before="40"/>
      </w:pPr>
      <w:r>
        <w:rPr>
          <w:rFonts w:ascii="Arial" w:cs="Arial" w:eastAsia="Arial" w:hAnsi="Arial"/>
          <w:sz w:val="20"/>
          <w:szCs w:val="20"/>
        </w:rPr>
        <w:t xml:space="preserve">DoDI 5000.02 — Operation of the Adaptive Acquisition Framework</w:t>
      </w:r>
    </w:p>
    <w:p>
      <w:pPr>
        <w:pStyle w:val="ListParagraph"/>
        <w:numPr>
          <w:ilvl w:val="0"/>
          <w:numId w:val="2"/>
        </w:numPr>
        <w:spacing w:after="40" w:before="40"/>
      </w:pPr>
      <w:r>
        <w:rPr>
          <w:rFonts w:ascii="Arial" w:cs="Arial" w:eastAsia="Arial" w:hAnsi="Arial"/>
          <w:sz w:val="20"/>
          <w:szCs w:val="20"/>
        </w:rPr>
        <w:t xml:space="preserve">DoDI 8510.01 — RMF</w:t>
      </w:r>
    </w:p>
    <w:p>
      <w:pPr>
        <w:pStyle w:val="ListParagraph"/>
        <w:numPr>
          <w:ilvl w:val="0"/>
          <w:numId w:val="2"/>
        </w:numPr>
        <w:spacing w:after="40" w:before="40"/>
      </w:pPr>
      <w:r>
        <w:rPr>
          <w:rFonts w:ascii="Arial" w:cs="Arial" w:eastAsia="Arial" w:hAnsi="Arial"/>
          <w:sz w:val="20"/>
          <w:szCs w:val="20"/>
        </w:rPr>
        <w:t xml:space="preserve">DAU RMF for Program Managers course</w:t>
      </w:r>
    </w:p>
    <w:p>
      <w:pPr>
        <w:pStyle w:val="ListParagraph"/>
        <w:numPr>
          <w:ilvl w:val="0"/>
          <w:numId w:val="2"/>
        </w:numPr>
        <w:spacing w:after="40" w:before="40"/>
      </w:pPr>
      <w:r>
        <w:rPr>
          <w:rFonts w:ascii="Arial" w:cs="Arial" w:eastAsia="Arial" w:hAnsi="Arial"/>
          <w:sz w:val="20"/>
          <w:szCs w:val="20"/>
        </w:rPr>
        <w:t xml:space="preserve">DISA RMF Knowledge Service (rmfks.osd.mil)</w:t>
      </w:r>
    </w:p>
    <w:p>
      <w:pPr>
        <w:spacing w:after="8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r>
      <w:rPr>
        <w:rFonts w:ascii="Arial" w:cs="Arial" w:eastAsia="Arial" w:hAnsi="Arial"/>
        <w:color w:val="999999"/>
        <w:sz w:val="14"/>
        <w:szCs w:val="14"/>
      </w:rPr>
      <w:t xml:space="preserve">   |   DoD RMF Process Improvement Suite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F3864"/>
        <w:sz w:val="16"/>
        <w:szCs w:val="16"/>
      </w:rPr>
      <w:t xml:space="preserve">RMF Role-Specific Onboarding Package   </w:t>
    </w:r>
    <w:r>
      <w:rPr>
        <w:rFonts w:ascii="Arial" w:cs="Arial" w:eastAsia="Arial" w:hAnsi="Arial"/>
        <w:color w:val="666666"/>
        <w:sz w:val="14"/>
        <w:szCs w:val="14"/>
      </w:rPr>
      <w:t xml:space="preserve">DISTRIBUTION: FOR OFFICIAL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2026-06-04T12:06:07.522Z</dcterms:created>
  <dcterms:modified xsi:type="dcterms:W3CDTF">2026-06-04T12:06:07.522Z</dcterms:modified>
</cp:coreProperties>
</file>

<file path=docProps/custom.xml><?xml version="1.0" encoding="utf-8"?>
<Properties xmlns="http://schemas.openxmlformats.org/officeDocument/2006/custom-properties" xmlns:vt="http://schemas.openxmlformats.org/officeDocument/2006/docPropsVTypes"/>
</file>