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0B2545"/>
          <w:sz w:val="54"/>
        </w:rPr>
        <w:t>差旅与费用报销管理办法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A636E"/>
          <w:sz w:val="23"/>
        </w:rPr>
        <w:t>可执行政策参考 | 版本 3.2 | 2026-03-01 生效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50"/>
        <w:gridCol w:w="3330"/>
        <w:gridCol w:w="1350"/>
        <w:gridCol w:w="333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文档编号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CY-FIN-012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所有者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财务运营部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密级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L1 内部公开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替代版本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3.1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适用对象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全体员工及经批准的外部人员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咨询队列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FIN-EXPENSE</w:t>
            </w:r>
          </w:p>
        </w:tc>
      </w:tr>
    </w:tbl>
    <w:p/>
    <w:p>
      <w:pPr>
        <w:pStyle w:val="Heading1"/>
      </w:pPr>
      <w:r>
        <w:t>1. 总则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本办法规范因公差旅、客户招待、日常业务费用和公司卡使用。费用必须真实、必要、合理、与公司业务相关，并在发生前取得适用审批。预算存在不代表可以绕过审批、票据或采购规则。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员工不得通过拆分行程、拆分发票、改变费用类别或让同事代报规避限额。审批人对业务必要性和成本中心负责，财务对票据、政策与会计处理负责；财务审核不能替代业务审批。</w:t>
      </w:r>
    </w:p>
    <w:p>
      <w:pPr>
        <w:pStyle w:val="Heading1"/>
      </w:pPr>
      <w:r>
        <w:t>2. 差旅申请与预订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跨城市出行应在预订前提交差旅申请，包含目的、地点、日期、项目码、预算和客户信息。普通差旅至少提前 3 个工作日申请；国际差旅至少提前 10 个工作日。ORION-27 相关差旅必须使用财务项目码 CY-CS-2026-027。</w:t>
      </w:r>
    </w:p>
    <w:p>
      <w:pPr>
        <w:numPr>
          <w:ilvl w:val="0"/>
          <w:numId w:val="41"/>
        </w:numPr>
      </w:pPr>
      <w:r>
        <w:rPr>
          <w:rFonts w:ascii="Microsoft YaHei" w:hAnsi="Microsoft YaHei" w:eastAsia="Microsoft YaHei"/>
          <w:sz w:val="22"/>
        </w:rPr>
        <w:t>使用公司指定平台预订机票、火车和酒店；平台无合适资源时，保留比价证据后可自行预订。</w:t>
      </w:r>
    </w:p>
    <w:p>
      <w:pPr>
        <w:numPr>
          <w:ilvl w:val="0"/>
          <w:numId w:val="41"/>
        </w:numPr>
      </w:pPr>
      <w:r>
        <w:rPr>
          <w:rFonts w:ascii="Microsoft YaHei" w:hAnsi="Microsoft YaHei" w:eastAsia="Microsoft YaHei"/>
          <w:sz w:val="22"/>
        </w:rPr>
        <w:t>行程改变导致退改费时，应在报销说明中写明原因；个人原因产生的额外费用由个人承担。</w:t>
      </w:r>
    </w:p>
    <w:p>
      <w:pPr>
        <w:numPr>
          <w:ilvl w:val="0"/>
          <w:numId w:val="41"/>
        </w:numPr>
      </w:pPr>
      <w:r>
        <w:rPr>
          <w:rFonts w:ascii="Microsoft YaHei" w:hAnsi="Microsoft YaHei" w:eastAsia="Microsoft YaHei"/>
          <w:sz w:val="22"/>
        </w:rPr>
        <w:t>结合多个业务目的的行程，应按主要受益项目分摊；不能确定时由成本中心负责人确认。</w:t>
      </w:r>
    </w:p>
    <w:p>
      <w:pPr>
        <w:numPr>
          <w:ilvl w:val="0"/>
          <w:numId w:val="41"/>
        </w:numPr>
      </w:pPr>
      <w:r>
        <w:rPr>
          <w:rFonts w:ascii="Microsoft YaHei" w:hAnsi="Microsoft YaHei" w:eastAsia="Microsoft YaHei"/>
          <w:sz w:val="22"/>
        </w:rPr>
        <w:t>因 P1 或 SEV-1/2 紧急出行无法事前申请的，应由事件指挥官口头授权，并在 1 个工作日内补录。</w:t>
      </w:r>
    </w:p>
    <w:p>
      <w:pPr>
        <w:pStyle w:val="Heading1"/>
      </w:pPr>
      <w:r>
        <w:t>3. 交通标准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交通类型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默认标准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可升级条件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国内航班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经济舱；优先合理低价直达方案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连续飞行超过 6 小时且分管副总裁事前批准可选公务舱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国际航班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经济舱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单段计划飞行超过 8 小时，经分管副总裁批准可选公务舱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高铁/动车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二等座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单程超过 4 小时可选一等座；商务座需 CFO 例外批准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市内交通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公共交通或合规网约车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携带重物、深夜安全、多人同行更经济或客户现场无公共交通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自驾私车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事前批准，按 1.2 元/公里补贴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补贴已包含燃油和折旧；停车、路桥费可凭票另报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sz w:val="22"/>
        </w:rPr>
        <w:t>航空公司会员升舱券可以使用，但公司只承担政策允许舱位价格。员工不得为了积累积分选择明显更贵或不合理的行程。个人里程、积分和会员权益归员工，因业务退票形成的现金退款必须退回公司。</w:t>
      </w:r>
    </w:p>
    <w:p>
      <w:pPr>
        <w:pStyle w:val="Heading1"/>
      </w:pPr>
      <w:r>
        <w:t>4. 住宿标准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住宿限额按每间每晚含税价计算。公司指定会议酒店、客户指定安全酒店或大型展会期间无法取得限额内住宿时，可在预订前由部门负责人批准上浮，报销时附价格证据。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50"/>
        <w:gridCol w:w="2700"/>
        <w:gridCol w:w="2655"/>
        <w:gridCol w:w="2655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城市类别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2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经理及以下</w:t>
            </w:r>
          </w:p>
        </w:tc>
        <w:tc>
          <w:tcPr>
            <w:tcW w:type="dxa" w:w="2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总监及以上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 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北京、上海、深圳、新加坡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650 元或等值当地货币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850 元或等值当地货币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 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苏州、广州、杭州、成都、南京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500 元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650 元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 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其他城市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380 元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500 元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YaHei" w:hAnsi="Microsoft YaHei" w:eastAsia="Microsoft YaHei"/>
          <w:sz w:val="22"/>
        </w:rPr>
        <w:t>深圳代码为 CN-SHEN，苏州为 CN-SZ。员工在深圳出差应适用 A 类标准，不能因缩写 SZ 误用苏州标准。共享房间不作强制要求。住宿中包含的早餐不再重复领取对应餐费额度。</w:t>
      </w:r>
    </w:p>
    <w:p>
      <w:pPr>
        <w:pStyle w:val="Heading1"/>
      </w:pPr>
      <w:r>
        <w:t>5. 餐费与杂费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国内差旅按实际发生、限额内报销，不采用无票固定津贴。单人每日餐费上限：A 类城市 220 元、B 类 180 元、C 类 150 元。每日限额可在早餐、午餐和晚餐之间调剂，但不得跨天结转。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由会议、酒店、客户或同事报销提供的餐食应从当日上限扣减：早餐 20%，午餐 35%，晚餐 45%。例如 A 类城市酒店含早餐，当日员工自费午晚餐的剩余额度为 176 元。若仅一顿晚餐花费 220 元而当日其他餐均由员工自理，仍可在 220 元日上限内报销；报销的是每日总额，不是单餐上限。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洗衣费仅在连续出差达到 7 晚时可报，每满 7 晚上限 100 元。迷你吧、付费影视、健身、个人护理、罚款、违章和陪同人员费用不得报销。</w:t>
      </w:r>
    </w:p>
    <w:p>
      <w:pPr>
        <w:pStyle w:val="Heading1"/>
      </w:pPr>
      <w:r>
        <w:t>6. 客户招待与礼品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客户招待必须有明确业务目的、参加人姓名与组织、日期、地点和讨论主题。员工人数原则上不得超过外部参加人数。人均含税 500 元以内由部门负责人事前批准；超过 500 元或单次总额超过 5,000 元由分管副总裁批准。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政府相关方、招标评审人员、正在处理索赔的客户或对方政策禁止的情形，不得提供礼品或招待。现金、购物卡、充值卡和可兑换现金的礼物一律禁止。公司品牌纪念品单件不超过 200 元时仍需符合对方政策。</w:t>
      </w:r>
    </w:p>
    <w:p>
      <w:pPr>
        <w:pStyle w:val="Heading1"/>
      </w:pPr>
      <w:r>
        <w:t>7. 可报销与不可报销项目</w:t>
      </w:r>
    </w:p>
    <w:p>
      <w:pPr>
        <w:numPr>
          <w:ilvl w:val="0"/>
          <w:numId w:val="41"/>
        </w:numPr>
      </w:pPr>
      <w:r>
        <w:rPr>
          <w:rFonts w:ascii="Microsoft YaHei" w:hAnsi="Microsoft YaHei" w:eastAsia="Microsoft YaHei"/>
          <w:sz w:val="22"/>
        </w:rPr>
        <w:t>可报销：经批准的交通住宿、签证与必要保险、客户现场防护用品、业务通信、合理行李费、必要打印和翻译。</w:t>
      </w:r>
    </w:p>
    <w:p>
      <w:pPr>
        <w:numPr>
          <w:ilvl w:val="0"/>
          <w:numId w:val="41"/>
        </w:numPr>
      </w:pPr>
      <w:r>
        <w:rPr>
          <w:rFonts w:ascii="Microsoft YaHei" w:hAnsi="Microsoft YaHei" w:eastAsia="Microsoft YaHei"/>
          <w:sz w:val="22"/>
        </w:rPr>
        <w:t>需额外说明：临时购买软件、居家办公设备、团队活动、个人手机国际漫游和紧急替代设备。</w:t>
      </w:r>
    </w:p>
    <w:p>
      <w:pPr>
        <w:numPr>
          <w:ilvl w:val="0"/>
          <w:numId w:val="41"/>
        </w:numPr>
      </w:pPr>
      <w:r>
        <w:rPr>
          <w:rFonts w:ascii="Microsoft YaHei" w:hAnsi="Microsoft YaHei" w:eastAsia="Microsoft YaHei"/>
          <w:sz w:val="22"/>
        </w:rPr>
        <w:t>不可报销：通勤、个人旅行、家庭成员费用、罚款、酒吧娱乐、个人会员、非业务礼品、遗失物品和未授权升级。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单笔软件或服务费用达到采购门槛时，不能通过报销流程替代采购。即使低于 10,000 元，只要供应商访问 L3/L4 数据、企业身份或生产环境，仍须完成采购和安全评审。</w:t>
      </w:r>
    </w:p>
    <w:p>
      <w:pPr>
        <w:pStyle w:val="Heading1"/>
      </w:pPr>
      <w:r>
        <w:t>8. 票据、时限与汇率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员工应在行程结束或费用发生后 10 个工作日内提交。超过 30 个自然日需要部门负责人说明；超过 90 个自然日原则上不予报销，除非存在出院、长期现场封闭、系统故障或法律要求等可验证原因，并通过 FIN-EX-09。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中国大陆费用应提供合规发票；境外费用提供当地有效收据。电子票据必须清晰、完整且不得重复提交。原始票据遗失时，员工提交付款证据和遗失说明，单笔不超过 500 元由部门负责人批准；超过 500 元还需财务负责人批准。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外币由系统按交易日公司卡汇率或费用发生日的财务月度汇率折算。员工个人银行卡收取的外汇手续费可凭证报销，但汇率差损益不另行补偿。</w:t>
      </w:r>
    </w:p>
    <w:p>
      <w:pPr>
        <w:pStyle w:val="Heading1"/>
      </w:pPr>
      <w:r>
        <w:t>9. 公司卡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公司卡优先用于机票、酒店和批准的高频业务支出。持卡人不得转借卡片或共享验证码。误刷个人消费应在 2 个工作日内报告，并在对账单到期前返还。丢失或可疑交易应立即冻结并通知发卡行和财务。</w:t>
      </w:r>
    </w:p>
    <w:p>
      <w:pPr>
        <w:pStyle w:val="Heading1"/>
      </w:pPr>
      <w:r>
        <w:t>10. 审批流程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sz w:val="22"/>
        </w:rPr>
        <w:t>员工提交费用，确认业务目的、项目码、参加人、票据和例外说明。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sz w:val="22"/>
        </w:rPr>
        <w:t>直属经理确认必要性、真实性和交付关系；项目经理确认项目费用归属。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sz w:val="22"/>
        </w:rPr>
        <w:t>成本中心负责人确认预算与授权；超过门槛或特殊类别进入追加审批。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sz w:val="22"/>
        </w:rPr>
        <w:t>财务检查政策、票据、税务、重复报销和会计科目，退回时说明具体缺口。</w:t>
      </w:r>
    </w:p>
    <w:p>
      <w:pPr>
        <w:numPr>
          <w:ilvl w:val="0"/>
          <w:numId w:val="42"/>
        </w:numPr>
      </w:pPr>
      <w:r>
        <w:rPr>
          <w:rFonts w:ascii="Microsoft YaHei" w:hAnsi="Microsoft YaHei" w:eastAsia="Microsoft YaHei"/>
          <w:sz w:val="22"/>
        </w:rPr>
        <w:t>批准后进入付款批次；通常在完整批准后的 7 个工作日内支付。</w:t>
      </w:r>
    </w:p>
    <w:p>
      <w:pPr>
        <w:pStyle w:val="Heading1"/>
      </w:pPr>
      <w:r>
        <w:t>11. 例外与抽查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财务例外使用 FIN-EX-09，必须列出条款、金额、原因、补偿性控制和到期日。批准例外不等于自动批准费用，员工仍需完成正常报销。财务可抽查路线、参加人、价格和重复票据；故意虚报、篡改票据或拆分费用将转交人力与合规处理。</w:t>
      </w:r>
    </w:p>
    <w:p>
      <w:pPr>
        <w:pStyle w:val="Heading1"/>
      </w:pPr>
      <w:r>
        <w:t>12. 示例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处理结论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经理在深圳住 620 元/晚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深圳为 A 类，经理及以下上限 650 元；在其他条件满足时可报。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成都酒店含早餐，当日另报 170 元餐费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 类每日 180 元扣早餐 20% 后余额 144 元，超出 26 元需个人承担或事前例外。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单程 5 小时高铁选择一等座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单程超过 4 小时可选一等座，无需因舱位单独申请例外。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8,000 元 SaaS 可接触客户生产数据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金额低于报价竞争门槛，但仍必须走采购与信息安全评审，不能直接费用报销。</w:t>
            </w:r>
          </w:p>
        </w:tc>
      </w:tr>
    </w:tbl>
    <w:p>
      <w:pPr>
        <w:spacing w:after="0"/>
      </w:pPr>
    </w:p>
    <w:p>
      <w:pPr>
        <w:pStyle w:val="Heading1"/>
      </w:pPr>
      <w:r>
        <w:t>13. 版本说明</w:t>
      </w:r>
    </w:p>
    <w:p>
      <w:pPr>
        <w:widowControl/>
      </w:pPr>
      <w:r>
        <w:rPr>
          <w:rFonts w:ascii="Microsoft YaHei" w:hAnsi="Microsoft YaHei" w:eastAsia="Microsoft YaHei"/>
          <w:sz w:val="22"/>
        </w:rPr>
        <w:t>3.2 版将深圳明确归入 A 类城市，统一外币折算规则，新增含餐扣减比例和软件服务安全评审提示。本版自生效日起替代 3.1 版。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A636E"/>
        <w:sz w:val="17"/>
      </w:rPr>
      <w:t xml:space="preserve">CY-FIN-012  |  第 </w:t>
    </w:r>
    <w:fldSimple w:instr="PAGE"/>
    <w:r>
      <w:rPr>
        <w:rFonts w:ascii="Microsoft YaHei" w:hAnsi="Microsoft YaHei" w:eastAsia="Microsoft YaHei"/>
        <w:b w:val="0"/>
        <w:color w:val="5A63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A636E"/>
        <w:sz w:val="17"/>
      </w:rPr>
      <w:t>澄岳智造 | 财务运营制度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</w:abstractNum>
  <w:num w:numId="41">
    <w:abstractNumId w:val="41"/>
  </w:num>
  <w:abstractNum w:abstractNumId="42">
    <w:multiLevelType w:val="singleLevel"/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澄岳智造差旅与费用报销管理办法</dc:title>
  <dc:subject>企业知识库测试样例</dc:subject>
  <dc:creator/>
  <cp:keywords>差旅, 报销, 费用, 酒店, 餐费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