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edrock-esg-continuation-prompt"/>
    <w:p>
      <w:pPr>
        <w:pStyle w:val="Heading1"/>
      </w:pPr>
      <w:r>
        <w:t xml:space="preserve">Bedrock ESG — Continuation Prompt</w:t>
      </w:r>
    </w:p>
    <w:p>
      <w:pPr>
        <w:pStyle w:val="BlockText"/>
      </w:pPr>
      <w:r>
        <w:t xml:space="preserve">Paste this into a new conversation to restore full project context.</w:t>
      </w:r>
    </w:p>
    <w:p>
      <w:r>
        <w:pict>
          <v:rect style="width:0;height:1.5pt" o:hralign="center" o:hrstd="t" o:hr="t"/>
        </w:pict>
      </w:r>
    </w:p>
    <w:bookmarkStart w:id="20" w:name="identity-context"/>
    <w:p>
      <w:pPr>
        <w:pStyle w:val="Heading2"/>
      </w:pPr>
      <w:r>
        <w:t xml:space="preserve">IDENTITY &amp; CONTEXT</w:t>
      </w:r>
    </w:p>
    <w:p>
      <w:pPr>
        <w:pStyle w:val="FirstParagraph"/>
      </w:pPr>
      <w:r>
        <w:t xml:space="preserve">This is an existing production application called</w:t>
      </w:r>
      <w:r>
        <w:t xml:space="preserve"> </w:t>
      </w:r>
      <w:r>
        <w:rPr>
          <w:bCs/>
          <w:b/>
        </w:rPr>
        <w:t xml:space="preserve">Bedrock ESG</w:t>
      </w:r>
      <w:r>
        <w:t xml:space="preserve"> </w:t>
      </w:r>
      <w:r>
        <w:t xml:space="preserve">— an industrial carbon verification platform deployed at</w:t>
      </w:r>
      <w:r>
        <w:t xml:space="preserve"> </w:t>
      </w:r>
      <w:r>
        <w:rPr>
          <w:bCs/>
          <w:b/>
        </w:rPr>
        <w:t xml:space="preserve">bedrockesg.com</w:t>
      </w:r>
      <w:r>
        <w:t xml:space="preserve">. The project directory is</w:t>
      </w:r>
      <w:r>
        <w:t xml:space="preserve"> </w:t>
      </w:r>
      <w:r>
        <w:rPr>
          <w:rStyle w:val="VerbatimChar"/>
        </w:rPr>
        <w:t xml:space="preserve">/home/ubuntu/scrapnet_dashboard</w:t>
      </w:r>
      <w:r>
        <w:t xml:space="preserve">. Do NOT scaffold a new project or run create-next-app. Read</w:t>
      </w:r>
      <w:r>
        <w:t xml:space="preserve"> </w:t>
      </w:r>
      <w:r>
        <w:rPr>
          <w:rStyle w:val="VerbatimChar"/>
        </w:rPr>
        <w:t xml:space="preserve">.project_instructions.md</w:t>
      </w:r>
      <w:r>
        <w:t xml:space="preserve"> </w:t>
      </w:r>
      <w:r>
        <w:t xml:space="preserve">at the project root before making any changes.</w:t>
      </w:r>
    </w:p>
    <w:p>
      <w:pPr>
        <w:pStyle w:val="BodyText"/>
      </w:pPr>
      <w:r>
        <w:t xml:space="preserve">The user goes by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Zer0</w:t>
      </w:r>
      <w:r>
        <w:rPr>
          <w:bCs/>
          <w:b/>
        </w:rPr>
        <w:t xml:space="preserve">”</w:t>
      </w:r>
      <w:r>
        <w:t xml:space="preserve"> </w:t>
      </w:r>
      <w:r>
        <w:t xml:space="preserve">(local cockpit moniker). On-chain identity =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Aethexer Notary Node</w:t>
      </w:r>
      <w:r>
        <w:rPr>
          <w:bCs/>
          <w:b/>
        </w:rPr>
        <w:t xml:space="preserve">”</w:t>
      </w:r>
      <w:r>
        <w:t xml:space="preserve">. They are non-technical — always be explicit about which URLs to use (production vs preview). They have two apps: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This app</w:t>
      </w:r>
      <w:r>
        <w:t xml:space="preserve"> </w:t>
      </w:r>
      <w:r>
        <w:t xml:space="preserve">— Bedrock ESG cockpit at</w:t>
      </w:r>
      <w:r>
        <w:t xml:space="preserve"> </w:t>
      </w:r>
      <w:r>
        <w:rPr>
          <w:rStyle w:val="VerbatimChar"/>
        </w:rPr>
        <w:t xml:space="preserve">bedrockesg.com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 landing page</w:t>
      </w:r>
      <w:r>
        <w:t xml:space="preserve"> </w:t>
      </w:r>
      <w:r>
        <w:t xml:space="preserve">— in a different conversation, deployed at</w:t>
      </w:r>
      <w:r>
        <w:t xml:space="preserve"> </w:t>
      </w:r>
      <w:r>
        <w:rPr>
          <w:rStyle w:val="VerbatimChar"/>
        </w:rPr>
        <w:t xml:space="preserve">home.bedrockesg.com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bedrock-landing-ojec1v.abacusai.app</w:t>
      </w:r>
    </w:p>
    <w:p>
      <w:r>
        <w:pict>
          <v:rect style="width:0;height:1.5pt" o:hralign="center" o:hrstd="t" o:hr="t"/>
        </w:pict>
      </w:r>
    </w:p>
    <w:bookmarkEnd w:id="20"/>
    <w:bookmarkStart w:id="22" w:name="X43c1912b85a3c73919384e9ae72bc4064de3525"/>
    <w:p>
      <w:pPr>
        <w:pStyle w:val="Heading2"/>
      </w:pPr>
      <w:r>
        <w:t xml:space="preserve">CURRENT VERSION: BT-C9C4C5 v2.4 — Trinity Protocol Upgrade (June 2026)</w:t>
      </w:r>
    </w:p>
    <w:bookmarkStart w:id="21" w:name="what-was-built-cumulative"/>
    <w:p>
      <w:pPr>
        <w:pStyle w:val="Heading3"/>
      </w:pPr>
      <w:r>
        <w:t xml:space="preserve">What Was Built (Cumulative)</w:t>
      </w:r>
    </w:p>
    <w:p>
      <w:pPr>
        <w:pStyle w:val="FirstParagraph"/>
      </w:pPr>
      <w:r>
        <w:rPr>
          <w:bCs/>
          <w:b/>
        </w:rPr>
        <w:t xml:space="preserve">Core Platform:</w:t>
      </w:r>
      <w:r>
        <w:t xml:space="preserve"> </w:t>
      </w:r>
      <w:r>
        <w:t xml:space="preserve">- Industrial carbon verification for the</w:t>
      </w:r>
      <w:r>
        <w:t xml:space="preserve"> </w:t>
      </w:r>
      <w:r>
        <w:t xml:space="preserve">“</w:t>
      </w:r>
      <w:r>
        <w:t xml:space="preserve">Circular Trifecta</w:t>
      </w:r>
      <w:r>
        <w:t xml:space="preserve">”</w:t>
      </w:r>
      <w:r>
        <w:t xml:space="preserve">: Asphalt, Biochar, and Metal Recovery</w:t>
      </w:r>
      <w:r>
        <w:t xml:space="preserve"> </w:t>
      </w:r>
      <w:r>
        <w:t xml:space="preserve">- Local Eurobitume A1-A3 LCA carbon calculator (no external API)</w:t>
      </w:r>
      <w:r>
        <w:t xml:space="preserve"> </w:t>
      </w:r>
      <w:r>
        <w:t xml:space="preserve">- Biochar CDR calculator with Hedera Guardian Framework compliance</w:t>
      </w:r>
      <w:r>
        <w:t xml:space="preserve"> </w:t>
      </w:r>
      <w:r>
        <w:t xml:space="preserve">- Metal recovery tracking (precious metals with VAL formula)</w:t>
      </w:r>
      <w:r>
        <w:t xml:space="preserve"> </w:t>
      </w:r>
      <w:r>
        <w:t xml:space="preserve">- Farmer/Agent management with credit lifecycle (Pending → Issued → Redeemed)</w:t>
      </w:r>
      <w:r>
        <w:t xml:space="preserve"> </w:t>
      </w:r>
      <w:r>
        <w:t xml:space="preserve">- Dual-blockchain attestation: Hedera HCS + Polygon ERC-1155</w:t>
      </w:r>
    </w:p>
    <w:p>
      <w:pPr>
        <w:pStyle w:val="BodyText"/>
      </w:pPr>
      <w:r>
        <w:rPr>
          <w:bCs/>
          <w:b/>
        </w:rPr>
        <w:t xml:space="preserve">Sovereign Architecture: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Solana Notary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lib/solana-notary.ts</w:t>
      </w:r>
      <w:r>
        <w:t xml:space="preserve">): Server-side Memo signing, expected identity</w:t>
      </w:r>
      <w:r>
        <w:t xml:space="preserve"> </w:t>
      </w:r>
      <w:r>
        <w:rPr>
          <w:rStyle w:val="VerbatimChar"/>
        </w:rPr>
        <w:t xml:space="preserve">9tsq8qB4P9uPRSHrjXLaDQJd93nuo4WEEtkR1tAJRAQ3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Dynamic HUM Listener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services/hum-listener.ts</w:t>
      </w:r>
      <w:r>
        <w:t xml:space="preserve">): 12.6 MW baseline, NYSE/NASDAQ/LSE/CME/Eurex windows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Emission Factor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lib/emission-factors.ts</w:t>
      </w:r>
      <w:r>
        <w:t xml:space="preserve">): ICE v4.1 + Ecoinvent v3.10.1 = 40 factors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Spatial Heritage Parser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lib/ply-parser.ts</w:t>
      </w:r>
      <w:r>
        <w:t xml:space="preserve">): PLY + Gaussian Splat ingest, volume→mass→carbon pipeline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Sentinel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lib/sentinel-engine.ts</w:t>
      </w:r>
      <w:r>
        <w:t xml:space="preserve">): 95/75/75 threshold scoring with 7-tier verdict matrix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Aethexer 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lib/aethexer-auth.ts</w:t>
      </w:r>
      <w:r>
        <w:t xml:space="preserve">): Trinity 3-layer auth (dual-key + timestamp + nonce)</w:t>
      </w:r>
    </w:p>
    <w:p>
      <w:pPr>
        <w:pStyle w:val="BodyText"/>
      </w:pPr>
      <w:r>
        <w:rPr>
          <w:bCs/>
          <w:b/>
        </w:rPr>
        <w:t xml:space="preserve">v2.4 Additions: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RBAC 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lib/rbac.ts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lib/rbac-guard.ts</w:t>
      </w:r>
      <w:r>
        <w:t xml:space="preserve">): 4-tier hierarchy FOUNDER &gt; ADMIN &gt; SOVEREIGN_AGENT &gt; CLIENT_OWNER, 19 permissions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Log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lib/audit-logger.ts</w:t>
      </w:r>
      <w:r>
        <w:t xml:space="preserve">): SHA-256 tamper-detection, fire-and-forget, wired into settle route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SSO</w:t>
      </w:r>
      <w:r>
        <w:t xml:space="preserve">: Custom OAuth 2.0 flow (NOT NextAuth),</w:t>
      </w:r>
      <w:r>
        <w:t xml:space="preserve"> </w:t>
      </w:r>
      <w:r>
        <w:rPr>
          <w:rStyle w:val="VerbatimChar"/>
        </w:rPr>
        <w:t xml:space="preserve">/api/auth/google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/api/auth/callback/google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Live Asset Ticker</w:t>
      </w:r>
      <w:r>
        <w:t xml:space="preserve">: SSE stream (</w:t>
      </w:r>
      <w:r>
        <w:rPr>
          <w:rStyle w:val="VerbatimChar"/>
        </w:rPr>
        <w:t xml:space="preserve">/api/ticker-stream</w:t>
      </w:r>
      <w:r>
        <w:t xml:space="preserve">), 12 seeded assets (5 exchanges, 4 skyscrapers, 3 casinos)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Discovery 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/discovery</w:t>
      </w:r>
      <w:r>
        <w:t xml:space="preserve">): Passive intelligence feed for unlisted macro-assets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AuditLog model</w:t>
      </w:r>
      <w:r>
        <w:t xml:space="preserve">: New Prisma model with SHA-256 audit hashes and backtrace IDs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 schema enums</w:t>
      </w:r>
      <w:r>
        <w:t xml:space="preserve">: DiscoveryTier, AssetSubClass, expanded UserRole + SubmissionStatus</w:t>
      </w:r>
    </w:p>
    <w:p>
      <w:pPr>
        <w:pStyle w:val="BodyText"/>
      </w:pPr>
      <w:r>
        <w:rPr>
          <w:bCs/>
          <w:b/>
        </w:rPr>
        <w:t xml:space="preserve">EXITZ Token Ecosystem (Solana Mainnet):</w:t>
      </w:r>
      <w:r>
        <w:t xml:space="preserve"> </w:t>
      </w:r>
      <w:r>
        <w:t xml:space="preserve">- EXITZ base:</w:t>
      </w:r>
      <w:r>
        <w:t xml:space="preserve"> </w:t>
      </w:r>
      <w:r>
        <w:rPr>
          <w:rStyle w:val="VerbatimChar"/>
        </w:rPr>
        <w:t xml:space="preserve">44SrHT9Qwyz2jiiJkRF1zHKF2NFTgTC8m6ubPTb5qJBJ</w:t>
      </w:r>
      <w:r>
        <w:t xml:space="preserve"> </w:t>
      </w:r>
      <w:r>
        <w:t xml:space="preserve">(supply: 2)</w:t>
      </w:r>
      <w:r>
        <w:t xml:space="preserve"> </w:t>
      </w:r>
      <w:r>
        <w:t xml:space="preserve">- EXITZ-C (Classic Vehicles):</w:t>
      </w:r>
      <w:r>
        <w:t xml:space="preserve"> </w:t>
      </w:r>
      <w:r>
        <w:rPr>
          <w:rStyle w:val="VerbatimChar"/>
        </w:rPr>
        <w:t xml:space="preserve">7ZPsJE3W5YXnnYgapzfsA5JxtK8VQwtTn5Jb23hgfzMK</w:t>
      </w:r>
      <w:r>
        <w:t xml:space="preserve"> </w:t>
      </w:r>
      <w:r>
        <w:t xml:space="preserve">(supply: 1)</w:t>
      </w:r>
      <w:r>
        <w:t xml:space="preserve"> </w:t>
      </w:r>
      <w:r>
        <w:t xml:space="preserve">- EXITZ-A (Fine Art):</w:t>
      </w:r>
      <w:r>
        <w:t xml:space="preserve"> </w:t>
      </w:r>
      <w:r>
        <w:rPr>
          <w:rStyle w:val="VerbatimChar"/>
        </w:rPr>
        <w:t xml:space="preserve">G11hBknKcBXUjc4kvAtAkwjoHz5yMr7FTqEEYC96EnJn</w:t>
      </w:r>
      <w:r>
        <w:t xml:space="preserve"> </w:t>
      </w:r>
      <w:r>
        <w:t xml:space="preserve">(supply: 1)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uth-system"/>
    <w:p>
      <w:pPr>
        <w:pStyle w:val="Heading2"/>
      </w:pPr>
      <w:r>
        <w:t xml:space="preserve">AUTH SYSTEM</w:t>
      </w:r>
    </w:p>
    <w:p>
      <w:pPr>
        <w:pStyle w:val="FirstParagraph"/>
      </w:pPr>
      <w:r>
        <w:rPr>
          <w:bCs/>
          <w:b/>
        </w:rPr>
        <w:t xml:space="preserve">Custom JWT-based auth</w:t>
      </w:r>
      <w:r>
        <w:t xml:space="preserve"> </w:t>
      </w:r>
      <w:r>
        <w:t xml:space="preserve">(NOT NextAuth). Token stored in</w:t>
      </w:r>
      <w:r>
        <w:t xml:space="preserve"> </w:t>
      </w:r>
      <w:r>
        <w:rPr>
          <w:rStyle w:val="VerbatimChar"/>
        </w:rPr>
        <w:t xml:space="preserve">auth-token</w:t>
      </w:r>
      <w:r>
        <w:t xml:space="preserve"> </w:t>
      </w:r>
      <w:r>
        <w:t xml:space="preserve">httpOnly cookie.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env var with fallback</w:t>
      </w:r>
      <w:r>
        <w:t xml:space="preserve"> </w:t>
      </w:r>
      <w:r>
        <w:rPr>
          <w:rStyle w:val="VerbatimChar"/>
        </w:rPr>
        <w:t xml:space="preserve">'bedrockEsg-secret-key-change-in-production'</w:t>
      </w:r>
      <w:r>
        <w:t xml:space="preserve"> </w:t>
      </w:r>
      <w:r>
        <w:t xml:space="preserve">- Login route: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— validates identifier/password, issues JWT</w:t>
      </w:r>
      <w:r>
        <w:t xml:space="preserve"> </w:t>
      </w:r>
      <w:r>
        <w:t xml:space="preserve">- Google SSO:</w:t>
      </w:r>
      <w:r>
        <w:t xml:space="preserve"> </w:t>
      </w:r>
      <w:r>
        <w:rPr>
          <w:rStyle w:val="VerbatimChar"/>
        </w:rPr>
        <w:t xml:space="preserve">/api/auth/google</w:t>
      </w:r>
      <w:r>
        <w:t xml:space="preserve"> </w:t>
      </w:r>
      <w:r>
        <w:t xml:space="preserve">→ Google →</w:t>
      </w:r>
      <w:r>
        <w:t xml:space="preserve"> </w:t>
      </w:r>
      <w:r>
        <w:rPr>
          <w:rStyle w:val="VerbatimChar"/>
        </w:rPr>
        <w:t xml:space="preserve">/api/auth/callback/google</w:t>
      </w:r>
      <w:r>
        <w:t xml:space="preserve"> </w:t>
      </w:r>
      <w:r>
        <w:t xml:space="preserve">→ JWT cookie → redirect</w:t>
      </w:r>
      <w:r>
        <w:t xml:space="preserve"> </w:t>
      </w:r>
      <w:r>
        <w:t xml:space="preserve">- Google OAuth client:</w:t>
      </w:r>
      <w:r>
        <w:t xml:space="preserve"> </w:t>
      </w:r>
      <w:r>
        <w:t xml:space="preserve">“</w:t>
      </w:r>
      <w:r>
        <w:t xml:space="preserve">Bedrock ESG Production Gate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933406767966-cfju...</w:t>
      </w:r>
      <w:r>
        <w:t xml:space="preserve">), scoped to</w:t>
      </w:r>
      <w:r>
        <w:t xml:space="preserve"> </w:t>
      </w:r>
      <w:r>
        <w:rPr>
          <w:rStyle w:val="VerbatimChar"/>
        </w:rPr>
        <w:t xml:space="preserve">bedrockesg.com</w:t>
      </w:r>
      <w:r>
        <w:t xml:space="preserve"> </w:t>
      </w:r>
      <w:r>
        <w:t xml:space="preserve">only</w:t>
      </w:r>
      <w:r>
        <w:t xml:space="preserve"> </w:t>
      </w:r>
      <w:r>
        <w:t xml:space="preserve">- Redirect URI registered in Google Console:</w:t>
      </w:r>
      <w:r>
        <w:t xml:space="preserve"> </w:t>
      </w:r>
      <w:r>
        <w:rPr>
          <w:rStyle w:val="VerbatimChar"/>
        </w:rPr>
        <w:t xml:space="preserve">https://bedrockesg.com/api/auth/callback/google</w:t>
      </w:r>
      <w:r>
        <w:t xml:space="preserve"> </w:t>
      </w:r>
      <w:r>
        <w:t xml:space="preserve">- Auto-elevation: if Google email ===</w:t>
      </w:r>
      <w:r>
        <w:t xml:space="preserve"> </w:t>
      </w:r>
      <w:r>
        <w:rPr>
          <w:rStyle w:val="VerbatimChar"/>
        </w:rPr>
        <w:t xml:space="preserve">ADMIN_MASTER_EMAIL</w:t>
      </w:r>
      <w:r>
        <w:t xml:space="preserve"> </w:t>
      </w:r>
      <w:r>
        <w:t xml:space="preserve">(idecade8@gmail.com) → ADMIN role</w:t>
      </w:r>
      <w:r>
        <w:t xml:space="preserve"> </w:t>
      </w:r>
      <w:r>
        <w:t xml:space="preserve">- New Google SSO users get SOVEREIGN_INDIVIDUAL role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CRITICAL</w:t>
      </w:r>
      <w:r>
        <w:t xml:space="preserve">: All redirect URLs in SSO routes use</w:t>
      </w:r>
      <w:r>
        <w:t xml:space="preserve"> </w:t>
      </w:r>
      <w:r>
        <w:rPr>
          <w:rStyle w:val="VerbatimChar"/>
        </w:rPr>
        <w:t xml:space="preserve">process.env.NEXTAUTH_URL</w:t>
      </w:r>
      <w:r>
        <w:t xml:space="preserve"> </w:t>
      </w:r>
      <w:r>
        <w:t xml:space="preserve">as base (not</w:t>
      </w:r>
      <w:r>
        <w:t xml:space="preserve"> </w:t>
      </w:r>
      <w:r>
        <w:rPr>
          <w:rStyle w:val="VerbatimChar"/>
        </w:rPr>
        <w:t xml:space="preserve">request.url</w:t>
      </w:r>
      <w:r>
        <w:t xml:space="preserve"> </w:t>
      </w:r>
      <w:r>
        <w:t xml:space="preserve">which contains internal proxy hostname in production)</w:t>
      </w:r>
    </w:p>
    <w:p>
      <w:pPr>
        <w:pStyle w:val="BodyText"/>
      </w:pPr>
      <w:r>
        <w:rPr>
          <w:bCs/>
          <w:b/>
        </w:rPr>
        <w:t xml:space="preserve">Credentials:</w:t>
      </w:r>
      <w:r>
        <w:t xml:space="preserve"> </w:t>
      </w:r>
      <w:r>
        <w:t xml:space="preserve">- Seeded admin:</w:t>
      </w:r>
      <w:r>
        <w:t xml:space="preserve"> </w:t>
      </w:r>
      <w:r>
        <w:rPr>
          <w:rStyle w:val="VerbatimChar"/>
        </w:rPr>
        <w:t xml:space="preserve">john@doe.com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johndoe123</w:t>
      </w:r>
      <w:r>
        <w:t xml:space="preserve"> </w:t>
      </w:r>
      <w:r>
        <w:t xml:space="preserve">(ADMIN role)</w:t>
      </w:r>
      <w:r>
        <w:t xml:space="preserve"> </w:t>
      </w:r>
      <w:r>
        <w:t xml:space="preserve">- Google SSO admin:</w:t>
      </w:r>
      <w:r>
        <w:t xml:space="preserve"> </w:t>
      </w:r>
      <w:r>
        <w:rPr>
          <w:rStyle w:val="VerbatimChar"/>
        </w:rPr>
        <w:t xml:space="preserve">idecade8@gmail.com</w:t>
      </w:r>
      <w:r>
        <w:t xml:space="preserve"> </w:t>
      </w:r>
      <w:r>
        <w:t xml:space="preserve">→ auto-elevated to ADMIN</w:t>
      </w:r>
    </w:p>
    <w:p>
      <w:r>
        <w:pict>
          <v:rect style="width:0;height:1.5pt" o:hralign="center" o:hrstd="t" o:hr="t"/>
        </w:pict>
      </w:r>
    </w:p>
    <w:bookmarkEnd w:id="23"/>
    <w:bookmarkStart w:id="24" w:name="environment-variables-.env"/>
    <w:p>
      <w:pPr>
        <w:pStyle w:val="Heading2"/>
      </w:pPr>
      <w:r>
        <w:t xml:space="preserve">ENVIRONMENT VARIABLES (.env)</w:t>
      </w:r>
    </w:p>
    <w:p>
      <w:pPr>
        <w:pStyle w:val="FirstParagraph"/>
      </w:pPr>
      <w:r>
        <w:t xml:space="preserve">All set and operational: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— Postgres connection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ABACUSAI_API_KEY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WEB_APP_ID</w:t>
      </w:r>
      <w:r>
        <w:t xml:space="preserve"> </w:t>
      </w:r>
      <w:r>
        <w:t xml:space="preserve">— Platform APIs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933406767966-cfjui6tl880mic302s207frogucme9ib.apps.googleusercontent.com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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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ADMIN_MASTER_EMAIL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idecade8@gmail.com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— proper 96-char hex 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SOLANA_NOTARY_SECRET_KEY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SOLANA_NOTARY_PUBLIC_KEY</w:t>
      </w:r>
      <w:r>
        <w:t xml:space="preserve"> </w:t>
      </w:r>
      <w:r>
        <w:t xml:space="preserve">— Devnet notary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SOLANA_MAINNET_RPC_URL</w:t>
      </w:r>
      <w:r>
        <w:t xml:space="preserve"> </w:t>
      </w:r>
      <w:r>
        <w:t xml:space="preserve">— for EXITZ tokens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POLYGON_PRIVATE_KEY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HEDERA_TOPIC_ID</w:t>
      </w:r>
      <w:r>
        <w:t xml:space="preserve"> </w:t>
      </w:r>
      <w:r>
        <w:t xml:space="preserve">— dual-chain attestation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AWS_BUCKET_NAME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AWS_FOLDER_PREFIX</w:t>
      </w:r>
      <w:r>
        <w:t xml:space="preserve"> </w:t>
      </w:r>
      <w:r>
        <w:t xml:space="preserve">— S3 file uploads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AETHEXER_PROTOCOL_KEY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AETHEXER_FIELD_KEY</w:t>
      </w:r>
      <w:r>
        <w:t xml:space="preserve"> </w:t>
      </w:r>
      <w:r>
        <w:t xml:space="preserve">— Aethexer Protocol auth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HUM_TRIGGER_THRESHOLD</w:t>
      </w:r>
      <w:r>
        <w:t xml:space="preserve"> </w:t>
      </w:r>
      <w:r>
        <w:t xml:space="preserve">— HUM listener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BLOCKCHAIN_MODE</w:t>
      </w:r>
      <w:r>
        <w:t xml:space="preserve"> </w:t>
      </w:r>
      <w:r>
        <w:t xml:space="preserve">= production</w:t>
      </w:r>
    </w:p>
    <w:p>
      <w:r>
        <w:pict>
          <v:rect style="width:0;height:1.5pt" o:hralign="center" o:hrstd="t" o:hr="t"/>
        </w:pict>
      </w:r>
    </w:p>
    <w:bookmarkEnd w:id="24"/>
    <w:bookmarkStart w:id="25" w:name="Xe0c07949de2b8f2068c2ee462e76f59cb3099d0"/>
    <w:p>
      <w:pPr>
        <w:pStyle w:val="Heading2"/>
      </w:pPr>
      <w:r>
        <w:t xml:space="preserve">SETTLEMENT MODEL: 70/20/10 Zero Greed Policy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70%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Verified Asset Value</w:t>
      </w:r>
      <w:r>
        <w:rPr>
          <w:bCs/>
          <w:b/>
        </w:rPr>
        <w:t xml:space="preserve">”</w:t>
      </w:r>
      <w:r>
        <w:t xml:space="preserve"> </w:t>
      </w:r>
      <w:r>
        <w:t xml:space="preserve">— goes to asset owner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20%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Platform Processor</w:t>
      </w:r>
      <w:r>
        <w:rPr>
          <w:bCs/>
          <w:b/>
        </w:rPr>
        <w:t xml:space="preserve">”</w:t>
      </w:r>
      <w:r>
        <w:t xml:space="preserve"> </w:t>
      </w:r>
      <w:r>
        <w:t xml:space="preserve">— Bedrock Treasury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10%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Public Resilience</w:t>
      </w:r>
      <w:r>
        <w:rPr>
          <w:bCs/>
          <w:b/>
        </w:rPr>
        <w:t xml:space="preserve">”</w:t>
      </w:r>
      <w:r>
        <w:t xml:space="preserve"> </w:t>
      </w:r>
      <w:r>
        <w:t xml:space="preserve">— singular block, dynamic routing by assetClass</w:t>
      </w:r>
    </w:p>
    <w:p>
      <w:pPr>
        <w:numPr>
          <w:ilvl w:val="0"/>
          <w:numId w:val="1001"/>
        </w:numPr>
        <w:pStyle w:val="Compact"/>
      </w:pPr>
      <w:r>
        <w:t xml:space="preserve">Code-enforced, non-negotiable. Constants in</w:t>
      </w:r>
      <w:r>
        <w:t xml:space="preserve"> </w:t>
      </w:r>
      <w:r>
        <w:rPr>
          <w:rStyle w:val="VerbatimChar"/>
        </w:rPr>
        <w:t xml:space="preserve">lib/universal-law.ts</w:t>
      </w:r>
    </w:p>
    <w:p>
      <w:pPr>
        <w:numPr>
          <w:ilvl w:val="0"/>
          <w:numId w:val="1001"/>
        </w:numPr>
        <w:pStyle w:val="Compact"/>
      </w:pPr>
      <w:r>
        <w:t xml:space="preserve">Internal DB field names:</w:t>
      </w:r>
      <w:r>
        <w:t xml:space="preserve"> </w:t>
      </w:r>
      <w:r>
        <w:rPr>
          <w:rStyle w:val="VerbatimChar"/>
        </w:rPr>
        <w:t xml:space="preserve">founderYieldUsd</w:t>
      </w:r>
      <w:r>
        <w:t xml:space="preserve">,</w:t>
      </w:r>
      <w:r>
        <w:t xml:space="preserve"> </w:t>
      </w:r>
      <w:r>
        <w:rPr>
          <w:rStyle w:val="VerbatimChar"/>
        </w:rPr>
        <w:t xml:space="preserve">stewardshipUsd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publicResilienceUsd</w:t>
      </w:r>
    </w:p>
    <w:p>
      <w:pPr>
        <w:numPr>
          <w:ilvl w:val="0"/>
          <w:numId w:val="1001"/>
        </w:numPr>
        <w:pStyle w:val="Compact"/>
      </w:pPr>
      <w:r>
        <w:t xml:space="preserve">Asset Class Variants: A (SOVEREIGN_SKIN), B (PROPERTY_INDUSTRIAL), C (PROPERTY_RESIDENTIAL), D (PHYSICAL_COMMODITIES), E (PRECIOUS_METALS_CUSTODIAL)</w:t>
      </w:r>
    </w:p>
    <w:p>
      <w:pPr>
        <w:numPr>
          <w:ilvl w:val="0"/>
          <w:numId w:val="1001"/>
        </w:numPr>
        <w:pStyle w:val="Compact"/>
      </w:pPr>
      <w:r>
        <w:t xml:space="preserve">Precious Metals VAL:</w:t>
      </w:r>
      <w:r>
        <w:t xml:space="preserve"> </w:t>
      </w:r>
      <w:r>
        <w:rPr>
          <w:rStyle w:val="VerbatimChar"/>
        </w:rPr>
        <w:t xml:space="preserve">(Spot × Weight × Purity%) − Refinery Discount</w:t>
      </w:r>
    </w:p>
    <w:p>
      <w:r>
        <w:pict>
          <v:rect style="width:0;height:1.5pt" o:hralign="center" o:hrstd="t" o:hr="t"/>
        </w:pict>
      </w:r>
    </w:p>
    <w:bookmarkEnd w:id="25"/>
    <w:bookmarkStart w:id="26" w:name="design-language"/>
    <w:p>
      <w:pPr>
        <w:pStyle w:val="Heading2"/>
      </w:pPr>
      <w:r>
        <w:t xml:space="preserve">DESIGN LANGUAGE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Dark theme</w:t>
      </w:r>
      <w:r>
        <w:t xml:space="preserve">: Deep Space palette —</w:t>
      </w:r>
      <w:r>
        <w:t xml:space="preserve"> </w:t>
      </w:r>
      <w:r>
        <w:rPr>
          <w:rStyle w:val="VerbatimChar"/>
        </w:rPr>
        <w:t xml:space="preserve">#0a0a0a</w:t>
      </w:r>
      <w:r>
        <w:t xml:space="preserve"> </w:t>
      </w:r>
      <w:r>
        <w:t xml:space="preserve">bg,</w:t>
      </w:r>
      <w:r>
        <w:t xml:space="preserve"> </w:t>
      </w:r>
      <w:r>
        <w:rPr>
          <w:rStyle w:val="VerbatimChar"/>
        </w:rPr>
        <w:t xml:space="preserve">#1a1a1a</w:t>
      </w:r>
      <w:r>
        <w:t xml:space="preserve"> </w:t>
      </w:r>
      <w:r>
        <w:t xml:space="preserve">cards,</w:t>
      </w:r>
      <w:r>
        <w:t xml:space="preserve"> </w:t>
      </w:r>
      <w:r>
        <w:rPr>
          <w:rStyle w:val="VerbatimChar"/>
        </w:rPr>
        <w:t xml:space="preserve">#2a2a2a</w:t>
      </w:r>
      <w:r>
        <w:t xml:space="preserve"> </w:t>
      </w:r>
      <w:r>
        <w:t xml:space="preserve">borders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Accent</w:t>
      </w:r>
      <w:r>
        <w:t xml:space="preserve">: Electric blue (</w:t>
      </w:r>
      <w:r>
        <w:rPr>
          <w:rStyle w:val="VerbatimChar"/>
        </w:rPr>
        <w:t xml:space="preserve">--ledger-accent</w:t>
      </w:r>
      <w:r>
        <w:t xml:space="preserve">), Sage green (</w:t>
      </w:r>
      <w:r>
        <w:rPr>
          <w:rStyle w:val="VerbatimChar"/>
        </w:rPr>
        <w:t xml:space="preserve">--ledger-sage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Tone</w:t>
      </w:r>
      <w:r>
        <w:t xml:space="preserve">: Institutional —</w:t>
      </w:r>
      <w:r>
        <w:t xml:space="preserve"> </w:t>
      </w:r>
      <w:r>
        <w:t xml:space="preserve">“</w:t>
      </w:r>
      <w:r>
        <w:t xml:space="preserve">Verification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Vault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Consolidated Ledger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Universal Ledger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Identity</w:t>
      </w:r>
      <w:r>
        <w:t xml:space="preserve">:</w:t>
      </w:r>
      <w:r>
        <w:t xml:space="preserve"> </w:t>
      </w:r>
      <w:r>
        <w:t xml:space="preserve">“</w:t>
      </w:r>
      <w:r>
        <w:t xml:space="preserve">Bedrock ESG — Industrial Carbon Verification Platform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key-file-locations"/>
    <w:p>
      <w:pPr>
        <w:pStyle w:val="Heading2"/>
      </w:pPr>
      <w:r>
        <w:t xml:space="preserve">KEY FILE LOCATIONS</w:t>
      </w:r>
    </w:p>
    <w:p>
      <w:pPr>
        <w:pStyle w:val="SourceCode"/>
      </w:pPr>
      <w:r>
        <w:rPr>
          <w:rStyle w:val="VerbatimChar"/>
        </w:rPr>
        <w:t xml:space="preserve">nextjs_space/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api/auth/google/route.ts          # Google SSO initiation</w:t>
      </w:r>
      <w:r>
        <w:br/>
      </w:r>
      <w:r>
        <w:rPr>
          <w:rStyle w:val="VerbatimChar"/>
        </w:rPr>
        <w:t xml:space="preserve">│   ├── api/auth/callback/google/route.ts  # Google SSO callback</w:t>
      </w:r>
      <w:r>
        <w:br/>
      </w:r>
      <w:r>
        <w:rPr>
          <w:rStyle w:val="VerbatimChar"/>
        </w:rPr>
        <w:t xml:space="preserve">│   ├── api/auth/login/route.ts            # JWT login</w:t>
      </w:r>
      <w:r>
        <w:br/>
      </w:r>
      <w:r>
        <w:rPr>
          <w:rStyle w:val="VerbatimChar"/>
        </w:rPr>
        <w:t xml:space="preserve">│   ├── api/submissions/                   # Business submission portal</w:t>
      </w:r>
      <w:r>
        <w:br/>
      </w:r>
      <w:r>
        <w:rPr>
          <w:rStyle w:val="VerbatimChar"/>
        </w:rPr>
        <w:t xml:space="preserve">│   ├── api/v1/forensic-ingest/            # Aethexer Protocol ingest</w:t>
      </w:r>
      <w:r>
        <w:br/>
      </w:r>
      <w:r>
        <w:rPr>
          <w:rStyle w:val="VerbatimChar"/>
        </w:rPr>
        <w:t xml:space="preserve">│   ├── api/ticker-stream/route.ts         # SSE live asset feed</w:t>
      </w:r>
      <w:r>
        <w:br/>
      </w:r>
      <w:r>
        <w:rPr>
          <w:rStyle w:val="VerbatimChar"/>
        </w:rPr>
        <w:t xml:space="preserve">│   ├── api/audit-logs/route.ts            # Audit log query</w:t>
      </w:r>
      <w:r>
        <w:br/>
      </w:r>
      <w:r>
        <w:rPr>
          <w:rStyle w:val="VerbatimChar"/>
        </w:rPr>
        <w:t xml:space="preserve">│   ├── login/page.tsx                     # Login page (email + Google SSO)</w:t>
      </w:r>
      <w:r>
        <w:br/>
      </w:r>
      <w:r>
        <w:rPr>
          <w:rStyle w:val="VerbatimChar"/>
        </w:rPr>
        <w:t xml:space="preserve">│   ├── discovery/page.tsx                 # Asset discovery interface</w:t>
      </w:r>
      <w:r>
        <w:br/>
      </w:r>
      <w:r>
        <w:rPr>
          <w:rStyle w:val="VerbatimChar"/>
        </w:rPr>
        <w:t xml:space="preserve">│   ├── submission-portal/page.tsx         # Corporate gatehouse</w:t>
      </w:r>
      <w:r>
        <w:br/>
      </w:r>
      <w:r>
        <w:rPr>
          <w:rStyle w:val="VerbatimChar"/>
        </w:rPr>
        <w:t xml:space="preserve">│   └── page.tsx                           # Main dashboard with ticker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cockpit-ticker.tsx                 # Live asset ticker strip</w:t>
      </w:r>
      <w:r>
        <w:br/>
      </w:r>
      <w:r>
        <w:rPr>
          <w:rStyle w:val="VerbatimChar"/>
        </w:rPr>
        <w:t xml:space="preserve">│   ├── discovery-dashboard.tsx            # Discovery feed UI</w:t>
      </w:r>
      <w:r>
        <w:br/>
      </w:r>
      <w:r>
        <w:rPr>
          <w:rStyle w:val="VerbatimChar"/>
        </w:rPr>
        <w:t xml:space="preserve">│   └── sidebar.tsx                        # Navigation sidebar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rbac.ts + rbac-guard.ts           # RBAC system</w:t>
      </w:r>
      <w:r>
        <w:br/>
      </w:r>
      <w:r>
        <w:rPr>
          <w:rStyle w:val="VerbatimChar"/>
        </w:rPr>
        <w:t xml:space="preserve">│   ├── audit-logger.ts                    # Audit pipeline</w:t>
      </w:r>
      <w:r>
        <w:br/>
      </w:r>
      <w:r>
        <w:rPr>
          <w:rStyle w:val="VerbatimChar"/>
        </w:rPr>
        <w:t xml:space="preserve">│   ├── sentinel-engine.ts                 # 95/75/75 scoring</w:t>
      </w:r>
      <w:r>
        <w:br/>
      </w:r>
      <w:r>
        <w:rPr>
          <w:rStyle w:val="VerbatimChar"/>
        </w:rPr>
        <w:t xml:space="preserve">│   ├── aethexer-auth.ts                   # Trinity 3-layer auth</w:t>
      </w:r>
      <w:r>
        <w:br/>
      </w:r>
      <w:r>
        <w:rPr>
          <w:rStyle w:val="VerbatimChar"/>
        </w:rPr>
        <w:t xml:space="preserve">│   ├── solana-notary.ts                   # Solana Memo signing</w:t>
      </w:r>
      <w:r>
        <w:br/>
      </w:r>
      <w:r>
        <w:rPr>
          <w:rStyle w:val="VerbatimChar"/>
        </w:rPr>
        <w:t xml:space="preserve">│   ├── universal-law.ts                   # Settlement labels + VAL</w:t>
      </w:r>
      <w:r>
        <w:br/>
      </w:r>
      <w:r>
        <w:rPr>
          <w:rStyle w:val="VerbatimChar"/>
        </w:rPr>
        <w:t xml:space="preserve">│   ├── validator.ts                       # Zod schemas</w:t>
      </w:r>
      <w:r>
        <w:br/>
      </w:r>
      <w:r>
        <w:rPr>
          <w:rStyle w:val="VerbatimChar"/>
        </w:rPr>
        <w:t xml:space="preserve">│   └── emission-factors.ts               # ICE + Ecoinvent DB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hum-listener.ts                    # Dynamic HUM baseline</w:t>
      </w:r>
      <w:r>
        <w:br/>
      </w:r>
      <w:r>
        <w:rPr>
          <w:rStyle w:val="VerbatimChar"/>
        </w:rPr>
        <w:t xml:space="preserve">├── prisma/schema.prisma                   # 42 models, 29 enums</w:t>
      </w:r>
      <w:r>
        <w:br/>
      </w:r>
      <w:r>
        <w:rPr>
          <w:rStyle w:val="VerbatimChar"/>
        </w:rPr>
        <w:t xml:space="preserve">├── docs/                                  # Project Bibles (v2.2, v2.3, v2.4)</w:t>
      </w:r>
      <w:r>
        <w:br/>
      </w:r>
      <w:r>
        <w:rPr>
          <w:rStyle w:val="VerbatimChar"/>
        </w:rPr>
        <w:t xml:space="preserve">└── .env                                   # All secrets configured</w:t>
      </w:r>
    </w:p>
    <w:p>
      <w:r>
        <w:pict>
          <v:rect style="width:0;height:1.5pt" o:hralign="center" o:hrstd="t" o:hr="t"/>
        </w:pict>
      </w:r>
    </w:p>
    <w:bookmarkEnd w:id="27"/>
    <w:bookmarkStart w:id="28" w:name="known-issues-recent-fixes"/>
    <w:p>
      <w:pPr>
        <w:pStyle w:val="Heading2"/>
      </w:pPr>
      <w:r>
        <w:t xml:space="preserve">KNOWN ISSUES / RECENT FIXES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Google SSO redirect fix (just deployed)</w:t>
      </w:r>
      <w:r>
        <w:t xml:space="preserve">: All</w:t>
      </w:r>
      <w:r>
        <w:t xml:space="preserve"> </w:t>
      </w:r>
      <w:r>
        <w:rPr>
          <w:rStyle w:val="VerbatimChar"/>
        </w:rPr>
        <w:t xml:space="preserve">NextResponse.redirect()</w:t>
      </w:r>
      <w:r>
        <w:t xml:space="preserve"> </w:t>
      </w:r>
      <w:r>
        <w:t xml:space="preserve">calls in SSO routes now use</w:t>
      </w:r>
      <w:r>
        <w:t xml:space="preserve"> </w:t>
      </w:r>
      <w:r>
        <w:rPr>
          <w:rStyle w:val="VerbatimChar"/>
        </w:rPr>
        <w:t xml:space="preserve">process.env.NEXTAUTH_URL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request.url</w:t>
      </w:r>
      <w:r>
        <w:t xml:space="preserve"> </w:t>
      </w:r>
      <w:r>
        <w:t xml:space="preserve">as base URL. The old code was redirecting to internal proxy hostnames, causing</w:t>
      </w:r>
      <w:r>
        <w:t xml:space="preserve"> </w:t>
      </w:r>
      <w:r>
        <w:t xml:space="preserve">“</w:t>
      </w:r>
      <w:r>
        <w:t xml:space="preserve">server can’t be found</w:t>
      </w:r>
      <w:r>
        <w:t xml:space="preserve">”</w:t>
      </w:r>
      <w:r>
        <w:t xml:space="preserve"> </w:t>
      </w:r>
      <w:r>
        <w:t xml:space="preserve">errors.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@noble/curves</w:t>
      </w:r>
      <w:r>
        <w:rPr>
          <w:bCs/>
          <w:b/>
        </w:rPr>
        <w:t xml:space="preserve"> </w:t>
      </w:r>
      <w:r>
        <w:rPr>
          <w:bCs/>
          <w:b/>
        </w:rPr>
        <w:t xml:space="preserve">dev dependency</w:t>
      </w:r>
      <w:r>
        <w:t xml:space="preserve">: Added to fix</w:t>
      </w:r>
      <w:r>
        <w:t xml:space="preserve"> </w:t>
      </w:r>
      <w:r>
        <w:rPr>
          <w:rStyle w:val="VerbatimChar"/>
        </w:rPr>
        <w:t xml:space="preserve">@noble/curves/ed25519</w:t>
      </w:r>
      <w:r>
        <w:t xml:space="preserve"> </w:t>
      </w:r>
      <w:r>
        <w:t xml:space="preserve">module resolution in dev mode (Solana</w:t>
      </w:r>
      <w:r>
        <w:t xml:space="preserve"> </w:t>
      </w:r>
      <w:r>
        <w:rPr>
          <w:rStyle w:val="VerbatimChar"/>
        </w:rPr>
        <w:t xml:space="preserve">@solana/web3.js</w:t>
      </w:r>
      <w:r>
        <w:t xml:space="preserve"> </w:t>
      </w:r>
      <w:r>
        <w:t xml:space="preserve">dependency). Production builds unaffected.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EACCES cache errors in prod 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Failed to update prerender cache</w:t>
      </w:r>
      <w:r>
        <w:t xml:space="preserve"> </w:t>
      </w:r>
      <w:r>
        <w:t xml:space="preserve">— permission denied for</w:t>
      </w:r>
      <w:r>
        <w:t xml:space="preserve"> </w:t>
      </w:r>
      <w:r>
        <w:rPr>
          <w:rStyle w:val="VerbatimChar"/>
        </w:rPr>
        <w:t xml:space="preserve">.build/cache</w:t>
      </w:r>
      <w:r>
        <w:t xml:space="preserve">. These are non-blocking warnings, not errors.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home.bedrockesg.com</w:t>
      </w:r>
      <w:r>
        <w:rPr>
          <w:bCs/>
          <w:b/>
        </w:rPr>
        <w:t xml:space="preserve"> </w:t>
      </w:r>
      <w:r>
        <w:rPr>
          <w:bCs/>
          <w:b/>
        </w:rPr>
        <w:t xml:space="preserve">SSL failure</w:t>
      </w:r>
      <w:r>
        <w:t xml:space="preserve">: This subdomain belongs to a different app (</w:t>
      </w:r>
      <w:r>
        <w:t xml:space="preserve">“</w:t>
      </w:r>
      <w:r>
        <w:t xml:space="preserve">7 - Deep Agent Access</w:t>
      </w:r>
      <w:r>
        <w:t xml:space="preserve">”</w:t>
      </w:r>
      <w:r>
        <w:t xml:space="preserve"> </w:t>
      </w:r>
      <w:r>
        <w:t xml:space="preserve">conversation). SSL cert not provisioned there. Fix must happen in that other conversation’s Manage Domains settings.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Calculator</w:t>
      </w:r>
      <w:r>
        <w:t xml:space="preserve">: NEVER use</w:t>
      </w:r>
      <w:r>
        <w:t xml:space="preserve"> </w:t>
      </w:r>
      <w:r>
        <w:rPr>
          <w:rStyle w:val="VerbatimChar"/>
        </w:rPr>
        <w:t xml:space="preserve">apps.abacus.ai/api/chatllm</w:t>
      </w:r>
      <w:r>
        <w:t xml:space="preserve"> </w:t>
      </w:r>
      <w:r>
        <w:t xml:space="preserve">— permanently broken. Local engine only.</w:t>
      </w:r>
    </w:p>
    <w:p>
      <w:r>
        <w:pict>
          <v:rect style="width:0;height:1.5pt" o:hralign="center" o:hrstd="t" o:hr="t"/>
        </w:pict>
      </w:r>
    </w:p>
    <w:bookmarkEnd w:id="28"/>
    <w:bookmarkStart w:id="29" w:name="digital-hum-baseline"/>
    <w:p>
      <w:pPr>
        <w:pStyle w:val="Heading2"/>
      </w:pPr>
      <w:r>
        <w:t xml:space="preserve">DIGITAL HUM BASELINE</w:t>
      </w:r>
    </w:p>
    <w:p>
      <w:pPr>
        <w:numPr>
          <w:ilvl w:val="0"/>
          <w:numId w:val="1004"/>
        </w:numPr>
        <w:pStyle w:val="Compact"/>
      </w:pPr>
      <w:r>
        <w:t xml:space="preserve">74,088t CO₂e/day</w:t>
      </w:r>
    </w:p>
    <w:p>
      <w:pPr>
        <w:numPr>
          <w:ilvl w:val="0"/>
          <w:numId w:val="1004"/>
        </w:numPr>
        <w:pStyle w:val="Compact"/>
      </w:pPr>
      <w:r>
        <w:t xml:space="preserve">12.6 MW baseline (replaced legacy 18.0 MW)</w:t>
      </w:r>
    </w:p>
    <w:p>
      <w:pPr>
        <w:numPr>
          <w:ilvl w:val="0"/>
          <w:numId w:val="1004"/>
        </w:numPr>
        <w:pStyle w:val="Compact"/>
      </w:pPr>
      <w:r>
        <w:t xml:space="preserve">5% shift threshold triggers on-chain Memo anchor</w:t>
      </w:r>
    </w:p>
    <w:p>
      <w:r>
        <w:pict>
          <v:rect style="width:0;height:1.5pt" o:hralign="center" o:hrstd="t" o:hr="t"/>
        </w:pict>
      </w:r>
    </w:p>
    <w:bookmarkEnd w:id="29"/>
    <w:bookmarkStart w:id="30" w:name="seeded-macro-assets"/>
    <w:p>
      <w:pPr>
        <w:pStyle w:val="Heading2"/>
      </w:pPr>
      <w:r>
        <w:t xml:space="preserve">12 SEEDED MACRO-ASSETS</w:t>
      </w:r>
    </w:p>
    <w:p>
      <w:pPr>
        <w:pStyle w:val="FirstParagraph"/>
      </w:pPr>
      <w:r>
        <w:rPr>
          <w:bCs/>
          <w:b/>
        </w:rPr>
        <w:t xml:space="preserve">Exchanges (5):</w:t>
      </w:r>
      <w:r>
        <w:t xml:space="preserve"> </w:t>
      </w:r>
      <w:r>
        <w:t xml:space="preserve">NYSE-01, NASDAQ-01, LSE-01, CME-01, EUREX-01</w:t>
      </w:r>
      <w:r>
        <w:t xml:space="preserve"> </w:t>
      </w:r>
      <w:r>
        <w:rPr>
          <w:bCs/>
          <w:b/>
        </w:rPr>
        <w:t xml:space="preserve">Skyscrapers (4):</w:t>
      </w:r>
      <w:r>
        <w:t xml:space="preserve"> </w:t>
      </w:r>
      <w:r>
        <w:t xml:space="preserve">BURJ-DXB-001, TAI-101-TPE, OWT-NYC-001, SHA-TWR-001</w:t>
      </w:r>
      <w:r>
        <w:t xml:space="preserve"> </w:t>
      </w:r>
      <w:r>
        <w:rPr>
          <w:bCs/>
          <w:b/>
        </w:rPr>
        <w:t xml:space="preserve">Casinos (3):</w:t>
      </w:r>
      <w:r>
        <w:t xml:space="preserve"> </w:t>
      </w:r>
      <w:r>
        <w:t xml:space="preserve">MGM-LV-01, VEN-MAC-01, MBS-SGP-01</w:t>
      </w:r>
    </w:p>
    <w:p>
      <w:r>
        <w:pict>
          <v:rect style="width:0;height:1.5pt" o:hralign="center" o:hrstd="t" o:hr="t"/>
        </w:pict>
      </w:r>
    </w:p>
    <w:bookmarkEnd w:id="30"/>
    <w:bookmarkStart w:id="31" w:name="instructions-for-new-conversation"/>
    <w:p>
      <w:pPr>
        <w:pStyle w:val="Heading2"/>
      </w:pPr>
      <w:r>
        <w:t xml:space="preserve">INSTRUCTIONS FOR NEW CONVERSATION</w:t>
      </w:r>
    </w:p>
    <w:p>
      <w:pPr>
        <w:numPr>
          <w:ilvl w:val="0"/>
          <w:numId w:val="1005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.project_instructions.md</w:t>
      </w:r>
      <w:r>
        <w:t xml:space="preserve"> </w:t>
      </w:r>
      <w:r>
        <w:t xml:space="preserve">first — it’s your persistent memory</w:t>
      </w:r>
    </w:p>
    <w:p>
      <w:pPr>
        <w:numPr>
          <w:ilvl w:val="0"/>
          <w:numId w:val="1005"/>
        </w:numPr>
        <w:pStyle w:val="Compact"/>
      </w:pPr>
      <w:r>
        <w:t xml:space="preserve">The auth system is custom JWT, NOT NextAuth — don’t add NextAuth</w:t>
      </w:r>
    </w:p>
    <w:p>
      <w:pPr>
        <w:numPr>
          <w:ilvl w:val="0"/>
          <w:numId w:val="1005"/>
        </w:numPr>
        <w:pStyle w:val="Compact"/>
      </w:pPr>
      <w:r>
        <w:t xml:space="preserve">Solana = Devnet for notary, Mainnet for EXITZ tokens</w:t>
      </w:r>
    </w:p>
    <w:p>
      <w:pPr>
        <w:numPr>
          <w:ilvl w:val="0"/>
          <w:numId w:val="1005"/>
        </w:numPr>
        <w:pStyle w:val="Compact"/>
      </w:pPr>
      <w:r>
        <w:t xml:space="preserve">Settlement is 70/20/10 — code-enforced, never modify ratios</w:t>
      </w:r>
    </w:p>
    <w:p>
      <w:pPr>
        <w:numPr>
          <w:ilvl w:val="0"/>
          <w:numId w:val="1005"/>
        </w:numPr>
        <w:pStyle w:val="Compact"/>
      </w:pPr>
      <w:r>
        <w:t xml:space="preserve">The user is non-technical — be explicit about URLs and technical steps</w:t>
      </w:r>
    </w:p>
    <w:p>
      <w:pPr>
        <w:numPr>
          <w:ilvl w:val="0"/>
          <w:numId w:val="1005"/>
        </w:numPr>
        <w:pStyle w:val="Compact"/>
      </w:pPr>
      <w:r>
        <w:t xml:space="preserve">Always use</w:t>
      </w:r>
      <w:r>
        <w:t xml:space="preserve"> </w:t>
      </w:r>
      <w:r>
        <w:rPr>
          <w:rStyle w:val="VerbatimChar"/>
        </w:rPr>
        <w:t xml:space="preserve">process.env.NEXTAUTH_URL</w:t>
      </w:r>
      <w:r>
        <w:t xml:space="preserve"> </w:t>
      </w:r>
      <w:r>
        <w:t xml:space="preserve">for public-facing redirect URLs in API routes</w:t>
      </w:r>
    </w:p>
    <w:p>
      <w:pPr>
        <w:numPr>
          <w:ilvl w:val="0"/>
          <w:numId w:val="1005"/>
        </w:numPr>
        <w:pStyle w:val="Compact"/>
      </w:pPr>
      <w:r>
        <w:t xml:space="preserve">Project Bibles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update them when making significant changes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2026-06-08T15:17:35Z</dcterms:created>
  <dcterms:modified xsi:type="dcterms:W3CDTF">2026-06-08T15:17:35Z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