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bedrock-esg-project-bible-v2.2"/>
    <w:p>
      <w:pPr>
        <w:pStyle w:val="Heading1"/>
      </w:pPr>
      <w:r>
        <w:t xml:space="preserve">Bedrock ESG — Project Bible v2.2</w:t>
      </w:r>
    </w:p>
    <w:p>
      <w:pPr>
        <w:pStyle w:val="FirstParagraph"/>
      </w:pPr>
      <w:r>
        <w:rPr>
          <w:bCs/>
          <w:b/>
        </w:rPr>
        <w:t xml:space="preserve">Prepared for</w:t>
      </w:r>
      <w:r>
        <w:t xml:space="preserve">: Partners, Investors, and Advisors</w:t>
      </w:r>
      <w:r>
        <w:br/>
      </w:r>
      <w:r>
        <w:rPr>
          <w:bCs/>
          <w:b/>
        </w:rPr>
        <w:t xml:space="preserve">Version</w:t>
      </w:r>
      <w:r>
        <w:t xml:space="preserve">: 2.2 — Mainnet Compliant Core</w:t>
      </w:r>
      <w:r>
        <w:br/>
      </w:r>
      <w:r>
        <w:rPr>
          <w:bCs/>
          <w:b/>
        </w:rPr>
        <w:t xml:space="preserve">Date</w:t>
      </w:r>
      <w:r>
        <w:t xml:space="preserve">: May 2026</w:t>
      </w:r>
      <w:r>
        <w:br/>
      </w:r>
      <w:r>
        <w:rPr>
          <w:bCs/>
          <w:b/>
        </w:rPr>
        <w:t xml:space="preserve">Status</w:t>
      </w:r>
      <w:r>
        <w:t xml:space="preserve">: Live at bedrockesg.com</w:t>
      </w:r>
    </w:p>
    <w:p>
      <w:r>
        <w:pict>
          <v:rect style="width:0;height:1.5pt" o:hralign="center" o:hrstd="t" o:hr="t"/>
        </w:pict>
      </w:r>
    </w:p>
    <w:bookmarkStart w:id="20" w:name="what-bedrock-esg-does"/>
    <w:p>
      <w:pPr>
        <w:pStyle w:val="Heading2"/>
      </w:pPr>
      <w:r>
        <w:t xml:space="preserve">What Bedrock ESG Does</w:t>
      </w:r>
    </w:p>
    <w:p>
      <w:pPr>
        <w:pStyle w:val="FirstParagraph"/>
      </w:pPr>
      <w:r>
        <w:t xml:space="preserve">Bedrock ESG is an industrial-grade platform that verifies and settles real-world asset value tied to environmental, social, and governance outcomes. It transforms physical materials, real estate transactions, and resource recovery into independently verified, blockchain-anchored records.</w:t>
      </w:r>
    </w:p>
    <w:p>
      <w:pPr>
        <w:pStyle w:val="BodyText"/>
      </w:pPr>
      <w:r>
        <w:t xml:space="preserve">The platform serves asset holders, institutional partners, and field operators who need auditable proof that value creation is genuine, measurable, and compliant.</w:t>
      </w:r>
    </w:p>
    <w:p>
      <w:r>
        <w:pict>
          <v:rect style="width:0;height:1.5pt" o:hralign="center" o:hrstd="t" o:hr="t"/>
        </w:pict>
      </w:r>
    </w:p>
    <w:bookmarkEnd w:id="20"/>
    <w:bookmarkStart w:id="21" w:name="what-aethexer-does"/>
    <w:p>
      <w:pPr>
        <w:pStyle w:val="Heading2"/>
      </w:pPr>
      <w:r>
        <w:t xml:space="preserve">What Aethexer Does</w:t>
      </w:r>
    </w:p>
    <w:p>
      <w:pPr>
        <w:pStyle w:val="FirstParagraph"/>
      </w:pPr>
      <w:r>
        <w:t xml:space="preserve">Aethexer is the protocol layer that governs how information enters, is validated, and exits the Bedrock ESG system. Think of it as the security perimeter and verification engine working together.</w:t>
      </w:r>
    </w:p>
    <w:p>
      <w:pPr>
        <w:pStyle w:val="BodyText"/>
      </w:pPr>
      <w:r>
        <w:t xml:space="preserve">When data arrives — whether from a field operator scanning materials, a property transaction, or a metals custody report — Aethexer performs three checks before anything is accepted:</w:t>
      </w:r>
    </w:p>
    <w:p>
      <w:pPr>
        <w:numPr>
          <w:ilvl w:val="0"/>
          <w:numId w:val="1001"/>
        </w:numPr>
      </w:pPr>
      <w:r>
        <w:rPr>
          <w:bCs/>
          <w:b/>
        </w:rPr>
        <w:t xml:space="preserve">Identity Verification</w:t>
      </w:r>
      <w:r>
        <w:t xml:space="preserve">: Confirms the sender holds valid credentials using a dual-key system with strict timing controls. This prevents unauthorized submissions and replay attacks.</w:t>
      </w:r>
    </w:p>
    <w:p>
      <w:pPr>
        <w:numPr>
          <w:ilvl w:val="0"/>
          <w:numId w:val="1001"/>
        </w:numPr>
      </w:pPr>
      <w:r>
        <w:rPr>
          <w:bCs/>
          <w:b/>
        </w:rPr>
        <w:t xml:space="preserve">Forensic Scoring</w:t>
      </w:r>
      <w:r>
        <w:t xml:space="preserve">: An automated engine evaluates every submission across three dimensions — document integrity, data extraction quality, and spatial/location coherence. Each dimension must meet its threshold before the system will proceed.</w:t>
      </w:r>
    </w:p>
    <w:p>
      <w:pPr>
        <w:numPr>
          <w:ilvl w:val="0"/>
          <w:numId w:val="1001"/>
        </w:numPr>
      </w:pPr>
      <w:r>
        <w:rPr>
          <w:bCs/>
          <w:b/>
        </w:rPr>
        <w:t xml:space="preserve">Immutable Anchoring</w:t>
      </w:r>
      <w:r>
        <w:t xml:space="preserve">: Once verified, a permanent record is written to the Solana blockchain. This creates an independent, tamper-proof audit trail that anyone can verify using a public explorer.</w:t>
      </w:r>
    </w:p>
    <w:p>
      <w:r>
        <w:pict>
          <v:rect style="width:0;height:1.5pt" o:hralign="center" o:hrstd="t" o:hr="t"/>
        </w:pict>
      </w:r>
    </w:p>
    <w:bookmarkEnd w:id="21"/>
    <w:bookmarkStart w:id="22" w:name="the-settlement-model"/>
    <w:p>
      <w:pPr>
        <w:pStyle w:val="Heading2"/>
      </w:pPr>
      <w:r>
        <w:t xml:space="preserve">The Settlement Model</w:t>
      </w:r>
    </w:p>
    <w:p>
      <w:pPr>
        <w:pStyle w:val="FirstParagraph"/>
      </w:pPr>
      <w:r>
        <w:t xml:space="preserve">Every unit of value that moves through Bedrock ESG is divided at the point of settlement using a fixed ratio. This is not a suggestion — it is enforced by the system at the code level.</w:t>
      </w:r>
    </w:p>
    <w:p>
      <w:pPr>
        <w:pStyle w:val="BodyText"/>
      </w:pPr>
      <w:r>
        <w:rPr>
          <w:bCs/>
          <w:b/>
        </w:rPr>
        <w:t xml:space="preserve">70% — Asset Sovereign</w:t>
      </w:r>
      <w:r>
        <w:br/>
      </w:r>
      <w:r>
        <w:t xml:space="preserve">The majority of value flows directly to the verified asset holder. Whether that is a recycling operator, a property owner, or a metals custodian, the entity that owns the underlying asset receives seventy percent.</w:t>
      </w:r>
    </w:p>
    <w:p>
      <w:pPr>
        <w:pStyle w:val="BodyText"/>
      </w:pPr>
      <w:r>
        <w:rPr>
          <w:bCs/>
          <w:b/>
        </w:rPr>
        <w:t xml:space="preserve">20% — Platform Processor</w:t>
      </w:r>
      <w:r>
        <w:br/>
      </w:r>
      <w:r>
        <w:t xml:space="preserve">Twenty percent sustains the infrastructure that makes verification possible. This covers the technology platform, the verification engine, node maintenance, and operational continuity.</w:t>
      </w:r>
    </w:p>
    <w:p>
      <w:pPr>
        <w:pStyle w:val="BodyText"/>
      </w:pPr>
      <w:r>
        <w:rPr>
          <w:bCs/>
          <w:b/>
        </w:rPr>
        <w:t xml:space="preserve">10% — Public Resilience</w:t>
      </w:r>
      <w:r>
        <w:br/>
      </w:r>
      <w:r>
        <w:t xml:space="preserve">Ten percent is allocated to public benefit. This is a unified block — it is not subdivided into fixed categories. Routing decisions are made dynamically based on the asset class and context, ensuring the funds serve the most appropriate community purpose.</w:t>
      </w:r>
    </w:p>
    <w:p>
      <w:pPr>
        <w:pStyle w:val="BodyText"/>
      </w:pPr>
      <w:r>
        <w:t xml:space="preserve">The system includes a compliance mechanism called the Zero Greed Policy. If any transaction attempts to reduce the Public Resilience allocation below ten percent, the settlement is flagged and held until the correct ratio is restored. No exceptions.</w:t>
      </w:r>
    </w:p>
    <w:p>
      <w:r>
        <w:pict>
          <v:rect style="width:0;height:1.5pt" o:hralign="center" o:hrstd="t" o:hr="t"/>
        </w:pict>
      </w:r>
    </w:p>
    <w:bookmarkEnd w:id="22"/>
    <w:bookmarkStart w:id="28" w:name="the-five-asset-classes"/>
    <w:p>
      <w:pPr>
        <w:pStyle w:val="Heading2"/>
      </w:pPr>
      <w:r>
        <w:t xml:space="preserve">The Five Asset Classes</w:t>
      </w:r>
    </w:p>
    <w:p>
      <w:pPr>
        <w:pStyle w:val="FirstParagraph"/>
      </w:pPr>
      <w:r>
        <w:t xml:space="preserve">Bedrock ESG is designed to handle five distinct categories of real-world assets. Each follows the same settlement model but carries its own verification requirements and industry context.</w:t>
      </w:r>
    </w:p>
    <w:bookmarkStart w:id="23" w:name="variant-a-sovereign-skin"/>
    <w:p>
      <w:pPr>
        <w:pStyle w:val="Heading3"/>
      </w:pPr>
      <w:r>
        <w:t xml:space="preserve">Variant A — Sovereign Skin</w:t>
      </w:r>
    </w:p>
    <w:p>
      <w:pPr>
        <w:pStyle w:val="FirstParagraph"/>
      </w:pPr>
      <w:r>
        <w:t xml:space="preserve">This covers thermodynamic and kinetic materials — primarily asphalt recycling, surface materials, and circular construction inputs. When reclaimed asphalt pavement replaces virgin materials, the carbon savings are calculated using established lifecycle assessment formulas and verified through the platform.</w:t>
      </w:r>
    </w:p>
    <w:bookmarkEnd w:id="23"/>
    <w:bookmarkStart w:id="24" w:name="variant-b-industrial-property"/>
    <w:p>
      <w:pPr>
        <w:pStyle w:val="Heading3"/>
      </w:pPr>
      <w:r>
        <w:t xml:space="preserve">Variant B — Industrial Property</w:t>
      </w:r>
    </w:p>
    <w:p>
      <w:pPr>
        <w:pStyle w:val="FirstParagraph"/>
      </w:pPr>
      <w:r>
        <w:t xml:space="preserve">Commercial and industrial real estate — warehouses, factories, logistics centers, and commercial buildings. The platform quantifies the environmental efficiencies generated through digital transactions, reduced logistics, and property improvements.</w:t>
      </w:r>
    </w:p>
    <w:bookmarkEnd w:id="24"/>
    <w:bookmarkStart w:id="25" w:name="variant-c-residential-property"/>
    <w:p>
      <w:pPr>
        <w:pStyle w:val="Heading3"/>
      </w:pPr>
      <w:r>
        <w:t xml:space="preserve">Variant C — Residential Property</w:t>
      </w:r>
    </w:p>
    <w:p>
      <w:pPr>
        <w:pStyle w:val="FirstParagraph"/>
      </w:pPr>
      <w:r>
        <w:t xml:space="preserve">Single-family homes, multi-family units, condominiums, and rental properties. The same efficiency quantification applies, with additional provisions for tenant participation and property hardening initiatives.</w:t>
      </w:r>
    </w:p>
    <w:bookmarkEnd w:id="25"/>
    <w:bookmarkStart w:id="26" w:name="variant-d-physical-commodities"/>
    <w:p>
      <w:pPr>
        <w:pStyle w:val="Heading3"/>
      </w:pPr>
      <w:r>
        <w:t xml:space="preserve">Variant D — Physical Commodities</w:t>
      </w:r>
    </w:p>
    <w:p>
      <w:pPr>
        <w:pStyle w:val="FirstParagraph"/>
      </w:pPr>
      <w:r>
        <w:t xml:space="preserve">Fiat currency, commodity materials, and tangible goods that pass through destruction or transformation processes. The platform calculates the carbon avoided when materials are diverted from high-impact pathways.</w:t>
      </w:r>
    </w:p>
    <w:bookmarkEnd w:id="26"/>
    <w:bookmarkStart w:id="27" w:name="variant-e-precious-metals-custodial"/>
    <w:p>
      <w:pPr>
        <w:pStyle w:val="Heading3"/>
      </w:pPr>
      <w:r>
        <w:t xml:space="preserve">Variant E — Precious Metals (Custodial)</w:t>
      </w:r>
    </w:p>
    <w:p>
      <w:pPr>
        <w:pStyle w:val="FirstParagraph"/>
      </w:pPr>
      <w:r>
        <w:t xml:space="preserve">Gold, silver, and platinum entering a custodial verification pipeline. The Verified Asset Value is calculated using a specific formula: the spot price at the time of ingest, multiplied by weight and purity, minus any refinery discount. Assay certification status is tracked at every stage.</w:t>
      </w:r>
    </w:p>
    <w:p>
      <w:r>
        <w:pict>
          <v:rect style="width:0;height:1.5pt" o:hralign="center" o:hrstd="t" o:hr="t"/>
        </w:pict>
      </w:r>
    </w:p>
    <w:bookmarkEnd w:id="27"/>
    <w:bookmarkEnd w:id="28"/>
    <w:bookmarkStart w:id="29" w:name="the-verification-engine"/>
    <w:p>
      <w:pPr>
        <w:pStyle w:val="Heading2"/>
      </w:pPr>
      <w:r>
        <w:t xml:space="preserve">The Verification Engine</w:t>
      </w:r>
    </w:p>
    <w:p>
      <w:pPr>
        <w:pStyle w:val="FirstParagraph"/>
      </w:pPr>
      <w:r>
        <w:t xml:space="preserve">Every submission that enters Bedrock ESG passes through a seven-tier evaluation system. This is not a binary pass/fail — it is a graduated scale that determines how each submission is handled.</w:t>
      </w:r>
    </w:p>
    <w:p>
      <w:pPr>
        <w:pStyle w:val="BodyText"/>
      </w:pPr>
      <w:r>
        <w:t xml:space="preserve">At the top, submissions that score above ninety-five percent with zero failures are approved automatically and proceed to settlement without delay.</w:t>
      </w:r>
    </w:p>
    <w:p>
      <w:pPr>
        <w:pStyle w:val="BodyText"/>
      </w:pPr>
      <w:r>
        <w:t xml:space="preserve">Submissions scoring between seventy-five and ninety-four percent with no more than one minor issue are routed to a manual review queue for sovereign oversight.</w:t>
      </w:r>
    </w:p>
    <w:p>
      <w:pPr>
        <w:pStyle w:val="BodyText"/>
      </w:pPr>
      <w:r>
        <w:t xml:space="preserve">Those in the sixty-five to seventy-four percent range enter an authorization hold, where additional verification is gathered before proceeding.</w:t>
      </w:r>
    </w:p>
    <w:p>
      <w:pPr>
        <w:pStyle w:val="BodyText"/>
      </w:pPr>
      <w:r>
        <w:t xml:space="preserve">Submissions that fall below sixty-five percent or have two or more failures are rejected outright. No settlement occurs.</w:t>
      </w:r>
    </w:p>
    <w:p>
      <w:pPr>
        <w:pStyle w:val="BodyText"/>
      </w:pPr>
      <w:r>
        <w:t xml:space="preserve">Additional tiers handle special conditions — manual sovereign holds, escrow-based reviews, and platform-level infrastructure checks. The goal is to ensure that only genuinely verified assets reach settlement, while providing clear pathways for submissions that need additional documentation.</w:t>
      </w:r>
    </w:p>
    <w:p>
      <w:r>
        <w:pict>
          <v:rect style="width:0;height:1.5pt" o:hralign="center" o:hrstd="t" o:hr="t"/>
        </w:pict>
      </w:r>
    </w:p>
    <w:bookmarkEnd w:id="29"/>
    <w:bookmarkStart w:id="30" w:name="blockchain-anchoring"/>
    <w:p>
      <w:pPr>
        <w:pStyle w:val="Heading2"/>
      </w:pPr>
      <w:r>
        <w:t xml:space="preserve">Blockchain Anchoring</w:t>
      </w:r>
    </w:p>
    <w:p>
      <w:pPr>
        <w:pStyle w:val="FirstParagraph"/>
      </w:pPr>
      <w:r>
        <w:t xml:space="preserve">Bedrock ESG writes permanent records to the Solana blockchain using the Mainnet network. This is not a test environment — every anchor is a live, publicly verifiable transaction.</w:t>
      </w:r>
    </w:p>
    <w:p>
      <w:pPr>
        <w:pStyle w:val="BodyText"/>
      </w:pPr>
      <w:r>
        <w:t xml:space="preserve">The system uses the Solana Memo Program to embed structured data into each transaction. This data includes the type of verification, the entity involved, a cryptographic hash of the underlying data, and a timestamp. Anyone with the transaction signature can look it up on the Solana Explorer and independently confirm what was recorded.</w:t>
      </w:r>
    </w:p>
    <w:p>
      <w:pPr>
        <w:pStyle w:val="BodyText"/>
      </w:pPr>
      <w:r>
        <w:t xml:space="preserve">The signing identity is institutional — labeled as the Aethexer Notary Node. No personal names appear on chain. A production safety mechanism ensures that if the signing key is misconfigured, the system halts anchoring rather than writing invalid records.</w:t>
      </w:r>
    </w:p>
    <w:p>
      <w:r>
        <w:pict>
          <v:rect style="width:0;height:1.5pt" o:hralign="center" o:hrstd="t" o:hr="t"/>
        </w:pict>
      </w:r>
    </w:p>
    <w:bookmarkEnd w:id="30"/>
    <w:bookmarkStart w:id="31" w:name="current-build-and-deployment-status"/>
    <w:p>
      <w:pPr>
        <w:pStyle w:val="Heading2"/>
      </w:pPr>
      <w:r>
        <w:t xml:space="preserve">Current Build and Deployment Status</w:t>
      </w:r>
    </w:p>
    <w:p>
      <w:pPr>
        <w:pStyle w:val="FirstParagraph"/>
      </w:pPr>
      <w:r>
        <w:t xml:space="preserve">Bedrock ESG is live and deployed at</w:t>
      </w:r>
      <w:r>
        <w:t xml:space="preserve"> </w:t>
      </w:r>
      <w:r>
        <w:rPr>
          <w:bCs/>
          <w:b/>
        </w:rPr>
        <w:t xml:space="preserve">bedrockesg.com</w:t>
      </w:r>
      <w:r>
        <w:t xml:space="preserve">.</w:t>
      </w:r>
    </w:p>
    <w:p>
      <w:pPr>
        <w:pStyle w:val="BodyText"/>
      </w:pPr>
      <w:r>
        <w:t xml:space="preserve">The platform is running on the Solana Mainnet with the repository tagged at</w:t>
      </w:r>
      <w:r>
        <w:t xml:space="preserve"> </w:t>
      </w:r>
      <w:r>
        <w:rPr>
          <w:bCs/>
          <w:b/>
        </w:rPr>
        <w:t xml:space="preserve">v2.2-mainnet-ready</w:t>
      </w:r>
      <w:r>
        <w:t xml:space="preserve">. All staging identifiers have been removed from the codebase. The verification engine, settlement logic, and blockchain anchoring are fully operational.</w:t>
      </w:r>
    </w:p>
    <w:p>
      <w:pPr>
        <w:pStyle w:val="BodyText"/>
      </w:pPr>
      <w:r>
        <w:t xml:space="preserve">The system currently supports:</w:t>
      </w:r>
    </w:p>
    <w:p>
      <w:pPr>
        <w:numPr>
          <w:ilvl w:val="0"/>
          <w:numId w:val="1002"/>
        </w:numPr>
        <w:pStyle w:val="Compact"/>
      </w:pPr>
      <w:r>
        <w:t xml:space="preserve">Carbon verification for asphalt recycling with lifecycle assessment calculations</w:t>
      </w:r>
    </w:p>
    <w:p>
      <w:pPr>
        <w:numPr>
          <w:ilvl w:val="0"/>
          <w:numId w:val="1002"/>
        </w:numPr>
        <w:pStyle w:val="Compact"/>
      </w:pPr>
      <w:r>
        <w:t xml:space="preserve">Biochar carbon dioxide removal tracking with dual-chain attestation</w:t>
      </w:r>
    </w:p>
    <w:p>
      <w:pPr>
        <w:numPr>
          <w:ilvl w:val="0"/>
          <w:numId w:val="1002"/>
        </w:numPr>
        <w:pStyle w:val="Compact"/>
      </w:pPr>
      <w:r>
        <w:t xml:space="preserve">Metal recovery emissions avoided calculations across ten metal types</w:t>
      </w:r>
    </w:p>
    <w:p>
      <w:pPr>
        <w:numPr>
          <w:ilvl w:val="0"/>
          <w:numId w:val="1002"/>
        </w:numPr>
        <w:pStyle w:val="Compact"/>
      </w:pPr>
      <w:r>
        <w:t xml:space="preserve">A business submission portal with multi-track document processing</w:t>
      </w:r>
    </w:p>
    <w:p>
      <w:pPr>
        <w:numPr>
          <w:ilvl w:val="0"/>
          <w:numId w:val="1002"/>
        </w:numPr>
        <w:pStyle w:val="Compact"/>
      </w:pPr>
      <w:r>
        <w:t xml:space="preserve">AI-powered forensic document parsing for multiple file formats</w:t>
      </w:r>
    </w:p>
    <w:p>
      <w:pPr>
        <w:numPr>
          <w:ilvl w:val="0"/>
          <w:numId w:val="1002"/>
        </w:numPr>
        <w:pStyle w:val="Compact"/>
      </w:pPr>
      <w:r>
        <w:t xml:space="preserve">Sovereign certificate generation for completed settlements</w:t>
      </w:r>
    </w:p>
    <w:p>
      <w:pPr>
        <w:numPr>
          <w:ilvl w:val="0"/>
          <w:numId w:val="1002"/>
        </w:numPr>
        <w:pStyle w:val="Compact"/>
      </w:pPr>
      <w:r>
        <w:t xml:space="preserve">A field agent portal with verification queues</w:t>
      </w:r>
    </w:p>
    <w:p>
      <w:pPr>
        <w:numPr>
          <w:ilvl w:val="0"/>
          <w:numId w:val="1002"/>
        </w:numPr>
        <w:pStyle w:val="Compact"/>
      </w:pPr>
      <w:r>
        <w:t xml:space="preserve">An emission factor database combining forty industry-standard factors</w:t>
      </w:r>
    </w:p>
    <w:p>
      <w:pPr>
        <w:numPr>
          <w:ilvl w:val="0"/>
          <w:numId w:val="1002"/>
        </w:numPr>
        <w:pStyle w:val="Compact"/>
      </w:pPr>
      <w:r>
        <w:t xml:space="preserve">Three-dimensional spatial scanning with PLY and Gaussian Splat support</w:t>
      </w:r>
    </w:p>
    <w:p>
      <w:pPr>
        <w:numPr>
          <w:ilvl w:val="0"/>
          <w:numId w:val="1002"/>
        </w:numPr>
        <w:pStyle w:val="Compact"/>
      </w:pPr>
      <w:r>
        <w:t xml:space="preserve">A dynamic market frequency listener for real-time baseline calibration</w:t>
      </w:r>
    </w:p>
    <w:p>
      <w:r>
        <w:pict>
          <v:rect style="width:0;height:1.5pt" o:hralign="center" o:hrstd="t" o:hr="t"/>
        </w:pict>
      </w:r>
    </w:p>
    <w:bookmarkEnd w:id="31"/>
    <w:bookmarkStart w:id="32" w:name="the-token-ecosystem"/>
    <w:p>
      <w:pPr>
        <w:pStyle w:val="Heading2"/>
      </w:pPr>
      <w:r>
        <w:t xml:space="preserve">The Token Ecosystem</w:t>
      </w:r>
    </w:p>
    <w:p>
      <w:pPr>
        <w:pStyle w:val="FirstParagraph"/>
      </w:pPr>
      <w:r>
        <w:t xml:space="preserve">Bedrock ESG maintains a token presence on the Solana Mainnet through the EXITZ token family. These are Token-2022 standard tokens with on-chain metadata and forensic memo anchors linking back to the verification platform.</w:t>
      </w:r>
    </w:p>
    <w:p>
      <w:pPr>
        <w:pStyle w:val="BodyText"/>
      </w:pPr>
      <w:r>
        <w:t xml:space="preserve">The ecosystem includes the base EXITZ token and specialized variants for Classic Vehicles and Fine Art. Mobile assets use a VIN and odometer-based integrity model, while stationary assets tie into the platform’s seismic baseline monitoring.</w:t>
      </w:r>
    </w:p>
    <w:p>
      <w:r>
        <w:pict>
          <v:rect style="width:0;height:1.5pt" o:hralign="center" o:hrstd="t" o:hr="t"/>
        </w:pict>
      </w:r>
    </w:p>
    <w:bookmarkEnd w:id="32"/>
    <w:bookmarkStart w:id="33" w:name="summary"/>
    <w:p>
      <w:pPr>
        <w:pStyle w:val="Heading2"/>
      </w:pPr>
      <w:r>
        <w:t xml:space="preserve">Summary</w:t>
      </w:r>
    </w:p>
    <w:p>
      <w:pPr>
        <w:pStyle w:val="FirstParagraph"/>
      </w:pPr>
      <w:r>
        <w:t xml:space="preserve">Bedrock ESG combines industrial carbon verification, real-world asset settlement, and blockchain-grade auditability into a single platform. The seventy-twenty-ten settlement model ensures fair value distribution. The seven-tier verification engine ensures quality. The Solana Mainnet anchor ensures permanence.</w:t>
      </w:r>
    </w:p>
    <w:p>
      <w:pPr>
        <w:pStyle w:val="BodyText"/>
      </w:pPr>
      <w:r>
        <w:t xml:space="preserve">Every record is independently verifiable. Every settlement follows the same rules. Every asset class receives institutional-grade treatment.</w:t>
      </w:r>
    </w:p>
    <w:p>
      <w:r>
        <w:pict>
          <v:rect style="width:0;height:1.5pt" o:hralign="center" o:hrstd="t" o:hr="t"/>
        </w:pict>
      </w:r>
    </w:p>
    <w:p>
      <w:pPr>
        <w:pStyle w:val="FirstParagraph"/>
      </w:pPr>
      <w:r>
        <w:rPr>
          <w:iCs/>
          <w:i/>
        </w:rPr>
        <w:t xml:space="preserve">Bedrock ESG — v2.2 Mainnet Compliant Core</w:t>
      </w:r>
      <w:r>
        <w:br/>
      </w:r>
      <w:r>
        <w:rPr>
          <w:iCs/>
          <w:i/>
        </w:rPr>
        <w:t xml:space="preserve">Tag: BT-C9C4C5</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2026-05-27T15:54:27Z</dcterms:created>
  <dcterms:modified xsi:type="dcterms:W3CDTF">2026-05-27T15:54:27Z</dcterms:modified>
</cp:coreProperties>
</file>

<file path=docProps/custom.xml><?xml version="1.0" encoding="utf-8"?>
<Properties xmlns="http://schemas.openxmlformats.org/officeDocument/2006/custom-properties" xmlns:vt="http://schemas.openxmlformats.org/officeDocument/2006/docPropsVTypes"/>
</file>