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78c7f47db244098594ed3f0aa73e91fbefad2e1"/>
    <w:p>
      <w:pPr>
        <w:pStyle w:val="Heading1"/>
      </w:pPr>
      <w:r>
        <w:t xml:space="preserve">PROJECT BIBLE — BT-C9C4C5 v2.2 (Technical Reference)</w:t>
      </w:r>
    </w:p>
    <w:p>
      <w:pPr>
        <w:pStyle w:val="BlockText"/>
      </w:pPr>
      <w:r>
        <w:rPr>
          <w:bCs/>
          <w:b/>
        </w:rPr>
        <w:t xml:space="preserve">Format</w:t>
      </w:r>
      <w:r>
        <w:t xml:space="preserve">: Machine-readable / AI-LLM ingestion</w:t>
      </w:r>
      <w:r>
        <w:br/>
      </w:r>
      <w:r>
        <w:rPr>
          <w:bCs/>
          <w:b/>
        </w:rPr>
        <w:t xml:space="preserve">Tag</w:t>
      </w:r>
      <w:r>
        <w:t xml:space="preserve">: BT-C9C4C5</w:t>
      </w:r>
      <w:r>
        <w:br/>
      </w:r>
      <w:r>
        <w:rPr>
          <w:bCs/>
          <w:b/>
        </w:rPr>
        <w:t xml:space="preserve">Version</w:t>
      </w:r>
      <w:r>
        <w:t xml:space="preserve">: 2.2 — Mainnet Compliant Core</w:t>
      </w:r>
      <w:r>
        <w:br/>
      </w:r>
      <w:r>
        <w:rPr>
          <w:bCs/>
          <w:b/>
        </w:rPr>
        <w:t xml:space="preserve">Generated</w:t>
      </w:r>
      <w:r>
        <w:t xml:space="preserve">: 2026-05-27</w:t>
      </w:r>
      <w:r>
        <w:br/>
      </w:r>
      <w:r>
        <w:rPr>
          <w:bCs/>
          <w:b/>
        </w:rPr>
        <w:t xml:space="preserve">Inheritance Scope</w:t>
      </w:r>
      <w:r>
        <w:t xml:space="preserve">: All future modules MUST conform to this document.</w:t>
      </w:r>
    </w:p>
    <w:p>
      <w:r>
        <w:pict>
          <v:rect style="width:0;height:1.5pt" o:hralign="center" o:hrstd="t" o:hr="t"/>
        </w:pict>
      </w:r>
    </w:p>
    <w:bookmarkStart w:id="20" w:name="system-identity"/>
    <w:p>
      <w:pPr>
        <w:pStyle w:val="Heading2"/>
      </w:pPr>
      <w:r>
        <w:t xml:space="preserve">§1 — SYSTEM IDENTITY</w:t>
      </w:r>
    </w:p>
    <w:p>
      <w:pPr>
        <w:pStyle w:val="SourceCode"/>
      </w:pPr>
      <w:r>
        <w:rPr>
          <w:rStyle w:val="FunctionTok"/>
        </w:rPr>
        <w:t xml:space="preserve">project_name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Bedrock ESG</w:t>
      </w:r>
      <w:r>
        <w:br/>
      </w:r>
      <w:r>
        <w:rPr>
          <w:rStyle w:val="FunctionTok"/>
        </w:rPr>
        <w:t xml:space="preserve">project_type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Industrial Carbon Verification Platform</w:t>
      </w:r>
      <w:r>
        <w:br/>
      </w:r>
      <w:r>
        <w:rPr>
          <w:rStyle w:val="FunctionTok"/>
        </w:rPr>
        <w:t xml:space="preserve">domain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bedrockesg.com</w:t>
      </w:r>
      <w:r>
        <w:br/>
      </w:r>
      <w:r>
        <w:rPr>
          <w:rStyle w:val="FunctionTok"/>
        </w:rPr>
        <w:t xml:space="preserve">repo_tag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v2.2-mainnet-ready</w:t>
      </w:r>
      <w:r>
        <w:br/>
      </w:r>
      <w:r>
        <w:rPr>
          <w:rStyle w:val="FunctionTok"/>
        </w:rPr>
        <w:t xml:space="preserve">stack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Fullstack Web Application (Server-Side Rendering)</w:t>
      </w:r>
      <w:r>
        <w:br/>
      </w:r>
      <w:r>
        <w:rPr>
          <w:rStyle w:val="FunctionTok"/>
        </w:rPr>
        <w:t xml:space="preserve">db_engine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 (Prisma ORM)</w:t>
      </w:r>
      <w:r>
        <w:br/>
      </w:r>
      <w:r>
        <w:rPr>
          <w:rStyle w:val="FunctionTok"/>
        </w:rPr>
        <w:t xml:space="preserve">blockchain_cluster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solana-mainnet-beta</w:t>
      </w:r>
      <w:r>
        <w:br/>
      </w:r>
      <w:r>
        <w:rPr>
          <w:rStyle w:val="FunctionTok"/>
        </w:rPr>
        <w:t xml:space="preserve">notary_identity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"Aethexer Notary Node"</w:t>
      </w:r>
      <w:r>
        <w:br/>
      </w:r>
      <w:r>
        <w:rPr>
          <w:rStyle w:val="FunctionTok"/>
        </w:rPr>
        <w:t xml:space="preserve">notary_node_id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"Sentinel Node-01"</w:t>
      </w:r>
      <w:r>
        <w:br/>
      </w:r>
      <w:r>
        <w:rPr>
          <w:rStyle w:val="FunctionTok"/>
        </w:rPr>
        <w:t xml:space="preserve">notary_version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"2.2.0"</w:t>
      </w:r>
      <w:r>
        <w:br/>
      </w:r>
      <w:r>
        <w:rPr>
          <w:rStyle w:val="FunctionTok"/>
        </w:rPr>
        <w:t xml:space="preserve">auth_protocol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"aethexer-v1"</w:t>
      </w:r>
    </w:p>
    <w:p>
      <w:r>
        <w:pict>
          <v:rect style="width:0;height:1.5pt" o:hralign="center" o:hrstd="t" o:hr="t"/>
        </w:pict>
      </w:r>
    </w:p>
    <w:bookmarkEnd w:id="20"/>
    <w:bookmarkStart w:id="25" w:name="sovereign-settlement-model-702010"/>
    <w:p>
      <w:pPr>
        <w:pStyle w:val="Heading2"/>
      </w:pPr>
      <w:r>
        <w:t xml:space="preserve">§2 — SOVEREIGN SETTLEMENT MODEL (70/20/10)</w:t>
      </w:r>
    </w:p>
    <w:bookmarkStart w:id="21" w:name="constants"/>
    <w:p>
      <w:pPr>
        <w:pStyle w:val="Heading3"/>
      </w:pPr>
      <w:r>
        <w:t xml:space="preserve">§2.1 — Constants</w:t>
      </w:r>
    </w:p>
    <w:p>
      <w:pPr>
        <w:pStyle w:val="SourceCode"/>
      </w:pPr>
      <w:r>
        <w:rPr>
          <w:rStyle w:val="FunctionTok"/>
        </w:rPr>
        <w:t xml:space="preserve">split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FOUNDER_YIELD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0.70</w:t>
      </w:r>
      <w:r>
        <w:rPr>
          <w:rStyle w:val="CommentTok"/>
        </w:rPr>
        <w:t xml:space="preserve">   # Display label: "Asset Sovereign"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STEWARDSHIP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0.20</w:t>
      </w:r>
      <w:r>
        <w:rPr>
          <w:rStyle w:val="CommentTok"/>
        </w:rPr>
        <w:t xml:space="preserve">     # Display label: "Platform Processor"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PUBLIC_RESILIENCE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0.10</w:t>
      </w:r>
      <w:r>
        <w:rPr>
          <w:rStyle w:val="CommentTok"/>
        </w:rPr>
        <w:t xml:space="preserve">  # Display label: "Public Resilience"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SUM_INVARIANT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1.00</w:t>
      </w:r>
      <w:r>
        <w:rPr>
          <w:rStyle w:val="CommentTok"/>
        </w:rPr>
        <w:t xml:space="preserve">   # MUST always equal 1.0 — runtime assertion enforced</w:t>
      </w:r>
    </w:p>
    <w:bookmarkEnd w:id="21"/>
    <w:bookmarkStart w:id="22" w:name="display-labels-settlement_labels"/>
    <w:p>
      <w:pPr>
        <w:pStyle w:val="Heading3"/>
      </w:pPr>
      <w:r>
        <w:t xml:space="preserve">§2.2 — Display Labels (SETTLEMENT_LABELS)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70"/>
        <w:gridCol w:w="1080"/>
        <w:gridCol w:w="1890"/>
        <w:gridCol w:w="37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Constant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Sovereign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liquidity for the Verified Asset Holder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TWENTY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of Bedrock ESG / Unicon / Freality nodes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Resilience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Non-custodial routing to resilience grants</w:t>
            </w:r>
          </w:p>
        </w:tc>
      </w:tr>
    </w:tbl>
    <w:bookmarkEnd w:id="22"/>
    <w:bookmarkStart w:id="23" w:name="zero-greed-policy"/>
    <w:p>
      <w:pPr>
        <w:pStyle w:val="Heading3"/>
      </w:pPr>
      <w:r>
        <w:t xml:space="preserve">§2.3 — Zero Greed Policy</w:t>
      </w:r>
    </w:p>
    <w:p>
      <w:pPr>
        <w:pStyle w:val="SourceCode"/>
      </w:pPr>
      <w:r>
        <w:rPr>
          <w:rStyle w:val="VerbatimChar"/>
        </w:rPr>
        <w:t xml:space="preserve">IF (publicResilience / total) &lt; 0.10 - 0.001 THEN status = HIGH_FRICTION</w:t>
      </w:r>
      <w:r>
        <w:br/>
      </w:r>
      <w:r>
        <w:rPr>
          <w:rStyle w:val="VerbatimChar"/>
        </w:rPr>
        <w:t xml:space="preserve">HIGH_FRICTION blocks settlement until ratio is restored.</w:t>
      </w:r>
      <w:r>
        <w:br/>
      </w:r>
      <w:r>
        <w:rPr>
          <w:rStyle w:val="VerbatimChar"/>
        </w:rPr>
        <w:t xml:space="preserve">Tolerance: ±0.1% for rounding errors only.</w:t>
      </w:r>
    </w:p>
    <w:bookmarkEnd w:id="23"/>
    <w:bookmarkStart w:id="24" w:name="rules"/>
    <w:p>
      <w:pPr>
        <w:pStyle w:val="Heading3"/>
      </w:pPr>
      <w:r>
        <w:t xml:space="preserve">§2.4 — Rules</w:t>
      </w:r>
    </w:p>
    <w:p>
      <w:pPr>
        <w:numPr>
          <w:ilvl w:val="0"/>
          <w:numId w:val="1001"/>
        </w:numPr>
        <w:pStyle w:val="Compact"/>
      </w:pPr>
      <w:r>
        <w:t xml:space="preserve">The 10% Public Resilience block is a</w:t>
      </w:r>
      <w:r>
        <w:t xml:space="preserve"> </w:t>
      </w:r>
      <w:r>
        <w:rPr>
          <w:bCs/>
          <w:b/>
        </w:rPr>
        <w:t xml:space="preserve">singular, unified block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BANNED</w:t>
      </w:r>
      <w:r>
        <w:t xml:space="preserve">: Hardcoded sub-splits within the 10% tier.</w:t>
      </w:r>
    </w:p>
    <w:p>
      <w:pPr>
        <w:numPr>
          <w:ilvl w:val="0"/>
          <w:numId w:val="1001"/>
        </w:numPr>
        <w:pStyle w:val="Compact"/>
      </w:pPr>
      <w:r>
        <w:t xml:space="preserve">Dynamic routing by</w:t>
      </w:r>
      <w:r>
        <w:t xml:space="preserve"> </w:t>
      </w:r>
      <w:r>
        <w:rPr>
          <w:rStyle w:val="VerbatimChar"/>
        </w:rPr>
        <w:t xml:space="preserve">assetClass</w:t>
      </w:r>
      <w:r>
        <w:t xml:space="preserve"> </w:t>
      </w:r>
      <w:r>
        <w:t xml:space="preserve">is permitted at the metadata level only (</w:t>
      </w:r>
      <w:r>
        <w:rPr>
          <w:rStyle w:val="VerbatimChar"/>
        </w:rPr>
        <w:t xml:space="preserve">assetClassMetadata</w:t>
      </w:r>
      <w:r>
        <w:t xml:space="preserve"> </w:t>
      </w:r>
      <w:r>
        <w:t xml:space="preserve">JSON field).</w:t>
      </w:r>
    </w:p>
    <w:p>
      <w:pPr>
        <w:numPr>
          <w:ilvl w:val="0"/>
          <w:numId w:val="1001"/>
        </w:numPr>
        <w:pStyle w:val="Compact"/>
      </w:pPr>
      <w:r>
        <w:t xml:space="preserve">Internal DB field names (</w:t>
      </w:r>
      <w:r>
        <w:rPr>
          <w:rStyle w:val="VerbatimChar"/>
        </w:rPr>
        <w:t xml:space="preserve">founderYieldUsd</w:t>
      </w:r>
      <w:r>
        <w:t xml:space="preserve">,</w:t>
      </w:r>
      <w:r>
        <w:t xml:space="preserve"> </w:t>
      </w:r>
      <w:r>
        <w:rPr>
          <w:rStyle w:val="VerbatimChar"/>
        </w:rPr>
        <w:t xml:space="preserve">stewardshipUsd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publicResilienceUsd</w:t>
      </w:r>
      <w:r>
        <w:t xml:space="preserve">) are frozen for schema compatibility.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asset-class-variants-ae"/>
    <w:p>
      <w:pPr>
        <w:pStyle w:val="Heading2"/>
      </w:pPr>
      <w:r>
        <w:t xml:space="preserve">§3 — ASSET CLASS VARIANTS (A–E)</w:t>
      </w:r>
    </w:p>
    <w:p>
      <w:pPr>
        <w:pStyle w:val="SourceCode"/>
      </w:pPr>
      <w:r>
        <w:rPr>
          <w:rStyle w:val="FunctionTok"/>
        </w:rPr>
        <w:t xml:space="preserve">asset_class_variants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SOVEREIGN_SKIN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"Sovereign Skin™ / Gripsy"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characteristics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Thermodynamic + Kinetic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Asphalt recycling, surface materials, circular construction inputs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PROPERTY_INDUSTRIAL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"Property — Industrial"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characteristics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Commercial / Industrial Real Estate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Warehouses, factories, logistics centers, commercial buildings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PROPERTY_RESIDENTIAL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"Property — Residential"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characteristics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Residential Real Estate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Single-family, multi-family, condominiums, rental properties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PHYSICAL_COMMODITIES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"Physical Commodities"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characteristics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Fiat Currency, Commodities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Currency destruction, commodity extraction, dead mass processing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PRECIOUS_METALS_CUSTODIAL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"Precious Metals Custodial"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characteristics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Gold, Silver, Platinum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Custodial pipeline with assay verification</w:t>
      </w:r>
    </w:p>
    <w:bookmarkStart w:id="26" w:name="precious-metals-val-formula-variant-e"/>
    <w:p>
      <w:pPr>
        <w:pStyle w:val="Heading3"/>
      </w:pPr>
      <w:r>
        <w:t xml:space="preserve">§3.1 — Precious Metals VAL Formula (Variant E)</w:t>
      </w:r>
    </w:p>
    <w:p>
      <w:pPr>
        <w:pStyle w:val="SourceCode"/>
      </w:pPr>
      <w:r>
        <w:rPr>
          <w:rStyle w:val="VerbatimChar"/>
        </w:rPr>
        <w:t xml:space="preserve">VAL = (Spot Price × Weight × purity_percentage) − Refinery Discount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purityPercentage</w:t>
      </w:r>
      <w:r>
        <w:t xml:space="preserve">: 0.0–1.0 (e.g., 0.999 for 99.9%)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assayStatus</w:t>
      </w:r>
      <w:r>
        <w:t xml:space="preserve">: UNASSAYED | PENDING | CERTIFIED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refineryDiscount</w:t>
      </w:r>
      <w:r>
        <w:t xml:space="preserve">: USD flat discount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spotPriceAtIngest</w:t>
      </w:r>
      <w:r>
        <w:t xml:space="preserve">: Captured at submission time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verifiedAssetValue</w:t>
      </w:r>
      <w:r>
        <w:t xml:space="preserve">: Computed VAL stored on Submission record</w:t>
      </w:r>
    </w:p>
    <w:bookmarkEnd w:id="26"/>
    <w:bookmarkStart w:id="27" w:name="routing-rule"/>
    <w:p>
      <w:pPr>
        <w:pStyle w:val="Heading3"/>
      </w:pPr>
      <w:r>
        <w:t xml:space="preserve">§3.2 — Routing Rule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assetClassVariant</w:t>
      </w:r>
      <w:r>
        <w:t xml:space="preserve"> </w:t>
      </w:r>
      <w:r>
        <w:t xml:space="preserve">field on the Settlement model determines routing.</w:t>
      </w:r>
    </w:p>
    <w:p>
      <w:pPr>
        <w:numPr>
          <w:ilvl w:val="0"/>
          <w:numId w:val="1003"/>
        </w:numPr>
        <w:pStyle w:val="Compact"/>
      </w:pPr>
      <w:r>
        <w:t xml:space="preserve">Only the five codes above are valid.</w:t>
      </w:r>
      <w:r>
        <w:t xml:space="preserve"> </w:t>
      </w:r>
      <w:r>
        <w:rPr>
          <w:bCs/>
          <w:b/>
        </w:rPr>
        <w:t xml:space="preserve">BANNED</w:t>
      </w:r>
      <w:r>
        <w:t xml:space="preserve">: Fabricated variant codes or categories.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tier-sentinel-verdict-matrix"/>
    <w:p>
      <w:pPr>
        <w:pStyle w:val="Heading2"/>
      </w:pPr>
      <w:r>
        <w:t xml:space="preserve">§4 — 7-TIER SENTINEL VERDICT MATRIX</w:t>
      </w:r>
    </w:p>
    <w:bookmarkStart w:id="29" w:name="composite-score-formula"/>
    <w:p>
      <w:pPr>
        <w:pStyle w:val="Heading3"/>
      </w:pPr>
      <w:r>
        <w:t xml:space="preserve">§4.1 — Composite Score Formula</w:t>
      </w:r>
    </w:p>
    <w:p>
      <w:pPr>
        <w:pStyle w:val="SourceCode"/>
      </w:pPr>
      <w:r>
        <w:rPr>
          <w:rStyle w:val="VerbatimChar"/>
        </w:rPr>
        <w:t xml:space="preserve">Composite = (docScore × 0.40) + (llmScore × 0.35) + (spatialScore × 0.25)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92"/>
        <w:gridCol w:w="2178"/>
        <w:gridCol w:w="1089"/>
        <w:gridCol w:w="38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hash + magic byte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Parser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extraction quality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Spatial 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Geolocation + metadata coherence</w:t>
            </w:r>
          </w:p>
        </w:tc>
      </w:tr>
    </w:tbl>
    <w:bookmarkEnd w:id="29"/>
    <w:bookmarkStart w:id="30" w:name="verdict-tiers"/>
    <w:p>
      <w:pPr>
        <w:pStyle w:val="Heading3"/>
      </w:pPr>
      <w:r>
        <w:t xml:space="preserve">§4.2 — Verdict Tiers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38"/>
        <w:gridCol w:w="3484"/>
        <w:gridCol w:w="22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AUTO_APPROVED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≥95% composite / 0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 triggered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PENDING_SOVEREIGN_REVIEW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75–94% composite / ≤1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review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PENDING_AUTHORIZATION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65–74% composite / ≤1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SOVEREIGN_HOLD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Perimeter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 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PENDING_PLATFORM_REVIEW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&lt;65% composite OR ≥2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settlement</w:t>
            </w:r>
          </w:p>
        </w:tc>
      </w:tr>
    </w:tbl>
    <w:bookmarkEnd w:id="30"/>
    <w:bookmarkStart w:id="31" w:name="sentinel-identity"/>
    <w:p>
      <w:pPr>
        <w:pStyle w:val="Heading3"/>
      </w:pPr>
      <w:r>
        <w:t xml:space="preserve">§4.3 — Sentinel Identity</w:t>
      </w:r>
    </w:p>
    <w:p>
      <w:pPr>
        <w:pStyle w:val="SourceCode"/>
      </w:pPr>
      <w:r>
        <w:rPr>
          <w:rStyle w:val="FunctionTok"/>
        </w:rPr>
        <w:t xml:space="preserve">sentinel_node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"Sentinel Node-01"</w:t>
      </w:r>
      <w:r>
        <w:br/>
      </w:r>
      <w:r>
        <w:rPr>
          <w:rStyle w:val="FunctionTok"/>
        </w:rPr>
        <w:t xml:space="preserve">sentinel_version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FunctionTok"/>
        </w:rPr>
        <w:t xml:space="preserve">scoreHash_algo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SHA-256</w:t>
      </w:r>
      <w:r>
        <w:br/>
      </w:r>
      <w:r>
        <w:rPr>
          <w:rStyle w:val="FunctionTok"/>
        </w:rPr>
        <w:t xml:space="preserve">scoreHash_input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JSON.stringify({ docScore, llmScore, spatialScore, compositeScore, scoredAt })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solana-mainnet-notary"/>
    <w:p>
      <w:pPr>
        <w:pStyle w:val="Heading2"/>
      </w:pPr>
      <w:r>
        <w:t xml:space="preserve">§5 — SOLANA MAINNET NOTARY</w:t>
      </w:r>
    </w:p>
    <w:bookmarkStart w:id="33" w:name="configuration"/>
    <w:p>
      <w:pPr>
        <w:pStyle w:val="Heading3"/>
      </w:pPr>
      <w:r>
        <w:t xml:space="preserve">§5.1 — Configuration</w:t>
      </w:r>
    </w:p>
    <w:p>
      <w:pPr>
        <w:pStyle w:val="SourceCode"/>
      </w:pPr>
      <w:r>
        <w:rPr>
          <w:rStyle w:val="FunctionTok"/>
        </w:rPr>
        <w:t xml:space="preserve">memo_program_id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"MemoJV1t78Ds8p3D96uEn59N8MQWPrqnGoAYvGo46wR"</w:t>
      </w:r>
      <w:r>
        <w:br/>
      </w:r>
      <w:r>
        <w:rPr>
          <w:rStyle w:val="FunctionTok"/>
        </w:rPr>
        <w:t xml:space="preserve">expected_public_key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"9tsq8qB4P9uPRSHrjXLaDQJd93nuo4wEEtkR1tAJRAQ3"</w:t>
      </w:r>
      <w:r>
        <w:br/>
      </w:r>
      <w:r>
        <w:rPr>
          <w:rStyle w:val="FunctionTok"/>
        </w:rPr>
        <w:t xml:space="preserve">rpc_env_var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SOLANA_MAINNET_RPC_URL</w:t>
      </w:r>
      <w:r>
        <w:br/>
      </w:r>
      <w:r>
        <w:rPr>
          <w:rStyle w:val="FunctionTok"/>
        </w:rPr>
        <w:t xml:space="preserve">rpc_fallback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"https://api.mainnet-beta.solana.com"</w:t>
      </w:r>
      <w:r>
        <w:br/>
      </w:r>
      <w:r>
        <w:rPr>
          <w:rStyle w:val="FunctionTok"/>
        </w:rPr>
        <w:t xml:space="preserve">secret_key_env_var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SOLANA_NOTARY_SECRET_KEY</w:t>
      </w:r>
      <w:r>
        <w:br/>
      </w:r>
      <w:r>
        <w:rPr>
          <w:rStyle w:val="FunctionTok"/>
        </w:rPr>
        <w:t xml:space="preserve">secret_key_formats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"base58"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"JSON byte array"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cluster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mainnet-beta</w:t>
      </w:r>
      <w:r>
        <w:br/>
      </w:r>
      <w:r>
        <w:rPr>
          <w:rStyle w:val="FunctionTok"/>
        </w:rPr>
        <w:t xml:space="preserve">engine_name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"Sovereign Notary Bridge"</w:t>
      </w:r>
      <w:r>
        <w:br/>
      </w:r>
      <w:r>
        <w:rPr>
          <w:rStyle w:val="FunctionTok"/>
        </w:rPr>
        <w:t xml:space="preserve">engine_version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"2.2.0"</w:t>
      </w:r>
    </w:p>
    <w:bookmarkEnd w:id="33"/>
    <w:bookmarkStart w:id="34" w:name="memo-payload-schema"/>
    <w:p>
      <w:pPr>
        <w:pStyle w:val="Heading3"/>
      </w:pPr>
      <w:r>
        <w:t xml:space="preserve">§5.2 — Memo Payload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"BEDROCK_ESG"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"Aethexer Notary Node"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"Sentinel Node-01"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"&lt;CARBON_AUDIT|TRADE_SETTLEMENT|HUM_FREQUENCY_SHIFT|SPATIAL_ATTESTATION|BIOCHAR_CDR|METAL_RECOVERY&gt;"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"&lt;entityId&gt;"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"&lt;first 32 chars of dataHash&gt;"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"co2t"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"&lt;optional: carbonTonnes&gt;"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"&lt;optional: valuationUsd&gt;"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"&lt;optional: backtrace 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"&lt;unix epoch seconds&gt;"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production-guardrail"/>
    <w:p>
      <w:pPr>
        <w:pStyle w:val="Heading3"/>
      </w:pPr>
      <w:r>
        <w:t xml:space="preserve">§5.3 — Production Guardrail</w:t>
      </w:r>
    </w:p>
    <w:p>
      <w:pPr>
        <w:pStyle w:val="SourceCode"/>
      </w:pPr>
      <w:r>
        <w:rPr>
          <w:rStyle w:val="VerbatimChar"/>
        </w:rPr>
        <w:t xml:space="preserve">IF NODE_ENV === 'production':</w:t>
      </w:r>
      <w:r>
        <w:br/>
      </w:r>
      <w:r>
        <w:rPr>
          <w:rStyle w:val="VerbatimChar"/>
        </w:rPr>
        <w:t xml:space="preserve">  IF SOLANA_NOTARY_SECRET_KEY is empty/missing → LOG [PERIMETER ERROR] → HALT anchoring</w:t>
      </w:r>
      <w:r>
        <w:br/>
      </w:r>
      <w:r>
        <w:rPr>
          <w:rStyle w:val="VerbatimChar"/>
        </w:rPr>
        <w:t xml:space="preserve">  IF decoded keypair public key ≠ EXPECTED_PUBLIC_KEY → LOG [PERIMETER ERROR] → HALT anchoring</w:t>
      </w:r>
    </w:p>
    <w:bookmarkEnd w:id="35"/>
    <w:bookmarkStart w:id="36" w:name="identity-lock"/>
    <w:p>
      <w:pPr>
        <w:pStyle w:val="Heading3"/>
      </w:pPr>
      <w:r>
        <w:t xml:space="preserve">§5.4 — Identity Lock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signer</w:t>
      </w:r>
      <w:r>
        <w:t xml:space="preserve">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Aethexer Notary Node</w:t>
      </w:r>
      <w:r>
        <w:rPr>
          <w:bCs/>
          <w:b/>
        </w:rPr>
        <w:t xml:space="preserve">”</w:t>
      </w:r>
      <w:r>
        <w:t xml:space="preserve"> </w:t>
      </w:r>
      <w:r>
        <w:t xml:space="preserve">— permanent. No personal names.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signerIdentity</w:t>
      </w:r>
      <w:r>
        <w:t xml:space="preserve">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Aethexer Notary Node</w:t>
      </w:r>
      <w:r>
        <w:rPr>
          <w:bCs/>
          <w:b/>
        </w:rPr>
        <w:t xml:space="preserve">”</w:t>
      </w:r>
      <w:r>
        <w:t xml:space="preserve"> </w:t>
      </w:r>
      <w:r>
        <w:t xml:space="preserve">— permanent.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node</w:t>
      </w:r>
      <w:r>
        <w:t xml:space="preserve">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Sentinel Node-01</w:t>
      </w:r>
      <w:r>
        <w:rPr>
          <w:bCs/>
          <w:b/>
        </w:rPr>
        <w:t xml:space="preserve">”</w:t>
      </w:r>
      <w:r>
        <w:t xml:space="preserve"> </w:t>
      </w:r>
      <w:r>
        <w:t xml:space="preserve">— permanent.</w:t>
      </w:r>
    </w:p>
    <w:p>
      <w:pPr>
        <w:numPr>
          <w:ilvl w:val="0"/>
          <w:numId w:val="1004"/>
        </w:numPr>
        <w:pStyle w:val="Compact"/>
      </w:pPr>
      <w:r>
        <w:t xml:space="preserve">Explorer URL format:</w:t>
      </w:r>
      <w:r>
        <w:t xml:space="preserve"> </w:t>
      </w:r>
      <w:r>
        <w:rPr>
          <w:rStyle w:val="VerbatimChar"/>
        </w:rPr>
        <w:t xml:space="preserve">https://explorer.solana.com/tx/{signature}</w:t>
      </w:r>
      <w:r>
        <w:t xml:space="preserve"> </w:t>
      </w:r>
      <w:r>
        <w:t xml:space="preserve">(no cluster suffix).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aethexer-protocol-auth-trinity-3-layer"/>
    <w:p>
      <w:pPr>
        <w:pStyle w:val="Heading2"/>
      </w:pPr>
      <w:r>
        <w:t xml:space="preserve">§6 — AETHEXER PROTOCOL AUTH (Trinity 3-Layer)</w:t>
      </w:r>
    </w:p>
    <w:bookmarkStart w:id="38" w:name="headers"/>
    <w:p>
      <w:pPr>
        <w:pStyle w:val="Heading3"/>
      </w:pPr>
      <w:r>
        <w:t xml:space="preserve">§6.1 — Headers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53"/>
        <w:gridCol w:w="2835"/>
        <w:gridCol w:w="977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x-aethexer-key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key (server-to-server)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two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Timing-safe compare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x-aethexer-field-key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app key (mobile/edge)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two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Timing-safe compare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x-aethexer-ts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Unix epoch 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±300s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x-aethexer-nonce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 protection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16–128 chars, single-use</w:t>
            </w:r>
          </w:p>
        </w:tc>
      </w:tr>
    </w:tbl>
    <w:bookmarkEnd w:id="38"/>
    <w:bookmarkStart w:id="39" w:name="environment-variables"/>
    <w:p>
      <w:pPr>
        <w:pStyle w:val="Heading3"/>
      </w:pPr>
      <w:r>
        <w:t xml:space="preserve">§6.2 — Environment Variables</w:t>
      </w:r>
    </w:p>
    <w:p>
      <w:pPr>
        <w:pStyle w:val="SourceCode"/>
      </w:pPr>
      <w:r>
        <w:rPr>
          <w:rStyle w:val="FunctionTok"/>
        </w:rPr>
        <w:t xml:space="preserve">AETHEXER_PROTOCOL_KEY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&lt;server-side key&gt;</w:t>
      </w:r>
      <w:r>
        <w:br/>
      </w:r>
      <w:r>
        <w:rPr>
          <w:rStyle w:val="FunctionTok"/>
        </w:rPr>
        <w:t xml:space="preserve">AETHEXER_FIELD_KEY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&lt;field app key&gt;</w:t>
      </w:r>
    </w:p>
    <w:bookmarkEnd w:id="39"/>
    <w:bookmarkStart w:id="40" w:name="nonce-lifecycle"/>
    <w:p>
      <w:pPr>
        <w:pStyle w:val="Heading3"/>
      </w:pPr>
      <w:r>
        <w:t xml:space="preserve">§6.3 — Nonce Lifecycle</w:t>
      </w:r>
    </w:p>
    <w:p>
      <w:pPr>
        <w:numPr>
          <w:ilvl w:val="0"/>
          <w:numId w:val="1005"/>
        </w:numPr>
        <w:pStyle w:val="Compact"/>
      </w:pPr>
      <w:r>
        <w:t xml:space="preserve">Stored in</w:t>
      </w:r>
      <w:r>
        <w:t xml:space="preserve"> </w:t>
      </w:r>
      <w:r>
        <w:rPr>
          <w:rStyle w:val="VerbatimChar"/>
        </w:rPr>
        <w:t xml:space="preserve">IngestNonce</w:t>
      </w:r>
      <w:r>
        <w:t xml:space="preserve"> </w:t>
      </w:r>
      <w:r>
        <w:t xml:space="preserve">model (Prisma)</w:t>
      </w:r>
    </w:p>
    <w:p>
      <w:pPr>
        <w:numPr>
          <w:ilvl w:val="0"/>
          <w:numId w:val="1005"/>
        </w:numPr>
        <w:pStyle w:val="Compact"/>
      </w:pPr>
      <w:r>
        <w:t xml:space="preserve">TTL: 24 hours, auto-cleanup on each auth call</w:t>
      </w:r>
    </w:p>
    <w:p>
      <w:pPr>
        <w:numPr>
          <w:ilvl w:val="0"/>
          <w:numId w:val="1005"/>
        </w:numPr>
        <w:pStyle w:val="Compact"/>
      </w:pPr>
      <w:r>
        <w:t xml:space="preserve">Replay of consumed nonce → HTTP 409</w:t>
      </w:r>
      <w:r>
        <w:t xml:space="preserve"> </w:t>
      </w:r>
      <w:r>
        <w:rPr>
          <w:rStyle w:val="VerbatimChar"/>
        </w:rPr>
        <w:t xml:space="preserve">NONCE_REPLAY</w:t>
      </w:r>
    </w:p>
    <w:bookmarkEnd w:id="40"/>
    <w:bookmarkStart w:id="41" w:name="anti-replay-window"/>
    <w:p>
      <w:pPr>
        <w:pStyle w:val="Heading3"/>
      </w:pPr>
      <w:r>
        <w:t xml:space="preserve">§6.4 — Anti-Replay Window</w:t>
      </w:r>
    </w:p>
    <w:p>
      <w:pPr>
        <w:pStyle w:val="SourceCode"/>
      </w:pPr>
      <w:r>
        <w:rPr>
          <w:rStyle w:val="VerbatimChar"/>
        </w:rPr>
        <w:t xml:space="preserve">TIMESTAMP_WINDOW_SECONDS = 300  # ±5 minutes</w:t>
      </w:r>
      <w:r>
        <w:br/>
      </w:r>
      <w:r>
        <w:rPr>
          <w:rStyle w:val="VerbatimChar"/>
        </w:rPr>
        <w:t xml:space="preserve">IF |server_time - request_ts| &gt; 300 → REJECT (TIMESTAMP_EXPIRED)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magic-byte-validation"/>
    <w:p>
      <w:pPr>
        <w:pStyle w:val="Heading2"/>
      </w:pPr>
      <w:r>
        <w:t xml:space="preserve">§7 — MAGIC BYTE VALIDATION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2436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MIME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 Bytes (Hex)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25 50 44 46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image/jpeg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 D8 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image/png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 50 4E 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application/vnd…spreadsheetml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4B 03 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(ZIP/XLSX)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application/vnd…wordprocessingml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4B 03 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(ZIP/DOCX)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Structure-validated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PLY (spatial)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ply</w:t>
            </w:r>
            <w:r>
              <w:t xml:space="preserve">”</w:t>
            </w:r>
            <w:r>
              <w:t xml:space="preserve"> </w:t>
            </w:r>
            <w:r>
              <w:t xml:space="preserve">ASCII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PLY 3D 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Splat (spatial)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≥32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Gaussian Splat</w:t>
            </w:r>
          </w:p>
        </w:tc>
      </w:tr>
    </w:tbl>
    <w:p>
      <w:pPr>
        <w:pStyle w:val="BodyText"/>
      </w:pPr>
      <w:r>
        <w:t xml:space="preserve">Mismatch → HTTP 422</w:t>
      </w:r>
      <w:r>
        <w:t xml:space="preserve"> </w:t>
      </w:r>
      <w:r>
        <w:rPr>
          <w:rStyle w:val="VerbatimChar"/>
        </w:rPr>
        <w:t xml:space="preserve">MAGIC_BYTE_MISMATCH</w:t>
      </w:r>
      <w:r>
        <w:t xml:space="preserve"> </w:t>
      </w:r>
      <w:r>
        <w:t xml:space="preserve">— hard reject.</w:t>
      </w:r>
    </w:p>
    <w:p>
      <w:r>
        <w:pict>
          <v:rect style="width:0;height:1.5pt" o:hralign="center" o:hrstd="t" o:hr="t"/>
        </w:pict>
      </w:r>
    </w:p>
    <w:bookmarkEnd w:id="43"/>
    <w:bookmarkStart w:id="44" w:name="database-guardrails"/>
    <w:p>
      <w:pPr>
        <w:pStyle w:val="Heading2"/>
      </w:pPr>
      <w:r>
        <w:t xml:space="preserve">§8 — DATABASE GUARDRAILS</w:t>
      </w:r>
    </w:p>
    <w:p>
      <w:pPr>
        <w:pStyle w:val="SourceCode"/>
      </w:pPr>
      <w:r>
        <w:rPr>
          <w:rStyle w:val="FunctionTok"/>
        </w:rPr>
        <w:t xml:space="preserve">max_concurrent_connections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FunctionTok"/>
        </w:rPr>
        <w:t xml:space="preserve">idle_session_timeout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short</w:t>
      </w:r>
      <w:r>
        <w:br/>
      </w:r>
      <w:r>
        <w:rPr>
          <w:rStyle w:val="FunctionTok"/>
        </w:rPr>
        <w:t xml:space="preserve">statement_timeout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FunctionTok"/>
        </w:rPr>
        <w:t xml:space="preserve">idle_in_transaction_timeout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FunctionTok"/>
        </w:rPr>
        <w:t xml:space="preserve">connection_model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ephemeral (no persistent session state)</w:t>
      </w:r>
    </w:p>
    <w:p>
      <w:pPr>
        <w:numPr>
          <w:ilvl w:val="0"/>
          <w:numId w:val="1006"/>
        </w:numPr>
        <w:pStyle w:val="Compact"/>
      </w:pPr>
      <w:r>
        <w:t xml:space="preserve">Reuse one Prisma client instance.</w:t>
      </w:r>
    </w:p>
    <w:p>
      <w:pPr>
        <w:numPr>
          <w:ilvl w:val="0"/>
          <w:numId w:val="1006"/>
        </w:numPr>
        <w:pStyle w:val="Compact"/>
      </w:pPr>
      <w:r>
        <w:t xml:space="preserve">Handle disconnects gracefully.</w:t>
      </w:r>
    </w:p>
    <w:p>
      <w:pPr>
        <w:numPr>
          <w:ilvl w:val="0"/>
          <w:numId w:val="1006"/>
        </w:numPr>
        <w:pStyle w:val="Compact"/>
      </w:pPr>
      <w:r>
        <w:t xml:space="preserve">Never rely on persistent session state across requests.</w:t>
      </w:r>
    </w:p>
    <w:p>
      <w:r>
        <w:pict>
          <v:rect style="width:0;height:1.5pt" o:hralign="center" o:hrstd="t" o:hr="t"/>
        </w:pict>
      </w:r>
    </w:p>
    <w:bookmarkEnd w:id="44"/>
    <w:bookmarkStart w:id="45" w:name="submission-state-machine"/>
    <w:p>
      <w:pPr>
        <w:pStyle w:val="Heading2"/>
      </w:pPr>
      <w:r>
        <w:t xml:space="preserve">§9 — SUBMISSION STATE MACHINE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→ PENDING_FORENSIC_VERIFICATION</w:t>
      </w:r>
      <w:r>
        <w:br/>
      </w:r>
      <w:r>
        <w:rPr>
          <w:rStyle w:val="VerbatimChar"/>
        </w:rPr>
        <w:t xml:space="preserve">    → FORENSIC_VERIFIED</w:t>
      </w:r>
      <w:r>
        <w:br/>
      </w:r>
      <w:r>
        <w:rPr>
          <w:rStyle w:val="VerbatimChar"/>
        </w:rPr>
        <w:t xml:space="preserve">      → [founderApproved = true]</w:t>
      </w:r>
      <w:r>
        <w:br/>
      </w:r>
      <w:r>
        <w:rPr>
          <w:rStyle w:val="VerbatimChar"/>
        </w:rPr>
        <w:t xml:space="preserve">        → SETTLEMENT_COMPLETE</w:t>
      </w:r>
    </w:p>
    <w:p>
      <w:pPr>
        <w:numPr>
          <w:ilvl w:val="0"/>
          <w:numId w:val="1007"/>
        </w:numPr>
        <w:pStyle w:val="Compact"/>
      </w:pPr>
      <w:r>
        <w:t xml:space="preserve">Sovereign Approval Gate:</w:t>
      </w:r>
      <w:r>
        <w:t xml:space="preserve"> </w:t>
      </w:r>
      <w:r>
        <w:rPr>
          <w:rStyle w:val="VerbatimChar"/>
        </w:rPr>
        <w:t xml:space="preserve">/api/v1/submissions/[id]/approve</w:t>
      </w:r>
      <w:r>
        <w:t xml:space="preserve"> </w:t>
      </w:r>
      <w:r>
        <w:t xml:space="preserve">— JWT protected</w:t>
      </w:r>
    </w:p>
    <w:p>
      <w:pPr>
        <w:numPr>
          <w:ilvl w:val="0"/>
          <w:numId w:val="1007"/>
        </w:numPr>
        <w:pStyle w:val="Compact"/>
      </w:pPr>
      <w:r>
        <w:t xml:space="preserve">Settlement fires 70/20/10 split + Solana anchor with backtrace</w:t>
      </w:r>
    </w:p>
    <w:p>
      <w:r>
        <w:pict>
          <v:rect style="width:0;height:1.5pt" o:hralign="center" o:hrstd="t" o:hr="t"/>
        </w:pict>
      </w:r>
    </w:p>
    <w:bookmarkEnd w:id="45"/>
    <w:bookmarkStart w:id="46" w:name="exitz-token-ecosystem-solana-mainnet"/>
    <w:p>
      <w:pPr>
        <w:pStyle w:val="Heading2"/>
      </w:pPr>
      <w:r>
        <w:t xml:space="preserve">§10 — EXITZ TOKEN ECOSYSTEM (Solana Mainnet)</w:t>
      </w:r>
    </w:p>
    <w:p>
      <w:pPr>
        <w:pStyle w:val="SourceCode"/>
      </w:pPr>
      <w:r>
        <w:rPr>
          <w:rStyle w:val="FunctionTok"/>
        </w:rPr>
        <w:t xml:space="preserve">tokens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EXITZ_BASE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"44SrHT9Qwyz2jiiJkRF1zHKF2NFTgTC8m6ubPTb5qJBJ"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supply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Base ecosystem token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EXITZ_C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"7ZPsJE3W5YXnnYgapzfsA5JxtK8VQwtTn5Jb23hgfzMK"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supply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Classic Vehicles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integrity_model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VIN/Odometer (no HUM)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EXITZ_A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"G11hBknKcBXUjc4kvAtAkwjoHz5yMr7FTqEEYC96EnJn"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supply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Fine Art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integrity_model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VIN/Odometer (no HUM)</w:t>
      </w:r>
      <w:r>
        <w:br/>
      </w:r>
      <w:r>
        <w:rPr>
          <w:rStyle w:val="FunctionTok"/>
        </w:rPr>
        <w:t xml:space="preserve">program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Token-2022</w:t>
      </w:r>
      <w:r>
        <w:br/>
      </w:r>
      <w:r>
        <w:rPr>
          <w:rStyle w:val="FunctionTok"/>
        </w:rPr>
        <w:t xml:space="preserve">features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on-chain metadata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forensic memo anchors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mobile_assets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VIN/Odometer integrity (no HUM)</w:t>
      </w:r>
      <w:r>
        <w:br/>
      </w:r>
      <w:r>
        <w:rPr>
          <w:rStyle w:val="FunctionTok"/>
        </w:rPr>
        <w:t xml:space="preserve">stationary_assets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HUM Seismic Baseline</w:t>
      </w:r>
    </w:p>
    <w:p>
      <w:r>
        <w:pict>
          <v:rect style="width:0;height:1.5pt" o:hralign="center" o:hrstd="t" o:hr="t"/>
        </w:pict>
      </w:r>
    </w:p>
    <w:bookmarkEnd w:id="46"/>
    <w:bookmarkStart w:id="47" w:name="hum-listener-dynamic-baseline"/>
    <w:p>
      <w:pPr>
        <w:pStyle w:val="Heading2"/>
      </w:pPr>
      <w:r>
        <w:t xml:space="preserve">§11 — HUM LISTENER (Dynamic Baseline)</w:t>
      </w:r>
    </w:p>
    <w:p>
      <w:pPr>
        <w:pStyle w:val="SourceCode"/>
      </w:pPr>
      <w:r>
        <w:rPr>
          <w:rStyle w:val="FunctionTok"/>
        </w:rPr>
        <w:t xml:space="preserve">baseline_mw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12.6</w:t>
      </w:r>
      <w:r>
        <w:br/>
      </w:r>
      <w:r>
        <w:rPr>
          <w:rStyle w:val="FunctionTok"/>
        </w:rPr>
        <w:t xml:space="preserve">legacy_mw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18.0</w:t>
      </w:r>
      <w:r>
        <w:rPr>
          <w:rStyle w:val="CommentTok"/>
        </w:rPr>
        <w:t xml:space="preserve">  # deprecated</w:t>
      </w:r>
      <w:r>
        <w:br/>
      </w:r>
      <w:r>
        <w:rPr>
          <w:rStyle w:val="FunctionTok"/>
        </w:rPr>
        <w:t xml:space="preserve">shift_threshold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5%</w:t>
      </w:r>
      <w:r>
        <w:br/>
      </w:r>
      <w:r>
        <w:rPr>
          <w:rStyle w:val="FunctionTok"/>
        </w:rPr>
        <w:t xml:space="preserve">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NYSE/NASDAQ window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LSE window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CME/Eurex window</w:t>
      </w:r>
      <w:r>
        <w:br/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On-chain Memo anchor when ≥5% shift detected</w:t>
      </w:r>
      <w:r>
        <w:br/>
      </w:r>
      <w:r>
        <w:rPr>
          <w:rStyle w:val="FunctionTok"/>
        </w:rPr>
        <w:t xml:space="preserve">api_routes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GET /api/hum-telemetry (state)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 /api/hum-telemetry (read)</w:t>
      </w:r>
    </w:p>
    <w:p>
      <w:r>
        <w:pict>
          <v:rect style="width:0;height:1.5pt" o:hralign="center" o:hrstd="t" o:hr="t"/>
        </w:pict>
      </w:r>
    </w:p>
    <w:bookmarkEnd w:id="47"/>
    <w:bookmarkStart w:id="51" w:name="carbon-calculation-engines"/>
    <w:p>
      <w:pPr>
        <w:pStyle w:val="Heading2"/>
      </w:pPr>
      <w:r>
        <w:t xml:space="preserve">§12 — CARBON CALCULATION ENGINES</w:t>
      </w:r>
    </w:p>
    <w:bookmarkStart w:id="48" w:name="asphalt-eurobitume-a1-a3-lca"/>
    <w:p>
      <w:pPr>
        <w:pStyle w:val="Heading3"/>
      </w:pPr>
      <w:r>
        <w:t xml:space="preserve">§12.1 — Asphalt (Eurobitume A1-A3 LCA)</w:t>
      </w:r>
    </w:p>
    <w:p>
      <w:pPr>
        <w:pStyle w:val="SourceCode"/>
      </w:pPr>
      <w:r>
        <w:rPr>
          <w:rStyle w:val="FunctionTok"/>
        </w:rPr>
        <w:t xml:space="preserve">virgin_baseline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60 kg CO₂/tonne</w:t>
      </w:r>
      <w:r>
        <w:br/>
      </w:r>
      <w:r>
        <w:rPr>
          <w:rStyle w:val="FunctionTok"/>
        </w:rPr>
        <w:t xml:space="preserve">rap_reduction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0.4 kg/tonne per %RAP</w:t>
      </w:r>
      <w:r>
        <w:br/>
      </w:r>
      <w:r>
        <w:rPr>
          <w:rStyle w:val="FunctionTok"/>
        </w:rPr>
        <w:t xml:space="preserve">mix_types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HMA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WMA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CMA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transport_factor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included</w:t>
      </w:r>
      <w:r>
        <w:br/>
      </w: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/api/calculate</w:t>
      </w:r>
      <w:r>
        <w:br/>
      </w:r>
      <w:r>
        <w:rPr>
          <w:rStyle w:val="FunctionTok"/>
        </w:rPr>
        <w:t xml:space="preserve">external_calls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 (local engine only)</w:t>
      </w:r>
    </w:p>
    <w:bookmarkEnd w:id="48"/>
    <w:bookmarkStart w:id="49" w:name="biochar-cdr"/>
    <w:p>
      <w:pPr>
        <w:pStyle w:val="Heading3"/>
      </w:pPr>
      <w:r>
        <w:t xml:space="preserve">§12.2 — Biochar CDR</w:t>
      </w:r>
    </w:p>
    <w:p>
      <w:pPr>
        <w:pStyle w:val="SourceCode"/>
      </w:pP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/api/biochar</w:t>
      </w:r>
      <w:r>
        <w:br/>
      </w:r>
      <w:r>
        <w:rPr>
          <w:rStyle w:val="FunctionTok"/>
        </w:rPr>
        <w:t xml:space="preserve">history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/api/biochar/history</w:t>
      </w:r>
      <w:r>
        <w:br/>
      </w:r>
      <w:r>
        <w:rPr>
          <w:rStyle w:val="FunctionTok"/>
        </w:rPr>
        <w:t xml:space="preserve">stats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/api/biochar/stats</w:t>
      </w:r>
      <w:r>
        <w:br/>
      </w:r>
      <w:r>
        <w:rPr>
          <w:rStyle w:val="FunctionTok"/>
        </w:rPr>
        <w:t xml:space="preserve">framework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Hedera Guardian</w:t>
      </w:r>
      <w:r>
        <w:br/>
      </w:r>
      <w:r>
        <w:rPr>
          <w:rStyle w:val="FunctionTok"/>
        </w:rPr>
        <w:t xml:space="preserve">attestation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Dual-chain (Hedera HCS + Polygon ERC-1155)</w:t>
      </w:r>
    </w:p>
    <w:bookmarkEnd w:id="49"/>
    <w:bookmarkStart w:id="50" w:name="metal-recovery"/>
    <w:p>
      <w:pPr>
        <w:pStyle w:val="Heading3"/>
      </w:pPr>
      <w:r>
        <w:t xml:space="preserve">§12.3 — Metal Recovery</w:t>
      </w:r>
    </w:p>
    <w:p>
      <w:pPr>
        <w:pStyle w:val="SourceCode"/>
      </w:pP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/api/metal</w:t>
      </w:r>
      <w:r>
        <w:br/>
      </w:r>
      <w:r>
        <w:rPr>
          <w:rStyle w:val="FunctionTok"/>
        </w:rPr>
        <w:t xml:space="preserve">stats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/api/metal/stats</w:t>
      </w:r>
      <w:r>
        <w:br/>
      </w:r>
      <w:r>
        <w:rPr>
          <w:rStyle w:val="FunctionTok"/>
        </w:rPr>
        <w:t xml:space="preserve">supported_metals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STEEL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ALUMINUM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COPPER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BRASS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LEAD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ZINC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STAINLESS_STEEL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CAST_IRON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TITANIUM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NICKEL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emission_source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ICE Database standard factors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emission-factor-database"/>
    <w:p>
      <w:pPr>
        <w:pStyle w:val="Heading2"/>
      </w:pPr>
      <w:r>
        <w:t xml:space="preserve">§13 — EMISSION FACTOR DATABASE</w:t>
      </w:r>
    </w:p>
    <w:p>
      <w:pPr>
        <w:pStyle w:val="SourceCode"/>
      </w:pPr>
      <w:r>
        <w:rPr>
          <w:rStyle w:val="FunctionTok"/>
        </w:rPr>
        <w:t xml:space="preserve">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ICE Database v4.1 (25 factors)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Ecoinvent v3.10.1 (15 factors)</w:t>
      </w:r>
      <w:r>
        <w:br/>
      </w:r>
      <w:r>
        <w:rPr>
          <w:rStyle w:val="FunctionTok"/>
        </w:rPr>
        <w:t xml:space="preserve">total_factors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FunctionTok"/>
        </w:rPr>
        <w:t xml:space="preserve">biogenic_variance_correction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60% (active for US, BR markets)</w:t>
      </w:r>
      <w:r>
        <w:br/>
      </w:r>
      <w:r>
        <w:rPr>
          <w:rStyle w:val="FunctionTok"/>
        </w:rPr>
        <w:t xml:space="preserve">grid_mixes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0.419 kgCO2e/kWh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0.082 kgCO2e/kWh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0.253 kgCO2e/kWh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0.207 kgCO2e/kWh</w:t>
      </w:r>
      <w:r>
        <w:br/>
      </w: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/api/emission-factors</w:t>
      </w:r>
    </w:p>
    <w:p>
      <w:r>
        <w:pict>
          <v:rect style="width:0;height:1.5pt" o:hralign="center" o:hrstd="t" o:hr="t"/>
        </w:pict>
      </w:r>
    </w:p>
    <w:bookmarkEnd w:id="52"/>
    <w:bookmarkStart w:id="53" w:name="spatial-heritage-parser"/>
    <w:p>
      <w:pPr>
        <w:pStyle w:val="Heading2"/>
      </w:pPr>
      <w:r>
        <w:t xml:space="preserve">§14 — SPATIAL HERITAGE PARSER</w:t>
      </w:r>
    </w:p>
    <w:p>
      <w:pPr>
        <w:pStyle w:val="SourceCode"/>
      </w:pPr>
      <w:r>
        <w:rPr>
          <w:rStyle w:val="FunctionTok"/>
        </w:rPr>
        <w:t xml:space="preserve">formats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PLY ASCII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PLY Binary Little-Endian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Gaussian Splat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pipeline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Volume → Material Mass → Carbon Estimate</w:t>
      </w:r>
      <w:r>
        <w:br/>
      </w:r>
      <w:r>
        <w:rPr>
          <w:rStyle w:val="FunctionTok"/>
        </w:rPr>
        <w:t xml:space="preserve">material_densities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asphalt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2.4 t/m³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aggregate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1.6 t/m³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concrete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2.3 t/m³</w:t>
      </w:r>
      <w:r>
        <w:br/>
      </w:r>
      <w:r>
        <w:rPr>
          <w:rStyle w:val="FunctionTok"/>
        </w:rPr>
        <w:t xml:space="preserve">features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SH coefficients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opacity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scale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rotation detection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/api/spatial</w:t>
      </w:r>
    </w:p>
    <w:p>
      <w:r>
        <w:pict>
          <v:rect style="width:0;height:1.5pt" o:hralign="center" o:hrstd="t" o:hr="t"/>
        </w:pict>
      </w:r>
    </w:p>
    <w:bookmarkEnd w:id="53"/>
    <w:bookmarkStart w:id="54" w:name="banned-patterns"/>
    <w:p>
      <w:pPr>
        <w:pStyle w:val="Heading2"/>
      </w:pPr>
      <w:r>
        <w:t xml:space="preserve">§15 — BANNED PATTERNS</w:t>
      </w:r>
    </w:p>
    <w:p>
      <w:pPr>
        <w:pStyle w:val="SourceCode"/>
      </w:pPr>
      <w:r>
        <w:rPr>
          <w:rStyle w:val="FunctionTok"/>
        </w:rPr>
        <w:t xml:space="preserve">banned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Personal names in any codebase file or on-chain memo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Operational monikers or nicknames in identity fields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Hardcoded sub-splits within the 10% Public Resilience tier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Fabricated node IDs (only "Sentinel Node-01" is valid)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Fabricated asset class codes (only A–E above are valid)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Fabricated routing tags or category labels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External LLM API calls from /api/calculate (local engine only)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Devnet cluster references (system is mainnet-only)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Legacy signer names ("Zer0", personal identifiers)</w:t>
      </w:r>
    </w:p>
    <w:p>
      <w:r>
        <w:pict>
          <v:rect style="width:0;height:1.5pt" o:hralign="center" o:hrstd="t" o:hr="t"/>
        </w:pict>
      </w:r>
    </w:p>
    <w:bookmarkEnd w:id="54"/>
    <w:bookmarkStart w:id="55" w:name="environment-variables-required"/>
    <w:p>
      <w:pPr>
        <w:pStyle w:val="Heading2"/>
      </w:pPr>
      <w:r>
        <w:t xml:space="preserve">§16 — ENVIRONMENT VARIABLES (Required)</w:t>
      </w:r>
    </w:p>
    <w:p>
      <w:pPr>
        <w:pStyle w:val="SourceCode"/>
      </w:pPr>
      <w:r>
        <w:rPr>
          <w:rStyle w:val="CommentTok"/>
        </w:rPr>
        <w:t xml:space="preserve"># Solana Notary</w:t>
      </w:r>
      <w:r>
        <w:br/>
      </w:r>
      <w:r>
        <w:rPr>
          <w:rStyle w:val="FunctionTok"/>
        </w:rPr>
        <w:t xml:space="preserve">SOLANA_NOTARY_SECRET_KEY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&lt;base58 or JSON array&gt;</w:t>
      </w:r>
      <w:r>
        <w:br/>
      </w:r>
      <w:r>
        <w:rPr>
          <w:rStyle w:val="FunctionTok"/>
        </w:rPr>
        <w:t xml:space="preserve">SOLANA_MAINNET_RPC_URL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&lt;RPC endpoint&gt;</w:t>
      </w:r>
      <w:r>
        <w:br/>
      </w:r>
      <w:r>
        <w:br/>
      </w:r>
      <w:r>
        <w:rPr>
          <w:rStyle w:val="CommentTok"/>
        </w:rPr>
        <w:t xml:space="preserve"># Aethexer Protocol</w:t>
      </w:r>
      <w:r>
        <w:br/>
      </w:r>
      <w:r>
        <w:rPr>
          <w:rStyle w:val="FunctionTok"/>
        </w:rPr>
        <w:t xml:space="preserve">AETHEXER_PROTOCOL_KEY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&lt;server key&gt;</w:t>
      </w:r>
      <w:r>
        <w:br/>
      </w:r>
      <w:r>
        <w:rPr>
          <w:rStyle w:val="FunctionTok"/>
        </w:rPr>
        <w:t xml:space="preserve">AETHEXER_FIELD_KEY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&lt;field app key&gt;</w:t>
      </w:r>
      <w:r>
        <w:br/>
      </w:r>
      <w:r>
        <w:br/>
      </w:r>
      <w:r>
        <w:rPr>
          <w:rStyle w:val="CommentTok"/>
        </w:rPr>
        <w:t xml:space="preserve"># Database</w:t>
      </w:r>
      <w:r>
        <w:br/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&lt;PostgreSQL connection string&gt;</w:t>
      </w:r>
      <w:r>
        <w:br/>
      </w:r>
      <w:r>
        <w:br/>
      </w:r>
      <w:r>
        <w:rPr>
          <w:rStyle w:val="CommentTok"/>
        </w:rPr>
        <w:t xml:space="preserve"># Auth</w:t>
      </w:r>
      <w:r>
        <w:br/>
      </w:r>
      <w:r>
        <w:rPr>
          <w:rStyle w:val="FunctionTok"/>
        </w:rPr>
        <w:t xml:space="preserve">NEXTAUTH_SECRET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&lt;auto-configured&gt;</w:t>
      </w:r>
      <w:r>
        <w:br/>
      </w:r>
      <w:r>
        <w:rPr>
          <w:rStyle w:val="FunctionTok"/>
        </w:rPr>
        <w:t xml:space="preserve">NEXTAUTH_URL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&lt;auto-configured per environment&gt;</w:t>
      </w:r>
    </w:p>
    <w:p>
      <w:r>
        <w:pict>
          <v:rect style="width:0;height:1.5pt" o:hralign="center" o:hrstd="t" o:hr="t"/>
        </w:pict>
      </w:r>
    </w:p>
    <w:bookmarkEnd w:id="55"/>
    <w:bookmarkStart w:id="56" w:name="api-route-map"/>
    <w:p>
      <w:pPr>
        <w:pStyle w:val="Heading2"/>
      </w:pPr>
      <w:r>
        <w:t xml:space="preserve">§17 — API ROUTE MAP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754"/>
        <w:gridCol w:w="32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/api/calculate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Asphalt carbon LCA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/api/biochar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Biochar CDR batches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/api/biochar/history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batch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/api/biochar/stats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biochar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/api/biochar/[id]/attestation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Blockchain attestation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recovery calculations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/api/metal/stats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recovery aggregate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/api/carbon-impact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carbon impact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summary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series chart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/api/locations/[id]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GET/PATCH/DELETE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by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/api/farmers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Farmer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/api/farmers/[id]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GET/PATCH/DELETE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Farmer by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Farmer credit lifecycle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/api/credits/stats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aggregate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/api/notary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Solana notary status/anchor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/api/hum-telemetry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 listener state/read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/api/emission-factors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factor 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/api/spatial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Spatial PLY parser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/api/submissions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submissions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/api/submissions/[id]/parse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forensic parse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/api/submissions/[id]/settle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/api/submissions/[id]/certificate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 certificate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presigned URL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consent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/api/consent/verify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/api/consent/logs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audit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/api/auth/agent-signup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signup with invitation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/api/invitations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Invitation code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/api/agent/register-farmer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registers farmer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/api/agent/pending-counts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verification 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/api/agent/verification-queue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queue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/api/v1/forensic-ingest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forensic ingest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/api/v1/telemetry-ingest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Telemetry ingest (Aethexer)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/api/v1/submissions/[id]/approve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 approval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/api/yards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DEPRECATED</w:t>
            </w:r>
            <w:r>
              <w:t xml:space="preserve"> </w:t>
            </w:r>
            <w:r>
              <w:t xml:space="preserve">— use /api/locations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inheritance-directive"/>
    <w:p>
      <w:pPr>
        <w:pStyle w:val="Heading2"/>
      </w:pPr>
      <w:r>
        <w:t xml:space="preserve">§18 — INHERITANCE DIRECTIVE</w:t>
      </w:r>
    </w:p>
    <w:p>
      <w:pPr>
        <w:pStyle w:val="FirstParagraph"/>
      </w:pPr>
      <w:r>
        <w:t xml:space="preserve">All future modules added to Bedrock ESG MUST:</w:t>
      </w:r>
    </w:p>
    <w:p>
      <w:pPr>
        <w:numPr>
          <w:ilvl w:val="0"/>
          <w:numId w:val="1008"/>
        </w:numPr>
        <w:pStyle w:val="Compact"/>
      </w:pPr>
      <w:r>
        <w:t xml:space="preserve">Apply the 70/20/10 split via</w:t>
      </w:r>
      <w:r>
        <w:t xml:space="preserve"> </w:t>
      </w:r>
      <w:r>
        <w:rPr>
          <w:rStyle w:val="VerbatimChar"/>
        </w:rPr>
        <w:t xml:space="preserve">UNIVERSAL_SPLIT</w:t>
      </w:r>
      <w:r>
        <w:t xml:space="preserve"> </w:t>
      </w:r>
      <w:r>
        <w:t xml:space="preserve">constants from</w:t>
      </w:r>
      <w:r>
        <w:t xml:space="preserve"> </w:t>
      </w:r>
      <w:r>
        <w:rPr>
          <w:rStyle w:val="VerbatimChar"/>
        </w:rPr>
        <w:t xml:space="preserve">lib/universal-law.ts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SETTLEMENT_LABELS</w:t>
      </w:r>
      <w:r>
        <w:t xml:space="preserve"> </w:t>
      </w:r>
      <w:r>
        <w:t xml:space="preserve">for all user-facing split references.</w:t>
      </w:r>
    </w:p>
    <w:p>
      <w:pPr>
        <w:numPr>
          <w:ilvl w:val="0"/>
          <w:numId w:val="1008"/>
        </w:numPr>
        <w:pStyle w:val="Compact"/>
      </w:pPr>
      <w:r>
        <w:t xml:space="preserve">Route through one of the 5 defined</w:t>
      </w:r>
      <w:r>
        <w:t xml:space="preserve"> </w:t>
      </w:r>
      <w:r>
        <w:rPr>
          <w:rStyle w:val="VerbatimChar"/>
        </w:rPr>
        <w:t xml:space="preserve">ASSET_CLASS_VARIANTS</w:t>
      </w:r>
      <w:r>
        <w:t xml:space="preserve"> </w:t>
      </w:r>
      <w:r>
        <w:t xml:space="preserve">(A–E). No new variants without explicit protocol amendment.</w:t>
      </w:r>
    </w:p>
    <w:p>
      <w:pPr>
        <w:numPr>
          <w:ilvl w:val="0"/>
          <w:numId w:val="1008"/>
        </w:numPr>
        <w:pStyle w:val="Compact"/>
      </w:pPr>
      <w:r>
        <w:t xml:space="preserve">Pass Sentinel scoring before settlement. No bypass paths.</w:t>
      </w:r>
    </w:p>
    <w:p>
      <w:pPr>
        <w:numPr>
          <w:ilvl w:val="0"/>
          <w:numId w:val="1008"/>
        </w:numPr>
        <w:pStyle w:val="Compact"/>
      </w:pPr>
      <w:r>
        <w:t xml:space="preserve">Anchor all settlements to Solana Mainnet via</w:t>
      </w:r>
      <w:r>
        <w:t xml:space="preserve"> </w:t>
      </w:r>
      <w:r>
        <w:rPr>
          <w:rStyle w:val="VerbatimChar"/>
        </w:rPr>
        <w:t xml:space="preserve">anchorToChain()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lib/solana-notary.ts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"Aethexer Notary Node"</w:t>
      </w:r>
      <w:r>
        <w:t xml:space="preserve"> </w:t>
      </w:r>
      <w:r>
        <w:t xml:space="preserve">as the signer identity. No personal names.</w:t>
      </w:r>
    </w:p>
    <w:p>
      <w:pPr>
        <w:numPr>
          <w:ilvl w:val="0"/>
          <w:numId w:val="1008"/>
        </w:numPr>
        <w:pStyle w:val="Compact"/>
      </w:pPr>
      <w:r>
        <w:t xml:space="preserve">Authenticate external ingest via</w:t>
      </w:r>
      <w:r>
        <w:t xml:space="preserve"> </w:t>
      </w:r>
      <w:r>
        <w:rPr>
          <w:rStyle w:val="VerbatimChar"/>
        </w:rPr>
        <w:t xml:space="preserve">validateAethexerKey()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lib/aethexer-auth.ts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Validate all uploaded file buffers via magic byte checks.</w:t>
      </w:r>
    </w:p>
    <w:p>
      <w:pPr>
        <w:numPr>
          <w:ilvl w:val="0"/>
          <w:numId w:val="1008"/>
        </w:numPr>
        <w:pStyle w:val="Compact"/>
      </w:pPr>
      <w:r>
        <w:t xml:space="preserve">Enforce Zero Greed Policy via</w:t>
      </w:r>
      <w:r>
        <w:t xml:space="preserve"> </w:t>
      </w:r>
      <w:r>
        <w:rPr>
          <w:rStyle w:val="VerbatimChar"/>
        </w:rPr>
        <w:t xml:space="preserve">verifyZeroGreedPolicy()</w:t>
      </w:r>
      <w:r>
        <w:t xml:space="preserve"> </w:t>
      </w:r>
      <w:r>
        <w:t xml:space="preserve">before any settlement.</w:t>
      </w:r>
    </w:p>
    <w:p>
      <w:pPr>
        <w:numPr>
          <w:ilvl w:val="0"/>
          <w:numId w:val="1008"/>
        </w:numPr>
        <w:pStyle w:val="Compact"/>
      </w:pPr>
      <w:r>
        <w:t xml:space="preserve">Respect the DB connection ceiling of 25 concurrent connections.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Technical Bible — BT-C9C4C5 v2.2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2026-05-27T15:54:27Z</dcterms:created>
  <dcterms:modified xsi:type="dcterms:W3CDTF">2026-05-27T15:54:27Z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