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edrock-esg-project-bible-v2.4"/>
    <w:p>
      <w:pPr>
        <w:pStyle w:val="Heading1"/>
      </w:pPr>
      <w:r>
        <w:t xml:space="preserve">BEDROCK ESG — PROJECT BIBLE v2.4</w:t>
      </w:r>
    </w:p>
    <w:p>
      <w:pPr>
        <w:pStyle w:val="BlockText"/>
      </w:pPr>
      <w:r>
        <w:rPr>
          <w:bCs/>
          <w:b/>
        </w:rPr>
        <w:t xml:space="preserve">For:</w:t>
      </w:r>
      <w:r>
        <w:t xml:space="preserve"> </w:t>
      </w:r>
      <w:r>
        <w:t xml:space="preserve">Stakeholders, Partners, and Team Members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2.4 — Trinity Protocol |</w:t>
      </w:r>
      <w:r>
        <w:t xml:space="preserve"> </w:t>
      </w:r>
      <w:r>
        <w:rPr>
          <w:bCs/>
          <w:b/>
        </w:rPr>
        <w:t xml:space="preserve">Updated:</w:t>
      </w:r>
      <w:r>
        <w:t xml:space="preserve"> </w:t>
      </w:r>
      <w:r>
        <w:t xml:space="preserve">June 16, 2026</w:t>
      </w:r>
      <w:r>
        <w:t xml:space="preserve"> </w:t>
      </w:r>
      <w:r>
        <w:rPr>
          <w:bCs/>
          <w:b/>
        </w:rPr>
        <w:t xml:space="preserve">Live at:</w:t>
      </w:r>
      <w:r>
        <w:t xml:space="preserve"> </w:t>
      </w:r>
      <w:hyperlink r:id="rId20">
        <w:r>
          <w:rPr>
            <w:rStyle w:val="Hyperlink"/>
          </w:rPr>
          <w:t xml:space="preserve">bedrockesg.com</w:t>
        </w:r>
      </w:hyperlink>
    </w:p>
    <w:p>
      <w:r>
        <w:pict>
          <v:rect style="width:0;height:1.5pt" o:hralign="center" o:hrstd="t" o:hr="t"/>
        </w:pict>
      </w:r>
    </w:p>
    <w:bookmarkStart w:id="21" w:name="what-is-bedrock-esg"/>
    <w:p>
      <w:pPr>
        <w:pStyle w:val="Heading2"/>
      </w:pPr>
      <w:r>
        <w:t xml:space="preserve">WHAT IS BEDROCK ESG?</w:t>
      </w:r>
    </w:p>
    <w:p>
      <w:pPr>
        <w:pStyle w:val="FirstParagraph"/>
      </w:pPr>
      <w:r>
        <w:t xml:space="preserve">Bedrock ESG is an</w:t>
      </w:r>
      <w:r>
        <w:t xml:space="preserve"> </w:t>
      </w:r>
      <w:r>
        <w:rPr>
          <w:bCs/>
          <w:b/>
        </w:rPr>
        <w:t xml:space="preserve">institutional-grade carbon verification platform</w:t>
      </w:r>
      <w:r>
        <w:t xml:space="preserve"> </w:t>
      </w:r>
      <w:r>
        <w:t xml:space="preserve">that provides forensic-level proof of environmental impact across three industrial verticals: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Asphalt Recycling</w:t>
      </w:r>
      <w:r>
        <w:t xml:space="preserve"> </w:t>
      </w:r>
      <w:r>
        <w:t xml:space="preserve">— Tracking CO₂ savings from Reclaimed Asphalt Pavement (RAP)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Biochar Carbon Removal</w:t>
      </w:r>
      <w:r>
        <w:t xml:space="preserve"> </w:t>
      </w:r>
      <w:r>
        <w:t xml:space="preserve">— Measuring and certifying permanent carbon dioxide removal (CDR)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Metal Recovery</w:t>
      </w:r>
      <w:r>
        <w:t xml:space="preserve"> </w:t>
      </w:r>
      <w:r>
        <w:t xml:space="preserve">— Quantifying emissions avoided through scrap metal recycling</w:t>
      </w:r>
    </w:p>
    <w:p>
      <w:pPr>
        <w:pStyle w:val="FirstParagraph"/>
      </w:pPr>
      <w:r>
        <w:t xml:space="preserve">The platform acts as a</w:t>
      </w:r>
      <w:r>
        <w:t xml:space="preserve"> </w:t>
      </w:r>
      <w:r>
        <w:rPr>
          <w:bCs/>
          <w:b/>
        </w:rPr>
        <w:t xml:space="preserve">digital notary</w:t>
      </w:r>
      <w:r>
        <w:t xml:space="preserve"> </w:t>
      </w:r>
      <w:r>
        <w:t xml:space="preserve">— it doesn’t just calculate carbon savings, it</w:t>
      </w:r>
      <w:r>
        <w:t xml:space="preserve"> </w:t>
      </w:r>
      <w:r>
        <w:rPr>
          <w:iCs/>
          <w:i/>
        </w:rPr>
        <w:t xml:space="preserve">proves</w:t>
      </w:r>
      <w:r>
        <w:t xml:space="preserve"> </w:t>
      </w:r>
      <w:r>
        <w:t xml:space="preserve">them through multi-layer verification, blockchain anchoring, and forensic document analysis.</w:t>
      </w:r>
    </w:p>
    <w:p>
      <w:r>
        <w:pict>
          <v:rect style="width:0;height:1.5pt" o:hralign="center" o:hrstd="t" o:hr="t"/>
        </w:pict>
      </w:r>
    </w:p>
    <w:bookmarkEnd w:id="21"/>
    <w:bookmarkStart w:id="22" w:name="the-core-promise-zero-greed"/>
    <w:p>
      <w:pPr>
        <w:pStyle w:val="Heading2"/>
      </w:pPr>
      <w:r>
        <w:t xml:space="preserve">THE CORE PROMISE:</w:t>
      </w:r>
      <w:r>
        <w:t xml:space="preserve"> </w:t>
      </w:r>
      <w:r>
        <w:t xml:space="preserve">“</w:t>
      </w:r>
      <w:r>
        <w:t xml:space="preserve">ZERO GREED</w:t>
      </w:r>
      <w:r>
        <w:t xml:space="preserve">”</w:t>
      </w:r>
    </w:p>
    <w:p>
      <w:pPr>
        <w:pStyle w:val="FirstParagraph"/>
      </w:pPr>
      <w:r>
        <w:t xml:space="preserve">Every verified asset settlement follows the</w:t>
      </w:r>
      <w:r>
        <w:t xml:space="preserve"> </w:t>
      </w:r>
      <w:r>
        <w:rPr>
          <w:bCs/>
          <w:b/>
        </w:rPr>
        <w:t xml:space="preserve">70/20/10 Universal Split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Sovereign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verified asset holder — the person or entity who owns the carbon credit or physical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Bedrock ESG’s operating share for verification, hosting, and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allocation — funds directed to public infrastructure and sustainability</w:t>
            </w:r>
          </w:p>
        </w:tc>
      </w:tr>
    </w:tbl>
    <w:p>
      <w:pPr>
        <w:pStyle w:val="BodyText"/>
      </w:pPr>
      <w:r>
        <w:t xml:space="preserve">This split is</w:t>
      </w:r>
      <w:r>
        <w:t xml:space="preserve"> </w:t>
      </w:r>
      <w:r>
        <w:rPr>
          <w:bCs/>
          <w:b/>
        </w:rPr>
        <w:t xml:space="preserve">mathematically enforced</w:t>
      </w:r>
      <w:r>
        <w:t xml:space="preserve"> </w:t>
      </w:r>
      <w:r>
        <w:t xml:space="preserve">in the codebase. It cannot be changed without triggering a system-level violation error.</w:t>
      </w:r>
    </w:p>
    <w:p>
      <w:r>
        <w:pict>
          <v:rect style="width:0;height:1.5pt" o:hralign="center" o:hrstd="t" o:hr="t"/>
        </w:pict>
      </w:r>
    </w:p>
    <w:bookmarkEnd w:id="22"/>
    <w:bookmarkStart w:id="26" w:name="how-verification-works"/>
    <w:p>
      <w:pPr>
        <w:pStyle w:val="Heading2"/>
      </w:pPr>
      <w:r>
        <w:t xml:space="preserve">HOW VERIFICATION WORKS</w:t>
      </w:r>
    </w:p>
    <w:bookmarkStart w:id="23" w:name="the-sentinel-engine-three-pillar-scoring"/>
    <w:p>
      <w:pPr>
        <w:pStyle w:val="Heading3"/>
      </w:pPr>
      <w:r>
        <w:t xml:space="preserve">The Sentinel Engine — Three-Pillar Scoring</w:t>
      </w:r>
    </w:p>
    <w:p>
      <w:pPr>
        <w:pStyle w:val="FirstParagraph"/>
      </w:pPr>
      <w:r>
        <w:t xml:space="preserve">Every document, file, or sensor reading submitted to Bedrock ESG passes through the</w:t>
      </w:r>
      <w:r>
        <w:t xml:space="preserve"> </w:t>
      </w:r>
      <w:r>
        <w:rPr>
          <w:bCs/>
          <w:b/>
        </w:rPr>
        <w:t xml:space="preserve">Sentinel Engine</w:t>
      </w:r>
      <w:r>
        <w:t xml:space="preserve">, which scores it across three independent pillars: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files authentic? Do their internal signatures match their declared format?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our AI parser extract meaningful, consistent data from the documents?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GPS location, timestamp, and metadata make geographic sense?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p>
      <w:pPr>
        <w:pStyle w:val="BodyText"/>
      </w:pPr>
      <w:r>
        <w:t xml:space="preserve">All three pillars must pass their minimum threshold for</w:t>
      </w:r>
      <w:r>
        <w:t xml:space="preserve"> </w:t>
      </w:r>
      <w:r>
        <w:rPr>
          <w:bCs/>
          <w:b/>
        </w:rPr>
        <w:t xml:space="preserve">automatic approval</w:t>
      </w:r>
      <w:r>
        <w:t xml:space="preserve">. If any pillar falls short, the submission is held for human review.</w:t>
      </w:r>
    </w:p>
    <w:bookmarkEnd w:id="23"/>
    <w:bookmarkStart w:id="24" w:name="the-haversine-boundary-check"/>
    <w:p>
      <w:pPr>
        <w:pStyle w:val="Heading3"/>
      </w:pPr>
      <w:r>
        <w:t xml:space="preserve">The Haversine Boundary Check</w:t>
      </w:r>
    </w:p>
    <w:p>
      <w:pPr>
        <w:pStyle w:val="FirstParagraph"/>
      </w:pPr>
      <w:r>
        <w:t xml:space="preserve">When a field operator submits data from a known facility, the system calculates the</w:t>
      </w:r>
      <w:r>
        <w:t xml:space="preserve"> </w:t>
      </w:r>
      <w:r>
        <w:rPr>
          <w:bCs/>
          <w:b/>
        </w:rPr>
        <w:t xml:space="preserve">exact distance</w:t>
      </w:r>
      <w:r>
        <w:t xml:space="preserve"> </w:t>
      </w:r>
      <w:r>
        <w:t xml:space="preserve">between the operator’s GPS coordinates and the facility’s registered location using the Haversine formula (the mathematical method for calculating distance on a sphere).</w:t>
      </w:r>
    </w:p>
    <w:p>
      <w:pPr>
        <w:pStyle w:val="BodyText"/>
      </w:pPr>
      <w:r>
        <w:t xml:space="preserve">If the operator is more than</w:t>
      </w:r>
      <w:r>
        <w:t xml:space="preserve"> </w:t>
      </w:r>
      <w:r>
        <w:rPr>
          <w:bCs/>
          <w:b/>
        </w:rPr>
        <w:t xml:space="preserve">50 kilometers</w:t>
      </w:r>
      <w:r>
        <w:t xml:space="preserve"> </w:t>
      </w:r>
      <w:r>
        <w:t xml:space="preserve">from the facility, the submission is</w:t>
      </w:r>
      <w:r>
        <w:t xml:space="preserve"> </w:t>
      </w:r>
      <w:r>
        <w:rPr>
          <w:bCs/>
          <w:b/>
        </w:rPr>
        <w:t xml:space="preserve">immediately rejected</w:t>
      </w:r>
      <w:r>
        <w:t xml:space="preserve"> </w:t>
      </w:r>
      <w:r>
        <w:t xml:space="preserve">with a clear 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GPS Accuracy Degraded — Please Re-Enter the Active Capture Zone.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This prevents remote spoofing of location data.</w:t>
      </w:r>
    </w:p>
    <w:bookmarkEnd w:id="24"/>
    <w:bookmarkStart w:id="25" w:name="temporal-spoofing-detection"/>
    <w:p>
      <w:pPr>
        <w:pStyle w:val="Heading3"/>
      </w:pPr>
      <w:r>
        <w:t xml:space="preserve">Temporal Spoofing Detection</w:t>
      </w:r>
    </w:p>
    <w:p>
      <w:pPr>
        <w:pStyle w:val="FirstParagraph"/>
      </w:pPr>
      <w:r>
        <w:t xml:space="preserve">The system compares the timestamp on the operator’s device with the server’s clock. If the difference exceeds</w:t>
      </w:r>
      <w:r>
        <w:t xml:space="preserve"> </w:t>
      </w:r>
      <w:r>
        <w:rPr>
          <w:bCs/>
          <w:b/>
        </w:rPr>
        <w:t xml:space="preserve">15 minutes</w:t>
      </w:r>
      <w:r>
        <w:t xml:space="preserve">, the submission is flagged as potentially spoofed. This catches attempts to backdate or forward-date submissions.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he-three-submission-tracks"/>
    <w:p>
      <w:pPr>
        <w:pStyle w:val="Heading2"/>
      </w:pPr>
      <w:r>
        <w:t xml:space="preserve">THE THREE SUBMISSION TRACKS</w:t>
      </w:r>
    </w:p>
    <w:bookmarkStart w:id="27" w:name="track-a-materials-asphalt-concrete-metal"/>
    <w:p>
      <w:pPr>
        <w:pStyle w:val="Heading3"/>
      </w:pPr>
      <w:r>
        <w:t xml:space="preserve">Track A: Materials (Asphalt, Concrete, Metal)</w:t>
      </w:r>
    </w:p>
    <w:p>
      <w:pPr>
        <w:numPr>
          <w:ilvl w:val="0"/>
          <w:numId w:val="1002"/>
        </w:numPr>
        <w:pStyle w:val="Compact"/>
      </w:pPr>
      <w:r>
        <w:t xml:space="preserve">Upload material test reports, delivery tickets, or recycling manifests</w:t>
      </w:r>
    </w:p>
    <w:p>
      <w:pPr>
        <w:numPr>
          <w:ilvl w:val="0"/>
          <w:numId w:val="1002"/>
        </w:numPr>
        <w:pStyle w:val="Compact"/>
      </w:pPr>
      <w:r>
        <w:t xml:space="preserve">System extracts tonnage, material type, and ICE v4.1 emission coefficients</w:t>
      </w:r>
    </w:p>
    <w:p>
      <w:pPr>
        <w:numPr>
          <w:ilvl w:val="0"/>
          <w:numId w:val="1002"/>
        </w:numPr>
        <w:pStyle w:val="Compact"/>
      </w:pPr>
      <w:r>
        <w:t xml:space="preserve">Calculates CO₂ savings based on Eurobitume lifecycle analysis (A1-A3 stages)</w:t>
      </w:r>
    </w:p>
    <w:bookmarkEnd w:id="27"/>
    <w:bookmarkStart w:id="28" w:name="track-b-179d-energy-real-estate"/>
    <w:p>
      <w:pPr>
        <w:pStyle w:val="Heading3"/>
      </w:pPr>
      <w:r>
        <w:t xml:space="preserve">Track B: 179D Energy (Real Estate)</w:t>
      </w:r>
    </w:p>
    <w:p>
      <w:pPr>
        <w:numPr>
          <w:ilvl w:val="0"/>
          <w:numId w:val="1003"/>
        </w:numPr>
        <w:pStyle w:val="Compact"/>
      </w:pPr>
      <w:r>
        <w:t xml:space="preserve">Upload IRS Form 7205, building envelope data, and energy audits</w:t>
      </w:r>
    </w:p>
    <w:p>
      <w:pPr>
        <w:numPr>
          <w:ilvl w:val="0"/>
          <w:numId w:val="1003"/>
        </w:numPr>
        <w:pStyle w:val="Compact"/>
      </w:pPr>
      <w:r>
        <w:t xml:space="preserve">Supports commercial and residential real estate carbon compliance</w:t>
      </w:r>
    </w:p>
    <w:p>
      <w:pPr>
        <w:numPr>
          <w:ilvl w:val="0"/>
          <w:numId w:val="1003"/>
        </w:numPr>
        <w:pStyle w:val="Compact"/>
      </w:pPr>
      <w:r>
        <w:t xml:space="preserve">Generates tax deduction documentation</w:t>
      </w:r>
    </w:p>
    <w:bookmarkEnd w:id="28"/>
    <w:bookmarkStart w:id="29" w:name="X5851a873c413141dbfb40df7fc1eddb193d2ec7"/>
    <w:p>
      <w:pPr>
        <w:pStyle w:val="Heading3"/>
      </w:pPr>
      <w:r>
        <w:t xml:space="preserve">Track C: Biochar CDR (Carbon Dioxide Removal)</w:t>
      </w:r>
    </w:p>
    <w:p>
      <w:pPr>
        <w:numPr>
          <w:ilvl w:val="0"/>
          <w:numId w:val="1004"/>
        </w:numPr>
        <w:pStyle w:val="Compact"/>
      </w:pPr>
      <w:r>
        <w:t xml:space="preserve">Upload pyrolysis data, feedstock documentation, and stability metrics</w:t>
      </w:r>
    </w:p>
    <w:p>
      <w:pPr>
        <w:numPr>
          <w:ilvl w:val="0"/>
          <w:numId w:val="1004"/>
        </w:numPr>
        <w:pStyle w:val="Compact"/>
      </w:pPr>
      <w:r>
        <w:t xml:space="preserve">Validates CDR credits against Hedera Guardian Framework</w:t>
      </w:r>
    </w:p>
    <w:p>
      <w:pPr>
        <w:numPr>
          <w:ilvl w:val="0"/>
          <w:numId w:val="1004"/>
        </w:numPr>
        <w:pStyle w:val="Compact"/>
      </w:pPr>
      <w:r>
        <w:t xml:space="preserve">Links to dual-blockchain attestation (Hedera + Polygon)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hat-the-platform-looks-like"/>
    <w:p>
      <w:pPr>
        <w:pStyle w:val="Heading2"/>
      </w:pPr>
      <w:r>
        <w:t xml:space="preserve">WHAT THE PLATFORM LOOKS LIKE</w:t>
      </w:r>
    </w:p>
    <w:bookmarkStart w:id="31" w:name="for-asset-owners-clients"/>
    <w:p>
      <w:pPr>
        <w:pStyle w:val="Heading3"/>
      </w:pPr>
      <w:r>
        <w:t xml:space="preserve">For Asset Owners (Clients)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cockpit ticker showing all verified assets with live value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Submission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 upload zone for documents, photos, and 3D spatial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CO₂ savings estimation for asphalt recycling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charts showing cumulative environmental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green credits through their lifecycle: Pending → Issued → Redeemed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3-step wizard: Identity → Property → Telemetry setup</w:t>
            </w:r>
          </w:p>
        </w:tc>
      </w:tr>
    </w:tbl>
    <w:bookmarkEnd w:id="31"/>
    <w:bookmarkStart w:id="32" w:name="for-verification-agents"/>
    <w:p>
      <w:pPr>
        <w:pStyle w:val="Heading3"/>
      </w:pPr>
      <w:r>
        <w:t xml:space="preserve">For Verification Agents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dashboard with farmer registration and pending task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One-tap approve/reject for biochar batches and recycling logs</w:t>
            </w:r>
          </w:p>
        </w:tc>
      </w:tr>
    </w:tbl>
    <w:bookmarkEnd w:id="32"/>
    <w:bookmarkStart w:id="33" w:name="for-administrators"/>
    <w:p>
      <w:pPr>
        <w:pStyle w:val="Heading3"/>
      </w:pPr>
      <w:r>
        <w:t xml:space="preserve">For Administrators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control: approve/reject/re-scan discovery assets, execute settlements, network purge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feed for unlisted macro-assets (exchanges, skyscrapers, casinos)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view of all settlements and carbon impact across the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Tamper-proof activity log with SHA-256 integrity hashes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security-layers"/>
    <w:p>
      <w:pPr>
        <w:pStyle w:val="Heading2"/>
      </w:pPr>
      <w:r>
        <w:t xml:space="preserve">SECURITY LAYERS</w:t>
      </w:r>
    </w:p>
    <w:bookmarkStart w:id="35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Email/Password login</w:t>
      </w:r>
      <w:r>
        <w:t xml:space="preserve"> </w:t>
      </w:r>
      <w:r>
        <w:t xml:space="preserve">with encrypted password storage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Google Single Sign-On</w:t>
      </w:r>
      <w:r>
        <w:t xml:space="preserve"> </w:t>
      </w:r>
      <w:r>
        <w:t xml:space="preserve">for seamless institutional access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JWT tokens</w:t>
      </w:r>
      <w:r>
        <w:t xml:space="preserve"> </w:t>
      </w:r>
      <w:r>
        <w:t xml:space="preserve">stored as secure, httpOnly cookies (not accessible to JavaScript)</w:t>
      </w:r>
    </w:p>
    <w:bookmarkEnd w:id="35"/>
    <w:bookmarkStart w:id="36" w:name="role-based-access-control-4-tiers"/>
    <w:p>
      <w:pPr>
        <w:pStyle w:val="Heading3"/>
      </w:pPr>
      <w:r>
        <w:t xml:space="preserve">Role-Based Access Control (4 Tiers)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override — all settings, all data, all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platform management — user management, settlements,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verification, submission approval, telemetry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assets, view own submissions only</w:t>
            </w:r>
          </w:p>
        </w:tc>
      </w:tr>
    </w:tbl>
    <w:bookmarkEnd w:id="36"/>
    <w:bookmarkStart w:id="37" w:name="X2309cf16c620ce187a585ec34509f37c4c9a9bf"/>
    <w:p>
      <w:pPr>
        <w:pStyle w:val="Heading3"/>
      </w:pPr>
      <w:r>
        <w:t xml:space="preserve">Protocol Security (for API/Field App Communication)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Timing-safe key validation</w:t>
      </w:r>
      <w:r>
        <w:t xml:space="preserve"> </w:t>
      </w:r>
      <w:r>
        <w:t xml:space="preserve">— prevents brute-force timing attacks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300-second timestamp window</w:t>
      </w:r>
      <w:r>
        <w:t xml:space="preserve"> </w:t>
      </w:r>
      <w:r>
        <w:t xml:space="preserve">— requests outside this window are rejected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Nonce deduplication</w:t>
      </w:r>
      <w:r>
        <w:t xml:space="preserve"> </w:t>
      </w:r>
      <w:r>
        <w:t xml:space="preserve">— every request must have a unique identifier; replays are blocked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blockchain-anchoring"/>
    <w:p>
      <w:pPr>
        <w:pStyle w:val="Heading2"/>
      </w:pPr>
      <w:r>
        <w:t xml:space="preserve">BLOCKCHAIN ANCHORING</w:t>
      </w:r>
    </w:p>
    <w:p>
      <w:pPr>
        <w:pStyle w:val="FirstParagraph"/>
      </w:pPr>
      <w:r>
        <w:t xml:space="preserve">Bedrock ESG anchors verification proofs to</w:t>
      </w:r>
      <w:r>
        <w:t xml:space="preserve"> </w:t>
      </w:r>
      <w:r>
        <w:rPr>
          <w:bCs/>
          <w:b/>
        </w:rPr>
        <w:t xml:space="preserve">three independent blockchains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Solana</w:t>
            </w:r>
            <w:r>
              <w:t xml:space="preserve"> </w:t>
            </w:r>
            <w:r>
              <w:t xml:space="preserve">(Devnet)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memo anchoring — immutable timestamp proof of every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Hedera</w:t>
            </w:r>
            <w:r>
              <w:t xml:space="preserve"> </w:t>
            </w:r>
            <w:r>
              <w:t xml:space="preserve">(HCS)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Hashgraph Consensus Service — tamper-proof submission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Polygon</w:t>
            </w:r>
            <w:r>
              <w:t xml:space="preserve"> </w:t>
            </w:r>
            <w:r>
              <w:t xml:space="preserve">(ERC-1155)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minting — tradeable carbon credit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bookmarkStart w:id="39" w:name="exitz-token-ecosystem-solana-mainnet"/>
    <w:p>
      <w:pPr>
        <w:pStyle w:val="Heading3"/>
      </w:pPr>
      <w:r>
        <w:t xml:space="preserve">EXITZ Token Ecosystem (Solana Mainnet)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EXITZ</w:t>
            </w:r>
            <w:r>
              <w:t xml:space="preserve"> </w:t>
            </w:r>
            <w:r>
              <w:t xml:space="preserve">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platform token (supply: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EXITZ-C</w:t>
            </w:r>
            <w:r>
              <w:t xml:space="preserve"> </w:t>
            </w:r>
            <w:r>
              <w:t xml:space="preserve">(Classic Vehicles)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asset verification (supply: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EXITZ-A</w:t>
            </w:r>
            <w:r>
              <w:t xml:space="preserve"> </w:t>
            </w:r>
            <w:r>
              <w:t xml:space="preserve">(Fine 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asset verification (supply: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the-discovery-pipeline"/>
    <w:p>
      <w:pPr>
        <w:pStyle w:val="Heading2"/>
      </w:pPr>
      <w:r>
        <w:t xml:space="preserve">THE DISCOVERY PIPELINE</w:t>
      </w:r>
    </w:p>
    <w:p>
      <w:pPr>
        <w:pStyle w:val="FirstParagraph"/>
      </w:pPr>
      <w:r>
        <w:t xml:space="preserve">Bedrock ESG maintains an intelligence feed of</w:t>
      </w:r>
      <w:r>
        <w:t xml:space="preserve"> </w:t>
      </w:r>
      <w:r>
        <w:rPr>
          <w:bCs/>
          <w:b/>
        </w:rPr>
        <w:t xml:space="preserve">macro-assets</w:t>
      </w:r>
      <w:r>
        <w:t xml:space="preserve"> </w:t>
      </w:r>
      <w:r>
        <w:t xml:space="preserve">— large-scale properties and institutions that represent significant verification opportunities: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5 Global Exchanges:</w:t>
      </w:r>
      <w:r>
        <w:t xml:space="preserve"> </w:t>
      </w:r>
      <w:r>
        <w:t xml:space="preserve">NYSE, NASDAQ, LSE, CME, Eurex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4 Iconic Skyscrapers:</w:t>
      </w:r>
      <w:r>
        <w:t xml:space="preserve"> </w:t>
      </w:r>
      <w:r>
        <w:t xml:space="preserve">Burj Khalifa, Taipei 101, One World Trade, Shanghai Tower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3 Major Casinos:</w:t>
      </w:r>
      <w:r>
        <w:t xml:space="preserve"> </w:t>
      </w:r>
      <w:r>
        <w:t xml:space="preserve">MGM Grand, The Venetian Macao, Marina Bay Sands</w:t>
      </w:r>
    </w:p>
    <w:p>
      <w:pPr>
        <w:pStyle w:val="FirstParagraph"/>
      </w:pPr>
      <w:r>
        <w:t xml:space="preserve">Each asset carries an estimated value and a calculated</w:t>
      </w:r>
      <w:r>
        <w:t xml:space="preserve"> </w:t>
      </w:r>
      <w:r>
        <w:rPr>
          <w:bCs/>
          <w:b/>
        </w:rPr>
        <w:t xml:space="preserve">70% sovereign share</w:t>
      </w:r>
      <w:r>
        <w:t xml:space="preserve">. Assets start in</w:t>
      </w:r>
      <w:r>
        <w:t xml:space="preserve"> </w:t>
      </w:r>
      <w:r>
        <w:rPr>
          <w:iCs/>
          <w:i/>
        </w:rPr>
        <w:t xml:space="preserve">Pending Sovereign Review</w:t>
      </w:r>
      <w:r>
        <w:t xml:space="preserve"> </w:t>
      </w:r>
      <w:r>
        <w:t xml:space="preserve">and must be explicitly approved by a Founder or Admin before settlement.</w:t>
      </w:r>
    </w:p>
    <w:p>
      <w:r>
        <w:pict>
          <v:rect style="width:0;height:1.5pt" o:hralign="center" o:hrstd="t" o:hr="t"/>
        </w:pict>
      </w:r>
    </w:p>
    <w:bookmarkEnd w:id="41"/>
    <w:bookmarkStart w:id="42" w:name="the-purge-gate"/>
    <w:p>
      <w:pPr>
        <w:pStyle w:val="Heading2"/>
      </w:pPr>
      <w:r>
        <w:t xml:space="preserve">THE PURGE GATE</w:t>
      </w:r>
    </w:p>
    <w:p>
      <w:pPr>
        <w:pStyle w:val="FirstParagraph"/>
      </w:pPr>
      <w:r>
        <w:t xml:space="preserve">The Admin Panel includes a</w:t>
      </w:r>
      <w:r>
        <w:t xml:space="preserve"> </w:t>
      </w:r>
      <w:r>
        <w:rPr>
          <w:bCs/>
          <w:b/>
        </w:rPr>
        <w:t xml:space="preserve">Network Purge Console</w:t>
      </w:r>
      <w:r>
        <w:t xml:space="preserve"> </w:t>
      </w:r>
      <w:r>
        <w:t xml:space="preserve">— a destructive cleanup tool protected by multiple safety layers: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 gate</w:t>
      </w:r>
      <w:r>
        <w:t xml:space="preserve"> </w:t>
      </w:r>
      <w:r>
        <w:t xml:space="preserve">— Only Founders and Admins can access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Preview scan</w:t>
      </w:r>
      <w:r>
        <w:t xml:space="preserve"> </w:t>
      </w:r>
      <w:r>
        <w:t xml:space="preserve">— Shows exactly what would be deleted before any action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Typed confirmation</w:t>
      </w:r>
      <w:r>
        <w:t xml:space="preserve"> </w:t>
      </w:r>
      <w:r>
        <w:t xml:space="preserve">— The operator must type the exact word</w:t>
      </w:r>
      <w:r>
        <w:t xml:space="preserve"> </w:t>
      </w:r>
      <w:r>
        <w:t xml:space="preserve">“</w:t>
      </w:r>
      <w:r>
        <w:t xml:space="preserve">PURGE</w:t>
      </w:r>
      <w:r>
        <w:t xml:space="preserve">”</w:t>
      </w:r>
      <w:r>
        <w:t xml:space="preserve"> </w:t>
      </w:r>
      <w:r>
        <w:t xml:space="preserve">into a text field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Modal confirmation</w:t>
      </w:r>
      <w:r>
        <w:t xml:space="preserve"> </w:t>
      </w:r>
      <w:r>
        <w:t xml:space="preserve">— A final warning dialog before execution</w:t>
      </w:r>
    </w:p>
    <w:p>
      <w:pPr>
        <w:pStyle w:val="FirstParagraph"/>
      </w:pPr>
      <w:r>
        <w:t xml:space="preserve">This ensures no accidental data destruction.</w:t>
      </w:r>
    </w:p>
    <w:p>
      <w:r>
        <w:pict>
          <v:rect style="width:0;height:1.5pt" o:hralign="center" o:hrstd="t" o:hr="t"/>
        </w:pict>
      </w:r>
    </w:p>
    <w:bookmarkEnd w:id="42"/>
    <w:bookmarkStart w:id="43" w:name="known-facility-zones"/>
    <w:p>
      <w:pPr>
        <w:pStyle w:val="Heading2"/>
      </w:pPr>
      <w:r>
        <w:t xml:space="preserve">KNOWN FACILITY ZONES</w:t>
      </w:r>
    </w:p>
    <w:p>
      <w:pPr>
        <w:pStyle w:val="FirstParagraph"/>
      </w:pPr>
      <w:r>
        <w:t xml:space="preserve">The platform has four registered physical facility zones used for GPS verification: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Vegas, 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Houston, 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Logistics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Ontario, 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Metals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Pittsburgh, Pennsylvania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km</w:t>
            </w:r>
          </w:p>
        </w:tc>
      </w:tr>
    </w:tbl>
    <w:p>
      <w:pPr>
        <w:pStyle w:val="BodyText"/>
      </w:pPr>
      <w:r>
        <w:t xml:space="preserve">Field operators submitting data must be physically within these zones for their submissions to be accepted.</w:t>
      </w:r>
    </w:p>
    <w:p>
      <w:r>
        <w:pict>
          <v:rect style="width:0;height:1.5pt" o:hralign="center" o:hrstd="t" o:hr="t"/>
        </w:pict>
      </w:r>
    </w:p>
    <w:bookmarkEnd w:id="43"/>
    <w:bookmarkStart w:id="44" w:name="emission-science"/>
    <w:p>
      <w:pPr>
        <w:pStyle w:val="Heading2"/>
      </w:pPr>
      <w:r>
        <w:t xml:space="preserve">EMISSION SCIENCE</w:t>
      </w:r>
    </w:p>
    <w:p>
      <w:pPr>
        <w:pStyle w:val="FirstParagraph"/>
      </w:pPr>
      <w:r>
        <w:t xml:space="preserve">Carbon calculations are grounded in two internationally recognized databases: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ICE Database v4.1</w:t>
      </w:r>
      <w:r>
        <w:t xml:space="preserve"> </w:t>
      </w:r>
      <w:r>
        <w:t xml:space="preserve">(University of Bath) — 25 material emission factors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Ecoinvent v3.10.1</w:t>
      </w:r>
      <w:r>
        <w:t xml:space="preserve"> </w:t>
      </w:r>
      <w:r>
        <w:t xml:space="preserve">(Swiss Centre for Life Cycle Inventories) — 15 process factors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60% biogenic variance correction</w:t>
      </w:r>
      <w:r>
        <w:t xml:space="preserve"> </w:t>
      </w:r>
      <w:r>
        <w:t xml:space="preserve">is applied for US and Brazilian markets to account for regional differences in energy grids and material sourcing.</w:t>
      </w:r>
    </w:p>
    <w:p>
      <w:r>
        <w:pict>
          <v:rect style="width:0;height:1.5pt" o:hralign="center" o:hrstd="t" o:hr="t"/>
        </w:pict>
      </w:r>
    </w:p>
    <w:bookmarkEnd w:id="44"/>
    <w:bookmarkStart w:id="45" w:name="the-hum-listener"/>
    <w:p>
      <w:pPr>
        <w:pStyle w:val="Heading2"/>
      </w:pPr>
      <w:r>
        <w:t xml:space="preserve">THE HUM LISTENER</w:t>
      </w:r>
    </w:p>
    <w:p>
      <w:pPr>
        <w:pStyle w:val="FirstParagraph"/>
      </w:pPr>
      <w:r>
        <w:t xml:space="preserve">The platform monitors real-time energy market activity through the</w:t>
      </w:r>
      <w:r>
        <w:t xml:space="preserve"> </w:t>
      </w:r>
      <w:r>
        <w:rPr>
          <w:bCs/>
          <w:b/>
        </w:rPr>
        <w:t xml:space="preserve">HUM Dynamic Listener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Baseline:</w:t>
      </w:r>
      <w:r>
        <w:t xml:space="preserve"> </w:t>
      </w:r>
      <w:r>
        <w:t xml:space="preserve">12.6 MW monitoring threshold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Sources:</w:t>
      </w:r>
      <w:r>
        <w:t xml:space="preserve"> </w:t>
      </w:r>
      <w:r>
        <w:t xml:space="preserve">Major exchange trading windows (NYSE, NASDAQ, LSE, CME, Eurex)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When energy market shifts exceed 5%, the system automatically anchors a verification memo to the Solana blockchain</w:t>
      </w:r>
    </w:p>
    <w:p>
      <w:pPr>
        <w:pStyle w:val="FirstParagraph"/>
      </w:pPr>
      <w:r>
        <w:t xml:space="preserve">This creates an independent, market-driven verification cadence tied to real economic activity.</w:t>
      </w:r>
    </w:p>
    <w:p>
      <w:r>
        <w:pict>
          <v:rect style="width:0;height:1.5pt" o:hralign="center" o:hrstd="t" o:hr="t"/>
        </w:pict>
      </w:r>
    </w:p>
    <w:bookmarkEnd w:id="45"/>
    <w:bookmarkStart w:id="46" w:name="project-timeline"/>
    <w:p>
      <w:pPr>
        <w:pStyle w:val="Heading2"/>
      </w:pPr>
      <w:r>
        <w:t xml:space="preserve">PROJECT TIMELINE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Scrapnet 2.0 — Asphalt RAP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Bedrock ESG rebrand — Biochar + Metal + Vault + Blockchain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label rebrand (Zero Greed), Precious Metals VAL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Macro-asset discovery pipeline, cockpit ticker (superseded)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Trinity Protocol</w:t>
            </w:r>
            <w:r>
              <w:t xml:space="preserve"> </w:t>
            </w:r>
            <w:r>
              <w:t xml:space="preserve">— RBAC, Google SSO, Audit Logs, Aethexer v1 protocol, Sentinel Engine, Forensic Ingest, Telemetry Ingest, Admin Panel, SPEXTER sensor extension, Haversine boundary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key-contacts"/>
    <w:p>
      <w:pPr>
        <w:pStyle w:val="Heading2"/>
      </w:pPr>
      <w:r>
        <w:t xml:space="preserve">KEY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 /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Kato (Zer0)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Aethexer Notary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idecade8@gmail.com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bedrockesg.com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Bedrock ESG — Institutional Carbon Verification for the Circular Economy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Seed to Sale Chain of Custody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Every gram verified, every dollar split fairly.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edrockesg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edrockesg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2026-06-16T17:15:24Z</dcterms:created>
  <dcterms:modified xsi:type="dcterms:W3CDTF">2026-06-16T17:15:24Z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