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aethexer-exitz"/>
    <w:p>
      <w:pPr>
        <w:pStyle w:val="Heading1"/>
      </w:pPr>
      <w:r>
        <w:t xml:space="preserve">AETHEXER / EXITZ</w:t>
      </w:r>
    </w:p>
    <w:bookmarkStart w:id="20" w:name="X493801d40792b2bbb7d6417bfa4f311abcbdae0"/>
    <w:p>
      <w:pPr>
        <w:pStyle w:val="Heading2"/>
      </w:pPr>
      <w:r>
        <w:t xml:space="preserve">Universal Truth Layer &amp; Carbon Displacement Token</w:t>
      </w:r>
    </w:p>
    <w:p>
      <w:pPr>
        <w:pStyle w:val="FirstParagraph"/>
      </w:pPr>
      <w:r>
        <w:rPr>
          <w:bCs/>
          <w:b/>
        </w:rPr>
        <w:t xml:space="preserve">Prepared by ZerO</w:t>
      </w:r>
      <w:r>
        <w:t xml:space="preserve"> </w:t>
      </w:r>
      <w:r>
        <w:t xml:space="preserve">| April 2026</w:t>
      </w:r>
    </w:p>
    <w:p>
      <w:r>
        <w:pict>
          <v:rect style="width:0;height:1.5pt" o:hralign="center" o:hrstd="t" o:hr="t"/>
        </w:pict>
      </w:r>
    </w:p>
    <w:bookmarkEnd w:id="20"/>
    <w:bookmarkStart w:id="21" w:name="what-is-aethexer"/>
    <w:p>
      <w:pPr>
        <w:pStyle w:val="Heading2"/>
      </w:pPr>
      <w:r>
        <w:t xml:space="preserve">What Is Aethexer?</w:t>
      </w:r>
    </w:p>
    <w:p>
      <w:pPr>
        <w:pStyle w:val="FirstParagraph"/>
      </w:pPr>
      <w:r>
        <w:t xml:space="preserve">Aethexer is the</w:t>
      </w:r>
      <w:r>
        <w:t xml:space="preserve"> </w:t>
      </w:r>
      <w:r>
        <w:rPr>
          <w:bCs/>
          <w:b/>
        </w:rPr>
        <w:t xml:space="preserve">Universal Truth Layer</w:t>
      </w:r>
      <w:r>
        <w:t xml:space="preserve"> </w:t>
      </w:r>
      <w:r>
        <w:t xml:space="preserve">— a proprietary protocol that provides military-grade cryptographic security for digital transactions while simultaneously generating measurable environmental benefit. It is the intellectual property of ZerO and serves as the cryptographic backbone of the Bedrock ESG platform.</w:t>
      </w:r>
    </w:p>
    <w:p>
      <w:pPr>
        <w:pStyle w:val="BodyText"/>
      </w:pPr>
      <w:r>
        <w:t xml:space="preserve">The core insight behind Aethexer is simple but powerful: every time a digital process replaces a physical one — every armored truck that doesn’t drive, every courier package that becomes a secure digital transfer — there is a measurable reduction in carbon emissions. Aethexer captures, verifies, and tokenizes that reduction.</w:t>
      </w:r>
    </w:p>
    <w:p>
      <w:pPr>
        <w:pStyle w:val="BodyText"/>
      </w:pPr>
      <w:r>
        <w:t xml:space="preserve">The result is</w:t>
      </w:r>
      <w:r>
        <w:t xml:space="preserve"> </w:t>
      </w:r>
      <w:r>
        <w:rPr>
          <w:bCs/>
          <w:b/>
        </w:rPr>
        <w:t xml:space="preserve">EXITZ</w:t>
      </w:r>
      <w:r>
        <w:t xml:space="preserve"> </w:t>
      </w:r>
      <w:r>
        <w:t xml:space="preserve">— a carbon displacement token that represents the environmental benefit of choosing digital over physical.</w:t>
      </w:r>
    </w:p>
    <w:p>
      <w:r>
        <w:pict>
          <v:rect style="width:0;height:1.5pt" o:hralign="center" o:hrstd="t" o:hr="t"/>
        </w:pict>
      </w:r>
    </w:p>
    <w:bookmarkEnd w:id="21"/>
    <w:bookmarkStart w:id="22" w:name="the-problem"/>
    <w:p>
      <w:pPr>
        <w:pStyle w:val="Heading2"/>
      </w:pPr>
      <w:r>
        <w:t xml:space="preserve">The Problem</w:t>
      </w:r>
    </w:p>
    <w:p>
      <w:pPr>
        <w:pStyle w:val="FirstParagraph"/>
      </w:pPr>
      <w:r>
        <w:t xml:space="preserve">The modern economy still moves enormous value through physical infrastructure — armored vehicles, courier services, secure transport. This physical movement generates significant carbon emissions that are rarely accounted for, never offset, and completely avoidable when digital alternatives exist.</w:t>
      </w:r>
    </w:p>
    <w:p>
      <w:pPr>
        <w:pStyle w:val="BodyText"/>
      </w:pPr>
      <w:r>
        <w:t xml:space="preserve">At the same time, digital security protocols exist in isolation from environmental accounting. A bank encrypting a wire transfer doesn’t receive credit for the armored truck it didn’t dispatch. A law firm sending documents through a secure portal doesn’t quantify the courier emissions it avoided.</w:t>
      </w:r>
    </w:p>
    <w:p>
      <w:pPr>
        <w:pStyle w:val="BodyText"/>
      </w:pPr>
      <w:r>
        <w:t xml:space="preserve">Aethexer bridges this gap by wrapping every digital transaction in military-grade security while simultaneously calculating and recording the carbon displacement it creates.</w:t>
      </w:r>
    </w:p>
    <w:p>
      <w:r>
        <w:pict>
          <v:rect style="width:0;height:1.5pt" o:hralign="center" o:hrstd="t" o:hr="t"/>
        </w:pict>
      </w:r>
    </w:p>
    <w:bookmarkEnd w:id="22"/>
    <w:bookmarkStart w:id="29" w:name="how-it-works"/>
    <w:p>
      <w:pPr>
        <w:pStyle w:val="Heading2"/>
      </w:pPr>
      <w:r>
        <w:t xml:space="preserve">How It Works</w:t>
      </w:r>
    </w:p>
    <w:bookmarkStart w:id="23" w:name="armored-digital-packets"/>
    <w:p>
      <w:pPr>
        <w:pStyle w:val="Heading3"/>
      </w:pPr>
      <w:r>
        <w:t xml:space="preserve">Armored Digital Packets</w:t>
      </w:r>
    </w:p>
    <w:p>
      <w:pPr>
        <w:pStyle w:val="FirstParagraph"/>
      </w:pPr>
      <w:r>
        <w:t xml:space="preserve">The fundamental unit of the Aethex Protocol is the</w:t>
      </w:r>
      <w:r>
        <w:t xml:space="preserve"> </w:t>
      </w:r>
      <w:r>
        <w:rPr>
          <w:bCs/>
          <w:b/>
        </w:rPr>
        <w:t xml:space="preserve">Armored Digital Packet</w:t>
      </w:r>
      <w:r>
        <w:t xml:space="preserve"> </w:t>
      </w:r>
      <w:r>
        <w:t xml:space="preserve">— a cryptographically secured data container that replaces the need for physical secure transport.</w:t>
      </w:r>
    </w:p>
    <w:p>
      <w:pPr>
        <w:pStyle w:val="BodyText"/>
      </w:pPr>
      <w:r>
        <w:t xml:space="preserve">Think of it as the digital equivalent of an armored truck: it carries valuable cargo (data, documents, financial instructions) through a hostile environment (the internet) with three layers of protection that would make any physical security system envious.</w:t>
      </w:r>
    </w:p>
    <w:p>
      <w:pPr>
        <w:pStyle w:val="BodyText"/>
      </w:pPr>
      <w:r>
        <w:t xml:space="preserve">Each Armored Digital Packet carries with it a calculated carbon displacement — the measurable environmental benefit of this digital transfer existing instead of a physical one.</w:t>
      </w:r>
    </w:p>
    <w:bookmarkEnd w:id="23"/>
    <w:bookmarkStart w:id="27" w:name="three-tier-security-model"/>
    <w:p>
      <w:pPr>
        <w:pStyle w:val="Heading3"/>
      </w:pPr>
      <w:r>
        <w:t xml:space="preserve">Three-Tier Security Model</w:t>
      </w:r>
    </w:p>
    <w:p>
      <w:pPr>
        <w:pStyle w:val="FirstParagraph"/>
      </w:pPr>
      <w:r>
        <w:t xml:space="preserve">Every Armored Digital Packet is protected by three independent security layers, each addressing a different threat vector:</w:t>
      </w:r>
    </w:p>
    <w:bookmarkStart w:id="24" w:name="tier-1-ballistic-layer"/>
    <w:p>
      <w:pPr>
        <w:pStyle w:val="Heading4"/>
      </w:pPr>
      <w:r>
        <w:t xml:space="preserve">Tier 1 — Ballistic Layer</w:t>
      </w:r>
    </w:p>
    <w:p>
      <w:pPr>
        <w:pStyle w:val="FirstParagraph"/>
      </w:pPr>
      <w:r>
        <w:t xml:space="preserve">The innermost layer provides AES-GCM-256 encryption — the same encryption standard used by intelligence agencies and military systems worldwide. Every piece of data inside the packet is individually encrypted with a unique key and initialization vector, making interception meaningless without the decryption credentials.</w:t>
      </w:r>
    </w:p>
    <w:p>
      <w:pPr>
        <w:pStyle w:val="BodyText"/>
      </w:pPr>
      <w:r>
        <w:t xml:space="preserve">This layer answers the question:</w:t>
      </w:r>
      <w:r>
        <w:t xml:space="preserve"> </w:t>
      </w:r>
      <w:r>
        <w:rPr>
          <w:iCs/>
          <w:i/>
        </w:rPr>
        <w:t xml:space="preserve">“</w:t>
      </w:r>
      <w:r>
        <w:rPr>
          <w:iCs/>
          <w:i/>
        </w:rPr>
        <w:t xml:space="preserve">If someone intercepts this packet, can they read it?</w:t>
      </w:r>
      <w:r>
        <w:rPr>
          <w:iCs/>
          <w:i/>
        </w:rPr>
        <w:t xml:space="preserve">”</w:t>
      </w:r>
      <w:r>
        <w:t xml:space="preserve"> </w:t>
      </w:r>
      <w:r>
        <w:t xml:space="preserve">The answer is no.</w:t>
      </w:r>
    </w:p>
    <w:bookmarkEnd w:id="24"/>
    <w:bookmarkStart w:id="25" w:name="tier-2-guardian-layer"/>
    <w:p>
      <w:pPr>
        <w:pStyle w:val="Heading4"/>
      </w:pPr>
      <w:r>
        <w:t xml:space="preserve">Tier 2 — Guardian Layer</w:t>
      </w:r>
    </w:p>
    <w:p>
      <w:pPr>
        <w:pStyle w:val="FirstParagraph"/>
      </w:pPr>
      <w:r>
        <w:t xml:space="preserve">The middle layer implements 2-of-2 Multi-Signature Verification. Both the sender and the receiver must cryptographically sign the packet for it to be valid. This prevents unauthorized access even if encryption keys are compromised — without both signatures, the packet cannot be opened.</w:t>
      </w:r>
    </w:p>
    <w:p>
      <w:pPr>
        <w:pStyle w:val="BodyText"/>
      </w:pPr>
      <w:r>
        <w:t xml:space="preserve">This layer answers the question:</w:t>
      </w:r>
      <w:r>
        <w:t xml:space="preserve"> </w:t>
      </w:r>
      <w:r>
        <w:rPr>
          <w:iCs/>
          <w:i/>
        </w:rPr>
        <w:t xml:space="preserve">“</w:t>
      </w:r>
      <w:r>
        <w:rPr>
          <w:iCs/>
          <w:i/>
        </w:rPr>
        <w:t xml:space="preserve">If someone has the key, can they access this without authorization?</w:t>
      </w:r>
      <w:r>
        <w:rPr>
          <w:iCs/>
          <w:i/>
        </w:rPr>
        <w:t xml:space="preserve">”</w:t>
      </w:r>
      <w:r>
        <w:t xml:space="preserve"> </w:t>
      </w:r>
      <w:r>
        <w:t xml:space="preserve">The answer is no — both parties must consent.</w:t>
      </w:r>
    </w:p>
    <w:bookmarkEnd w:id="25"/>
    <w:bookmarkStart w:id="26" w:name="tier-3-stealth-layer"/>
    <w:p>
      <w:pPr>
        <w:pStyle w:val="Heading4"/>
      </w:pPr>
      <w:r>
        <w:t xml:space="preserve">Tier 3 — Stealth Layer</w:t>
      </w:r>
    </w:p>
    <w:p>
      <w:pPr>
        <w:pStyle w:val="FirstParagraph"/>
      </w:pPr>
      <w:r>
        <w:t xml:space="preserve">The outermost layer uses Zero-Knowledge Proofs (ZKP) — a cryptographic technique that allows one party to prove they possess certain information without revealing the information itself. This means the packet’s integrity and authenticity can be verified by anyone, without exposing its contents.</w:t>
      </w:r>
    </w:p>
    <w:p>
      <w:pPr>
        <w:pStyle w:val="BodyText"/>
      </w:pPr>
      <w:r>
        <w:t xml:space="preserve">This layer answers the question:</w:t>
      </w:r>
      <w:r>
        <w:t xml:space="preserve"> </w:t>
      </w:r>
      <w:r>
        <w:rPr>
          <w:iCs/>
          <w:i/>
        </w:rPr>
        <w:t xml:space="preserve">“</w:t>
      </w:r>
      <w:r>
        <w:rPr>
          <w:iCs/>
          <w:i/>
        </w:rPr>
        <w:t xml:space="preserve">Can we verify this packet is legitimate without seeing what’s inside?</w:t>
      </w:r>
      <w:r>
        <w:rPr>
          <w:iCs/>
          <w:i/>
        </w:rPr>
        <w:t xml:space="preserve">”</w:t>
      </w:r>
      <w:r>
        <w:t xml:space="preserve"> </w:t>
      </w:r>
      <w:r>
        <w:t xml:space="preserve">The answer is yes.</w:t>
      </w:r>
    </w:p>
    <w:bookmarkEnd w:id="26"/>
    <w:bookmarkEnd w:id="27"/>
    <w:bookmarkStart w:id="28" w:name="packet-lifecycle"/>
    <w:p>
      <w:pPr>
        <w:pStyle w:val="Heading3"/>
      </w:pPr>
      <w:r>
        <w:t xml:space="preserve">Packet Lifecycle</w:t>
      </w:r>
    </w:p>
    <w:p>
      <w:pPr>
        <w:pStyle w:val="FirstParagraph"/>
      </w:pPr>
      <w:r>
        <w:t xml:space="preserve">Every Armored Digital Packet moves through a defined lifecycle:</w:t>
      </w:r>
    </w:p>
    <w:p>
      <w:pPr>
        <w:numPr>
          <w:ilvl w:val="0"/>
          <w:numId w:val="1001"/>
        </w:numPr>
        <w:pStyle w:val="Compact"/>
      </w:pPr>
      <w:r>
        <w:rPr>
          <w:bCs/>
          <w:b/>
        </w:rPr>
        <w:t xml:space="preserve">Created</w:t>
      </w:r>
      <w:r>
        <w:t xml:space="preserve"> </w:t>
      </w:r>
      <w:r>
        <w:t xml:space="preserve">— Payload is encrypted with AES-GCM-256 (Ballistic layer activated)</w:t>
      </w:r>
    </w:p>
    <w:p>
      <w:pPr>
        <w:numPr>
          <w:ilvl w:val="0"/>
          <w:numId w:val="1001"/>
        </w:numPr>
        <w:pStyle w:val="Compact"/>
      </w:pPr>
      <w:r>
        <w:rPr>
          <w:bCs/>
          <w:b/>
        </w:rPr>
        <w:t xml:space="preserve">Signed</w:t>
      </w:r>
      <w:r>
        <w:t xml:space="preserve"> </w:t>
      </w:r>
      <w:r>
        <w:t xml:space="preserve">— Both parties apply their cryptographic signatures (Guardian layer activated)</w:t>
      </w:r>
    </w:p>
    <w:p>
      <w:pPr>
        <w:numPr>
          <w:ilvl w:val="0"/>
          <w:numId w:val="1001"/>
        </w:numPr>
        <w:pStyle w:val="Compact"/>
      </w:pPr>
      <w:r>
        <w:rPr>
          <w:bCs/>
          <w:b/>
        </w:rPr>
        <w:t xml:space="preserve">Verified</w:t>
      </w:r>
      <w:r>
        <w:t xml:space="preserve"> </w:t>
      </w:r>
      <w:r>
        <w:t xml:space="preserve">— Zero-Knowledge Proof is generated (Stealth layer activated)</w:t>
      </w:r>
    </w:p>
    <w:p>
      <w:pPr>
        <w:numPr>
          <w:ilvl w:val="0"/>
          <w:numId w:val="1001"/>
        </w:numPr>
        <w:pStyle w:val="Compact"/>
      </w:pPr>
      <w:r>
        <w:rPr>
          <w:bCs/>
          <w:b/>
        </w:rPr>
        <w:t xml:space="preserve">In Transit</w:t>
      </w:r>
      <w:r>
        <w:t xml:space="preserve"> </w:t>
      </w:r>
      <w:r>
        <w:t xml:space="preserve">— Packet moves between parties through any network</w:t>
      </w:r>
    </w:p>
    <w:p>
      <w:pPr>
        <w:numPr>
          <w:ilvl w:val="0"/>
          <w:numId w:val="1001"/>
        </w:numPr>
        <w:pStyle w:val="Compact"/>
      </w:pPr>
      <w:r>
        <w:rPr>
          <w:bCs/>
          <w:b/>
        </w:rPr>
        <w:t xml:space="preserve">Delivered</w:t>
      </w:r>
      <w:r>
        <w:t xml:space="preserve"> </w:t>
      </w:r>
      <w:r>
        <w:t xml:space="preserve">— Received and verified at destination</w:t>
      </w:r>
    </w:p>
    <w:p>
      <w:pPr>
        <w:numPr>
          <w:ilvl w:val="0"/>
          <w:numId w:val="1001"/>
        </w:numPr>
        <w:pStyle w:val="Compact"/>
      </w:pPr>
      <w:r>
        <w:rPr>
          <w:bCs/>
          <w:b/>
        </w:rPr>
        <w:t xml:space="preserve">Settled</w:t>
      </w:r>
      <w:r>
        <w:t xml:space="preserve"> </w:t>
      </w:r>
      <w:r>
        <w:t xml:space="preserve">— Carbon displacement is calculated and recorded on the blockchain</w:t>
      </w:r>
    </w:p>
    <w:p>
      <w:pPr>
        <w:pStyle w:val="FirstParagraph"/>
      </w:pPr>
      <w:r>
        <w:t xml:space="preserve">At each stage, the packet maintains full cryptographic integrity. Any tampering at any point invalidates the entire chain of proofs.</w:t>
      </w:r>
    </w:p>
    <w:p>
      <w:r>
        <w:pict>
          <v:rect style="width:0;height:1.5pt" o:hralign="center" o:hrstd="t" o:hr="t"/>
        </w:pict>
      </w:r>
    </w:p>
    <w:bookmarkEnd w:id="28"/>
    <w:bookmarkEnd w:id="29"/>
    <w:bookmarkStart w:id="33" w:name="Xf769908795bdcbc6683ec47a1e2b3335fd4272b"/>
    <w:p>
      <w:pPr>
        <w:pStyle w:val="Heading2"/>
      </w:pPr>
      <w:r>
        <w:t xml:space="preserve">Carbon Displacement — The Environmental Engine</w:t>
      </w:r>
    </w:p>
    <w:p>
      <w:pPr>
        <w:pStyle w:val="FirstParagraph"/>
      </w:pPr>
      <w:r>
        <w:t xml:space="preserve">The Aethex Protocol doesn’t just secure data — it quantifies the environmental benefit of doing so.</w:t>
      </w:r>
    </w:p>
    <w:bookmarkStart w:id="30" w:name="the-displacement-factor"/>
    <w:p>
      <w:pPr>
        <w:pStyle w:val="Heading3"/>
      </w:pPr>
      <w:r>
        <w:t xml:space="preserve">The Displacement Factor</w:t>
      </w:r>
    </w:p>
    <w:p>
      <w:pPr>
        <w:pStyle w:val="FirstParagraph"/>
      </w:pPr>
      <w:r>
        <w:t xml:space="preserve">Physical armored transport — the trucks, security vehicles, and personnel that move valuable cargo — generates approximately</w:t>
      </w:r>
      <w:r>
        <w:t xml:space="preserve"> </w:t>
      </w:r>
      <w:r>
        <w:rPr>
          <w:bCs/>
          <w:b/>
        </w:rPr>
        <w:t xml:space="preserve">2.7 kg of CO2e per mile</w:t>
      </w:r>
      <w:r>
        <w:t xml:space="preserve"> </w:t>
      </w:r>
      <w:r>
        <w:t xml:space="preserve">when accounting for:</w:t>
      </w:r>
    </w:p>
    <w:p>
      <w:pPr>
        <w:numPr>
          <w:ilvl w:val="0"/>
          <w:numId w:val="1002"/>
        </w:numPr>
        <w:pStyle w:val="Compact"/>
      </w:pPr>
      <w:r>
        <w:t xml:space="preserve">Vehicle fuel consumption (armored vehicles are significantly heavier than standard transport)</w:t>
      </w:r>
    </w:p>
    <w:p>
      <w:pPr>
        <w:numPr>
          <w:ilvl w:val="0"/>
          <w:numId w:val="1002"/>
        </w:numPr>
        <w:pStyle w:val="Compact"/>
      </w:pPr>
      <w:r>
        <w:t xml:space="preserve">Security escort overhead (additional vehicles, personnel transport)</w:t>
      </w:r>
    </w:p>
    <w:p>
      <w:pPr>
        <w:numPr>
          <w:ilvl w:val="0"/>
          <w:numId w:val="1002"/>
        </w:numPr>
        <w:pStyle w:val="Compact"/>
      </w:pPr>
      <w:r>
        <w:t xml:space="preserve">Route inefficiency (secure routes are often longer than optimal routes)</w:t>
      </w:r>
    </w:p>
    <w:p>
      <w:pPr>
        <w:numPr>
          <w:ilvl w:val="0"/>
          <w:numId w:val="1002"/>
        </w:numPr>
        <w:pStyle w:val="Compact"/>
      </w:pPr>
      <w:r>
        <w:t xml:space="preserve">Idle time and staging (engines running during loading, unloading, verification)</w:t>
      </w:r>
    </w:p>
    <w:p>
      <w:pPr>
        <w:pStyle w:val="FirstParagraph"/>
      </w:pPr>
      <w:r>
        <w:t xml:space="preserve">When an Armored Digital Packet replaces a physical transport event, the distance that would have been driven is multiplied by this 2.7 kg CO2e/mile displacement factor to calculate the verified carbon savings.</w:t>
      </w:r>
    </w:p>
    <w:bookmarkEnd w:id="30"/>
    <w:bookmarkStart w:id="31" w:name="current-performance"/>
    <w:p>
      <w:pPr>
        <w:pStyle w:val="Heading3"/>
      </w:pPr>
      <w:r>
        <w:t xml:space="preserve">Current Performance</w:t>
      </w:r>
    </w:p>
    <w:p>
      <w:pPr>
        <w:pStyle w:val="FirstParagraph"/>
      </w:pPr>
      <w:r>
        <w:t xml:space="preserve">As of the most recent data:</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Packets Processed</w:t>
            </w:r>
          </w:p>
        </w:tc>
        <w:tc>
          <w:tcPr/>
          <w:p>
            <w:pPr>
              <w:pStyle w:val="Compact"/>
              <w:jc w:val="left"/>
            </w:pPr>
            <w:r>
              <w:t xml:space="preserve">779</w:t>
            </w:r>
          </w:p>
        </w:tc>
      </w:tr>
      <w:tr>
        <w:tc>
          <w:tcPr/>
          <w:p>
            <w:pPr>
              <w:pStyle w:val="Compact"/>
              <w:jc w:val="left"/>
            </w:pPr>
            <w:r>
              <w:t xml:space="preserve">Total CO2e Displaced</w:t>
            </w:r>
          </w:p>
        </w:tc>
        <w:tc>
          <w:tcPr/>
          <w:p>
            <w:pPr>
              <w:pStyle w:val="Compact"/>
              <w:jc w:val="left"/>
            </w:pPr>
            <w:r>
              <w:t xml:space="preserve">~6.7 tonnes</w:t>
            </w:r>
          </w:p>
        </w:tc>
      </w:tr>
      <w:tr>
        <w:tc>
          <w:tcPr/>
          <w:p>
            <w:pPr>
              <w:pStyle w:val="Compact"/>
              <w:jc w:val="left"/>
            </w:pPr>
            <w:r>
              <w:t xml:space="preserve">Average Displacement per Packet</w:t>
            </w:r>
          </w:p>
        </w:tc>
        <w:tc>
          <w:tcPr/>
          <w:p>
            <w:pPr>
              <w:pStyle w:val="Compact"/>
              <w:jc w:val="left"/>
            </w:pPr>
            <w:r>
              <w:t xml:space="preserve">~8.6 kg CO2e</w:t>
            </w:r>
          </w:p>
        </w:tc>
      </w:tr>
      <w:tr>
        <w:tc>
          <w:tcPr/>
          <w:p>
            <w:pPr>
              <w:pStyle w:val="Compact"/>
              <w:jc w:val="left"/>
            </w:pPr>
            <w:r>
              <w:t xml:space="preserve">Settlement Status</w:t>
            </w:r>
          </w:p>
        </w:tc>
        <w:tc>
          <w:tcPr/>
          <w:p>
            <w:pPr>
              <w:pStyle w:val="Compact"/>
              <w:jc w:val="left"/>
            </w:pPr>
            <w:r>
              <w:t xml:space="preserve">Active</w:t>
            </w:r>
          </w:p>
        </w:tc>
      </w:tr>
    </w:tbl>
    <w:p>
      <w:pPr>
        <w:pStyle w:val="BodyText"/>
      </w:pPr>
      <w:r>
        <w:t xml:space="preserve">These are real, calculated displacement values based on the digital-versus-physical comparison methodology.</w:t>
      </w:r>
    </w:p>
    <w:bookmarkEnd w:id="31"/>
    <w:bookmarkStart w:id="32" w:name="settlement-economics"/>
    <w:p>
      <w:pPr>
        <w:pStyle w:val="Heading3"/>
      </w:pPr>
      <w:r>
        <w:t xml:space="preserve">Settlement Economics</w:t>
      </w:r>
    </w:p>
    <w:p>
      <w:pPr>
        <w:pStyle w:val="FirstParagraph"/>
      </w:pPr>
      <w:r>
        <w:t xml:space="preserve">Every Armored Digital Packet carries a settlement fee of 0.5% of the transaction value, with a minimum packet value of $100 USD. Batch transfers are supported up to 1,000 packets per operation, enabling high-throughput processing for enterprise clients.</w:t>
      </w:r>
    </w:p>
    <w:p>
      <w:r>
        <w:pict>
          <v:rect style="width:0;height:1.5pt" o:hralign="center" o:hrstd="t" o:hr="t"/>
        </w:pict>
      </w:r>
    </w:p>
    <w:bookmarkEnd w:id="32"/>
    <w:bookmarkEnd w:id="33"/>
    <w:bookmarkStart w:id="38" w:name="the-exitz-token"/>
    <w:p>
      <w:pPr>
        <w:pStyle w:val="Heading2"/>
      </w:pPr>
      <w:r>
        <w:t xml:space="preserve">The EXITZ Token</w:t>
      </w:r>
    </w:p>
    <w:p>
      <w:pPr>
        <w:pStyle w:val="FirstParagraph"/>
      </w:pPr>
      <w:r>
        <w:t xml:space="preserve">EXITZ is the native carbon displacement token of the Aethexer ecosystem. Each token represents one verified unit of carbon displacement — the environmental benefit created when a digital process replaces a physical one.</w:t>
      </w:r>
    </w:p>
    <w:bookmarkStart w:id="34" w:name="token-design-philosophy"/>
    <w:p>
      <w:pPr>
        <w:pStyle w:val="Heading3"/>
      </w:pPr>
      <w:r>
        <w:t xml:space="preserve">Token Design Philosophy</w:t>
      </w:r>
    </w:p>
    <w:p>
      <w:pPr>
        <w:pStyle w:val="FirstParagraph"/>
      </w:pPr>
      <w:r>
        <w:t xml:space="preserve">EXITZ tokens are designed to be</w:t>
      </w:r>
      <w:r>
        <w:t xml:space="preserve"> </w:t>
      </w:r>
      <w:r>
        <w:rPr>
          <w:bCs/>
          <w:b/>
        </w:rPr>
        <w:t xml:space="preserve">precise and indivisible</w:t>
      </w:r>
      <w:r>
        <w:t xml:space="preserve">. Each token represents a discrete displacement event with zero decimal places — you either displaced carbon or you didn’t. There are no fractional EXITZ tokens, which prevents the kind of artificial precision that undermines credibility in conventional carbon markets.</w:t>
      </w:r>
    </w:p>
    <w:bookmarkEnd w:id="34"/>
    <w:bookmarkStart w:id="35" w:name="token-specifications"/>
    <w:p>
      <w:pPr>
        <w:pStyle w:val="Heading3"/>
      </w:pPr>
      <w:r>
        <w:t xml:space="preserve">Token Specifications</w:t>
      </w:r>
    </w:p>
    <w:tbl>
      <w:tblPr>
        <w:tblStyle w:val="Table"/>
        <w:tblW w:type="pct" w:w="5000"/>
        <w:tblLook w:firstRow="1" w:lastRow="0" w:firstColumn="0" w:lastColumn="0" w:noHBand="0" w:noVBand="0" w:val="0020"/>
      </w:tblPr>
      <w:tblGrid>
        <w:gridCol w:w="4400"/>
        <w:gridCol w:w="3520"/>
      </w:tblGrid>
      <w:tr>
        <w:trPr>
          <w:tblHeader w:val="true"/>
        </w:trPr>
        <w:tc>
          <w:tcPr/>
          <w:p>
            <w:pPr>
              <w:pStyle w:val="Compact"/>
              <w:jc w:val="left"/>
            </w:pPr>
            <w:r>
              <w:t xml:space="preserve">Property</w:t>
            </w:r>
          </w:p>
        </w:tc>
        <w:tc>
          <w:tcPr/>
          <w:p>
            <w:pPr>
              <w:pStyle w:val="Compact"/>
              <w:jc w:val="left"/>
            </w:pPr>
            <w:r>
              <w:t xml:space="preserve">Detail</w:t>
            </w:r>
          </w:p>
        </w:tc>
      </w:tr>
      <w:tr>
        <w:tc>
          <w:tcPr/>
          <w:p>
            <w:pPr>
              <w:pStyle w:val="Compact"/>
              <w:jc w:val="left"/>
            </w:pPr>
            <w:r>
              <w:rPr>
                <w:bCs/>
                <w:b/>
              </w:rPr>
              <w:t xml:space="preserve">Standard</w:t>
            </w:r>
          </w:p>
        </w:tc>
        <w:tc>
          <w:tcPr/>
          <w:p>
            <w:pPr>
              <w:pStyle w:val="Compact"/>
              <w:jc w:val="left"/>
            </w:pPr>
            <w:r>
              <w:t xml:space="preserve">Solana Token-2022 (SPL)</w:t>
            </w:r>
          </w:p>
        </w:tc>
      </w:tr>
      <w:tr>
        <w:tc>
          <w:tcPr/>
          <w:p>
            <w:pPr>
              <w:pStyle w:val="Compact"/>
              <w:jc w:val="left"/>
            </w:pPr>
            <w:r>
              <w:rPr>
                <w:bCs/>
                <w:b/>
              </w:rPr>
              <w:t xml:space="preserve">Network</w:t>
            </w:r>
          </w:p>
        </w:tc>
        <w:tc>
          <w:tcPr/>
          <w:p>
            <w:pPr>
              <w:pStyle w:val="Compact"/>
              <w:jc w:val="left"/>
            </w:pPr>
            <w:r>
              <w:t xml:space="preserve">Solana</w:t>
            </w:r>
          </w:p>
        </w:tc>
      </w:tr>
      <w:tr>
        <w:tc>
          <w:tcPr/>
          <w:p>
            <w:pPr>
              <w:pStyle w:val="Compact"/>
              <w:jc w:val="left"/>
            </w:pPr>
            <w:r>
              <w:rPr>
                <w:bCs/>
                <w:b/>
              </w:rPr>
              <w:t xml:space="preserve">Decimals</w:t>
            </w:r>
          </w:p>
        </w:tc>
        <w:tc>
          <w:tcPr/>
          <w:p>
            <w:pPr>
              <w:pStyle w:val="Compact"/>
              <w:jc w:val="left"/>
            </w:pPr>
            <w:r>
              <w:t xml:space="preserve">0 — whole units only</w:t>
            </w:r>
          </w:p>
        </w:tc>
      </w:tr>
      <w:tr>
        <w:tc>
          <w:tcPr/>
          <w:p>
            <w:pPr>
              <w:pStyle w:val="Compact"/>
              <w:jc w:val="left"/>
            </w:pPr>
            <w:r>
              <w:rPr>
                <w:bCs/>
                <w:b/>
              </w:rPr>
              <w:t xml:space="preserve">Mint Address</w:t>
            </w:r>
          </w:p>
        </w:tc>
        <w:tc>
          <w:tcPr/>
          <w:p>
            <w:pPr>
              <w:pStyle w:val="Compact"/>
              <w:jc w:val="left"/>
            </w:pPr>
            <w:r>
              <w:t xml:space="preserve">44SrHT9Qwyz2jiiJkRF1zHKF2NFTgTC8m6ubPTb5qJBJ</w:t>
            </w:r>
          </w:p>
        </w:tc>
      </w:tr>
      <w:tr>
        <w:tc>
          <w:tcPr/>
          <w:p>
            <w:pPr>
              <w:pStyle w:val="Compact"/>
              <w:jc w:val="left"/>
            </w:pPr>
            <w:r>
              <w:rPr>
                <w:bCs/>
                <w:b/>
              </w:rPr>
              <w:t xml:space="preserve">Mint Authority</w:t>
            </w:r>
          </w:p>
        </w:tc>
        <w:tc>
          <w:tcPr/>
          <w:p>
            <w:pPr>
              <w:pStyle w:val="Compact"/>
              <w:jc w:val="left"/>
            </w:pPr>
            <w:r>
              <w:t xml:space="preserve">Aethexer Sentinel — sole authority to issue new tokens</w:t>
            </w:r>
          </w:p>
        </w:tc>
      </w:tr>
      <w:tr>
        <w:tc>
          <w:tcPr/>
          <w:p>
            <w:pPr>
              <w:pStyle w:val="Compact"/>
              <w:jc w:val="left"/>
            </w:pPr>
            <w:r>
              <w:rPr>
                <w:bCs/>
                <w:b/>
              </w:rPr>
              <w:t xml:space="preserve">Freeze Authority</w:t>
            </w:r>
          </w:p>
        </w:tc>
        <w:tc>
          <w:tcPr/>
          <w:p>
            <w:pPr>
              <w:pStyle w:val="Compact"/>
              <w:jc w:val="left"/>
            </w:pPr>
            <w:r>
              <w:t xml:space="preserve">Aethexer Sentinel — can freeze tokens if fraud is detected</w:t>
            </w:r>
          </w:p>
        </w:tc>
      </w:tr>
    </w:tbl>
    <w:bookmarkEnd w:id="35"/>
    <w:bookmarkStart w:id="36" w:name="on-chain-metadata"/>
    <w:p>
      <w:pPr>
        <w:pStyle w:val="Heading3"/>
      </w:pPr>
      <w:r>
        <w:t xml:space="preserve">On-Chain Metadata</w:t>
      </w:r>
    </w:p>
    <w:p>
      <w:pPr>
        <w:pStyle w:val="FirstParagraph"/>
      </w:pPr>
      <w:r>
        <w:t xml:space="preserve">Every EXITZ token carries on-chain metadata that links it permanently to the Bedrock ESG verification infrastructure:</w:t>
      </w:r>
    </w:p>
    <w:tbl>
      <w:tblPr>
        <w:tblStyle w:val="Table"/>
        <w:tblW w:type="pct" w:w="5000"/>
        <w:tblLook w:firstRow="1" w:lastRow="0" w:firstColumn="0" w:lastColumn="0" w:noHBand="0" w:noVBand="0" w:val="0020"/>
      </w:tblPr>
      <w:tblGrid>
        <w:gridCol w:w="2520"/>
        <w:gridCol w:w="2520"/>
        <w:gridCol w:w="2880"/>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Purpose</w:t>
            </w:r>
          </w:p>
        </w:tc>
      </w:tr>
      <w:tr>
        <w:tc>
          <w:tcPr/>
          <w:p>
            <w:pPr>
              <w:pStyle w:val="Compact"/>
              <w:jc w:val="left"/>
            </w:pPr>
            <w:r>
              <w:t xml:space="preserve">Name</w:t>
            </w:r>
          </w:p>
        </w:tc>
        <w:tc>
          <w:tcPr/>
          <w:p>
            <w:pPr>
              <w:pStyle w:val="Compact"/>
              <w:jc w:val="left"/>
            </w:pPr>
            <w:r>
              <w:t xml:space="preserve">EXITZ</w:t>
            </w:r>
          </w:p>
        </w:tc>
        <w:tc>
          <w:tcPr/>
          <w:p>
            <w:pPr>
              <w:pStyle w:val="Compact"/>
              <w:jc w:val="left"/>
            </w:pPr>
            <w:r>
              <w:t xml:space="preserve">Token identity</w:t>
            </w:r>
          </w:p>
        </w:tc>
      </w:tr>
      <w:tr>
        <w:tc>
          <w:tcPr/>
          <w:p>
            <w:pPr>
              <w:pStyle w:val="Compact"/>
              <w:jc w:val="left"/>
            </w:pPr>
            <w:r>
              <w:t xml:space="preserve">Symbol</w:t>
            </w:r>
          </w:p>
        </w:tc>
        <w:tc>
          <w:tcPr/>
          <w:p>
            <w:pPr>
              <w:pStyle w:val="Compact"/>
              <w:jc w:val="left"/>
            </w:pPr>
            <w:r>
              <w:t xml:space="preserve">EXITZ</w:t>
            </w:r>
          </w:p>
        </w:tc>
        <w:tc>
          <w:tcPr/>
          <w:p>
            <w:pPr>
              <w:pStyle w:val="Compact"/>
              <w:jc w:val="left"/>
            </w:pPr>
            <w:r>
              <w:t xml:space="preserve">Trading symbol</w:t>
            </w:r>
          </w:p>
        </w:tc>
      </w:tr>
      <w:tr>
        <w:tc>
          <w:tcPr/>
          <w:p>
            <w:pPr>
              <w:pStyle w:val="Compact"/>
              <w:jc w:val="left"/>
            </w:pPr>
            <w:r>
              <w:t xml:space="preserve">Backtrace ID</w:t>
            </w:r>
          </w:p>
        </w:tc>
        <w:tc>
          <w:tcPr/>
          <w:p>
            <w:pPr>
              <w:pStyle w:val="Compact"/>
              <w:jc w:val="left"/>
            </w:pPr>
            <w:r>
              <w:t xml:space="preserve">BT-C9C4C5</w:t>
            </w:r>
          </w:p>
        </w:tc>
        <w:tc>
          <w:tcPr/>
          <w:p>
            <w:pPr>
              <w:pStyle w:val="Compact"/>
              <w:jc w:val="left"/>
            </w:pPr>
            <w:r>
              <w:t xml:space="preserve">Links to Bedrock ESG audit trail</w:t>
            </w:r>
          </w:p>
        </w:tc>
      </w:tr>
      <w:tr>
        <w:tc>
          <w:tcPr/>
          <w:p>
            <w:pPr>
              <w:pStyle w:val="Compact"/>
              <w:jc w:val="left"/>
            </w:pPr>
            <w:r>
              <w:t xml:space="preserve">Engine</w:t>
            </w:r>
          </w:p>
        </w:tc>
        <w:tc>
          <w:tcPr/>
          <w:p>
            <w:pPr>
              <w:pStyle w:val="Compact"/>
              <w:jc w:val="left"/>
            </w:pPr>
            <w:r>
              <w:t xml:space="preserve">Bedrock ESG</w:t>
            </w:r>
          </w:p>
        </w:tc>
        <w:tc>
          <w:tcPr/>
          <w:p>
            <w:pPr>
              <w:pStyle w:val="Compact"/>
              <w:jc w:val="left"/>
            </w:pPr>
            <w:r>
              <w:t xml:space="preserve">Identifies the verification platform</w:t>
            </w:r>
          </w:p>
        </w:tc>
      </w:tr>
      <w:tr>
        <w:tc>
          <w:tcPr/>
          <w:p>
            <w:pPr>
              <w:pStyle w:val="Compact"/>
              <w:jc w:val="left"/>
            </w:pPr>
            <w:r>
              <w:t xml:space="preserve">Protocol</w:t>
            </w:r>
          </w:p>
        </w:tc>
        <w:tc>
          <w:tcPr/>
          <w:p>
            <w:pPr>
              <w:pStyle w:val="Compact"/>
              <w:jc w:val="left"/>
            </w:pPr>
            <w:r>
              <w:t xml:space="preserve">Aethex Universal Truth Layer</w:t>
            </w:r>
          </w:p>
        </w:tc>
        <w:tc>
          <w:tcPr/>
          <w:p>
            <w:pPr>
              <w:pStyle w:val="Compact"/>
              <w:jc w:val="left"/>
            </w:pPr>
            <w:r>
              <w:t xml:space="preserve">Identifies the security protocol</w:t>
            </w:r>
          </w:p>
        </w:tc>
      </w:tr>
      <w:tr>
        <w:tc>
          <w:tcPr/>
          <w:p>
            <w:pPr>
              <w:pStyle w:val="Compact"/>
              <w:jc w:val="left"/>
            </w:pPr>
            <w:r>
              <w:t xml:space="preserve">Standard</w:t>
            </w:r>
          </w:p>
        </w:tc>
        <w:tc>
          <w:tcPr/>
          <w:p>
            <w:pPr>
              <w:pStyle w:val="Compact"/>
              <w:jc w:val="left"/>
            </w:pPr>
            <w:r>
              <w:t xml:space="preserve">ISO 14064-2</w:t>
            </w:r>
          </w:p>
        </w:tc>
        <w:tc>
          <w:tcPr/>
          <w:p>
            <w:pPr>
              <w:pStyle w:val="Compact"/>
              <w:jc w:val="left"/>
            </w:pPr>
            <w:r>
              <w:t xml:space="preserve">GHG quantification standard compliance</w:t>
            </w:r>
          </w:p>
        </w:tc>
      </w:tr>
    </w:tbl>
    <w:p>
      <w:pPr>
        <w:pStyle w:val="BodyText"/>
      </w:pPr>
      <w:r>
        <w:t xml:space="preserve">This metadata is written directly to the blockchain at token creation and cannot be modified after the fact. Any EXITZ token can be traced back through the Bedrock ESG platform to the specific environmental event that generated it.</w:t>
      </w:r>
    </w:p>
    <w:bookmarkEnd w:id="36"/>
    <w:bookmarkStart w:id="37" w:name="genesis-emission"/>
    <w:p>
      <w:pPr>
        <w:pStyle w:val="Heading3"/>
      </w:pPr>
      <w:r>
        <w:t xml:space="preserve">Genesis Emission</w:t>
      </w:r>
    </w:p>
    <w:p>
      <w:pPr>
        <w:pStyle w:val="FirstParagraph"/>
      </w:pPr>
      <w:r>
        <w:t xml:space="preserve">The first EXITZ token — the Genesis Emission of 1.0 EXITZ — has been minted and confirmed on the Solana blockchain. This initial token serves as proof of the minting infrastructure and establishes the token’s on-chain existence.</w:t>
      </w:r>
    </w:p>
    <w:p>
      <w:r>
        <w:pict>
          <v:rect style="width:0;height:1.5pt" o:hralign="center" o:hrstd="t" o:hr="t"/>
        </w:pict>
      </w:r>
    </w:p>
    <w:bookmarkEnd w:id="37"/>
    <w:bookmarkEnd w:id="38"/>
    <w:bookmarkStart w:id="42" w:name="retroactive-harvest"/>
    <w:p>
      <w:pPr>
        <w:pStyle w:val="Heading2"/>
      </w:pPr>
      <w:r>
        <w:t xml:space="preserve">Retroactive Harvest</w:t>
      </w:r>
    </w:p>
    <w:p>
      <w:pPr>
        <w:pStyle w:val="FirstParagraph"/>
      </w:pPr>
      <w:r>
        <w:t xml:space="preserve">One of Aethexer’s most powerful capabilities is the ability to look backward — to analyze historical enterprise data and retroactively calculate the environmental impact that was never previously measured.</w:t>
      </w:r>
    </w:p>
    <w:bookmarkStart w:id="39" w:name="what-it-does"/>
    <w:p>
      <w:pPr>
        <w:pStyle w:val="Heading3"/>
      </w:pPr>
      <w:r>
        <w:t xml:space="preserve">What It Does</w:t>
      </w:r>
    </w:p>
    <w:p>
      <w:pPr>
        <w:pStyle w:val="FirstParagraph"/>
      </w:pPr>
      <w:r>
        <w:t xml:space="preserve">The Retroactive Harvest system ingests data from enterprise resource planning (ERP) systems and audits it against current environmental standards. Organizations running SAP, Oracle, or Viewpoint (common in construction) can feed their historical procurement, logistics, and materials data into the system.</w:t>
      </w:r>
    </w:p>
    <w:p>
      <w:pPr>
        <w:pStyle w:val="BodyText"/>
      </w:pPr>
      <w:r>
        <w:t xml:space="preserve">The Harvest engine then:</w:t>
      </w:r>
    </w:p>
    <w:p>
      <w:pPr>
        <w:numPr>
          <w:ilvl w:val="0"/>
          <w:numId w:val="1003"/>
        </w:numPr>
        <w:pStyle w:val="Compact"/>
      </w:pPr>
      <w:r>
        <w:rPr>
          <w:bCs/>
          <w:b/>
        </w:rPr>
        <w:t xml:space="preserve">Ingests</w:t>
      </w:r>
      <w:r>
        <w:t xml:space="preserve"> </w:t>
      </w:r>
      <w:r>
        <w:t xml:space="preserve">the ERP data across procurement, logistics, and materials categories</w:t>
      </w:r>
    </w:p>
    <w:p>
      <w:pPr>
        <w:numPr>
          <w:ilvl w:val="0"/>
          <w:numId w:val="1003"/>
        </w:numPr>
        <w:pStyle w:val="Compact"/>
      </w:pPr>
      <w:r>
        <w:rPr>
          <w:bCs/>
          <w:b/>
        </w:rPr>
        <w:t xml:space="preserve">Audits</w:t>
      </w:r>
      <w:r>
        <w:t xml:space="preserve"> </w:t>
      </w:r>
      <w:r>
        <w:t xml:space="preserve">every record against 2026 Caltrans Environmental Standards and ISO 14064-2 requirements</w:t>
      </w:r>
    </w:p>
    <w:p>
      <w:pPr>
        <w:numPr>
          <w:ilvl w:val="0"/>
          <w:numId w:val="1003"/>
        </w:numPr>
        <w:pStyle w:val="Compact"/>
      </w:pPr>
      <w:r>
        <w:rPr>
          <w:bCs/>
          <w:b/>
        </w:rPr>
        <w:t xml:space="preserve">Calculates</w:t>
      </w:r>
      <w:r>
        <w:t xml:space="preserve"> </w:t>
      </w:r>
      <w:r>
        <w:t xml:space="preserve">the retroactive environmental impact — what was the carbon footprint of these historical operations?</w:t>
      </w:r>
    </w:p>
    <w:p>
      <w:pPr>
        <w:numPr>
          <w:ilvl w:val="0"/>
          <w:numId w:val="1003"/>
        </w:numPr>
        <w:pStyle w:val="Compact"/>
      </w:pPr>
      <w:r>
        <w:rPr>
          <w:bCs/>
          <w:b/>
        </w:rPr>
        <w:t xml:space="preserve">Mints Material Passports</w:t>
      </w:r>
      <w:r>
        <w:t xml:space="preserve"> </w:t>
      </w:r>
      <w:r>
        <w:t xml:space="preserve">— digital documents that travel with physical materials, containing full chain-of-custody, environmental impact data, and compliance status</w:t>
      </w:r>
    </w:p>
    <w:p>
      <w:pPr>
        <w:numPr>
          <w:ilvl w:val="0"/>
          <w:numId w:val="1003"/>
        </w:numPr>
        <w:pStyle w:val="Compact"/>
      </w:pPr>
      <w:r>
        <w:rPr>
          <w:bCs/>
          <w:b/>
        </w:rPr>
        <w:t xml:space="preserve">Attests</w:t>
      </w:r>
      <w:r>
        <w:t xml:space="preserve"> </w:t>
      </w:r>
      <w:r>
        <w:t xml:space="preserve">everything on the Solana blockchain with the Aethexer Sentinel</w:t>
      </w:r>
    </w:p>
    <w:bookmarkEnd w:id="39"/>
    <w:bookmarkStart w:id="40" w:name="supported-erp-systems"/>
    <w:p>
      <w:pPr>
        <w:pStyle w:val="Heading3"/>
      </w:pPr>
      <w:r>
        <w:t xml:space="preserve">Supported ERP Systems</w:t>
      </w:r>
    </w:p>
    <w:tbl>
      <w:tblPr>
        <w:tblStyle w:val="Table"/>
        <w:tblW w:type="pct" w:w="5000"/>
        <w:tblLook w:firstRow="1" w:lastRow="0" w:firstColumn="0" w:lastColumn="0" w:noHBand="0" w:noVBand="0" w:val="0020"/>
      </w:tblPr>
      <w:tblGrid>
        <w:gridCol w:w="3520"/>
        <w:gridCol w:w="4400"/>
      </w:tblGrid>
      <w:tr>
        <w:trPr>
          <w:tblHeader w:val="true"/>
        </w:trPr>
        <w:tc>
          <w:tcPr/>
          <w:p>
            <w:pPr>
              <w:pStyle w:val="Compact"/>
              <w:jc w:val="left"/>
            </w:pPr>
            <w:r>
              <w:t xml:space="preserve">System</w:t>
            </w:r>
          </w:p>
        </w:tc>
        <w:tc>
          <w:tcPr/>
          <w:p>
            <w:pPr>
              <w:pStyle w:val="Compact"/>
              <w:jc w:val="left"/>
            </w:pPr>
            <w:r>
              <w:t xml:space="preserve">Coverage</w:t>
            </w:r>
          </w:p>
        </w:tc>
      </w:tr>
      <w:tr>
        <w:tc>
          <w:tcPr/>
          <w:p>
            <w:pPr>
              <w:pStyle w:val="Compact"/>
              <w:jc w:val="left"/>
            </w:pPr>
            <w:r>
              <w:rPr>
                <w:bCs/>
                <w:b/>
              </w:rPr>
              <w:t xml:space="preserve">SAP</w:t>
            </w:r>
            <w:r>
              <w:t xml:space="preserve"> </w:t>
            </w:r>
            <w:r>
              <w:t xml:space="preserve">(S/4HANA)</w:t>
            </w:r>
          </w:p>
        </w:tc>
        <w:tc>
          <w:tcPr/>
          <w:p>
            <w:pPr>
              <w:pStyle w:val="Compact"/>
              <w:jc w:val="left"/>
            </w:pPr>
            <w:r>
              <w:t xml:space="preserve">Full procurement, logistics, and materials modules</w:t>
            </w:r>
          </w:p>
        </w:tc>
      </w:tr>
      <w:tr>
        <w:tc>
          <w:tcPr/>
          <w:p>
            <w:pPr>
              <w:pStyle w:val="Compact"/>
              <w:jc w:val="left"/>
            </w:pPr>
            <w:r>
              <w:rPr>
                <w:bCs/>
                <w:b/>
              </w:rPr>
              <w:t xml:space="preserve">Oracle</w:t>
            </w:r>
            <w:r>
              <w:t xml:space="preserve"> </w:t>
            </w:r>
            <w:r>
              <w:t xml:space="preserve">(Cloud ERP)</w:t>
            </w:r>
          </w:p>
        </w:tc>
        <w:tc>
          <w:tcPr/>
          <w:p>
            <w:pPr>
              <w:pStyle w:val="Compact"/>
              <w:jc w:val="left"/>
            </w:pPr>
            <w:r>
              <w:t xml:space="preserve">Enterprise resource and supply chain data</w:t>
            </w:r>
          </w:p>
        </w:tc>
      </w:tr>
      <w:tr>
        <w:tc>
          <w:tcPr/>
          <w:p>
            <w:pPr>
              <w:pStyle w:val="Compact"/>
              <w:jc w:val="left"/>
            </w:pPr>
            <w:r>
              <w:rPr>
                <w:bCs/>
                <w:b/>
              </w:rPr>
              <w:t xml:space="preserve">Viewpoint</w:t>
            </w:r>
            <w:r>
              <w:t xml:space="preserve"> </w:t>
            </w:r>
            <w:r>
              <w:t xml:space="preserve">(Vista / Spectrum)</w:t>
            </w:r>
          </w:p>
        </w:tc>
        <w:tc>
          <w:tcPr/>
          <w:p>
            <w:pPr>
              <w:pStyle w:val="Compact"/>
              <w:jc w:val="left"/>
            </w:pPr>
            <w:r>
              <w:t xml:space="preserve">Construction-specific project management and materials tracking</w:t>
            </w:r>
          </w:p>
        </w:tc>
      </w:tr>
    </w:tbl>
    <w:bookmarkEnd w:id="40"/>
    <w:bookmarkStart w:id="41" w:name="material-passports"/>
    <w:p>
      <w:pPr>
        <w:pStyle w:val="Heading3"/>
      </w:pPr>
      <w:r>
        <w:t xml:space="preserve">Material Passports</w:t>
      </w:r>
    </w:p>
    <w:p>
      <w:pPr>
        <w:pStyle w:val="FirstParagraph"/>
      </w:pPr>
      <w:r>
        <w:t xml:space="preserve">A Material Passport is a digital twin of a physical material’s journey through the supply chain. It contains:</w:t>
      </w:r>
    </w:p>
    <w:p>
      <w:pPr>
        <w:numPr>
          <w:ilvl w:val="0"/>
          <w:numId w:val="1004"/>
        </w:numPr>
        <w:pStyle w:val="Compact"/>
      </w:pPr>
      <w:r>
        <w:rPr>
          <w:bCs/>
          <w:b/>
        </w:rPr>
        <w:t xml:space="preserve">Chain of Custody</w:t>
      </w:r>
      <w:r>
        <w:t xml:space="preserve"> </w:t>
      </w:r>
      <w:r>
        <w:t xml:space="preserve">— every hand the material passed through, with timestamps</w:t>
      </w:r>
    </w:p>
    <w:p>
      <w:pPr>
        <w:numPr>
          <w:ilvl w:val="0"/>
          <w:numId w:val="1004"/>
        </w:numPr>
        <w:pStyle w:val="Compact"/>
      </w:pPr>
      <w:r>
        <w:rPr>
          <w:bCs/>
          <w:b/>
        </w:rPr>
        <w:t xml:space="preserve">Environmental Impact</w:t>
      </w:r>
      <w:r>
        <w:t xml:space="preserve"> </w:t>
      </w:r>
      <w:r>
        <w:t xml:space="preserve">— embodied carbon, transport emissions, processing energy</w:t>
      </w:r>
    </w:p>
    <w:p>
      <w:pPr>
        <w:numPr>
          <w:ilvl w:val="0"/>
          <w:numId w:val="1004"/>
        </w:numPr>
        <w:pStyle w:val="Compact"/>
      </w:pPr>
      <w:r>
        <w:rPr>
          <w:bCs/>
          <w:b/>
        </w:rPr>
        <w:t xml:space="preserve">Compliance Status</w:t>
      </w:r>
      <w:r>
        <w:t xml:space="preserve"> </w:t>
      </w:r>
      <w:r>
        <w:t xml:space="preserve">— current standing against applicable environmental standards</w:t>
      </w:r>
    </w:p>
    <w:p>
      <w:pPr>
        <w:numPr>
          <w:ilvl w:val="0"/>
          <w:numId w:val="1004"/>
        </w:numPr>
        <w:pStyle w:val="Compact"/>
      </w:pPr>
      <w:r>
        <w:rPr>
          <w:bCs/>
          <w:b/>
        </w:rPr>
        <w:t xml:space="preserve">Blockchain Attestation</w:t>
      </w:r>
      <w:r>
        <w:t xml:space="preserve"> </w:t>
      </w:r>
      <w:r>
        <w:t xml:space="preserve">— Solana proof linking the passport to the Bedrock ESG audit trail</w:t>
      </w:r>
    </w:p>
    <w:p>
      <w:pPr>
        <w:pStyle w:val="FirstParagraph"/>
      </w:pPr>
      <w:r>
        <w:t xml:space="preserve">Material Passports are increasingly required by regulators and procurement departments that need to verify the environmental footprint of their supply chain. The Retroactive Harvest system can generate these passports from historical data, bringing organizations into compliance without requiring them to have tracked this information in real time.</w:t>
      </w:r>
    </w:p>
    <w:p>
      <w:r>
        <w:pict>
          <v:rect style="width:0;height:1.5pt" o:hralign="center" o:hrstd="t" o:hr="t"/>
        </w:pict>
      </w:r>
    </w:p>
    <w:bookmarkEnd w:id="41"/>
    <w:bookmarkEnd w:id="42"/>
    <w:bookmarkStart w:id="43" w:name="the-aethexer-sentinel"/>
    <w:p>
      <w:pPr>
        <w:pStyle w:val="Heading2"/>
      </w:pPr>
      <w:r>
        <w:t xml:space="preserve">The Aethexer Sentinel</w:t>
      </w:r>
    </w:p>
    <w:p>
      <w:pPr>
        <w:pStyle w:val="FirstParagraph"/>
      </w:pPr>
      <w:r>
        <w:t xml:space="preserve">All operations across both Aethexer and Bedrock ESG flow through a single institutional cryptographic identity: the</w:t>
      </w:r>
      <w:r>
        <w:t xml:space="preserve"> </w:t>
      </w:r>
      <w:r>
        <w:rPr>
          <w:bCs/>
          <w:b/>
        </w:rPr>
        <w:t xml:space="preserve">Aethexer Sentinel</w:t>
      </w:r>
      <w:r>
        <w:t xml:space="preserve"> </w:t>
      </w:r>
      <w:r>
        <w:t xml:space="preserve">(designated</w:t>
      </w:r>
      <w:r>
        <w:t xml:space="preserve"> </w:t>
      </w:r>
      <w:r>
        <w:rPr>
          <w:bCs/>
          <w:b/>
        </w:rPr>
        <w:t xml:space="preserve">Sentinel Node-01</w:t>
      </w:r>
      <w:r>
        <w:t xml:space="preserve">).</w:t>
      </w:r>
    </w:p>
    <w:p>
      <w:pPr>
        <w:pStyle w:val="BodyText"/>
      </w:pPr>
      <w:r>
        <w:t xml:space="preserve">This is a Solana wallet address —</w:t>
      </w:r>
      <w:r>
        <w:t xml:space="preserve"> </w:t>
      </w:r>
      <w:r>
        <w:rPr>
          <w:bCs/>
          <w:b/>
        </w:rPr>
        <w:t xml:space="preserve">9tsq8qB4P9uPRSHrjXLaDQJd93nuo4wEEtkR1tAJRAQ3</w:t>
      </w:r>
      <w:r>
        <w:t xml:space="preserve"> </w:t>
      </w:r>
      <w:r>
        <w:t xml:space="preserve">— that serves as the sole signing authority for:</w:t>
      </w:r>
    </w:p>
    <w:p>
      <w:pPr>
        <w:numPr>
          <w:ilvl w:val="0"/>
          <w:numId w:val="1005"/>
        </w:numPr>
        <w:pStyle w:val="Compact"/>
      </w:pPr>
      <w:r>
        <w:t xml:space="preserve">All blockchain attestations</w:t>
      </w:r>
    </w:p>
    <w:p>
      <w:pPr>
        <w:numPr>
          <w:ilvl w:val="0"/>
          <w:numId w:val="1005"/>
        </w:numPr>
        <w:pStyle w:val="Compact"/>
      </w:pPr>
      <w:r>
        <w:t xml:space="preserve">EXITZ token minting</w:t>
      </w:r>
    </w:p>
    <w:p>
      <w:pPr>
        <w:numPr>
          <w:ilvl w:val="0"/>
          <w:numId w:val="1005"/>
        </w:numPr>
        <w:pStyle w:val="Compact"/>
      </w:pPr>
      <w:r>
        <w:t xml:space="preserve">Material Passport issuance</w:t>
      </w:r>
    </w:p>
    <w:p>
      <w:pPr>
        <w:numPr>
          <w:ilvl w:val="0"/>
          <w:numId w:val="1005"/>
        </w:numPr>
        <w:pStyle w:val="Compact"/>
      </w:pPr>
      <w:r>
        <w:t xml:space="preserve">Settlement transaction recording</w:t>
      </w:r>
    </w:p>
    <w:p>
      <w:pPr>
        <w:numPr>
          <w:ilvl w:val="0"/>
          <w:numId w:val="1005"/>
        </w:numPr>
        <w:pStyle w:val="Compact"/>
      </w:pPr>
      <w:r>
        <w:t xml:space="preserve">Audit proof generation</w:t>
      </w:r>
    </w:p>
    <w:p>
      <w:pPr>
        <w:pStyle w:val="FirstParagraph"/>
      </w:pPr>
      <w:r>
        <w:t xml:space="preserve">The Sentinel designation reflects the institutional nature of this authority — it is not a personal key but a sovereign platform identity. Every operation on the platform can be independently verified by checking that it was signed by the Aethexer Sentinel. This creates a simple, powerful trust model: if the Sentinel signed it, the Bedrock ESG platform verified it.</w:t>
      </w:r>
    </w:p>
    <w:p>
      <w:pPr>
        <w:pStyle w:val="BodyText"/>
      </w:pPr>
      <w:r>
        <w:t xml:space="preserve">The backtrace identifier</w:t>
      </w:r>
      <w:r>
        <w:t xml:space="preserve"> </w:t>
      </w:r>
      <w:r>
        <w:rPr>
          <w:bCs/>
          <w:b/>
        </w:rPr>
        <w:t xml:space="preserve">BT-C9C4C5</w:t>
      </w:r>
      <w:r>
        <w:t xml:space="preserve"> </w:t>
      </w:r>
      <w:r>
        <w:t xml:space="preserve">accompanies every Sentinel-signed operation, providing a human-readable audit trail reference that links on-chain transactions back to the platform’s internal records.</w:t>
      </w:r>
    </w:p>
    <w:p>
      <w:r>
        <w:pict>
          <v:rect style="width:0;height:1.5pt" o:hralign="center" o:hrstd="t" o:hr="t"/>
        </w:pict>
      </w:r>
    </w:p>
    <w:bookmarkEnd w:id="43"/>
    <w:bookmarkStart w:id="44" w:name="how-aethexer-and-bedrock-esg-connect"/>
    <w:p>
      <w:pPr>
        <w:pStyle w:val="Heading2"/>
      </w:pPr>
      <w:r>
        <w:t xml:space="preserve">How Aethexer and Bedrock ESG Connect</w:t>
      </w:r>
    </w:p>
    <w:p>
      <w:pPr>
        <w:pStyle w:val="FirstParagraph"/>
      </w:pPr>
      <w:r>
        <w:t xml:space="preserve">Aethexer is not a separate product — it is the cryptographic and environmental accounting layer that powers Bedrock ESG. They share: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Shared Resource</w:t>
            </w:r>
          </w:p>
        </w:tc>
        <w:tc>
          <w:tcPr/>
          <w:p>
            <w:pPr>
              <w:pStyle w:val="Compact"/>
              <w:jc w:val="left"/>
            </w:pPr>
            <w:r>
              <w:t xml:space="preserve">Why It Matters</w:t>
            </w:r>
          </w:p>
        </w:tc>
      </w:tr>
      <w:tr>
        <w:tc>
          <w:tcPr/>
          <w:p>
            <w:pPr>
              <w:pStyle w:val="Compact"/>
              <w:jc w:val="left"/>
            </w:pPr>
            <w:r>
              <w:rPr>
                <w:bCs/>
                <w:b/>
              </w:rPr>
              <w:t xml:space="preserve">Database</w:t>
            </w:r>
          </w:p>
        </w:tc>
        <w:tc>
          <w:tcPr/>
          <w:p>
            <w:pPr>
              <w:pStyle w:val="Compact"/>
              <w:jc w:val="left"/>
            </w:pPr>
            <w:r>
              <w:t xml:space="preserve">Single source of truth for all environmental and transaction data</w:t>
            </w:r>
          </w:p>
        </w:tc>
      </w:tr>
      <w:tr>
        <w:tc>
          <w:tcPr/>
          <w:p>
            <w:pPr>
              <w:pStyle w:val="Compact"/>
              <w:jc w:val="left"/>
            </w:pPr>
            <w:r>
              <w:rPr>
                <w:bCs/>
                <w:b/>
              </w:rPr>
              <w:t xml:space="preserve">Blockchain Identity</w:t>
            </w:r>
          </w:p>
        </w:tc>
        <w:tc>
          <w:tcPr/>
          <w:p>
            <w:pPr>
              <w:pStyle w:val="Compact"/>
              <w:jc w:val="left"/>
            </w:pPr>
            <w:r>
              <w:t xml:space="preserve">Same Aethexer Sentinel signs everything — unified provenance</w:t>
            </w:r>
          </w:p>
        </w:tc>
      </w:tr>
      <w:tr>
        <w:tc>
          <w:tcPr/>
          <w:p>
            <w:pPr>
              <w:pStyle w:val="Compact"/>
              <w:jc w:val="left"/>
            </w:pPr>
            <w:r>
              <w:rPr>
                <w:bCs/>
                <w:b/>
              </w:rPr>
              <w:t xml:space="preserve">Authentication</w:t>
            </w:r>
          </w:p>
        </w:tc>
        <w:tc>
          <w:tcPr/>
          <w:p>
            <w:pPr>
              <w:pStyle w:val="Compact"/>
              <w:jc w:val="left"/>
            </w:pPr>
            <w:r>
              <w:t xml:space="preserve">Same user accounts and role-based access control</w:t>
            </w:r>
          </w:p>
        </w:tc>
      </w:tr>
      <w:tr>
        <w:tc>
          <w:tcPr/>
          <w:p>
            <w:pPr>
              <w:pStyle w:val="Compact"/>
              <w:jc w:val="left"/>
            </w:pPr>
            <w:r>
              <w:rPr>
                <w:bCs/>
                <w:b/>
              </w:rPr>
              <w:t xml:space="preserve">Compliance Infrastructure</w:t>
            </w:r>
          </w:p>
        </w:tc>
        <w:tc>
          <w:tcPr/>
          <w:p>
            <w:pPr>
              <w:pStyle w:val="Compact"/>
              <w:jc w:val="left"/>
            </w:pPr>
            <w:r>
              <w:t xml:space="preserve">Same ISO standards, same emission factor databases</w:t>
            </w:r>
          </w:p>
        </w:tc>
      </w:tr>
    </w:tbl>
    <w:p>
      <w:pPr>
        <w:pStyle w:val="BodyText"/>
      </w:pPr>
      <w:r>
        <w:t xml:space="preserve">The data flow works like this:</w:t>
      </w:r>
    </w:p>
    <w:p>
      <w:pPr>
        <w:numPr>
          <w:ilvl w:val="0"/>
          <w:numId w:val="1006"/>
        </w:numPr>
        <w:pStyle w:val="Compact"/>
      </w:pPr>
      <w:r>
        <w:t xml:space="preserve">Bedrock ESG modules generate verified environmental data (carbon calculations, biochar CDR, metal recovery)</w:t>
      </w:r>
    </w:p>
    <w:p>
      <w:pPr>
        <w:numPr>
          <w:ilvl w:val="0"/>
          <w:numId w:val="1006"/>
        </w:numPr>
        <w:pStyle w:val="Compact"/>
      </w:pPr>
      <w:r>
        <w:t xml:space="preserve">The Universal Ledger records these as audited entries</w:t>
      </w:r>
    </w:p>
    <w:p>
      <w:pPr>
        <w:numPr>
          <w:ilvl w:val="0"/>
          <w:numId w:val="1006"/>
        </w:numPr>
        <w:pStyle w:val="Compact"/>
      </w:pPr>
      <w:r>
        <w:t xml:space="preserve">The Aethex Settlement Engine processes these entries and calculates carbon displacement</w:t>
      </w:r>
    </w:p>
    <w:p>
      <w:pPr>
        <w:numPr>
          <w:ilvl w:val="0"/>
          <w:numId w:val="1006"/>
        </w:numPr>
        <w:pStyle w:val="Compact"/>
      </w:pPr>
      <w:r>
        <w:t xml:space="preserve">EXITZ tokens are minted to represent the displacement</w:t>
      </w:r>
    </w:p>
    <w:p>
      <w:pPr>
        <w:numPr>
          <w:ilvl w:val="0"/>
          <w:numId w:val="1006"/>
        </w:numPr>
        <w:pStyle w:val="Compact"/>
      </w:pPr>
      <w:r>
        <w:t xml:space="preserve">Everything is attested on-chain through Aethexer Sentinel</w:t>
      </w:r>
    </w:p>
    <w:p>
      <w:pPr>
        <w:pStyle w:val="FirstParagraph"/>
      </w:pPr>
      <w:r>
        <w:t xml:space="preserve">This integration means that the environmental benefit of every asphalt calculation, every biochar batch, and every metal recovery log ultimately flows through the Aethex Protocol and can be expressed as EXITZ tokens.</w:t>
      </w:r>
    </w:p>
    <w:p>
      <w:r>
        <w:pict>
          <v:rect style="width:0;height:1.5pt" o:hralign="center" o:hrstd="t" o:hr="t"/>
        </w:pict>
      </w:r>
    </w:p>
    <w:bookmarkEnd w:id="44"/>
    <w:bookmarkStart w:id="45" w:name="the-aethexer.com-landing-page"/>
    <w:p>
      <w:pPr>
        <w:pStyle w:val="Heading2"/>
      </w:pPr>
      <w:r>
        <w:t xml:space="preserve">The aethexer.com Landing Page</w:t>
      </w:r>
    </w:p>
    <w:p>
      <w:pPr>
        <w:pStyle w:val="FirstParagraph"/>
      </w:pPr>
      <w:r>
        <w:t xml:space="preserve">The public-facing website at</w:t>
      </w:r>
      <w:r>
        <w:t xml:space="preserve"> </w:t>
      </w:r>
      <w:r>
        <w:rPr>
          <w:bCs/>
          <w:b/>
        </w:rPr>
        <w:t xml:space="preserve">aethexer.com</w:t>
      </w:r>
      <w:r>
        <w:t xml:space="preserve"> </w:t>
      </w:r>
      <w:r>
        <w:t xml:space="preserve">serves as the information and brand identity portal for the Aethex Protocol. It was built as a separate project to maintain clean architectural boundaries between the marketing presence and the operational infrastructure.</w:t>
      </w:r>
    </w:p>
    <w:p>
      <w:pPr>
        <w:pStyle w:val="BodyText"/>
      </w:pPr>
      <w:r>
        <w:t xml:space="preserve">The landing page presents the protocol’s capabilities, security model, and value proposition to potential partners and users, while the actual protocol engine runs on the Bedrock ESG infrastructure at bedrockesg.com.</w:t>
      </w:r>
    </w:p>
    <w:p>
      <w:pPr>
        <w:pStyle w:val="BodyText"/>
      </w:pPr>
      <w:r>
        <w:t xml:space="preserve">This separation means that the brand can evolve independently of the technology, and the technology can be updated without affecting the public-facing marketing presence.</w:t>
      </w:r>
    </w:p>
    <w:p>
      <w:r>
        <w:pict>
          <v:rect style="width:0;height:1.5pt" o:hralign="center" o:hrstd="t" o:hr="t"/>
        </w:pict>
      </w:r>
    </w:p>
    <w:bookmarkEnd w:id="45"/>
    <w:bookmarkStart w:id="49" w:name="Xfb15e8e2b071df98544be15f67989b6fc87c42c"/>
    <w:p>
      <w:pPr>
        <w:pStyle w:val="Heading2"/>
      </w:pPr>
      <w:r>
        <w:t xml:space="preserve">Why This Matters — For Partners and Investors</w:t>
      </w:r>
    </w:p>
    <w:bookmarkStart w:id="46" w:name="the-market-opportunity"/>
    <w:p>
      <w:pPr>
        <w:pStyle w:val="Heading3"/>
      </w:pPr>
      <w:r>
        <w:t xml:space="preserve">The Market Opportunity</w:t>
      </w:r>
    </w:p>
    <w:p>
      <w:pPr>
        <w:pStyle w:val="FirstParagraph"/>
      </w:pPr>
      <w:r>
        <w:t xml:space="preserve">The intersection of digital security and environmental accounting is largely unoccupied. Cybersecurity companies don’t think about carbon displacement. Carbon credit platforms don’t think about cryptographic security. Aethexer operates in both spaces simultaneously, creating a category that doesn’t yet have established competition.</w:t>
      </w:r>
    </w:p>
    <w:bookmarkEnd w:id="46"/>
    <w:bookmarkStart w:id="47" w:name="the-moat"/>
    <w:p>
      <w:pPr>
        <w:pStyle w:val="Heading3"/>
      </w:pPr>
      <w:r>
        <w:t xml:space="preserve">The Moat</w:t>
      </w:r>
    </w:p>
    <w:p>
      <w:pPr>
        <w:numPr>
          <w:ilvl w:val="0"/>
          <w:numId w:val="1007"/>
        </w:numPr>
        <w:pStyle w:val="Compact"/>
      </w:pPr>
      <w:r>
        <w:rPr>
          <w:bCs/>
          <w:b/>
        </w:rPr>
        <w:t xml:space="preserve">Proprietary protocol</w:t>
      </w:r>
      <w:r>
        <w:t xml:space="preserve"> </w:t>
      </w:r>
      <w:r>
        <w:t xml:space="preserve">— the three-tier Ballistic/Guardian/Stealth architecture is ZerO’s intellectual property</w:t>
      </w:r>
    </w:p>
    <w:p>
      <w:pPr>
        <w:numPr>
          <w:ilvl w:val="0"/>
          <w:numId w:val="1007"/>
        </w:numPr>
        <w:pStyle w:val="Compact"/>
      </w:pPr>
      <w:r>
        <w:rPr>
          <w:bCs/>
          <w:b/>
        </w:rPr>
        <w:t xml:space="preserve">On-chain proof</w:t>
      </w:r>
      <w:r>
        <w:t xml:space="preserve"> </w:t>
      </w:r>
      <w:r>
        <w:t xml:space="preserve">— every claim is independently verifiable on public blockchains</w:t>
      </w:r>
    </w:p>
    <w:p>
      <w:pPr>
        <w:numPr>
          <w:ilvl w:val="0"/>
          <w:numId w:val="1007"/>
        </w:numPr>
        <w:pStyle w:val="Compact"/>
      </w:pPr>
      <w:r>
        <w:rPr>
          <w:bCs/>
          <w:b/>
        </w:rPr>
        <w:t xml:space="preserve">Institutional databases</w:t>
      </w:r>
      <w:r>
        <w:t xml:space="preserve"> </w:t>
      </w:r>
      <w:r>
        <w:t xml:space="preserve">— calculations are grounded in the same emission factor databases used by regulators and academic institutions</w:t>
      </w:r>
    </w:p>
    <w:p>
      <w:pPr>
        <w:numPr>
          <w:ilvl w:val="0"/>
          <w:numId w:val="1007"/>
        </w:numPr>
        <w:pStyle w:val="Compact"/>
      </w:pPr>
      <w:r>
        <w:rPr>
          <w:bCs/>
          <w:b/>
        </w:rPr>
        <w:t xml:space="preserve">ERP integration</w:t>
      </w:r>
      <w:r>
        <w:t xml:space="preserve"> </w:t>
      </w:r>
      <w:r>
        <w:t xml:space="preserve">— the Retroactive Harvest system creates immediate value from existing enterprise data</w:t>
      </w:r>
    </w:p>
    <w:p>
      <w:pPr>
        <w:numPr>
          <w:ilvl w:val="0"/>
          <w:numId w:val="1007"/>
        </w:numPr>
        <w:pStyle w:val="Compact"/>
      </w:pPr>
      <w:r>
        <w:rPr>
          <w:bCs/>
          <w:b/>
        </w:rPr>
        <w:t xml:space="preserve">Token economics</w:t>
      </w:r>
      <w:r>
        <w:t xml:space="preserve"> </w:t>
      </w:r>
      <w:r>
        <w:t xml:space="preserve">— EXITZ tokens create a liquid, tradeable representation of verified environmental impact</w:t>
      </w:r>
    </w:p>
    <w:bookmarkEnd w:id="47"/>
    <w:bookmarkStart w:id="48" w:name="the-vision"/>
    <w:p>
      <w:pPr>
        <w:pStyle w:val="Heading3"/>
      </w:pPr>
      <w:r>
        <w:t xml:space="preserve">The Vision</w:t>
      </w:r>
    </w:p>
    <w:p>
      <w:pPr>
        <w:pStyle w:val="FirstParagraph"/>
      </w:pPr>
      <w:r>
        <w:t xml:space="preserve">Every digital transaction that replaces a physical process is an environmental event. Aethexer makes that event measurable, verifiable, and valuable. As more of the economy moves digital, the displacement opportunity grows — and Aethexer is positioned to capture and tokenize that displacement at scale.</w:t>
      </w:r>
    </w:p>
    <w:p>
      <w:r>
        <w:pict>
          <v:rect style="width:0;height:1.5pt" o:hralign="center" o:hrstd="t" o:hr="t"/>
        </w:pict>
      </w:r>
    </w:p>
    <w:bookmarkEnd w:id="48"/>
    <w:bookmarkEnd w:id="49"/>
    <w:bookmarkStart w:id="50" w:name="key-terms"/>
    <w:p>
      <w:pPr>
        <w:pStyle w:val="Heading2"/>
      </w:pPr>
      <w:r>
        <w:t xml:space="preserve">Key Terms</w:t>
      </w:r>
    </w:p>
    <w:tbl>
      <w:tblPr>
        <w:tblStyle w:val="Table"/>
        <w:tblW w:type="pct" w:w="5000"/>
        <w:tblLook w:firstRow="1" w:lastRow="0" w:firstColumn="0" w:lastColumn="0" w:noHBand="0" w:noVBand="0" w:val="0020"/>
      </w:tblPr>
      <w:tblGrid>
        <w:gridCol w:w="2262"/>
        <w:gridCol w:w="5657"/>
      </w:tblGrid>
      <w:tr>
        <w:trPr>
          <w:tblHeader w:val="true"/>
        </w:trPr>
        <w:tc>
          <w:tcPr/>
          <w:p>
            <w:pPr>
              <w:pStyle w:val="Compact"/>
              <w:jc w:val="left"/>
            </w:pPr>
            <w:r>
              <w:t xml:space="preserve">Term</w:t>
            </w:r>
          </w:p>
        </w:tc>
        <w:tc>
          <w:tcPr/>
          <w:p>
            <w:pPr>
              <w:pStyle w:val="Compact"/>
              <w:jc w:val="left"/>
            </w:pPr>
            <w:r>
              <w:t xml:space="preserve">What It Means</w:t>
            </w:r>
          </w:p>
        </w:tc>
      </w:tr>
      <w:tr>
        <w:tc>
          <w:tcPr/>
          <w:p>
            <w:pPr>
              <w:pStyle w:val="Compact"/>
              <w:jc w:val="left"/>
            </w:pPr>
            <w:r>
              <w:rPr>
                <w:bCs/>
                <w:b/>
              </w:rPr>
              <w:t xml:space="preserve">Aethexer</w:t>
            </w:r>
          </w:p>
        </w:tc>
        <w:tc>
          <w:tcPr/>
          <w:p>
            <w:pPr>
              <w:pStyle w:val="Compact"/>
              <w:jc w:val="left"/>
            </w:pPr>
            <w:r>
              <w:t xml:space="preserve">The protocol system — the</w:t>
            </w:r>
            <w:r>
              <w:t xml:space="preserve"> </w:t>
            </w:r>
            <w:r>
              <w:t xml:space="preserve">“</w:t>
            </w:r>
            <w:r>
              <w:t xml:space="preserve">Universal Truth Layer</w:t>
            </w:r>
            <w:r>
              <w:t xml:space="preserve">”</w:t>
            </w:r>
          </w:p>
        </w:tc>
      </w:tr>
      <w:tr>
        <w:tc>
          <w:tcPr/>
          <w:p>
            <w:pPr>
              <w:pStyle w:val="Compact"/>
              <w:jc w:val="left"/>
            </w:pPr>
            <w:r>
              <w:rPr>
                <w:bCs/>
                <w:b/>
              </w:rPr>
              <w:t xml:space="preserve">EXITZ</w:t>
            </w:r>
          </w:p>
        </w:tc>
        <w:tc>
          <w:tcPr/>
          <w:p>
            <w:pPr>
              <w:pStyle w:val="Compact"/>
              <w:jc w:val="left"/>
            </w:pPr>
            <w:r>
              <w:t xml:space="preserve">The carbon displacement token minted when digital replaces physical</w:t>
            </w:r>
          </w:p>
        </w:tc>
      </w:tr>
      <w:tr>
        <w:tc>
          <w:tcPr/>
          <w:p>
            <w:pPr>
              <w:pStyle w:val="Compact"/>
              <w:jc w:val="left"/>
            </w:pPr>
            <w:r>
              <w:rPr>
                <w:bCs/>
                <w:b/>
              </w:rPr>
              <w:t xml:space="preserve">Armored Digital Packet</w:t>
            </w:r>
          </w:p>
        </w:tc>
        <w:tc>
          <w:tcPr/>
          <w:p>
            <w:pPr>
              <w:pStyle w:val="Compact"/>
              <w:jc w:val="left"/>
            </w:pPr>
            <w:r>
              <w:t xml:space="preserve">A three-layer encrypted data container that replaces physical transport</w:t>
            </w:r>
          </w:p>
        </w:tc>
      </w:tr>
      <w:tr>
        <w:tc>
          <w:tcPr/>
          <w:p>
            <w:pPr>
              <w:pStyle w:val="Compact"/>
              <w:jc w:val="left"/>
            </w:pPr>
            <w:r>
              <w:rPr>
                <w:bCs/>
                <w:b/>
              </w:rPr>
              <w:t xml:space="preserve">Aethexer Sentinel (Node-01)</w:t>
            </w:r>
          </w:p>
        </w:tc>
        <w:tc>
          <w:tcPr/>
          <w:p>
            <w:pPr>
              <w:pStyle w:val="Compact"/>
              <w:jc w:val="left"/>
            </w:pPr>
            <w:r>
              <w:t xml:space="preserve">The institutional blockchain wallet that signs all platform operations (formerly Kato Service Identity)</w:t>
            </w:r>
          </w:p>
        </w:tc>
      </w:tr>
      <w:tr>
        <w:tc>
          <w:tcPr/>
          <w:p>
            <w:pPr>
              <w:pStyle w:val="Compact"/>
              <w:jc w:val="left"/>
            </w:pPr>
            <w:r>
              <w:rPr>
                <w:bCs/>
                <w:b/>
              </w:rPr>
              <w:t xml:space="preserve">Backtrace (BT-C9C4C5)</w:t>
            </w:r>
          </w:p>
        </w:tc>
        <w:tc>
          <w:tcPr/>
          <w:p>
            <w:pPr>
              <w:pStyle w:val="Compact"/>
              <w:jc w:val="left"/>
            </w:pPr>
            <w:r>
              <w:t xml:space="preserve">The audit trail ID linking on-chain records to platform data</w:t>
            </w:r>
          </w:p>
        </w:tc>
      </w:tr>
      <w:tr>
        <w:tc>
          <w:tcPr/>
          <w:p>
            <w:pPr>
              <w:pStyle w:val="Compact"/>
              <w:jc w:val="left"/>
            </w:pPr>
            <w:r>
              <w:rPr>
                <w:bCs/>
                <w:b/>
              </w:rPr>
              <w:t xml:space="preserve">Displacement Factor</w:t>
            </w:r>
          </w:p>
        </w:tc>
        <w:tc>
          <w:tcPr/>
          <w:p>
            <w:pPr>
              <w:pStyle w:val="Compact"/>
              <w:jc w:val="left"/>
            </w:pPr>
            <w:r>
              <w:t xml:space="preserve">2.7 kg CO2e per mile — the carbon cost of physical armored transport</w:t>
            </w:r>
          </w:p>
        </w:tc>
      </w:tr>
      <w:tr>
        <w:tc>
          <w:tcPr/>
          <w:p>
            <w:pPr>
              <w:pStyle w:val="Compact"/>
              <w:jc w:val="left"/>
            </w:pPr>
            <w:r>
              <w:rPr>
                <w:bCs/>
                <w:b/>
              </w:rPr>
              <w:t xml:space="preserve">Retroactive Harvest</w:t>
            </w:r>
          </w:p>
        </w:tc>
        <w:tc>
          <w:tcPr/>
          <w:p>
            <w:pPr>
              <w:pStyle w:val="Compact"/>
              <w:jc w:val="left"/>
            </w:pPr>
            <w:r>
              <w:t xml:space="preserve">System for mining historical ERP data for environmental impact</w:t>
            </w:r>
          </w:p>
        </w:tc>
      </w:tr>
      <w:tr>
        <w:tc>
          <w:tcPr/>
          <w:p>
            <w:pPr>
              <w:pStyle w:val="Compact"/>
              <w:jc w:val="left"/>
            </w:pPr>
            <w:r>
              <w:rPr>
                <w:bCs/>
                <w:b/>
              </w:rPr>
              <w:t xml:space="preserve">Material Passport</w:t>
            </w:r>
          </w:p>
        </w:tc>
        <w:tc>
          <w:tcPr/>
          <w:p>
            <w:pPr>
              <w:pStyle w:val="Compact"/>
              <w:jc w:val="left"/>
            </w:pPr>
            <w:r>
              <w:t xml:space="preserve">Digital twin documenting a material’s environmental journey</w:t>
            </w:r>
          </w:p>
        </w:tc>
      </w:tr>
      <w:tr>
        <w:tc>
          <w:tcPr/>
          <w:p>
            <w:pPr>
              <w:pStyle w:val="Compact"/>
              <w:jc w:val="left"/>
            </w:pPr>
            <w:r>
              <w:rPr>
                <w:bCs/>
                <w:b/>
              </w:rPr>
              <w:t xml:space="preserve">Ballistic Layer</w:t>
            </w:r>
          </w:p>
        </w:tc>
        <w:tc>
          <w:tcPr/>
          <w:p>
            <w:pPr>
              <w:pStyle w:val="Compact"/>
              <w:jc w:val="left"/>
            </w:pPr>
            <w:r>
              <w:t xml:space="preserve">Military-grade AES-GCM-256 encryption (Tier 1)</w:t>
            </w:r>
          </w:p>
        </w:tc>
      </w:tr>
      <w:tr>
        <w:tc>
          <w:tcPr/>
          <w:p>
            <w:pPr>
              <w:pStyle w:val="Compact"/>
              <w:jc w:val="left"/>
            </w:pPr>
            <w:r>
              <w:rPr>
                <w:bCs/>
                <w:b/>
              </w:rPr>
              <w:t xml:space="preserve">Guardian Layer</w:t>
            </w:r>
          </w:p>
        </w:tc>
        <w:tc>
          <w:tcPr/>
          <w:p>
            <w:pPr>
              <w:pStyle w:val="Compact"/>
              <w:jc w:val="left"/>
            </w:pPr>
            <w:r>
              <w:t xml:space="preserve">2-of-2 multi-signature authorization (Tier 2)</w:t>
            </w:r>
          </w:p>
        </w:tc>
      </w:tr>
      <w:tr>
        <w:tc>
          <w:tcPr/>
          <w:p>
            <w:pPr>
              <w:pStyle w:val="Compact"/>
              <w:jc w:val="left"/>
            </w:pPr>
            <w:r>
              <w:rPr>
                <w:bCs/>
                <w:b/>
              </w:rPr>
              <w:t xml:space="preserve">Stealth Layer</w:t>
            </w:r>
          </w:p>
        </w:tc>
        <w:tc>
          <w:tcPr/>
          <w:p>
            <w:pPr>
              <w:pStyle w:val="Compact"/>
              <w:jc w:val="left"/>
            </w:pPr>
            <w:r>
              <w:t xml:space="preserve">Zero-Knowledge Proof verification (Tier 3)</w:t>
            </w:r>
          </w:p>
        </w:tc>
      </w:tr>
      <w:tr>
        <w:tc>
          <w:tcPr/>
          <w:p>
            <w:pPr>
              <w:pStyle w:val="Compact"/>
              <w:jc w:val="left"/>
            </w:pPr>
            <w:r>
              <w:rPr>
                <w:bCs/>
                <w:b/>
              </w:rPr>
              <w:t xml:space="preserve">ZerO</w:t>
            </w:r>
          </w:p>
        </w:tc>
        <w:tc>
          <w:tcPr/>
          <w:p>
            <w:pPr>
              <w:pStyle w:val="Compact"/>
              <w:jc w:val="left"/>
            </w:pPr>
            <w:r>
              <w:t xml:space="preserve">The organization behind both Bedrock ESG and Aethexer</w:t>
            </w:r>
          </w:p>
        </w:tc>
      </w:tr>
      <w:tr>
        <w:tc>
          <w:tcPr/>
          <w:p>
            <w:pPr>
              <w:pStyle w:val="Compact"/>
              <w:jc w:val="left"/>
            </w:pPr>
            <w:r>
              <w:rPr>
                <w:bCs/>
                <w:b/>
              </w:rPr>
              <w:t xml:space="preserve">Bedrock ESG</w:t>
            </w:r>
          </w:p>
        </w:tc>
        <w:tc>
          <w:tcPr/>
          <w:p>
            <w:pPr>
              <w:pStyle w:val="Compact"/>
              <w:jc w:val="left"/>
            </w:pPr>
            <w:r>
              <w:t xml:space="preserve">The sovereign environmental verification platform that hosts the Aethex engine</w:t>
            </w:r>
          </w:p>
        </w:tc>
      </w:tr>
      <w:tr>
        <w:tc>
          <w:tcPr/>
          <w:p>
            <w:pPr>
              <w:pStyle w:val="Compact"/>
              <w:jc w:val="left"/>
            </w:pPr>
            <w:r>
              <w:rPr>
                <w:bCs/>
                <w:b/>
              </w:rPr>
              <w:t xml:space="preserve">Universal Ledger</w:t>
            </w:r>
          </w:p>
        </w:tc>
        <w:tc>
          <w:tcPr/>
          <w:p>
            <w:pPr>
              <w:pStyle w:val="Compact"/>
              <w:jc w:val="left"/>
            </w:pPr>
            <w:r>
              <w:t xml:space="preserve">The master accounting system inside Bedrock ESG</w:t>
            </w:r>
          </w:p>
        </w:tc>
      </w:tr>
    </w:tbl>
    <w:p>
      <w:r>
        <w:pict>
          <v:rect style="width:0;height:1.5pt" o:hralign="center" o:hrstd="t" o:hr="t"/>
        </w:pict>
      </w:r>
    </w:p>
    <w:bookmarkEnd w:id="50"/>
    <w:bookmarkStart w:id="51" w:name="companion-document"/>
    <w:p>
      <w:pPr>
        <w:pStyle w:val="Heading2"/>
      </w:pPr>
      <w:r>
        <w:t xml:space="preserve">Companion Document</w:t>
      </w:r>
    </w:p>
    <w:p>
      <w:pPr>
        <w:pStyle w:val="FirstParagraph"/>
      </w:pPr>
      <w:r>
        <w:t xml:space="preserve">This brief is designed to be read alongside the</w:t>
      </w:r>
      <w:r>
        <w:t xml:space="preserve"> </w:t>
      </w:r>
      <w:r>
        <w:rPr>
          <w:bCs/>
          <w:b/>
        </w:rPr>
        <w:t xml:space="preserve">Bedrock ESG Executive Brief</w:t>
      </w:r>
      <w:r>
        <w:t xml:space="preserve">, which covers the full verification platform including the Asphalt LCA Calculator, Biochar CDR Engine, Metal Recovery Tracker, Digital Vault, Universal Ledger, and Business Submission Portal.</w:t>
      </w:r>
    </w:p>
    <w:p>
      <w:pPr>
        <w:pStyle w:val="BodyText"/>
      </w:pPr>
      <w:r>
        <w:t xml:space="preserve">Together, these two documents provide a complete picture of the ZerO ecosystem — from raw environmental data to verified, tokenized, tradeable carbon displacement credits.</w:t>
      </w:r>
    </w:p>
    <w:p>
      <w:r>
        <w:pict>
          <v:rect style="width:0;height:1.5pt" o:hralign="center" o:hrstd="t" o:hr="t"/>
        </w:pict>
      </w:r>
    </w:p>
    <w:bookmarkEnd w:id="51"/>
    <w:bookmarkStart w:id="52" w:name="contact-access"/>
    <w:p>
      <w:pPr>
        <w:pStyle w:val="Heading2"/>
      </w:pPr>
      <w:r>
        <w:t xml:space="preserve">Contact &amp; Access</w:t>
      </w:r>
    </w:p>
    <w:p>
      <w:pPr>
        <w:numPr>
          <w:ilvl w:val="0"/>
          <w:numId w:val="1008"/>
        </w:numPr>
        <w:pStyle w:val="Compact"/>
      </w:pPr>
      <w:r>
        <w:rPr>
          <w:bCs/>
          <w:b/>
        </w:rPr>
        <w:t xml:space="preserve">Protocol Engine:</w:t>
      </w:r>
      <w:r>
        <w:t xml:space="preserve"> </w:t>
      </w:r>
      <w:r>
        <w:t xml:space="preserve">bedrockesg.com (operational infrastructure)</w:t>
      </w:r>
    </w:p>
    <w:p>
      <w:pPr>
        <w:numPr>
          <w:ilvl w:val="0"/>
          <w:numId w:val="1008"/>
        </w:numPr>
        <w:pStyle w:val="Compact"/>
      </w:pPr>
      <w:r>
        <w:rPr>
          <w:bCs/>
          <w:b/>
        </w:rPr>
        <w:t xml:space="preserve">Landing Page:</w:t>
      </w:r>
      <w:r>
        <w:t xml:space="preserve"> </w:t>
      </w:r>
      <w:r>
        <w:t xml:space="preserve">aethexer.com (public information portal)</w:t>
      </w:r>
    </w:p>
    <w:p>
      <w:pPr>
        <w:numPr>
          <w:ilvl w:val="0"/>
          <w:numId w:val="1008"/>
        </w:numPr>
        <w:pStyle w:val="Compact"/>
      </w:pPr>
      <w:r>
        <w:rPr>
          <w:bCs/>
          <w:b/>
        </w:rPr>
        <w:t xml:space="preserve">Organization:</w:t>
      </w:r>
      <w:r>
        <w:t xml:space="preserve"> </w:t>
      </w:r>
      <w:r>
        <w:t xml:space="preserve">ZerO</w:t>
      </w:r>
    </w:p>
    <w:p>
      <w:r>
        <w:pict>
          <v:rect style="width:0;height:1.5pt" o:hralign="center" o:hrstd="t" o:hr="t"/>
        </w:pict>
      </w:r>
    </w:p>
    <w:p>
      <w:pPr>
        <w:pStyle w:val="FirstParagraph"/>
      </w:pPr>
      <w:r>
        <w:rPr>
          <w:iCs/>
          <w:i/>
        </w:rPr>
        <w:t xml:space="preserve">This document is prepared for partner and investor review. It describes the capabilities and architecture of the Aethex Protocol and EXITZ token as of April 2026. No credentials, private keys, or internal access information are included.</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2026-05-03T17:23:10Z</dcterms:created>
  <dcterms:modified xsi:type="dcterms:W3CDTF">2026-05-03T17:23:10Z</dcterms:modified>
</cp:coreProperties>
</file>

<file path=docProps/custom.xml><?xml version="1.0" encoding="utf-8"?>
<Properties xmlns="http://schemas.openxmlformats.org/officeDocument/2006/custom-properties" xmlns:vt="http://schemas.openxmlformats.org/officeDocument/2006/docPropsVTypes"/>
</file>