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aethexer-exitz-project-bible"/>
    <w:p>
      <w:pPr>
        <w:pStyle w:val="Heading1"/>
      </w:pPr>
      <w:r>
        <w:t xml:space="preserve">AETHEXER / EXITZ — Project Bible</w:t>
      </w:r>
    </w:p>
    <w:bookmarkStart w:id="20" w:name="X493801d40792b2bbb7d6417bfa4f311abcbdae0"/>
    <w:p>
      <w:pPr>
        <w:pStyle w:val="Heading2"/>
      </w:pPr>
      <w:r>
        <w:t xml:space="preserve">Universal Truth Layer &amp; Carbon Displacement Token</w:t>
      </w:r>
    </w:p>
    <w:p>
      <w:pPr>
        <w:pStyle w:val="FirstParagraph"/>
      </w:pPr>
      <w:r>
        <w:rPr>
          <w:bCs/>
          <w:b/>
        </w:rPr>
        <w:t xml:space="preserve">Version:</w:t>
      </w:r>
      <w:r>
        <w:t xml:space="preserve"> </w:t>
      </w:r>
      <w:r>
        <w:t xml:space="preserve">2026.04.29</w:t>
      </w:r>
    </w:p>
    <w:p>
      <w:r>
        <w:pict>
          <v:rect style="width:0;height:1.5pt" o:hralign="center" o:hrstd="t" o:hr="t"/>
        </w:pict>
      </w:r>
    </w:p>
    <w:p>
      <w:pPr>
        <w:pStyle w:val="BlockText"/>
      </w:pPr>
      <w:r>
        <w:rPr>
          <w:bCs/>
          <w:b/>
        </w:rPr>
        <w:t xml:space="preserve">Purpose of This Document:</w:t>
      </w:r>
      <w:r>
        <w:t xml:space="preserve"> </w:t>
      </w:r>
      <w:r>
        <w:t xml:space="preserve">This is a self-contained reference document for Claude AI sessions. Paste this at the beginning of any conversation to give Claude full architectural context on the Aethexer/EXITZ system. This covers both the protocol layer (within Bedrock ESG codebase) and the front-facing landing page (aethexer.com, built by Claude separately).</w:t>
      </w:r>
    </w:p>
    <w:p>
      <w:r>
        <w:pict>
          <v:rect style="width:0;height:1.5pt" o:hralign="center" o:hrstd="t" o:hr="t"/>
        </w:pict>
      </w:r>
    </w:p>
    <w:bookmarkEnd w:id="20"/>
    <w:bookmarkStart w:id="21" w:name="system-identity-mission"/>
    <w:p>
      <w:pPr>
        <w:pStyle w:val="Heading2"/>
      </w:pPr>
      <w:r>
        <w:t xml:space="preserve">1. System Identity &amp; Mission</w:t>
      </w:r>
    </w:p>
    <w:p>
      <w:pPr>
        <w:pStyle w:val="FirstParagraph"/>
      </w:pPr>
      <w:r>
        <w:rPr>
          <w:bCs/>
          <w:b/>
        </w:rPr>
        <w:t xml:space="preserve">Aethexer</w:t>
      </w:r>
      <w:r>
        <w:t xml:space="preserve"> </w:t>
      </w:r>
      <w:r>
        <w:t xml:space="preserve">is the</w:t>
      </w:r>
      <w:r>
        <w:t xml:space="preserve"> </w:t>
      </w:r>
      <w:r>
        <w:rPr>
          <w:bCs/>
          <w:b/>
        </w:rPr>
        <w:t xml:space="preserve">Universal Truth Layer</w:t>
      </w:r>
      <w:r>
        <w:t xml:space="preserve"> </w:t>
      </w:r>
      <w:r>
        <w:t xml:space="preserve">— a proprietary protocol built by</w:t>
      </w:r>
      <w:r>
        <w:t xml:space="preserve"> </w:t>
      </w:r>
      <w:r>
        <w:rPr>
          <w:bCs/>
          <w:b/>
        </w:rPr>
        <w:t xml:space="preserve">ZerO</w:t>
      </w:r>
      <w:r>
        <w:t xml:space="preserve"> </w:t>
      </w:r>
      <w:r>
        <w:t xml:space="preserve">that provides military-grade security, environmental verification, and carbon displacement tracking for digital commerce and supply chain operations.</w:t>
      </w:r>
    </w:p>
    <w:p>
      <w:pPr>
        <w:pStyle w:val="BodyText"/>
      </w:pPr>
      <w:r>
        <w:rPr>
          <w:bCs/>
          <w:b/>
        </w:rPr>
        <w:t xml:space="preserve">EXITZ</w:t>
      </w:r>
      <w:r>
        <w:t xml:space="preserve"> </w:t>
      </w:r>
      <w:r>
        <w:t xml:space="preserve">is the native token of the Aethexer protocol — a Solana Token-2022 asset representing verified carbon displacement credits generated through the digitization of physical transport and logistics processes.</w:t>
      </w:r>
    </w:p>
    <w:p>
      <w:pPr>
        <w:pStyle w:val="BodyText"/>
      </w:pPr>
      <w:r>
        <w:t xml:space="preserve">The Aethex Protocol is the intellectual property of ZerO and represents the cryptographic backbone of the Bedrock ESG platform.</w:t>
      </w:r>
    </w:p>
    <w:p>
      <w:r>
        <w:pict>
          <v:rect style="width:0;height:1.5pt" o:hralign="center" o:hrstd="t" o:hr="t"/>
        </w:pict>
      </w:r>
    </w:p>
    <w:bookmarkEnd w:id="21"/>
    <w:bookmarkStart w:id="23" w:name="architecture-overview"/>
    <w:p>
      <w:pPr>
        <w:pStyle w:val="Heading2"/>
      </w:pPr>
      <w:r>
        <w:t xml:space="preserve">2. Architecture Overview</w:t>
      </w:r>
    </w:p>
    <w:bookmarkStart w:id="22" w:name="two-codebases-one-system"/>
    <w:p>
      <w:pPr>
        <w:pStyle w:val="Heading3"/>
      </w:pPr>
      <w:r>
        <w:t xml:space="preserve">Two Codebases, One System</w:t>
      </w:r>
    </w:p>
    <w:tbl>
      <w:tblPr>
        <w:tblStyle w:val="Table"/>
        <w:tblW w:type="pct" w:w="5000"/>
        <w:tblLook w:firstRow="1" w:lastRow="0" w:firstColumn="0" w:lastColumn="0" w:noHBand="0" w:noVBand="0" w:val="0020"/>
      </w:tblPr>
      <w:tblGrid>
        <w:gridCol w:w="2810"/>
        <w:gridCol w:w="2554"/>
        <w:gridCol w:w="2554"/>
      </w:tblGrid>
      <w:tr>
        <w:trPr>
          <w:tblHeader w:val="true"/>
        </w:trPr>
        <w:tc>
          <w:tcPr/>
          <w:p>
            <w:pPr>
              <w:pStyle w:val="Compact"/>
              <w:jc w:val="left"/>
            </w:pPr>
            <w:r>
              <w:t xml:space="preserve">Component</w:t>
            </w:r>
          </w:p>
        </w:tc>
        <w:tc>
          <w:tcPr/>
          <w:p>
            <w:pPr>
              <w:pStyle w:val="Compact"/>
              <w:jc w:val="left"/>
            </w:pPr>
            <w:r>
              <w:t xml:space="preserve">Location</w:t>
            </w:r>
          </w:p>
        </w:tc>
        <w:tc>
          <w:tcPr/>
          <w:p>
            <w:pPr>
              <w:pStyle w:val="Compact"/>
              <w:jc w:val="left"/>
            </w:pPr>
            <w:r>
              <w:t xml:space="preserve">Built By</w:t>
            </w:r>
          </w:p>
        </w:tc>
      </w:tr>
      <w:tr>
        <w:tc>
          <w:tcPr/>
          <w:p>
            <w:pPr>
              <w:pStyle w:val="Compact"/>
              <w:jc w:val="left"/>
            </w:pPr>
            <w:r>
              <w:rPr>
                <w:bCs/>
                <w:b/>
              </w:rPr>
              <w:t xml:space="preserve">Aethex Protocol Engine</w:t>
            </w:r>
          </w:p>
        </w:tc>
        <w:tc>
          <w:tcPr/>
          <w:p>
            <w:pPr>
              <w:pStyle w:val="Compact"/>
              <w:jc w:val="left"/>
            </w:pPr>
            <w:r>
              <w:t xml:space="preserve">Inside Bedrock ESG codebase (</w:t>
            </w:r>
            <w:r>
              <w:rPr>
                <w:rStyle w:val="VerbatimChar"/>
              </w:rPr>
              <w:t xml:space="preserve">/home/ubuntu/scrapnet_dashboard/nextjs_space/</w:t>
            </w:r>
            <w:r>
              <w:t xml:space="preserve">)</w:t>
            </w:r>
          </w:p>
        </w:tc>
        <w:tc>
          <w:tcPr/>
          <w:p>
            <w:pPr>
              <w:pStyle w:val="Compact"/>
              <w:jc w:val="left"/>
            </w:pPr>
            <w:r>
              <w:t xml:space="preserve">Abacus AI Agent</w:t>
            </w:r>
          </w:p>
        </w:tc>
      </w:tr>
      <w:tr>
        <w:tc>
          <w:tcPr/>
          <w:p>
            <w:pPr>
              <w:pStyle w:val="Compact"/>
              <w:jc w:val="left"/>
            </w:pPr>
            <w:r>
              <w:rPr>
                <w:bCs/>
                <w:b/>
              </w:rPr>
              <w:t xml:space="preserve">aethexer.com Landing Page</w:t>
            </w:r>
          </w:p>
        </w:tc>
        <w:tc>
          <w:tcPr/>
          <w:p>
            <w:pPr>
              <w:pStyle w:val="Compact"/>
              <w:jc w:val="left"/>
            </w:pPr>
            <w:r>
              <w:t xml:space="preserve">Separate project/conversation</w:t>
            </w:r>
          </w:p>
        </w:tc>
        <w:tc>
          <w:tcPr/>
          <w:p>
            <w:pPr>
              <w:pStyle w:val="Compact"/>
              <w:jc w:val="left"/>
            </w:pPr>
            <w:r>
              <w:t xml:space="preserve">Claude AI</w:t>
            </w:r>
          </w:p>
        </w:tc>
      </w:tr>
    </w:tbl>
    <w:p>
      <w:pPr>
        <w:pStyle w:val="BodyText"/>
      </w:pPr>
      <w:r>
        <w:rPr>
          <w:bCs/>
          <w:b/>
        </w:rPr>
        <w:t xml:space="preserve">Critical Integration:</w:t>
      </w:r>
      <w:r>
        <w:t xml:space="preserve"> </w:t>
      </w:r>
      <w:r>
        <w:t xml:space="preserve">Both share the same Solana identity (Aethexer Sentinel), same database, and the protocol engine routes live inside the Bedrock ESG Next.js application.</w:t>
      </w:r>
    </w:p>
    <w:p>
      <w:r>
        <w:pict>
          <v:rect style="width:0;height:1.5pt" o:hralign="center" o:hrstd="t" o:hr="t"/>
        </w:pict>
      </w:r>
    </w:p>
    <w:bookmarkEnd w:id="22"/>
    <w:bookmarkEnd w:id="23"/>
    <w:bookmarkStart w:id="28" w:name="X4492757b46ff8004c5d40f69a9b7b57508e3908"/>
    <w:p>
      <w:pPr>
        <w:pStyle w:val="Heading2"/>
      </w:pPr>
      <w:r>
        <w:t xml:space="preserve">3. The Aethex Protocol — Three-Tier Security Model</w:t>
      </w:r>
    </w:p>
    <w:p>
      <w:pPr>
        <w:pStyle w:val="FirstParagraph"/>
      </w:pPr>
      <w:r>
        <w:t xml:space="preserve">The protocol provides</w:t>
      </w:r>
      <w:r>
        <w:t xml:space="preserve"> </w:t>
      </w:r>
      <w:r>
        <w:rPr>
          <w:bCs/>
          <w:b/>
        </w:rPr>
        <w:t xml:space="preserve">“</w:t>
      </w:r>
      <w:r>
        <w:rPr>
          <w:bCs/>
          <w:b/>
        </w:rPr>
        <w:t xml:space="preserve">Armored Digital Packets</w:t>
      </w:r>
      <w:r>
        <w:rPr>
          <w:bCs/>
          <w:b/>
        </w:rPr>
        <w:t xml:space="preserve">”</w:t>
      </w:r>
      <w:r>
        <w:t xml:space="preserve"> </w:t>
      </w:r>
      <w:r>
        <w:t xml:space="preserve">— cryptographically secured data containers that replace physical armored transport, generating measurable carbon displacement.</w:t>
      </w:r>
    </w:p>
    <w:bookmarkStart w:id="24" w:name="tier-1-ballistic-layer"/>
    <w:p>
      <w:pPr>
        <w:pStyle w:val="Heading3"/>
      </w:pPr>
      <w:r>
        <w:t xml:space="preserve">Tier 1: Ballistic Layer</w:t>
      </w:r>
    </w:p>
    <w:p>
      <w:pPr>
        <w:numPr>
          <w:ilvl w:val="0"/>
          <w:numId w:val="1001"/>
        </w:numPr>
        <w:pStyle w:val="Compact"/>
      </w:pPr>
      <w:r>
        <w:rPr>
          <w:bCs/>
          <w:b/>
        </w:rPr>
        <w:t xml:space="preserve">Encryption:</w:t>
      </w:r>
      <w:r>
        <w:t xml:space="preserve"> </w:t>
      </w:r>
      <w:r>
        <w:t xml:space="preserve">AES-GCM-256</w:t>
      </w:r>
    </w:p>
    <w:p>
      <w:pPr>
        <w:numPr>
          <w:ilvl w:val="0"/>
          <w:numId w:val="1001"/>
        </w:numPr>
        <w:pStyle w:val="Compact"/>
      </w:pPr>
      <w:r>
        <w:rPr>
          <w:bCs/>
          <w:b/>
        </w:rPr>
        <w:t xml:space="preserve">Purpose:</w:t>
      </w:r>
      <w:r>
        <w:t xml:space="preserve"> </w:t>
      </w:r>
      <w:r>
        <w:t xml:space="preserve">Payload-level encryption of all packet contents</w:t>
      </w:r>
    </w:p>
    <w:p>
      <w:pPr>
        <w:numPr>
          <w:ilvl w:val="0"/>
          <w:numId w:val="1001"/>
        </w:numPr>
        <w:pStyle w:val="Compact"/>
      </w:pPr>
      <w:r>
        <w:rPr>
          <w:bCs/>
          <w:b/>
        </w:rPr>
        <w:t xml:space="preserve">Implementation:</w:t>
      </w:r>
      <w:r>
        <w:t xml:space="preserve"> </w:t>
      </w:r>
      <w:r>
        <w:rPr>
          <w:rStyle w:val="VerbatimChar"/>
        </w:rPr>
        <w:t xml:space="preserve">encryptPayload()</w:t>
      </w:r>
      <w:r>
        <w:t xml:space="preserve"> </w:t>
      </w:r>
      <w:r>
        <w:t xml:space="preserve">in</w:t>
      </w:r>
      <w:r>
        <w:t xml:space="preserve"> </w:t>
      </w:r>
      <w:r>
        <w:rPr>
          <w:rStyle w:val="VerbatimChar"/>
        </w:rPr>
        <w:t xml:space="preserve">lib/aethex-protocol.ts</w:t>
      </w:r>
    </w:p>
    <w:p>
      <w:pPr>
        <w:numPr>
          <w:ilvl w:val="0"/>
          <w:numId w:val="1001"/>
        </w:numPr>
        <w:pStyle w:val="Compact"/>
      </w:pPr>
      <w:r>
        <w:rPr>
          <w:bCs/>
          <w:b/>
        </w:rPr>
        <w:t xml:space="preserve">IV:</w:t>
      </w:r>
      <w:r>
        <w:t xml:space="preserve"> </w:t>
      </w:r>
      <w:r>
        <w:t xml:space="preserve">12-byte random initialization vector per packet</w:t>
      </w:r>
    </w:p>
    <w:p>
      <w:pPr>
        <w:numPr>
          <w:ilvl w:val="0"/>
          <w:numId w:val="1001"/>
        </w:numPr>
        <w:pStyle w:val="Compact"/>
      </w:pPr>
      <w:r>
        <w:rPr>
          <w:bCs/>
          <w:b/>
        </w:rPr>
        <w:t xml:space="preserve">Auth Tag:</w:t>
      </w:r>
      <w:r>
        <w:t xml:space="preserve"> </w:t>
      </w:r>
      <w:r>
        <w:t xml:space="preserve">16-byte authentication tag for tamper detection</w:t>
      </w:r>
    </w:p>
    <w:bookmarkEnd w:id="24"/>
    <w:bookmarkStart w:id="25" w:name="tier-2-guardian-layer"/>
    <w:p>
      <w:pPr>
        <w:pStyle w:val="Heading3"/>
      </w:pPr>
      <w:r>
        <w:t xml:space="preserve">Tier 2: Guardian Layer</w:t>
      </w:r>
    </w:p>
    <w:p>
      <w:pPr>
        <w:numPr>
          <w:ilvl w:val="0"/>
          <w:numId w:val="1002"/>
        </w:numPr>
        <w:pStyle w:val="Compact"/>
      </w:pPr>
      <w:r>
        <w:rPr>
          <w:bCs/>
          <w:b/>
        </w:rPr>
        <w:t xml:space="preserve">Mechanism:</w:t>
      </w:r>
      <w:r>
        <w:t xml:space="preserve"> </w:t>
      </w:r>
      <w:r>
        <w:t xml:space="preserve">2-of-2 Multi-Signature Verification</w:t>
      </w:r>
    </w:p>
    <w:p>
      <w:pPr>
        <w:numPr>
          <w:ilvl w:val="0"/>
          <w:numId w:val="1002"/>
        </w:numPr>
        <w:pStyle w:val="Compact"/>
      </w:pPr>
      <w:r>
        <w:rPr>
          <w:bCs/>
          <w:b/>
        </w:rPr>
        <w:t xml:space="preserve">Purpose:</w:t>
      </w:r>
      <w:r>
        <w:t xml:space="preserve"> </w:t>
      </w:r>
      <w:r>
        <w:t xml:space="preserve">Dual-party authorization for packet operations</w:t>
      </w:r>
    </w:p>
    <w:p>
      <w:pPr>
        <w:numPr>
          <w:ilvl w:val="0"/>
          <w:numId w:val="1002"/>
        </w:numPr>
        <w:pStyle w:val="Compact"/>
      </w:pPr>
      <w:r>
        <w:rPr>
          <w:bCs/>
          <w:b/>
        </w:rPr>
        <w:t xml:space="preserve">Signers:</w:t>
      </w:r>
      <w:r>
        <w:t xml:space="preserve"> </w:t>
      </w:r>
      <w:r>
        <w:t xml:space="preserve">Sender + Receiver must both sign</w:t>
      </w:r>
    </w:p>
    <w:p>
      <w:pPr>
        <w:numPr>
          <w:ilvl w:val="0"/>
          <w:numId w:val="1002"/>
        </w:numPr>
        <w:pStyle w:val="Compact"/>
      </w:pPr>
      <w:r>
        <w:rPr>
          <w:bCs/>
          <w:b/>
        </w:rPr>
        <w:t xml:space="preserve">Implementation:</w:t>
      </w:r>
      <w:r>
        <w:t xml:space="preserve"> </w:t>
      </w:r>
      <w:r>
        <w:rPr>
          <w:rStyle w:val="VerbatimChar"/>
        </w:rPr>
        <w:t xml:space="preserve">createGuardianSignature()</w:t>
      </w:r>
      <w:r>
        <w:t xml:space="preserve">,</w:t>
      </w:r>
      <w:r>
        <w:t xml:space="preserve"> </w:t>
      </w:r>
      <w:r>
        <w:rPr>
          <w:rStyle w:val="VerbatimChar"/>
        </w:rPr>
        <w:t xml:space="preserve">verifyGuardianConsensus()</w:t>
      </w:r>
    </w:p>
    <w:bookmarkEnd w:id="25"/>
    <w:bookmarkStart w:id="26" w:name="tier-3-stealth-layer"/>
    <w:p>
      <w:pPr>
        <w:pStyle w:val="Heading3"/>
      </w:pPr>
      <w:r>
        <w:t xml:space="preserve">Tier 3: Stealth Layer</w:t>
      </w:r>
    </w:p>
    <w:p>
      <w:pPr>
        <w:numPr>
          <w:ilvl w:val="0"/>
          <w:numId w:val="1003"/>
        </w:numPr>
        <w:pStyle w:val="Compact"/>
      </w:pPr>
      <w:r>
        <w:rPr>
          <w:bCs/>
          <w:b/>
        </w:rPr>
        <w:t xml:space="preserve">Mechanism:</w:t>
      </w:r>
      <w:r>
        <w:t xml:space="preserve"> </w:t>
      </w:r>
      <w:r>
        <w:t xml:space="preserve">Zero-Knowledge Proof (ZKP)</w:t>
      </w:r>
    </w:p>
    <w:p>
      <w:pPr>
        <w:numPr>
          <w:ilvl w:val="0"/>
          <w:numId w:val="1003"/>
        </w:numPr>
        <w:pStyle w:val="Compact"/>
      </w:pPr>
      <w:r>
        <w:rPr>
          <w:bCs/>
          <w:b/>
        </w:rPr>
        <w:t xml:space="preserve">Purpose:</w:t>
      </w:r>
      <w:r>
        <w:t xml:space="preserve"> </w:t>
      </w:r>
      <w:r>
        <w:t xml:space="preserve">Verify packet integrity without revealing contents</w:t>
      </w:r>
    </w:p>
    <w:p>
      <w:pPr>
        <w:numPr>
          <w:ilvl w:val="0"/>
          <w:numId w:val="1003"/>
        </w:numPr>
        <w:pStyle w:val="Compact"/>
      </w:pPr>
      <w:r>
        <w:rPr>
          <w:bCs/>
          <w:b/>
        </w:rPr>
        <w:t xml:space="preserve">Implementation:</w:t>
      </w:r>
      <w:r>
        <w:t xml:space="preserve"> </w:t>
      </w:r>
      <w:r>
        <w:rPr>
          <w:rStyle w:val="VerbatimChar"/>
        </w:rPr>
        <w:t xml:space="preserve">generateStealthProof()</w:t>
      </w:r>
      <w:r>
        <w:t xml:space="preserve">,</w:t>
      </w:r>
      <w:r>
        <w:t xml:space="preserve"> </w:t>
      </w:r>
      <w:r>
        <w:rPr>
          <w:rStyle w:val="VerbatimChar"/>
        </w:rPr>
        <w:t xml:space="preserve">verifyStealthProof()</w:t>
      </w:r>
    </w:p>
    <w:p>
      <w:pPr>
        <w:numPr>
          <w:ilvl w:val="0"/>
          <w:numId w:val="1003"/>
        </w:numPr>
        <w:pStyle w:val="Compact"/>
      </w:pPr>
      <w:r>
        <w:rPr>
          <w:bCs/>
          <w:b/>
        </w:rPr>
        <w:t xml:space="preserve">Output:</w:t>
      </w:r>
      <w:r>
        <w:t xml:space="preserve"> </w:t>
      </w:r>
      <w:r>
        <w:t xml:space="preserve">Proof hash that validates data existence without exposure</w:t>
      </w:r>
    </w:p>
    <w:bookmarkEnd w:id="26"/>
    <w:bookmarkStart w:id="27" w:name="packet-lifecycle"/>
    <w:p>
      <w:pPr>
        <w:pStyle w:val="Heading3"/>
      </w:pPr>
      <w:r>
        <w:t xml:space="preserve">Packet Lifecycle</w:t>
      </w:r>
    </w:p>
    <w:p>
      <w:pPr>
        <w:pStyle w:val="SourceCode"/>
      </w:pPr>
      <w:r>
        <w:rPr>
          <w:rStyle w:val="VerbatimChar"/>
        </w:rPr>
        <w:t xml:space="preserve">1. CREATED    → Payload encrypted (Ballistic)</w:t>
      </w:r>
      <w:r>
        <w:br/>
      </w:r>
      <w:r>
        <w:rPr>
          <w:rStyle w:val="VerbatimChar"/>
        </w:rPr>
        <w:t xml:space="preserve">2. SIGNED     → Multi-sig applied (Guardian)</w:t>
      </w:r>
      <w:r>
        <w:br/>
      </w:r>
      <w:r>
        <w:rPr>
          <w:rStyle w:val="VerbatimChar"/>
        </w:rPr>
        <w:t xml:space="preserve">3. VERIFIED   → ZKP generated (Stealth)</w:t>
      </w:r>
      <w:r>
        <w:br/>
      </w:r>
      <w:r>
        <w:rPr>
          <w:rStyle w:val="VerbatimChar"/>
        </w:rPr>
        <w:t xml:space="preserve">4. IN_TRANSIT → Packet moving between parties</w:t>
      </w:r>
      <w:r>
        <w:br/>
      </w:r>
      <w:r>
        <w:rPr>
          <w:rStyle w:val="VerbatimChar"/>
        </w:rPr>
        <w:t xml:space="preserve">5. DELIVERED  → Received and verified</w:t>
      </w:r>
      <w:r>
        <w:br/>
      </w:r>
      <w:r>
        <w:rPr>
          <w:rStyle w:val="VerbatimChar"/>
        </w:rPr>
        <w:t xml:space="preserve">6. SETTLED    → Carbon displacement calculated and recorded</w:t>
      </w:r>
    </w:p>
    <w:p>
      <w:r>
        <w:pict>
          <v:rect style="width:0;height:1.5pt" o:hralign="center" o:hrstd="t" o:hr="t"/>
        </w:pict>
      </w:r>
    </w:p>
    <w:bookmarkEnd w:id="27"/>
    <w:bookmarkEnd w:id="28"/>
    <w:bookmarkStart w:id="33" w:name="exitz-token"/>
    <w:p>
      <w:pPr>
        <w:pStyle w:val="Heading2"/>
      </w:pPr>
      <w:r>
        <w:t xml:space="preserve">4. EXITZ Token</w:t>
      </w:r>
    </w:p>
    <w:bookmarkStart w:id="29" w:name="token-specification"/>
    <w:p>
      <w:pPr>
        <w:pStyle w:val="Heading3"/>
      </w:pPr>
      <w:r>
        <w:t xml:space="preserve">Token Specification</w:t>
      </w:r>
    </w:p>
    <w:tbl>
      <w:tblPr>
        <w:tblStyle w:val="Table"/>
        <w:tblW w:type="pct" w:w="5000"/>
        <w:tblLook w:firstRow="1" w:lastRow="0" w:firstColumn="0" w:lastColumn="0" w:noHBand="0" w:noVBand="0" w:val="0020"/>
      </w:tblPr>
      <w:tblGrid>
        <w:gridCol w:w="4658"/>
        <w:gridCol w:w="3261"/>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Standard</w:t>
            </w:r>
          </w:p>
        </w:tc>
        <w:tc>
          <w:tcPr/>
          <w:p>
            <w:pPr>
              <w:pStyle w:val="Compact"/>
              <w:jc w:val="left"/>
            </w:pPr>
            <w:r>
              <w:t xml:space="preserve">SPL Token-2022</w:t>
            </w:r>
          </w:p>
        </w:tc>
      </w:tr>
      <w:tr>
        <w:tc>
          <w:tcPr/>
          <w:p>
            <w:pPr>
              <w:pStyle w:val="Compact"/>
              <w:jc w:val="left"/>
            </w:pPr>
            <w:r>
              <w:t xml:space="preserve">Network</w:t>
            </w:r>
          </w:p>
        </w:tc>
        <w:tc>
          <w:tcPr/>
          <w:p>
            <w:pPr>
              <w:pStyle w:val="Compact"/>
              <w:jc w:val="left"/>
            </w:pPr>
            <w:r>
              <w:t xml:space="preserve">Solana Devnet</w:t>
            </w:r>
          </w:p>
        </w:tc>
      </w:tr>
      <w:tr>
        <w:tc>
          <w:tcPr/>
          <w:p>
            <w:pPr>
              <w:pStyle w:val="Compact"/>
              <w:jc w:val="left"/>
            </w:pPr>
            <w:r>
              <w:t xml:space="preserve">Mint Address</w:t>
            </w:r>
          </w:p>
        </w:tc>
        <w:tc>
          <w:tcPr/>
          <w:p>
            <w:pPr>
              <w:pStyle w:val="Compact"/>
              <w:jc w:val="left"/>
            </w:pPr>
            <w:r>
              <w:rPr>
                <w:rStyle w:val="VerbatimChar"/>
              </w:rPr>
              <w:t xml:space="preserve">44SrHT9Qwyz2jiiJkRF1zHKF2NFTgTC8m6ubPTb5qJBJ</w:t>
            </w:r>
          </w:p>
        </w:tc>
      </w:tr>
      <w:tr>
        <w:tc>
          <w:tcPr/>
          <w:p>
            <w:pPr>
              <w:pStyle w:val="Compact"/>
              <w:jc w:val="left"/>
            </w:pPr>
            <w:r>
              <w:t xml:space="preserve">Decimals</w:t>
            </w:r>
          </w:p>
        </w:tc>
        <w:tc>
          <w:tcPr/>
          <w:p>
            <w:pPr>
              <w:pStyle w:val="Compact"/>
              <w:jc w:val="left"/>
            </w:pPr>
            <w:r>
              <w:t xml:space="preserve">0 (whole units only)</w:t>
            </w:r>
          </w:p>
        </w:tc>
      </w:tr>
      <w:tr>
        <w:tc>
          <w:tcPr/>
          <w:p>
            <w:pPr>
              <w:pStyle w:val="Compact"/>
              <w:jc w:val="left"/>
            </w:pPr>
            <w:r>
              <w:t xml:space="preserve">Mint Authority</w:t>
            </w:r>
          </w:p>
        </w:tc>
        <w:tc>
          <w:tcPr/>
          <w:p>
            <w:pPr>
              <w:pStyle w:val="Compact"/>
              <w:jc w:val="left"/>
            </w:pPr>
            <w:r>
              <w:t xml:space="preserve">Aethexer Sentinel (</w:t>
            </w:r>
            <w:r>
              <w:rPr>
                <w:rStyle w:val="VerbatimChar"/>
              </w:rPr>
              <w:t xml:space="preserve">9tsq8qB4P9uPRSHrjXLaDQJd93nuo4wEEtkR1tAJRAQ3</w:t>
            </w:r>
            <w:r>
              <w:t xml:space="preserve">)</w:t>
            </w:r>
          </w:p>
        </w:tc>
      </w:tr>
      <w:tr>
        <w:tc>
          <w:tcPr/>
          <w:p>
            <w:pPr>
              <w:pStyle w:val="Compact"/>
              <w:jc w:val="left"/>
            </w:pPr>
            <w:r>
              <w:t xml:space="preserve">Freeze Authority</w:t>
            </w:r>
          </w:p>
        </w:tc>
        <w:tc>
          <w:tcPr/>
          <w:p>
            <w:pPr>
              <w:pStyle w:val="Compact"/>
              <w:jc w:val="left"/>
            </w:pPr>
            <w:r>
              <w:t xml:space="preserve">Aethexer Sentinel</w:t>
            </w:r>
          </w:p>
        </w:tc>
      </w:tr>
    </w:tbl>
    <w:bookmarkEnd w:id="29"/>
    <w:bookmarkStart w:id="30" w:name="token-metadata"/>
    <w:p>
      <w:pPr>
        <w:pStyle w:val="Heading3"/>
      </w:pPr>
      <w:r>
        <w:t xml:space="preserve">Token Metadata</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"EXITZ"</w:t>
      </w:r>
      <w:r>
        <w:rPr>
          <w:rStyle w:val="FunctionTok"/>
        </w:rPr>
        <w:t xml:space="preserve">,</w:t>
      </w:r>
      <w:r>
        <w:br/>
      </w:r>
      <w:r>
        <w:rPr>
          <w:rStyle w:val="NormalTok"/>
        </w:rPr>
        <w:t xml:space="preserve">  </w:t>
      </w:r>
      <w:r>
        <w:rPr>
          <w:rStyle w:val="DataTypeTok"/>
        </w:rPr>
        <w:t xml:space="preserve">"symbol"</w:t>
      </w:r>
      <w:r>
        <w:rPr>
          <w:rStyle w:val="FunctionTok"/>
        </w:rPr>
        <w:t xml:space="preserve">:</w:t>
      </w:r>
      <w:r>
        <w:rPr>
          <w:rStyle w:val="NormalTok"/>
        </w:rPr>
        <w:t xml:space="preserve"> </w:t>
      </w:r>
      <w:r>
        <w:rPr>
          <w:rStyle w:val="StringTok"/>
        </w:rPr>
        <w:t xml:space="preserve">"EXITZ"</w:t>
      </w:r>
      <w:r>
        <w:rPr>
          <w:rStyle w:val="FunctionTok"/>
        </w:rPr>
        <w:t xml:space="preserve">,</w:t>
      </w:r>
      <w:r>
        <w:br/>
      </w:r>
      <w:r>
        <w:rPr>
          <w:rStyle w:val="NormalTok"/>
        </w:rPr>
        <w:t xml:space="preserve">  </w:t>
      </w:r>
      <w:r>
        <w:rPr>
          <w:rStyle w:val="DataTypeTok"/>
        </w:rPr>
        <w:t xml:space="preserve">"uri"</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"additionalMetadata"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StringTok"/>
        </w:rPr>
        <w:t xml:space="preserve">"backtrace_id"</w:t>
      </w:r>
      <w:r>
        <w:rPr>
          <w:rStyle w:val="OtherTok"/>
        </w:rPr>
        <w:t xml:space="preserve">,</w:t>
      </w:r>
      <w:r>
        <w:rPr>
          <w:rStyle w:val="NormalTok"/>
        </w:rPr>
        <w:t xml:space="preserve"> </w:t>
      </w:r>
      <w:r>
        <w:rPr>
          <w:rStyle w:val="StringTok"/>
        </w:rPr>
        <w:t xml:space="preserve">"BT-C9C4C5"</w:t>
      </w:r>
      <w:r>
        <w:rPr>
          <w:rStyle w:val="OtherTok"/>
        </w:rPr>
        <w:t xml:space="preserve">],</w:t>
      </w:r>
      <w:r>
        <w:br/>
      </w:r>
      <w:r>
        <w:rPr>
          <w:rStyle w:val="NormalTok"/>
        </w:rPr>
        <w:t xml:space="preserve">    </w:t>
      </w:r>
      <w:r>
        <w:rPr>
          <w:rStyle w:val="OtherTok"/>
        </w:rPr>
        <w:t xml:space="preserve">[</w:t>
      </w:r>
      <w:r>
        <w:rPr>
          <w:rStyle w:val="StringTok"/>
        </w:rPr>
        <w:t xml:space="preserve">"engine"</w:t>
      </w:r>
      <w:r>
        <w:rPr>
          <w:rStyle w:val="OtherTok"/>
        </w:rPr>
        <w:t xml:space="preserve">,</w:t>
      </w:r>
      <w:r>
        <w:rPr>
          <w:rStyle w:val="NormalTok"/>
        </w:rPr>
        <w:t xml:space="preserve"> </w:t>
      </w:r>
      <w:r>
        <w:rPr>
          <w:rStyle w:val="StringTok"/>
        </w:rPr>
        <w:t xml:space="preserve">"Bedrock ESG"</w:t>
      </w:r>
      <w:r>
        <w:rPr>
          <w:rStyle w:val="OtherTok"/>
        </w:rPr>
        <w:t xml:space="preserve">],</w:t>
      </w:r>
      <w:r>
        <w:br/>
      </w:r>
      <w:r>
        <w:rPr>
          <w:rStyle w:val="NormalTok"/>
        </w:rPr>
        <w:t xml:space="preserve">    </w:t>
      </w:r>
      <w:r>
        <w:rPr>
          <w:rStyle w:val="OtherTok"/>
        </w:rPr>
        <w:t xml:space="preserve">[</w:t>
      </w:r>
      <w:r>
        <w:rPr>
          <w:rStyle w:val="StringTok"/>
        </w:rPr>
        <w:t xml:space="preserve">"protocol"</w:t>
      </w:r>
      <w:r>
        <w:rPr>
          <w:rStyle w:val="OtherTok"/>
        </w:rPr>
        <w:t xml:space="preserve">,</w:t>
      </w:r>
      <w:r>
        <w:rPr>
          <w:rStyle w:val="NormalTok"/>
        </w:rPr>
        <w:t xml:space="preserve"> </w:t>
      </w:r>
      <w:r>
        <w:rPr>
          <w:rStyle w:val="StringTok"/>
        </w:rPr>
        <w:t xml:space="preserve">"Aethex Universal Truth Layer"</w:t>
      </w:r>
      <w:r>
        <w:rPr>
          <w:rStyle w:val="OtherTok"/>
        </w:rPr>
        <w:t xml:space="preserve">],</w:t>
      </w:r>
      <w:r>
        <w:br/>
      </w:r>
      <w:r>
        <w:rPr>
          <w:rStyle w:val="NormalTok"/>
        </w:rPr>
        <w:t xml:space="preserve">    </w:t>
      </w:r>
      <w:r>
        <w:rPr>
          <w:rStyle w:val="OtherTok"/>
        </w:rPr>
        <w:t xml:space="preserve">[</w:t>
      </w:r>
      <w:r>
        <w:rPr>
          <w:rStyle w:val="StringTok"/>
        </w:rPr>
        <w:t xml:space="preserve">"standard"</w:t>
      </w:r>
      <w:r>
        <w:rPr>
          <w:rStyle w:val="OtherTok"/>
        </w:rPr>
        <w:t xml:space="preserve">,</w:t>
      </w:r>
      <w:r>
        <w:rPr>
          <w:rStyle w:val="NormalTok"/>
        </w:rPr>
        <w:t xml:space="preserve"> </w:t>
      </w:r>
      <w:r>
        <w:rPr>
          <w:rStyle w:val="StringTok"/>
        </w:rPr>
        <w:t xml:space="preserve">"ISO 14064-2"</w:t>
      </w:r>
      <w:r>
        <w:rPr>
          <w:rStyle w:val="OtherTok"/>
        </w:rPr>
        <w:t xml:space="preserve">]</w:t>
      </w:r>
      <w:r>
        <w:br/>
      </w:r>
      <w:r>
        <w:rPr>
          <w:rStyle w:val="NormalTok"/>
        </w:rPr>
        <w:t xml:space="preserve">  </w:t>
      </w:r>
      <w:r>
        <w:rPr>
          <w:rStyle w:val="OtherTok"/>
        </w:rPr>
        <w:t xml:space="preserve">]</w:t>
      </w:r>
      <w:r>
        <w:br/>
      </w:r>
      <w:r>
        <w:rPr>
          <w:rStyle w:val="FunctionTok"/>
        </w:rPr>
        <w:t xml:space="preserve">}</w:t>
      </w:r>
    </w:p>
    <w:bookmarkEnd w:id="30"/>
    <w:bookmarkStart w:id="31" w:name="genesis-emission"/>
    <w:p>
      <w:pPr>
        <w:pStyle w:val="Heading3"/>
      </w:pPr>
      <w:r>
        <w:t xml:space="preserve">Genesis Emission</w:t>
      </w:r>
    </w:p>
    <w:p>
      <w:pPr>
        <w:numPr>
          <w:ilvl w:val="0"/>
          <w:numId w:val="1004"/>
        </w:numPr>
        <w:pStyle w:val="Compact"/>
      </w:pPr>
      <w:r>
        <w:rPr>
          <w:bCs/>
          <w:b/>
        </w:rPr>
        <w:t xml:space="preserve">Amount:</w:t>
      </w:r>
      <w:r>
        <w:t xml:space="preserve"> </w:t>
      </w:r>
      <w:r>
        <w:t xml:space="preserve">1.0 EXITZ</w:t>
      </w:r>
    </w:p>
    <w:p>
      <w:pPr>
        <w:numPr>
          <w:ilvl w:val="0"/>
          <w:numId w:val="1004"/>
        </w:numPr>
        <w:pStyle w:val="Compact"/>
      </w:pPr>
      <w:r>
        <w:rPr>
          <w:bCs/>
          <w:b/>
        </w:rPr>
        <w:t xml:space="preserve">Recipient:</w:t>
      </w:r>
      <w:r>
        <w:t xml:space="preserve"> </w:t>
      </w:r>
      <w:r>
        <w:t xml:space="preserve">Aethexer Sentinel wallet</w:t>
      </w:r>
    </w:p>
    <w:p>
      <w:pPr>
        <w:numPr>
          <w:ilvl w:val="0"/>
          <w:numId w:val="1004"/>
        </w:numPr>
        <w:pStyle w:val="Compact"/>
      </w:pPr>
      <w:r>
        <w:rPr>
          <w:bCs/>
          <w:b/>
        </w:rPr>
        <w:t xml:space="preserve">Script:</w:t>
      </w:r>
      <w:r>
        <w:t xml:space="preserve"> </w:t>
      </w:r>
      <w:r>
        <w:rPr>
          <w:rStyle w:val="VerbatimChar"/>
        </w:rPr>
        <w:t xml:space="preserve">scripts/genesis-emission.ts</w:t>
      </w:r>
    </w:p>
    <w:p>
      <w:pPr>
        <w:numPr>
          <w:ilvl w:val="0"/>
          <w:numId w:val="1004"/>
        </w:numPr>
        <w:pStyle w:val="Compact"/>
      </w:pPr>
      <w:r>
        <w:rPr>
          <w:bCs/>
          <w:b/>
        </w:rPr>
        <w:t xml:space="preserve">Status:</w:t>
      </w:r>
      <w:r>
        <w:t xml:space="preserve"> </w:t>
      </w:r>
      <w:r>
        <w:t xml:space="preserve">Confirmed on Solana Devnet</w:t>
      </w:r>
    </w:p>
    <w:p>
      <w:pPr>
        <w:numPr>
          <w:ilvl w:val="0"/>
          <w:numId w:val="1004"/>
        </w:numPr>
        <w:pStyle w:val="Compact"/>
      </w:pPr>
      <w:r>
        <w:rPr>
          <w:bCs/>
          <w:b/>
        </w:rPr>
        <w:t xml:space="preserve">Purpose:</w:t>
      </w:r>
      <w:r>
        <w:t xml:space="preserve"> </w:t>
      </w:r>
      <w:r>
        <w:t xml:space="preserve">Protocol initialization / proof of capability</w:t>
      </w:r>
    </w:p>
    <w:bookmarkEnd w:id="31"/>
    <w:bookmarkStart w:id="32" w:name="token-creation-script"/>
    <w:p>
      <w:pPr>
        <w:pStyle w:val="Heading3"/>
      </w:pPr>
      <w:r>
        <w:t xml:space="preserve">Token Creation Script</w:t>
      </w:r>
    </w:p>
    <w:p>
      <w:pPr>
        <w:numPr>
          <w:ilvl w:val="0"/>
          <w:numId w:val="1005"/>
        </w:numPr>
        <w:pStyle w:val="Compact"/>
      </w:pPr>
      <w:r>
        <w:rPr>
          <w:bCs/>
          <w:b/>
        </w:rPr>
        <w:t xml:space="preserve">File:</w:t>
      </w:r>
      <w:r>
        <w:t xml:space="preserve"> </w:t>
      </w:r>
      <w:r>
        <w:rPr>
          <w:rStyle w:val="VerbatimChar"/>
        </w:rPr>
        <w:t xml:space="preserve">scripts/mint-exitz.ts</w:t>
      </w:r>
    </w:p>
    <w:p>
      <w:pPr>
        <w:numPr>
          <w:ilvl w:val="0"/>
          <w:numId w:val="1005"/>
        </w:numPr>
        <w:pStyle w:val="Compact"/>
      </w:pPr>
      <w:r>
        <w:rPr>
          <w:bCs/>
          <w:b/>
        </w:rPr>
        <w:t xml:space="preserve">Method:</w:t>
      </w:r>
      <w:r>
        <w:t xml:space="preserve"> </w:t>
      </w:r>
      <w:r>
        <w:t xml:space="preserve">Uses</w:t>
      </w:r>
      <w:r>
        <w:t xml:space="preserve"> </w:t>
      </w:r>
      <w:r>
        <w:rPr>
          <w:rStyle w:val="VerbatimChar"/>
        </w:rPr>
        <w:t xml:space="preserve">@solana/spl-token</w:t>
      </w:r>
      <w:r>
        <w:t xml:space="preserve"> </w:t>
      </w:r>
      <w:r>
        <w:t xml:space="preserve">Token-2022 extensions</w:t>
      </w:r>
    </w:p>
    <w:p>
      <w:pPr>
        <w:numPr>
          <w:ilvl w:val="0"/>
          <w:numId w:val="1005"/>
        </w:numPr>
        <w:pStyle w:val="Compact"/>
      </w:pPr>
      <w:r>
        <w:rPr>
          <w:bCs/>
          <w:b/>
        </w:rPr>
        <w:t xml:space="preserve">Extensions:</w:t>
      </w:r>
      <w:r>
        <w:t xml:space="preserve"> </w:t>
      </w:r>
      <w:r>
        <w:t xml:space="preserve">TokenMetadata (on-chain metadata without Metaplex)</w:t>
      </w:r>
    </w:p>
    <w:p>
      <w:pPr>
        <w:numPr>
          <w:ilvl w:val="0"/>
          <w:numId w:val="1005"/>
        </w:numPr>
        <w:pStyle w:val="Compact"/>
      </w:pPr>
      <w:r>
        <w:rPr>
          <w:bCs/>
          <w:b/>
        </w:rPr>
        <w:t xml:space="preserve">Flow:</w:t>
      </w:r>
      <w:r>
        <w:t xml:space="preserve"> </w:t>
      </w:r>
      <w:r>
        <w:rPr>
          <w:rStyle w:val="VerbatimChar"/>
        </w:rPr>
        <w:t xml:space="preserve">createMint()</w:t>
      </w:r>
      <w:r>
        <w:t xml:space="preserve"> </w:t>
      </w:r>
      <w:r>
        <w:t xml:space="preserve">→</w:t>
      </w:r>
      <w:r>
        <w:t xml:space="preserve"> </w:t>
      </w:r>
      <w:r>
        <w:rPr>
          <w:rStyle w:val="VerbatimChar"/>
        </w:rPr>
        <w:t xml:space="preserve">createInitializeMetadataPointerInstruction()</w:t>
      </w:r>
      <w:r>
        <w:t xml:space="preserve"> </w:t>
      </w:r>
      <w:r>
        <w:t xml:space="preserve">→</w:t>
      </w:r>
      <w:r>
        <w:t xml:space="preserve"> </w:t>
      </w:r>
      <w:r>
        <w:rPr>
          <w:rStyle w:val="VerbatimChar"/>
        </w:rPr>
        <w:t xml:space="preserve">createInitializeInstruction()</w:t>
      </w:r>
      <w:r>
        <w:t xml:space="preserve"> </w:t>
      </w:r>
      <w:r>
        <w:t xml:space="preserve">→</w:t>
      </w:r>
      <w:r>
        <w:t xml:space="preserve"> </w:t>
      </w:r>
      <w:r>
        <w:rPr>
          <w:rStyle w:val="VerbatimChar"/>
        </w:rPr>
        <w:t xml:space="preserve">createUpdateFieldInstruction()</w:t>
      </w:r>
    </w:p>
    <w:p>
      <w:r>
        <w:pict>
          <v:rect style="width:0;height:1.5pt" o:hralign="center" o:hrstd="t" o:hr="t"/>
        </w:pict>
      </w:r>
    </w:p>
    <w:bookmarkEnd w:id="32"/>
    <w:bookmarkEnd w:id="33"/>
    <w:bookmarkStart w:id="40" w:name="trade-settlement-ghg-displacement-engine"/>
    <w:p>
      <w:pPr>
        <w:pStyle w:val="Heading2"/>
      </w:pPr>
      <w:r>
        <w:t xml:space="preserve">5. Trade Settlement &amp; GHG Displacement Engine</w:t>
      </w:r>
    </w:p>
    <w:p>
      <w:pPr>
        <w:pStyle w:val="FirstParagraph"/>
      </w:pPr>
      <w:r>
        <w:rPr>
          <w:bCs/>
          <w:b/>
        </w:rPr>
        <w:t xml:space="preserve">File:</w:t>
      </w:r>
      <w:r>
        <w:t xml:space="preserve"> </w:t>
      </w:r>
      <w:r>
        <w:rPr>
          <w:rStyle w:val="VerbatimChar"/>
        </w:rPr>
        <w:t xml:space="preserve">lib/aethex-engine.ts</w:t>
      </w:r>
    </w:p>
    <w:bookmarkStart w:id="34" w:name="core-constants"/>
    <w:p>
      <w:pPr>
        <w:pStyle w:val="Heading3"/>
      </w:pPr>
      <w:r>
        <w:t xml:space="preserve">Core Constants</w:t>
      </w:r>
    </w:p>
    <w:p>
      <w:pPr>
        <w:pStyle w:val="SourceCode"/>
      </w:pPr>
      <w:r>
        <w:rPr>
          <w:rStyle w:val="NormalTok"/>
        </w:rPr>
        <w:t xml:space="preserve">DISPLACEMENT_FACTOR_KG_CO2E_PER_MILE </w:t>
      </w:r>
      <w:r>
        <w:rPr>
          <w:rStyle w:val="OperatorTok"/>
        </w:rPr>
        <w:t xml:space="preserve">=</w:t>
      </w:r>
      <w:r>
        <w:rPr>
          <w:rStyle w:val="NormalTok"/>
        </w:rPr>
        <w:t xml:space="preserve"> </w:t>
      </w:r>
      <w:r>
        <w:rPr>
          <w:rStyle w:val="FloatTok"/>
        </w:rPr>
        <w:t xml:space="preserve">2.7</w:t>
      </w:r>
      <w:r>
        <w:rPr>
          <w:rStyle w:val="NormalTok"/>
        </w:rPr>
        <w:t xml:space="preserve">  </w:t>
      </w:r>
      <w:r>
        <w:rPr>
          <w:rStyle w:val="CommentTok"/>
        </w:rPr>
        <w:t xml:space="preserve">// kg CO2e displaced per digital mile</w:t>
      </w:r>
      <w:r>
        <w:br/>
      </w:r>
      <w:r>
        <w:rPr>
          <w:rStyle w:val="NormalTok"/>
        </w:rPr>
        <w:t xml:space="preserve">SETTLEMENT_FEE_PERCENT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0.5% settlement fee</w:t>
      </w:r>
      <w:r>
        <w:br/>
      </w:r>
      <w:r>
        <w:rPr>
          <w:rStyle w:val="NormalTok"/>
        </w:rPr>
        <w:t xml:space="preserve">MIN_PACKET_VALUE_USD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Minimum packet value</w:t>
      </w:r>
      <w:r>
        <w:br/>
      </w:r>
      <w:r>
        <w:rPr>
          <w:rStyle w:val="NormalTok"/>
        </w:rPr>
        <w:t xml:space="preserve">MAX_BATCH_SIZE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Maximum batch transfer size</w:t>
      </w:r>
    </w:p>
    <w:bookmarkEnd w:id="34"/>
    <w:bookmarkStart w:id="35" w:name="current-state-as-of-latest-data"/>
    <w:p>
      <w:pPr>
        <w:pStyle w:val="Heading3"/>
      </w:pPr>
      <w:r>
        <w:t xml:space="preserve">Current State (as of latest data)</w:t>
      </w:r>
    </w:p>
    <w:p>
      <w:pPr>
        <w:numPr>
          <w:ilvl w:val="0"/>
          <w:numId w:val="1006"/>
        </w:numPr>
        <w:pStyle w:val="Compact"/>
      </w:pPr>
      <w:r>
        <w:rPr>
          <w:bCs/>
          <w:b/>
        </w:rPr>
        <w:t xml:space="preserve">Total Packets Processed:</w:t>
      </w:r>
      <w:r>
        <w:t xml:space="preserve"> </w:t>
      </w:r>
      <w:r>
        <w:t xml:space="preserve">779</w:t>
      </w:r>
    </w:p>
    <w:p>
      <w:pPr>
        <w:numPr>
          <w:ilvl w:val="0"/>
          <w:numId w:val="1006"/>
        </w:numPr>
        <w:pStyle w:val="Compact"/>
      </w:pPr>
      <w:r>
        <w:rPr>
          <w:bCs/>
          <w:b/>
        </w:rPr>
        <w:t xml:space="preserve">Total CO2e Displaced:</w:t>
      </w:r>
      <w:r>
        <w:t xml:space="preserve"> </w:t>
      </w:r>
      <w:r>
        <w:t xml:space="preserve">~6.7 tonnes</w:t>
      </w:r>
    </w:p>
    <w:p>
      <w:pPr>
        <w:numPr>
          <w:ilvl w:val="0"/>
          <w:numId w:val="1006"/>
        </w:numPr>
        <w:pStyle w:val="Compact"/>
      </w:pPr>
      <w:r>
        <w:rPr>
          <w:bCs/>
          <w:b/>
        </w:rPr>
        <w:t xml:space="preserve">Settlement Status:</w:t>
      </w:r>
      <w:r>
        <w:t xml:space="preserve"> </w:t>
      </w:r>
      <w:r>
        <w:t xml:space="preserve">Active</w:t>
      </w:r>
    </w:p>
    <w:bookmarkEnd w:id="35"/>
    <w:bookmarkStart w:id="36" w:name="ghg-displacement-calculation"/>
    <w:p>
      <w:pPr>
        <w:pStyle w:val="Heading3"/>
      </w:pPr>
      <w:r>
        <w:t xml:space="preserve">GHG Displacement Calculation</w:t>
      </w:r>
    </w:p>
    <w:p>
      <w:pPr>
        <w:pStyle w:val="SourceCode"/>
      </w:pPr>
      <w:r>
        <w:rPr>
          <w:rStyle w:val="VerbatimChar"/>
        </w:rPr>
        <w:t xml:space="preserve">Displacement_CO2e = packets_count × avg_distance_miles × 2.7 kg CO2e/mile</w:t>
      </w:r>
    </w:p>
    <w:p>
      <w:pPr>
        <w:pStyle w:val="FirstParagraph"/>
      </w:pPr>
      <w:r>
        <w:t xml:space="preserve">The engine calculates how much CO2e would have been emitted by physical armored transport (trucks, security vehicles) and credits that amount as displacement when the equivalent operation is performed digitally via Armored Digital Packets.</w:t>
      </w:r>
    </w:p>
    <w:bookmarkEnd w:id="36"/>
    <w:bookmarkStart w:id="39" w:name="settlement-api-apiaethex-settlement"/>
    <w:p>
      <w:pPr>
        <w:pStyle w:val="Heading3"/>
      </w:pPr>
      <w:r>
        <w:t xml:space="preserve">Settlement API (</w:t>
      </w:r>
      <w:r>
        <w:rPr>
          <w:rStyle w:val="VerbatimChar"/>
        </w:rPr>
        <w:t xml:space="preserve">/api/aethex-settlement</w:t>
      </w:r>
      <w:r>
        <w:t xml:space="preserve">)</w:t>
      </w:r>
    </w:p>
    <w:bookmarkStart w:id="37" w:name="get-operations-via-action-parameter"/>
    <w:p>
      <w:pPr>
        <w:pStyle w:val="Heading4"/>
      </w:pPr>
      <w:r>
        <w:t xml:space="preserve">GET Operations (via</w:t>
      </w:r>
      <w:r>
        <w:t xml:space="preserve"> </w:t>
      </w:r>
      <w:r>
        <w:rPr>
          <w:rStyle w:val="VerbatimChar"/>
        </w:rPr>
        <w:t xml:space="preserve">?action=</w:t>
      </w:r>
      <w:r>
        <w:t xml:space="preserve"> </w:t>
      </w:r>
      <w:r>
        <w:t xml:space="preserve">parameter)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Description</w:t>
            </w:r>
          </w:p>
        </w:tc>
      </w:tr>
      <w:tr>
        <w:tc>
          <w:tcPr/>
          <w:p>
            <w:pPr>
              <w:pStyle w:val="Compact"/>
              <w:jc w:val="left"/>
            </w:pPr>
            <w:r>
              <w:rPr>
                <w:rStyle w:val="VerbatimChar"/>
              </w:rPr>
              <w:t xml:space="preserve">status</w:t>
            </w:r>
          </w:p>
        </w:tc>
        <w:tc>
          <w:tcPr/>
          <w:p>
            <w:pPr>
              <w:pStyle w:val="Compact"/>
              <w:jc w:val="left"/>
            </w:pPr>
            <w:r>
              <w:t xml:space="preserve">Current engine status and statistics</w:t>
            </w:r>
          </w:p>
        </w:tc>
      </w:tr>
      <w:tr>
        <w:tc>
          <w:tcPr/>
          <w:p>
            <w:pPr>
              <w:pStyle w:val="Compact"/>
              <w:jc w:val="left"/>
            </w:pPr>
            <w:r>
              <w:rPr>
                <w:rStyle w:val="VerbatimChar"/>
              </w:rPr>
              <w:t xml:space="preserve">baselines</w:t>
            </w:r>
          </w:p>
        </w:tc>
        <w:tc>
          <w:tcPr/>
          <w:p>
            <w:pPr>
              <w:pStyle w:val="Compact"/>
              <w:jc w:val="left"/>
            </w:pPr>
            <w:r>
              <w:t xml:space="preserve">Environmental baselines and thresholds</w:t>
            </w:r>
          </w:p>
        </w:tc>
      </w:tr>
      <w:tr>
        <w:tc>
          <w:tcPr/>
          <w:p>
            <w:pPr>
              <w:pStyle w:val="Compact"/>
              <w:jc w:val="left"/>
            </w:pPr>
            <w:r>
              <w:rPr>
                <w:rStyle w:val="VerbatimChar"/>
              </w:rPr>
              <w:t xml:space="preserve">settlements</w:t>
            </w:r>
          </w:p>
        </w:tc>
        <w:tc>
          <w:tcPr/>
          <w:p>
            <w:pPr>
              <w:pStyle w:val="Compact"/>
              <w:jc w:val="left"/>
            </w:pPr>
            <w:r>
              <w:t xml:space="preserve">Settlement history records</w:t>
            </w:r>
          </w:p>
        </w:tc>
      </w:tr>
      <w:tr>
        <w:tc>
          <w:tcPr/>
          <w:p>
            <w:pPr>
              <w:pStyle w:val="Compact"/>
              <w:jc w:val="left"/>
            </w:pPr>
            <w:r>
              <w:rPr>
                <w:rStyle w:val="VerbatimChar"/>
              </w:rPr>
              <w:t xml:space="preserve">calculate</w:t>
            </w:r>
          </w:p>
        </w:tc>
        <w:tc>
          <w:tcPr/>
          <w:p>
            <w:pPr>
              <w:pStyle w:val="Compact"/>
              <w:jc w:val="left"/>
            </w:pPr>
            <w:r>
              <w:t xml:space="preserve">Calculate displacement for given parameters</w:t>
            </w:r>
          </w:p>
        </w:tc>
      </w:tr>
    </w:tbl>
    <w:bookmarkEnd w:id="37"/>
    <w:bookmarkStart w:id="38" w:name="post-operations-via-action-in-body"/>
    <w:p>
      <w:pPr>
        <w:pStyle w:val="Heading4"/>
      </w:pPr>
      <w:r>
        <w:t xml:space="preserve">POST Operations (via</w:t>
      </w:r>
      <w:r>
        <w:t xml:space="preserve"> </w:t>
      </w:r>
      <w:r>
        <w:rPr>
          <w:rStyle w:val="VerbatimChar"/>
        </w:rPr>
        <w:t xml:space="preserve">action</w:t>
      </w:r>
      <w:r>
        <w:t xml:space="preserve"> </w:t>
      </w:r>
      <w:r>
        <w:t xml:space="preserve">in body)</w:t>
      </w:r>
    </w:p>
    <w:tbl>
      <w:tblPr>
        <w:tblStyle w:val="Table"/>
        <w:tblW w:type="pct" w:w="5000"/>
        <w:tblLook w:firstRow="1" w:lastRow="0" w:firstColumn="0" w:lastColumn="0" w:noHBand="0" w:noVBand="0" w:val="0020"/>
      </w:tblPr>
      <w:tblGrid>
        <w:gridCol w:w="3017"/>
        <w:gridCol w:w="4902"/>
      </w:tblGrid>
      <w:tr>
        <w:trPr>
          <w:tblHeader w:val="true"/>
        </w:trPr>
        <w:tc>
          <w:tcPr/>
          <w:p>
            <w:pPr>
              <w:pStyle w:val="Compact"/>
              <w:jc w:val="left"/>
            </w:pPr>
            <w:r>
              <w:t xml:space="preserve">Action</w:t>
            </w:r>
          </w:p>
        </w:tc>
        <w:tc>
          <w:tcPr/>
          <w:p>
            <w:pPr>
              <w:pStyle w:val="Compact"/>
              <w:jc w:val="left"/>
            </w:pPr>
            <w:r>
              <w:t xml:space="preserve">Description</w:t>
            </w:r>
          </w:p>
        </w:tc>
      </w:tr>
      <w:tr>
        <w:tc>
          <w:tcPr/>
          <w:p>
            <w:pPr>
              <w:pStyle w:val="Compact"/>
              <w:jc w:val="left"/>
            </w:pPr>
            <w:r>
              <w:rPr>
                <w:rStyle w:val="VerbatimChar"/>
              </w:rPr>
              <w:t xml:space="preserve">transfer-packets</w:t>
            </w:r>
          </w:p>
        </w:tc>
        <w:tc>
          <w:tcPr/>
          <w:p>
            <w:pPr>
              <w:pStyle w:val="Compact"/>
              <w:jc w:val="left"/>
            </w:pPr>
            <w:r>
              <w:t xml:space="preserve">Transfer Armored Digital Packets between parties</w:t>
            </w:r>
          </w:p>
        </w:tc>
      </w:tr>
      <w:tr>
        <w:tc>
          <w:tcPr/>
          <w:p>
            <w:pPr>
              <w:pStyle w:val="Compact"/>
              <w:jc w:val="left"/>
            </w:pPr>
            <w:r>
              <w:rPr>
                <w:rStyle w:val="VerbatimChar"/>
              </w:rPr>
              <w:t xml:space="preserve">batch-transfer</w:t>
            </w:r>
          </w:p>
        </w:tc>
        <w:tc>
          <w:tcPr/>
          <w:p>
            <w:pPr>
              <w:pStyle w:val="Compact"/>
              <w:jc w:val="left"/>
            </w:pPr>
            <w:r>
              <w:t xml:space="preserve">Batch transfer multiple packets</w:t>
            </w:r>
          </w:p>
        </w:tc>
      </w:tr>
      <w:tr>
        <w:tc>
          <w:tcPr/>
          <w:p>
            <w:pPr>
              <w:pStyle w:val="Compact"/>
              <w:jc w:val="left"/>
            </w:pPr>
            <w:r>
              <w:rPr>
                <w:rStyle w:val="VerbatimChar"/>
              </w:rPr>
              <w:t xml:space="preserve">verify-packet</w:t>
            </w:r>
          </w:p>
        </w:tc>
        <w:tc>
          <w:tcPr/>
          <w:p>
            <w:pPr>
              <w:pStyle w:val="Compact"/>
              <w:jc w:val="left"/>
            </w:pPr>
            <w:r>
              <w:t xml:space="preserve">Verify packet integrity and authenticity</w:t>
            </w:r>
          </w:p>
        </w:tc>
      </w:tr>
      <w:tr>
        <w:tc>
          <w:tcPr/>
          <w:p>
            <w:pPr>
              <w:pStyle w:val="Compact"/>
              <w:jc w:val="left"/>
            </w:pPr>
            <w:r>
              <w:rPr>
                <w:rStyle w:val="VerbatimChar"/>
              </w:rPr>
              <w:t xml:space="preserve">get-current-state</w:t>
            </w:r>
          </w:p>
        </w:tc>
        <w:tc>
          <w:tcPr/>
          <w:p>
            <w:pPr>
              <w:pStyle w:val="Compact"/>
              <w:jc w:val="left"/>
            </w:pPr>
            <w:r>
              <w:t xml:space="preserve">Get full current protocol state</w:t>
            </w:r>
          </w:p>
        </w:tc>
      </w:tr>
    </w:tbl>
    <w:p>
      <w:r>
        <w:pict>
          <v:rect style="width:0;height:1.5pt" o:hralign="center" o:hrstd="t" o:hr="t"/>
        </w:pict>
      </w:r>
    </w:p>
    <w:bookmarkEnd w:id="38"/>
    <w:bookmarkEnd w:id="39"/>
    <w:bookmarkEnd w:id="40"/>
    <w:bookmarkStart w:id="45" w:name="armored-digital-packets"/>
    <w:p>
      <w:pPr>
        <w:pStyle w:val="Heading2"/>
      </w:pPr>
      <w:r>
        <w:t xml:space="preserve">6. Armored Digital Packets</w:t>
      </w:r>
    </w:p>
    <w:p>
      <w:pPr>
        <w:pStyle w:val="FirstParagraph"/>
      </w:pPr>
      <w:r>
        <w:rPr>
          <w:bCs/>
          <w:b/>
        </w:rPr>
        <w:t xml:space="preserve">File:</w:t>
      </w:r>
      <w:r>
        <w:t xml:space="preserve"> </w:t>
      </w:r>
      <w:r>
        <w:rPr>
          <w:rStyle w:val="VerbatimChar"/>
        </w:rPr>
        <w:t xml:space="preserve">lib/aethex-protocol.ts</w:t>
      </w:r>
    </w:p>
    <w:bookmarkStart w:id="41" w:name="packet-structure"/>
    <w:p>
      <w:pPr>
        <w:pStyle w:val="Heading3"/>
      </w:pPr>
      <w:r>
        <w:t xml:space="preserve">Packet Structure</w:t>
      </w:r>
    </w:p>
    <w:p>
      <w:pPr>
        <w:pStyle w:val="SourceCode"/>
      </w:pPr>
      <w:r>
        <w:rPr>
          <w:rStyle w:val="KeywordTok"/>
        </w:rPr>
        <w:t xml:space="preserve">interface</w:t>
      </w:r>
      <w:r>
        <w:rPr>
          <w:rStyle w:val="NormalTok"/>
        </w:rPr>
        <w:t xml:space="preserve"> ArmoredDigitalPacket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Unique packet identifier</w:t>
      </w:r>
      <w:r>
        <w:br/>
      </w:r>
      <w:r>
        <w:rPr>
          <w:rStyle w:val="NormalTok"/>
        </w:rPr>
        <w:t xml:space="preserve">  payload</w:t>
      </w:r>
      <w:r>
        <w:rPr>
          <w:rStyle w:val="OperatorTok"/>
        </w:rPr>
        <w:t xml:space="preserve">:</w:t>
      </w:r>
      <w:r>
        <w:rPr>
          <w:rStyle w:val="NormalTok"/>
        </w:rPr>
        <w:t xml:space="preserve"> EncryptedPayload</w:t>
      </w:r>
      <w:r>
        <w:rPr>
          <w:rStyle w:val="OperatorTok"/>
        </w:rPr>
        <w:t xml:space="preserve">;</w:t>
      </w:r>
      <w:r>
        <w:rPr>
          <w:rStyle w:val="NormalTok"/>
        </w:rPr>
        <w:t xml:space="preserve">     </w:t>
      </w:r>
      <w:r>
        <w:rPr>
          <w:rStyle w:val="CommentTok"/>
        </w:rPr>
        <w:t xml:space="preserve">// AES-GCM-256 encrypted data</w:t>
      </w:r>
      <w:r>
        <w:br/>
      </w:r>
      <w:r>
        <w:rPr>
          <w:rStyle w:val="NormalTok"/>
        </w:rPr>
        <w:t xml:space="preserve">  guardian</w:t>
      </w:r>
      <w:r>
        <w:rPr>
          <w:rStyle w:val="OperatorTok"/>
        </w:rPr>
        <w:t xml:space="preserve">:</w:t>
      </w:r>
      <w:r>
        <w:rPr>
          <w:rStyle w:val="NormalTok"/>
        </w:rPr>
        <w:t xml:space="preserve"> GuardianSignature</w:t>
      </w:r>
      <w:r>
        <w:rPr>
          <w:rStyle w:val="OperatorTok"/>
        </w:rPr>
        <w:t xml:space="preserve">;</w:t>
      </w:r>
      <w:r>
        <w:rPr>
          <w:rStyle w:val="NormalTok"/>
        </w:rPr>
        <w:t xml:space="preserve">   </w:t>
      </w:r>
      <w:r>
        <w:rPr>
          <w:rStyle w:val="CommentTok"/>
        </w:rPr>
        <w:t xml:space="preserve">// 2-of-2 multi-sig</w:t>
      </w:r>
      <w:r>
        <w:br/>
      </w:r>
      <w:r>
        <w:rPr>
          <w:rStyle w:val="NormalTok"/>
        </w:rPr>
        <w:t xml:space="preserve">  stealth</w:t>
      </w:r>
      <w:r>
        <w:rPr>
          <w:rStyle w:val="OperatorTok"/>
        </w:rPr>
        <w:t xml:space="preserve">:</w:t>
      </w:r>
      <w:r>
        <w:rPr>
          <w:rStyle w:val="NormalTok"/>
        </w:rPr>
        <w:t xml:space="preserve"> StealthProof</w:t>
      </w:r>
      <w:r>
        <w:rPr>
          <w:rStyle w:val="OperatorTok"/>
        </w:rPr>
        <w:t xml:space="preserve">;</w:t>
      </w:r>
      <w:r>
        <w:rPr>
          <w:rStyle w:val="NormalTok"/>
        </w:rPr>
        <w:t xml:space="preserve">         </w:t>
      </w:r>
      <w:r>
        <w:rPr>
          <w:rStyle w:val="CommentTok"/>
        </w:rPr>
        <w:t xml:space="preserve">// Zero-knowledge proof</w:t>
      </w:r>
      <w:r>
        <w:br/>
      </w:r>
      <w:r>
        <w:rPr>
          <w:rStyle w:val="NormalTok"/>
        </w:rPr>
        <w:t xml:space="preserve">  metadata</w:t>
      </w:r>
      <w:r>
        <w:rPr>
          <w:rStyle w:val="OperatorTok"/>
        </w:rPr>
        <w:t xml:space="preserve">:</w:t>
      </w:r>
      <w:r>
        <w:rPr>
          <w:rStyle w:val="NormalTok"/>
        </w:rPr>
        <w:t xml:space="preserve"> PacketMetadata</w:t>
      </w:r>
      <w:r>
        <w:rPr>
          <w:rStyle w:val="OperatorTok"/>
        </w:rPr>
        <w:t xml:space="preserve">;</w:t>
      </w:r>
      <w:r>
        <w:rPr>
          <w:rStyle w:val="NormalTok"/>
        </w:rPr>
        <w:t xml:space="preserve">      </w:t>
      </w:r>
      <w:r>
        <w:rPr>
          <w:rStyle w:val="CommentTok"/>
        </w:rPr>
        <w:t xml:space="preserve">// Timestamps, route info</w:t>
      </w:r>
      <w:r>
        <w:br/>
      </w:r>
      <w:r>
        <w:rPr>
          <w:rStyle w:val="NormalTok"/>
        </w:rPr>
        <w:t xml:space="preserve">  displacement</w:t>
      </w:r>
      <w:r>
        <w:rPr>
          <w:rStyle w:val="OperatorTok"/>
        </w:rPr>
        <w:t xml:space="preserve">:</w:t>
      </w:r>
      <w:r>
        <w:rPr>
          <w:rStyle w:val="NormalTok"/>
        </w:rPr>
        <w:t xml:space="preserve"> DisplacementRecord</w:t>
      </w:r>
      <w:r>
        <w:rPr>
          <w:rStyle w:val="OperatorTok"/>
        </w:rPr>
        <w:t xml:space="preserve">;</w:t>
      </w:r>
      <w:r>
        <w:rPr>
          <w:rStyle w:val="NormalTok"/>
        </w:rPr>
        <w:t xml:space="preserve"> </w:t>
      </w:r>
      <w:r>
        <w:rPr>
          <w:rStyle w:val="CommentTok"/>
        </w:rPr>
        <w:t xml:space="preserve">// CO2e displacement data</w:t>
      </w:r>
      <w:r>
        <w:br/>
      </w:r>
      <w:r>
        <w:rPr>
          <w:rStyle w:val="NormalTok"/>
        </w:rPr>
        <w:t xml:space="preserve">}</w:t>
      </w:r>
    </w:p>
    <w:bookmarkEnd w:id="41"/>
    <w:bookmarkStart w:id="44" w:name="X718c2ceb67b90d4ed6412f9be9128d6efc23e19"/>
    <w:p>
      <w:pPr>
        <w:pStyle w:val="Heading3"/>
      </w:pPr>
      <w:r>
        <w:t xml:space="preserve">Digital Packet API (</w:t>
      </w:r>
      <w:r>
        <w:rPr>
          <w:rStyle w:val="VerbatimChar"/>
        </w:rPr>
        <w:t xml:space="preserve">/api/aethex/digital-packet</w:t>
      </w:r>
      <w:r>
        <w:t xml:space="preserve">)</w:t>
      </w:r>
    </w:p>
    <w:bookmarkStart w:id="42" w:name="get-operations"/>
    <w:p>
      <w:pPr>
        <w:pStyle w:val="Heading4"/>
      </w:pPr>
      <w:r>
        <w:t xml:space="preserve">GET Operations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Description</w:t>
            </w:r>
          </w:p>
        </w:tc>
      </w:tr>
      <w:tr>
        <w:tc>
          <w:tcPr/>
          <w:p>
            <w:pPr>
              <w:pStyle w:val="Compact"/>
              <w:jc w:val="left"/>
            </w:pPr>
            <w:r>
              <w:rPr>
                <w:rStyle w:val="VerbatimChar"/>
              </w:rPr>
              <w:t xml:space="preserve">list</w:t>
            </w:r>
          </w:p>
        </w:tc>
        <w:tc>
          <w:tcPr/>
          <w:p>
            <w:pPr>
              <w:pStyle w:val="Compact"/>
              <w:jc w:val="left"/>
            </w:pPr>
            <w:r>
              <w:t xml:space="preserve">List all packets with optional filters</w:t>
            </w:r>
          </w:p>
        </w:tc>
      </w:tr>
      <w:tr>
        <w:tc>
          <w:tcPr/>
          <w:p>
            <w:pPr>
              <w:pStyle w:val="Compact"/>
              <w:jc w:val="left"/>
            </w:pPr>
            <w:r>
              <w:rPr>
                <w:rStyle w:val="VerbatimChar"/>
              </w:rPr>
              <w:t xml:space="preserve">verify</w:t>
            </w:r>
          </w:p>
        </w:tc>
        <w:tc>
          <w:tcPr/>
          <w:p>
            <w:pPr>
              <w:pStyle w:val="Compact"/>
              <w:jc w:val="left"/>
            </w:pPr>
            <w:r>
              <w:t xml:space="preserve">Verify a specific packet by ID</w:t>
            </w:r>
          </w:p>
        </w:tc>
      </w:tr>
      <w:tr>
        <w:tc>
          <w:tcPr/>
          <w:p>
            <w:pPr>
              <w:pStyle w:val="Compact"/>
              <w:jc w:val="left"/>
            </w:pPr>
            <w:r>
              <w:rPr>
                <w:rStyle w:val="VerbatimChar"/>
              </w:rPr>
              <w:t xml:space="preserve">stats</w:t>
            </w:r>
          </w:p>
        </w:tc>
        <w:tc>
          <w:tcPr/>
          <w:p>
            <w:pPr>
              <w:pStyle w:val="Compact"/>
              <w:jc w:val="left"/>
            </w:pPr>
            <w:r>
              <w:t xml:space="preserve">Packet statistics and totals</w:t>
            </w:r>
          </w:p>
        </w:tc>
      </w:tr>
    </w:tbl>
    <w:bookmarkEnd w:id="42"/>
    <w:bookmarkStart w:id="43" w:name="post-operations"/>
    <w:p>
      <w:pPr>
        <w:pStyle w:val="Heading4"/>
      </w:pPr>
      <w:r>
        <w:t xml:space="preserve">POST Operations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Description</w:t>
            </w:r>
          </w:p>
        </w:tc>
      </w:tr>
      <w:tr>
        <w:tc>
          <w:tcPr/>
          <w:p>
            <w:pPr>
              <w:pStyle w:val="Compact"/>
              <w:jc w:val="left"/>
            </w:pPr>
            <w:r>
              <w:rPr>
                <w:rStyle w:val="VerbatimChar"/>
              </w:rPr>
              <w:t xml:space="preserve">create</w:t>
            </w:r>
          </w:p>
        </w:tc>
        <w:tc>
          <w:tcPr/>
          <w:p>
            <w:pPr>
              <w:pStyle w:val="Compact"/>
              <w:jc w:val="left"/>
            </w:pPr>
            <w:r>
              <w:t xml:space="preserve">Create new Armored Digital Packet</w:t>
            </w:r>
          </w:p>
        </w:tc>
      </w:tr>
      <w:tr>
        <w:tc>
          <w:tcPr/>
          <w:p>
            <w:pPr>
              <w:pStyle w:val="Compact"/>
              <w:jc w:val="left"/>
            </w:pPr>
            <w:r>
              <w:rPr>
                <w:rStyle w:val="VerbatimChar"/>
              </w:rPr>
              <w:t xml:space="preserve">verify</w:t>
            </w:r>
          </w:p>
        </w:tc>
        <w:tc>
          <w:tcPr/>
          <w:p>
            <w:pPr>
              <w:pStyle w:val="Compact"/>
              <w:jc w:val="left"/>
            </w:pPr>
            <w:r>
              <w:t xml:space="preserve">Verify packet integrity</w:t>
            </w:r>
          </w:p>
        </w:tc>
      </w:tr>
      <w:tr>
        <w:tc>
          <w:tcPr/>
          <w:p>
            <w:pPr>
              <w:pStyle w:val="Compact"/>
              <w:jc w:val="left"/>
            </w:pPr>
            <w:r>
              <w:rPr>
                <w:rStyle w:val="VerbatimChar"/>
              </w:rPr>
              <w:t xml:space="preserve">calculate-savings</w:t>
            </w:r>
          </w:p>
        </w:tc>
        <w:tc>
          <w:tcPr/>
          <w:p>
            <w:pPr>
              <w:pStyle w:val="Compact"/>
              <w:jc w:val="left"/>
            </w:pPr>
            <w:r>
              <w:t xml:space="preserve">Calculate CO2e savings for a route</w:t>
            </w:r>
          </w:p>
        </w:tc>
      </w:tr>
    </w:tbl>
    <w:p>
      <w:r>
        <w:pict>
          <v:rect style="width:0;height:1.5pt" o:hralign="center" o:hrstd="t" o:hr="t"/>
        </w:pict>
      </w:r>
    </w:p>
    <w:bookmarkEnd w:id="43"/>
    <w:bookmarkEnd w:id="44"/>
    <w:bookmarkEnd w:id="45"/>
    <w:bookmarkStart w:id="54" w:name="retroactive-harvest-system"/>
    <w:p>
      <w:pPr>
        <w:pStyle w:val="Heading2"/>
      </w:pPr>
      <w:r>
        <w:t xml:space="preserve">7. Retroactive Harvest System</w:t>
      </w:r>
    </w:p>
    <w:p>
      <w:pPr>
        <w:pStyle w:val="FirstParagraph"/>
      </w:pPr>
      <w:r>
        <w:rPr>
          <w:bCs/>
          <w:b/>
        </w:rPr>
        <w:t xml:space="preserve">File:</w:t>
      </w:r>
      <w:r>
        <w:t xml:space="preserve"> </w:t>
      </w:r>
      <w:r>
        <w:rPr>
          <w:rStyle w:val="VerbatimChar"/>
        </w:rPr>
        <w:t xml:space="preserve">lib/aethex-protocol.ts</w:t>
      </w:r>
      <w:r>
        <w:t xml:space="preserve"> </w:t>
      </w:r>
      <w:r>
        <w:t xml:space="preserve">(RetroactiveHarvest class) +</w:t>
      </w:r>
      <w:r>
        <w:t xml:space="preserve"> </w:t>
      </w:r>
      <w:r>
        <w:rPr>
          <w:rStyle w:val="VerbatimChar"/>
        </w:rPr>
        <w:t xml:space="preserve">/api/aethex/retroactive-harvest</w:t>
      </w:r>
    </w:p>
    <w:bookmarkStart w:id="46" w:name="purpose"/>
    <w:p>
      <w:pPr>
        <w:pStyle w:val="Heading3"/>
      </w:pPr>
      <w:r>
        <w:t xml:space="preserve">Purpose</w:t>
      </w:r>
    </w:p>
    <w:p>
      <w:pPr>
        <w:pStyle w:val="FirstParagraph"/>
      </w:pPr>
      <w:r>
        <w:t xml:space="preserve">Ingests historical enterprise resource planning (ERP) data and retroactively generates environmental impact assessments and Material Passports.</w:t>
      </w:r>
    </w:p>
    <w:bookmarkEnd w:id="46"/>
    <w:bookmarkStart w:id="47" w:name="supported-erp-systems"/>
    <w:p>
      <w:pPr>
        <w:pStyle w:val="Heading3"/>
      </w:pPr>
      <w:r>
        <w:t xml:space="preserve">Supported ERP Systems</w:t>
      </w:r>
    </w:p>
    <w:p>
      <w:pPr>
        <w:numPr>
          <w:ilvl w:val="0"/>
          <w:numId w:val="1007"/>
        </w:numPr>
        <w:pStyle w:val="Compact"/>
      </w:pPr>
      <w:r>
        <w:rPr>
          <w:bCs/>
          <w:b/>
        </w:rPr>
        <w:t xml:space="preserve">SAP</w:t>
      </w:r>
      <w:r>
        <w:t xml:space="preserve"> </w:t>
      </w:r>
      <w:r>
        <w:t xml:space="preserve">(S/4HANA)</w:t>
      </w:r>
    </w:p>
    <w:p>
      <w:pPr>
        <w:numPr>
          <w:ilvl w:val="0"/>
          <w:numId w:val="1007"/>
        </w:numPr>
        <w:pStyle w:val="Compact"/>
      </w:pPr>
      <w:r>
        <w:rPr>
          <w:bCs/>
          <w:b/>
        </w:rPr>
        <w:t xml:space="preserve">Oracle</w:t>
      </w:r>
      <w:r>
        <w:t xml:space="preserve"> </w:t>
      </w:r>
      <w:r>
        <w:t xml:space="preserve">(Cloud ERP)</w:t>
      </w:r>
    </w:p>
    <w:p>
      <w:pPr>
        <w:numPr>
          <w:ilvl w:val="0"/>
          <w:numId w:val="1007"/>
        </w:numPr>
        <w:pStyle w:val="Compact"/>
      </w:pPr>
      <w:r>
        <w:rPr>
          <w:bCs/>
          <w:b/>
        </w:rPr>
        <w:t xml:space="preserve">Viewpoint</w:t>
      </w:r>
      <w:r>
        <w:t xml:space="preserve"> </w:t>
      </w:r>
      <w:r>
        <w:t xml:space="preserve">(Vista / Spectrum, construction-specific)</w:t>
      </w:r>
    </w:p>
    <w:bookmarkEnd w:id="47"/>
    <w:bookmarkStart w:id="48" w:name="compliance-standards"/>
    <w:p>
      <w:pPr>
        <w:pStyle w:val="Heading3"/>
      </w:pPr>
      <w:r>
        <w:t xml:space="preserve">Compliance Standards</w:t>
      </w:r>
    </w:p>
    <w:p>
      <w:pPr>
        <w:numPr>
          <w:ilvl w:val="0"/>
          <w:numId w:val="1008"/>
        </w:numPr>
        <w:pStyle w:val="Compact"/>
      </w:pPr>
      <w:r>
        <w:rPr>
          <w:bCs/>
          <w:b/>
        </w:rPr>
        <w:t xml:space="preserve">2026 Caltrans Environmental Standards</w:t>
      </w:r>
      <w:r>
        <w:t xml:space="preserve"> </w:t>
      </w:r>
      <w:r>
        <w:t xml:space="preserve">— California Department of Transportation requirements</w:t>
      </w:r>
    </w:p>
    <w:p>
      <w:pPr>
        <w:numPr>
          <w:ilvl w:val="0"/>
          <w:numId w:val="1008"/>
        </w:numPr>
        <w:pStyle w:val="Compact"/>
      </w:pPr>
      <w:r>
        <w:rPr>
          <w:bCs/>
          <w:b/>
        </w:rPr>
        <w:t xml:space="preserve">ISO 14064-2</w:t>
      </w:r>
      <w:r>
        <w:t xml:space="preserve"> </w:t>
      </w:r>
      <w:r>
        <w:t xml:space="preserve">— GHG quantification at project level</w:t>
      </w:r>
    </w:p>
    <w:p>
      <w:pPr>
        <w:numPr>
          <w:ilvl w:val="0"/>
          <w:numId w:val="1008"/>
        </w:numPr>
        <w:pStyle w:val="Compact"/>
      </w:pPr>
      <w:r>
        <w:rPr>
          <w:bCs/>
          <w:b/>
        </w:rPr>
        <w:t xml:space="preserve">ISO 14040</w:t>
      </w:r>
      <w:r>
        <w:t xml:space="preserve"> </w:t>
      </w:r>
      <w:r>
        <w:t xml:space="preserve">— Life Cycle Assessment</w:t>
      </w:r>
    </w:p>
    <w:bookmarkEnd w:id="48"/>
    <w:bookmarkStart w:id="49" w:name="harvest-workflow"/>
    <w:p>
      <w:pPr>
        <w:pStyle w:val="Heading3"/>
      </w:pPr>
      <w:r>
        <w:t xml:space="preserve">Harvest Workflow</w:t>
      </w:r>
    </w:p>
    <w:p>
      <w:pPr>
        <w:pStyle w:val="SourceCode"/>
      </w:pPr>
      <w:r>
        <w:rPr>
          <w:rStyle w:val="VerbatimChar"/>
        </w:rPr>
        <w:t xml:space="preserve">1. INGEST     → Import ERP data (procurement, logistics, materials)</w:t>
      </w:r>
      <w:r>
        <w:br/>
      </w:r>
      <w:r>
        <w:rPr>
          <w:rStyle w:val="VerbatimChar"/>
        </w:rPr>
        <w:t xml:space="preserve">2. AUDIT      → Verify against 2026 Caltrans standards</w:t>
      </w:r>
      <w:r>
        <w:br/>
      </w:r>
      <w:r>
        <w:rPr>
          <w:rStyle w:val="VerbatimChar"/>
        </w:rPr>
        <w:t xml:space="preserve">3. CALCULATE  → Compute retroactive environmental impact</w:t>
      </w:r>
      <w:r>
        <w:br/>
      </w:r>
      <w:r>
        <w:rPr>
          <w:rStyle w:val="VerbatimChar"/>
        </w:rPr>
        <w:t xml:space="preserve">4. MINT       → Generate Material Passports with Solana attestation</w:t>
      </w:r>
      <w:r>
        <w:br/>
      </w:r>
      <w:r>
        <w:rPr>
          <w:rStyle w:val="VerbatimChar"/>
        </w:rPr>
        <w:t xml:space="preserve">5. CERTIFY    → Issue compliance certificates</w:t>
      </w:r>
    </w:p>
    <w:bookmarkEnd w:id="49"/>
    <w:bookmarkStart w:id="50" w:name="material-passports"/>
    <w:p>
      <w:pPr>
        <w:pStyle w:val="Heading3"/>
      </w:pPr>
      <w:r>
        <w:t xml:space="preserve">Material Passports</w:t>
      </w:r>
    </w:p>
    <w:p>
      <w:pPr>
        <w:pStyle w:val="FirstParagraph"/>
      </w:pPr>
      <w:r>
        <w:t xml:space="preserve">Digital documents that travel with physical materials, containing:</w:t>
      </w:r>
      <w:r>
        <w:t xml:space="preserve"> </w:t>
      </w:r>
      <w:r>
        <w:t xml:space="preserve">- Full chain-of-custody</w:t>
      </w:r>
      <w:r>
        <w:t xml:space="preserve"> </w:t>
      </w:r>
      <w:r>
        <w:t xml:space="preserve">- Environmental impact data (embodied carbon, transport emissions)</w:t>
      </w:r>
      <w:r>
        <w:t xml:space="preserve"> </w:t>
      </w:r>
      <w:r>
        <w:t xml:space="preserve">- Compliance status against applicable standards</w:t>
      </w:r>
      <w:r>
        <w:t xml:space="preserve"> </w:t>
      </w:r>
      <w:r>
        <w:t xml:space="preserve">- Solana attestation proof (backtrace:</w:t>
      </w:r>
      <w:r>
        <w:t xml:space="preserve"> </w:t>
      </w:r>
      <w:r>
        <w:rPr>
          <w:rStyle w:val="VerbatimChar"/>
        </w:rPr>
        <w:t xml:space="preserve">BT-C9C4C5</w:t>
      </w:r>
      <w:r>
        <w:t xml:space="preserve">)</w:t>
      </w:r>
    </w:p>
    <w:bookmarkEnd w:id="50"/>
    <w:bookmarkStart w:id="53" w:name="X37eb9cd118d1f36448f4dc8499b011206ffbcf6"/>
    <w:p>
      <w:pPr>
        <w:pStyle w:val="Heading3"/>
      </w:pPr>
      <w:r>
        <w:t xml:space="preserve">Retroactive Harvest API (</w:t>
      </w:r>
      <w:r>
        <w:rPr>
          <w:rStyle w:val="VerbatimChar"/>
        </w:rPr>
        <w:t xml:space="preserve">/api/aethex/retroactive-harvest</w:t>
      </w:r>
      <w:r>
        <w:t xml:space="preserve">)</w:t>
      </w:r>
    </w:p>
    <w:bookmarkStart w:id="51" w:name="get-operations-1"/>
    <w:p>
      <w:pPr>
        <w:pStyle w:val="Heading4"/>
      </w:pPr>
      <w:r>
        <w:t xml:space="preserve">GET Operations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Description</w:t>
            </w:r>
          </w:p>
        </w:tc>
      </w:tr>
      <w:tr>
        <w:tc>
          <w:tcPr/>
          <w:p>
            <w:pPr>
              <w:pStyle w:val="Compact"/>
              <w:jc w:val="left"/>
            </w:pPr>
            <w:r>
              <w:rPr>
                <w:rStyle w:val="VerbatimChar"/>
              </w:rPr>
              <w:t xml:space="preserve">status</w:t>
            </w:r>
          </w:p>
        </w:tc>
        <w:tc>
          <w:tcPr/>
          <w:p>
            <w:pPr>
              <w:pStyle w:val="Compact"/>
              <w:jc w:val="left"/>
            </w:pPr>
            <w:r>
              <w:t xml:space="preserve">Harvest system status</w:t>
            </w:r>
          </w:p>
        </w:tc>
      </w:tr>
      <w:tr>
        <w:tc>
          <w:tcPr/>
          <w:p>
            <w:pPr>
              <w:pStyle w:val="Compact"/>
              <w:jc w:val="left"/>
            </w:pPr>
            <w:r>
              <w:rPr>
                <w:rStyle w:val="VerbatimChar"/>
              </w:rPr>
              <w:t xml:space="preserve">passports</w:t>
            </w:r>
          </w:p>
        </w:tc>
        <w:tc>
          <w:tcPr/>
          <w:p>
            <w:pPr>
              <w:pStyle w:val="Compact"/>
              <w:jc w:val="left"/>
            </w:pPr>
            <w:r>
              <w:t xml:space="preserve">List generated Material Passports</w:t>
            </w:r>
          </w:p>
        </w:tc>
      </w:tr>
      <w:tr>
        <w:tc>
          <w:tcPr/>
          <w:p>
            <w:pPr>
              <w:pStyle w:val="Compact"/>
              <w:jc w:val="left"/>
            </w:pPr>
            <w:r>
              <w:rPr>
                <w:rStyle w:val="VerbatimChar"/>
              </w:rPr>
              <w:t xml:space="preserve">compliance</w:t>
            </w:r>
          </w:p>
        </w:tc>
        <w:tc>
          <w:tcPr/>
          <w:p>
            <w:pPr>
              <w:pStyle w:val="Compact"/>
              <w:jc w:val="left"/>
            </w:pPr>
            <w:r>
              <w:t xml:space="preserve">Compliance audit results</w:t>
            </w:r>
          </w:p>
        </w:tc>
      </w:tr>
    </w:tbl>
    <w:bookmarkEnd w:id="51"/>
    <w:bookmarkStart w:id="52" w:name="post-operations-1"/>
    <w:p>
      <w:pPr>
        <w:pStyle w:val="Heading4"/>
      </w:pPr>
      <w:r>
        <w:t xml:space="preserve">POST Operations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Description</w:t>
            </w:r>
          </w:p>
        </w:tc>
      </w:tr>
      <w:tr>
        <w:tc>
          <w:tcPr/>
          <w:p>
            <w:pPr>
              <w:pStyle w:val="Compact"/>
              <w:jc w:val="left"/>
            </w:pPr>
            <w:r>
              <w:rPr>
                <w:rStyle w:val="VerbatimChar"/>
              </w:rPr>
              <w:t xml:space="preserve">ingest</w:t>
            </w:r>
          </w:p>
        </w:tc>
        <w:tc>
          <w:tcPr/>
          <w:p>
            <w:pPr>
              <w:pStyle w:val="Compact"/>
              <w:jc w:val="left"/>
            </w:pPr>
            <w:r>
              <w:t xml:space="preserve">Ingest ERP data for processing</w:t>
            </w:r>
          </w:p>
        </w:tc>
      </w:tr>
      <w:tr>
        <w:tc>
          <w:tcPr/>
          <w:p>
            <w:pPr>
              <w:pStyle w:val="Compact"/>
              <w:jc w:val="left"/>
            </w:pPr>
            <w:r>
              <w:rPr>
                <w:rStyle w:val="VerbatimChar"/>
              </w:rPr>
              <w:t xml:space="preserve">audit</w:t>
            </w:r>
          </w:p>
        </w:tc>
        <w:tc>
          <w:tcPr/>
          <w:p>
            <w:pPr>
              <w:pStyle w:val="Compact"/>
              <w:jc w:val="left"/>
            </w:pPr>
            <w:r>
              <w:t xml:space="preserve">Run compliance audit against standards</w:t>
            </w:r>
          </w:p>
        </w:tc>
      </w:tr>
      <w:tr>
        <w:tc>
          <w:tcPr/>
          <w:p>
            <w:pPr>
              <w:pStyle w:val="Compact"/>
              <w:jc w:val="left"/>
            </w:pPr>
            <w:r>
              <w:rPr>
                <w:rStyle w:val="VerbatimChar"/>
              </w:rPr>
              <w:t xml:space="preserve">mint-passport</w:t>
            </w:r>
          </w:p>
        </w:tc>
        <w:tc>
          <w:tcPr/>
          <w:p>
            <w:pPr>
              <w:pStyle w:val="Compact"/>
              <w:jc w:val="left"/>
            </w:pPr>
            <w:r>
              <w:t xml:space="preserve">Generate and attest Material Passport</w:t>
            </w:r>
          </w:p>
        </w:tc>
      </w:tr>
    </w:tbl>
    <w:p>
      <w:r>
        <w:pict>
          <v:rect style="width:0;height:1.5pt" o:hralign="center" o:hrstd="t" o:hr="t"/>
        </w:pict>
      </w:r>
    </w:p>
    <w:bookmarkEnd w:id="52"/>
    <w:bookmarkEnd w:id="53"/>
    <w:bookmarkEnd w:id="54"/>
    <w:bookmarkStart w:id="57" w:name="integration-with-bedrock-esg"/>
    <w:p>
      <w:pPr>
        <w:pStyle w:val="Heading2"/>
      </w:pPr>
      <w:r>
        <w:t xml:space="preserve">8. Integration with Bedrock ESG</w:t>
      </w:r>
    </w:p>
    <w:bookmarkStart w:id="55" w:name="shared-infrastructure"/>
    <w:p>
      <w:pPr>
        <w:pStyle w:val="Heading3"/>
      </w:pPr>
      <w:r>
        <w:t xml:space="preserve">Shared Infrastructure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Shared?</w:t>
            </w:r>
          </w:p>
        </w:tc>
        <w:tc>
          <w:tcPr/>
          <w:p>
            <w:pPr>
              <w:pStyle w:val="Compact"/>
              <w:jc w:val="left"/>
            </w:pPr>
            <w:r>
              <w:t xml:space="preserve">Details</w:t>
            </w:r>
          </w:p>
        </w:tc>
      </w:tr>
      <w:tr>
        <w:tc>
          <w:tcPr/>
          <w:p>
            <w:pPr>
              <w:pStyle w:val="Compact"/>
              <w:jc w:val="left"/>
            </w:pPr>
            <w:r>
              <w:t xml:space="preserve">Database</w:t>
            </w:r>
          </w:p>
        </w:tc>
        <w:tc>
          <w:tcPr/>
          <w:p>
            <w:pPr>
              <w:pStyle w:val="Compact"/>
              <w:jc w:val="left"/>
            </w:pPr>
            <w:r>
              <w:t xml:space="preserve">✅ Yes</w:t>
            </w:r>
          </w:p>
        </w:tc>
        <w:tc>
          <w:tcPr/>
          <w:p>
            <w:pPr>
              <w:pStyle w:val="Compact"/>
              <w:jc w:val="left"/>
            </w:pPr>
            <w:r>
              <w:t xml:space="preserve">Same PostgreSQL instance, same Prisma schema</w:t>
            </w:r>
          </w:p>
        </w:tc>
      </w:tr>
      <w:tr>
        <w:tc>
          <w:tcPr/>
          <w:p>
            <w:pPr>
              <w:pStyle w:val="Compact"/>
              <w:jc w:val="left"/>
            </w:pPr>
            <w:r>
              <w:t xml:space="preserve">Solana Identity</w:t>
            </w:r>
          </w:p>
        </w:tc>
        <w:tc>
          <w:tcPr/>
          <w:p>
            <w:pPr>
              <w:pStyle w:val="Compact"/>
              <w:jc w:val="left"/>
            </w:pPr>
            <w:r>
              <w:t xml:space="preserve">✅ Yes</w:t>
            </w:r>
          </w:p>
        </w:tc>
        <w:tc>
          <w:tcPr/>
          <w:p>
            <w:pPr>
              <w:pStyle w:val="Compact"/>
              <w:jc w:val="left"/>
            </w:pPr>
            <w:r>
              <w:t xml:space="preserve">Same Aethexer Sentinel wallet</w:t>
            </w:r>
          </w:p>
        </w:tc>
      </w:tr>
      <w:tr>
        <w:tc>
          <w:tcPr/>
          <w:p>
            <w:pPr>
              <w:pStyle w:val="Compact"/>
              <w:jc w:val="left"/>
            </w:pPr>
            <w:r>
              <w:t xml:space="preserve">API Routes</w:t>
            </w:r>
          </w:p>
        </w:tc>
        <w:tc>
          <w:tcPr/>
          <w:p>
            <w:pPr>
              <w:pStyle w:val="Compact"/>
              <w:jc w:val="left"/>
            </w:pPr>
            <w:r>
              <w:t xml:space="preserve">✅ Yes</w:t>
            </w:r>
          </w:p>
        </w:tc>
        <w:tc>
          <w:tcPr/>
          <w:p>
            <w:pPr>
              <w:pStyle w:val="Compact"/>
              <w:jc w:val="left"/>
            </w:pPr>
            <w:r>
              <w:t xml:space="preserve">Aethex routes live inside Bedrock ESG codebase</w:t>
            </w:r>
          </w:p>
        </w:tc>
      </w:tr>
      <w:tr>
        <w:tc>
          <w:tcPr/>
          <w:p>
            <w:pPr>
              <w:pStyle w:val="Compact"/>
              <w:jc w:val="left"/>
            </w:pPr>
            <w:r>
              <w:t xml:space="preserve">Auth System</w:t>
            </w:r>
          </w:p>
        </w:tc>
        <w:tc>
          <w:tcPr/>
          <w:p>
            <w:pPr>
              <w:pStyle w:val="Compact"/>
              <w:jc w:val="left"/>
            </w:pPr>
            <w:r>
              <w:t xml:space="preserve">✅ Yes</w:t>
            </w:r>
          </w:p>
        </w:tc>
        <w:tc>
          <w:tcPr/>
          <w:p>
            <w:pPr>
              <w:pStyle w:val="Compact"/>
              <w:jc w:val="left"/>
            </w:pPr>
            <w:r>
              <w:t xml:space="preserve">Same NextAuth.js session/JWT</w:t>
            </w:r>
          </w:p>
        </w:tc>
      </w:tr>
      <w:tr>
        <w:tc>
          <w:tcPr/>
          <w:p>
            <w:pPr>
              <w:pStyle w:val="Compact"/>
              <w:jc w:val="left"/>
            </w:pPr>
            <w:r>
              <w:t xml:space="preserve">LLM API</w:t>
            </w:r>
          </w:p>
        </w:tc>
        <w:tc>
          <w:tcPr/>
          <w:p>
            <w:pPr>
              <w:pStyle w:val="Compact"/>
              <w:jc w:val="left"/>
            </w:pPr>
            <w:r>
              <w:t xml:space="preserve">✅ Yes</w:t>
            </w:r>
          </w:p>
        </w:tc>
        <w:tc>
          <w:tcPr/>
          <w:p>
            <w:pPr>
              <w:pStyle w:val="Compact"/>
              <w:jc w:val="left"/>
            </w:pPr>
            <w:r>
              <w:t xml:space="preserve">Same Abacus AI RouteLLM access</w:t>
            </w:r>
          </w:p>
        </w:tc>
      </w:tr>
      <w:tr>
        <w:tc>
          <w:tcPr/>
          <w:p>
            <w:pPr>
              <w:pStyle w:val="Compact"/>
              <w:jc w:val="left"/>
            </w:pPr>
            <w:r>
              <w:t xml:space="preserve">File Storage</w:t>
            </w:r>
          </w:p>
        </w:tc>
        <w:tc>
          <w:tcPr/>
          <w:p>
            <w:pPr>
              <w:pStyle w:val="Compact"/>
              <w:jc w:val="left"/>
            </w:pPr>
            <w:r>
              <w:t xml:space="preserve">✅ Yes</w:t>
            </w:r>
          </w:p>
        </w:tc>
        <w:tc>
          <w:tcPr/>
          <w:p>
            <w:pPr>
              <w:pStyle w:val="Compact"/>
              <w:jc w:val="left"/>
            </w:pPr>
            <w:r>
              <w:t xml:space="preserve">Same AWS S3 bucket</w:t>
            </w:r>
          </w:p>
        </w:tc>
      </w:tr>
    </w:tbl>
    <w:bookmarkEnd w:id="55"/>
    <w:bookmarkStart w:id="56" w:name="data-flow"/>
    <w:p>
      <w:pPr>
        <w:pStyle w:val="Heading3"/>
      </w:pPr>
      <w:r>
        <w:t xml:space="preserve">Data Flow</w:t>
      </w:r>
    </w:p>
    <w:p>
      <w:pPr>
        <w:pStyle w:val="SourceCode"/>
      </w:pPr>
      <w:r>
        <w:rPr>
          <w:rStyle w:val="VerbatimChar"/>
        </w:rPr>
        <w:t xml:space="preserve">Bedrock ESG Modules → Universal Ledger → Aethex Settlement Engine</w:t>
      </w:r>
      <w:r>
        <w:br/>
      </w:r>
      <w:r>
        <w:rPr>
          <w:rStyle w:val="VerbatimChar"/>
        </w:rPr>
        <w:t xml:space="preserve">                                        ↓</w:t>
      </w:r>
      <w:r>
        <w:br/>
      </w:r>
      <w:r>
        <w:rPr>
          <w:rStyle w:val="VerbatimChar"/>
        </w:rPr>
        <w:t xml:space="preserve">                              EXITZ Token Minting</w:t>
      </w:r>
      <w:r>
        <w:br/>
      </w:r>
      <w:r>
        <w:rPr>
          <w:rStyle w:val="VerbatimChar"/>
        </w:rPr>
        <w:t xml:space="preserve">                                        ↓</w:t>
      </w:r>
      <w:r>
        <w:br/>
      </w:r>
      <w:r>
        <w:rPr>
          <w:rStyle w:val="VerbatimChar"/>
        </w:rPr>
        <w:t xml:space="preserve">                              Solana Attestation</w:t>
      </w:r>
    </w:p>
    <w:p>
      <w:pPr>
        <w:pStyle w:val="FirstParagraph"/>
      </w:pPr>
      <w:r>
        <w:t xml:space="preserve">The Aethex engine consumes environmental data from all Bedrock ESG modules (asphalt calculations, biochar CDR, metal recovery) and translates verified environmental impact into EXITZ token issuance.</w:t>
      </w:r>
    </w:p>
    <w:p>
      <w:r>
        <w:pict>
          <v:rect style="width:0;height:1.5pt" o:hralign="center" o:hrstd="t" o:hr="t"/>
        </w:pict>
      </w:r>
    </w:p>
    <w:bookmarkEnd w:id="56"/>
    <w:bookmarkEnd w:id="57"/>
    <w:bookmarkStart w:id="62" w:name="key-files-reference"/>
    <w:p>
      <w:pPr>
        <w:pStyle w:val="Heading2"/>
      </w:pPr>
      <w:r>
        <w:t xml:space="preserve">9. Key Files Reference</w:t>
      </w:r>
    </w:p>
    <w:bookmarkStart w:id="58" w:name="protocol-core"/>
    <w:p>
      <w:pPr>
        <w:pStyle w:val="Heading3"/>
      </w:pPr>
      <w:r>
        <w:t xml:space="preserve">Protocol Core</w:t>
      </w:r>
    </w:p>
    <w:p>
      <w:pPr>
        <w:pStyle w:val="SourceCode"/>
      </w:pPr>
      <w:r>
        <w:rPr>
          <w:rStyle w:val="VerbatimChar"/>
        </w:rPr>
        <w:t xml:space="preserve">lib/aethex-protocol.ts          # Full Aethex Protocol implementation</w:t>
      </w:r>
      <w:r>
        <w:br/>
      </w:r>
      <w:r>
        <w:rPr>
          <w:rStyle w:val="VerbatimChar"/>
        </w:rPr>
        <w:t xml:space="preserve">                                 # - AethexProtocol class</w:t>
      </w:r>
      <w:r>
        <w:br/>
      </w:r>
      <w:r>
        <w:rPr>
          <w:rStyle w:val="VerbatimChar"/>
        </w:rPr>
        <w:t xml:space="preserve">                                 # - Ballistic/Guardian/Stealth layers</w:t>
      </w:r>
      <w:r>
        <w:br/>
      </w:r>
      <w:r>
        <w:rPr>
          <w:rStyle w:val="VerbatimChar"/>
        </w:rPr>
        <w:t xml:space="preserve">                                 # - Armored Digital Packets</w:t>
      </w:r>
      <w:r>
        <w:br/>
      </w:r>
      <w:r>
        <w:rPr>
          <w:rStyle w:val="VerbatimChar"/>
        </w:rPr>
        <w:t xml:space="preserve">                                 # - Retroactive Harvest system</w:t>
      </w:r>
      <w:r>
        <w:br/>
      </w:r>
      <w:r>
        <w:br/>
      </w:r>
      <w:r>
        <w:rPr>
          <w:rStyle w:val="VerbatimChar"/>
        </w:rPr>
        <w:t xml:space="preserve">lib/aethex-engine.ts            # Trade Settlement &amp; GHG Displacement Engine</w:t>
      </w:r>
      <w:r>
        <w:br/>
      </w:r>
      <w:r>
        <w:rPr>
          <w:rStyle w:val="VerbatimChar"/>
        </w:rPr>
        <w:t xml:space="preserve">                                 # - Displacement calculations</w:t>
      </w:r>
      <w:r>
        <w:br/>
      </w:r>
      <w:r>
        <w:rPr>
          <w:rStyle w:val="VerbatimChar"/>
        </w:rPr>
        <w:t xml:space="preserve">                                 # - Settlement fee processing</w:t>
      </w:r>
      <w:r>
        <w:br/>
      </w:r>
      <w:r>
        <w:rPr>
          <w:rStyle w:val="VerbatimChar"/>
        </w:rPr>
        <w:t xml:space="preserve">                                 # - Batch transfer logic</w:t>
      </w:r>
    </w:p>
    <w:bookmarkEnd w:id="58"/>
    <w:bookmarkStart w:id="59" w:name="api-routes"/>
    <w:p>
      <w:pPr>
        <w:pStyle w:val="Heading3"/>
      </w:pPr>
      <w:r>
        <w:t xml:space="preserve">API Routes</w:t>
      </w:r>
    </w:p>
    <w:p>
      <w:pPr>
        <w:pStyle w:val="SourceCode"/>
      </w:pPr>
      <w:r>
        <w:rPr>
          <w:rStyle w:val="VerbatimChar"/>
        </w:rPr>
        <w:t xml:space="preserve">app/api/aethex-settlement/route.ts       # Main settlement endpoint</w:t>
      </w:r>
      <w:r>
        <w:br/>
      </w:r>
      <w:r>
        <w:rPr>
          <w:rStyle w:val="VerbatimChar"/>
        </w:rPr>
        <w:t xml:space="preserve">app/api/aethex/digital-packet/route.ts   # Armored Digital Packet CRUD</w:t>
      </w:r>
      <w:r>
        <w:br/>
      </w:r>
      <w:r>
        <w:rPr>
          <w:rStyle w:val="VerbatimChar"/>
        </w:rPr>
        <w:t xml:space="preserve">app/api/aethex/retroactive-harvest/route.ts  # ERP ingestion &amp; Material Passports</w:t>
      </w:r>
    </w:p>
    <w:bookmarkEnd w:id="59"/>
    <w:bookmarkStart w:id="60" w:name="token-scripts"/>
    <w:p>
      <w:pPr>
        <w:pStyle w:val="Heading3"/>
      </w:pPr>
      <w:r>
        <w:t xml:space="preserve">Token Scripts</w:t>
      </w:r>
    </w:p>
    <w:p>
      <w:pPr>
        <w:pStyle w:val="SourceCode"/>
      </w:pPr>
      <w:r>
        <w:rPr>
          <w:rStyle w:val="VerbatimChar"/>
        </w:rPr>
        <w:t xml:space="preserve">scripts/mint-exitz.ts           # EXITZ token creation (Token-2022)</w:t>
      </w:r>
      <w:r>
        <w:br/>
      </w:r>
      <w:r>
        <w:rPr>
          <w:rStyle w:val="VerbatimChar"/>
        </w:rPr>
        <w:t xml:space="preserve">scripts/genesis-emission.ts     # Genesis 1.0 EXITZ mint</w:t>
      </w:r>
    </w:p>
    <w:bookmarkEnd w:id="60"/>
    <w:bookmarkStart w:id="61" w:name="ui-components"/>
    <w:p>
      <w:pPr>
        <w:pStyle w:val="Heading3"/>
      </w:pPr>
      <w:r>
        <w:t xml:space="preserve">UI Components</w:t>
      </w:r>
    </w:p>
    <w:p>
      <w:pPr>
        <w:pStyle w:val="SourceCode"/>
      </w:pPr>
      <w:r>
        <w:rPr>
          <w:rStyle w:val="VerbatimChar"/>
        </w:rPr>
        <w:t xml:space="preserve">components/aethex-protocol-widget.tsx   # Protocol status widget</w:t>
      </w:r>
      <w:r>
        <w:br/>
      </w:r>
      <w:r>
        <w:rPr>
          <w:rStyle w:val="VerbatimChar"/>
        </w:rPr>
        <w:t xml:space="preserve">components/solana-provider.tsx          # Wallet adapter (shared with Bedrock)</w:t>
      </w:r>
    </w:p>
    <w:p>
      <w:r>
        <w:pict>
          <v:rect style="width:0;height:1.5pt" o:hralign="center" o:hrstd="t" o:hr="t"/>
        </w:pict>
      </w:r>
    </w:p>
    <w:bookmarkEnd w:id="61"/>
    <w:bookmarkEnd w:id="62"/>
    <w:bookmarkStart w:id="66" w:name="aethexer.com-front-landing-page"/>
    <w:p>
      <w:pPr>
        <w:pStyle w:val="Heading2"/>
      </w:pPr>
      <w:r>
        <w:t xml:space="preserve">10. aethexer.com — Front Landing Page</w:t>
      </w:r>
    </w:p>
    <w:bookmarkStart w:id="63" w:name="important-context"/>
    <w:p>
      <w:pPr>
        <w:pStyle w:val="Heading3"/>
      </w:pPr>
      <w:r>
        <w:t xml:space="preserve">Important Context</w:t>
      </w:r>
    </w:p>
    <w:p>
      <w:pPr>
        <w:numPr>
          <w:ilvl w:val="0"/>
          <w:numId w:val="1009"/>
        </w:numPr>
        <w:pStyle w:val="Compact"/>
      </w:pPr>
      <w:r>
        <w:rPr>
          <w:bCs/>
          <w:b/>
        </w:rPr>
        <w:t xml:space="preserve">Built by:</w:t>
      </w:r>
      <w:r>
        <w:t xml:space="preserve"> </w:t>
      </w:r>
      <w:r>
        <w:t xml:space="preserve">Claude AI in a</w:t>
      </w:r>
      <w:r>
        <w:t xml:space="preserve"> </w:t>
      </w:r>
      <w:r>
        <w:rPr>
          <w:bCs/>
          <w:b/>
        </w:rPr>
        <w:t xml:space="preserve">separate conversation/project</w:t>
      </w:r>
    </w:p>
    <w:p>
      <w:pPr>
        <w:numPr>
          <w:ilvl w:val="0"/>
          <w:numId w:val="1009"/>
        </w:numPr>
        <w:pStyle w:val="Compact"/>
      </w:pPr>
      <w:r>
        <w:rPr>
          <w:bCs/>
          <w:b/>
        </w:rPr>
        <w:t xml:space="preserve">NOT in this codebase</w:t>
      </w:r>
      <w:r>
        <w:t xml:space="preserve"> </w:t>
      </w:r>
      <w:r>
        <w:t xml:space="preserve">— the landing page source code lives in a different Abacus AI Agent conversation</w:t>
      </w:r>
    </w:p>
    <w:p>
      <w:pPr>
        <w:numPr>
          <w:ilvl w:val="0"/>
          <w:numId w:val="1009"/>
        </w:numPr>
        <w:pStyle w:val="Compact"/>
      </w:pPr>
      <w:r>
        <w:rPr>
          <w:bCs/>
          <w:b/>
        </w:rPr>
        <w:t xml:space="preserve">Purpose:</w:t>
      </w:r>
      <w:r>
        <w:t xml:space="preserve"> </w:t>
      </w:r>
      <w:r>
        <w:t xml:space="preserve">Public-facing marketing/information site for the Aethex Protocol</w:t>
      </w:r>
    </w:p>
    <w:p>
      <w:pPr>
        <w:numPr>
          <w:ilvl w:val="0"/>
          <w:numId w:val="1009"/>
        </w:numPr>
        <w:pStyle w:val="Compact"/>
      </w:pPr>
      <w:r>
        <w:rPr>
          <w:bCs/>
          <w:b/>
        </w:rPr>
        <w:t xml:space="preserve">Relationship:</w:t>
      </w:r>
      <w:r>
        <w:t xml:space="preserve"> </w:t>
      </w:r>
      <w:r>
        <w:t xml:space="preserve">Points to and references the protocol engine running on bedrockesg.com</w:t>
      </w:r>
    </w:p>
    <w:bookmarkEnd w:id="63"/>
    <w:bookmarkStart w:id="64" w:name="when-working-on-aethexer.com"/>
    <w:p>
      <w:pPr>
        <w:pStyle w:val="Heading3"/>
      </w:pPr>
      <w:r>
        <w:t xml:space="preserve">When Working on aethexer.com</w:t>
      </w:r>
    </w:p>
    <w:p>
      <w:pPr>
        <w:pStyle w:val="FirstParagraph"/>
      </w:pPr>
      <w:r>
        <w:t xml:space="preserve">If you’re in a Claude session for the aethexer.com landing page:</w:t>
      </w:r>
      <w:r>
        <w:t xml:space="preserve"> </w:t>
      </w:r>
      <w:r>
        <w:t xml:space="preserve">- The protocol logic is NOT in your codebase — it lives in Bedrock ESG</w:t>
      </w:r>
      <w:r>
        <w:t xml:space="preserve"> </w:t>
      </w:r>
      <w:r>
        <w:t xml:space="preserve">- API calls should target</w:t>
      </w:r>
      <w:r>
        <w:t xml:space="preserve"> </w:t>
      </w:r>
      <w:r>
        <w:rPr>
          <w:rStyle w:val="VerbatimChar"/>
        </w:rPr>
        <w:t xml:space="preserve">bedrockesg.com/api/aethex-*</w:t>
      </w:r>
      <w:r>
        <w:t xml:space="preserve"> </w:t>
      </w:r>
      <w:r>
        <w:t xml:space="preserve">endpoints</w:t>
      </w:r>
      <w:r>
        <w:t xml:space="preserve"> </w:t>
      </w:r>
      <w:r>
        <w:t xml:space="preserve">- The landing page is presentational; the engine runs on Bedrock ESG</w:t>
      </w:r>
      <w:r>
        <w:t xml:space="preserve"> </w:t>
      </w:r>
      <w:r>
        <w:t xml:space="preserve">- Use the Bedrock ESG Project Bible for understanding the backend</w:t>
      </w:r>
    </w:p>
    <w:bookmarkEnd w:id="64"/>
    <w:bookmarkStart w:id="65" w:name="when-working-on-bedrock-esg"/>
    <w:p>
      <w:pPr>
        <w:pStyle w:val="Heading3"/>
      </w:pPr>
      <w:r>
        <w:t xml:space="preserve">When Working on Bedrock ESG</w:t>
      </w:r>
    </w:p>
    <w:p>
      <w:pPr>
        <w:pStyle w:val="FirstParagraph"/>
      </w:pPr>
      <w:r>
        <w:t xml:space="preserve">If you’re modifying Aethex Protocol routes in Bedrock ESG:</w:t>
      </w:r>
      <w:r>
        <w:t xml:space="preserve"> </w:t>
      </w:r>
      <w:r>
        <w:t xml:space="preserve">- Changes to</w:t>
      </w:r>
      <w:r>
        <w:t xml:space="preserve"> </w:t>
      </w:r>
      <w:r>
        <w:rPr>
          <w:rStyle w:val="VerbatimChar"/>
        </w:rPr>
        <w:t xml:space="preserve">/api/aethex-*</w:t>
      </w:r>
      <w:r>
        <w:t xml:space="preserve"> </w:t>
      </w:r>
      <w:r>
        <w:t xml:space="preserve">routes affect both bedrockesg.com and aethexer.com</w:t>
      </w:r>
      <w:r>
        <w:t xml:space="preserve"> </w:t>
      </w:r>
      <w:r>
        <w:t xml:space="preserve">- The aethexer.com landing page may reference these endpoints</w:t>
      </w:r>
      <w:r>
        <w:t xml:space="preserve"> </w:t>
      </w:r>
      <w:r>
        <w:t xml:space="preserve">- Ensure backward compatibility when modifying API contracts</w:t>
      </w:r>
    </w:p>
    <w:p>
      <w:r>
        <w:pict>
          <v:rect style="width:0;height:1.5pt" o:hralign="center" o:hrstd="t" o:hr="t"/>
        </w:pict>
      </w:r>
    </w:p>
    <w:bookmarkEnd w:id="65"/>
    <w:bookmarkEnd w:id="66"/>
    <w:bookmarkStart w:id="71" w:name="key-constants-formulas"/>
    <w:p>
      <w:pPr>
        <w:pStyle w:val="Heading2"/>
      </w:pPr>
      <w:r>
        <w:t xml:space="preserve">11. Key Constants &amp; Formulas</w:t>
      </w:r>
    </w:p>
    <w:bookmarkStart w:id="67" w:name="displacement-factor"/>
    <w:p>
      <w:pPr>
        <w:pStyle w:val="Heading3"/>
      </w:pPr>
      <w:r>
        <w:t xml:space="preserve">Displacement Factor</w:t>
      </w:r>
    </w:p>
    <w:p>
      <w:pPr>
        <w:pStyle w:val="SourceCode"/>
      </w:pPr>
      <w:r>
        <w:rPr>
          <w:rStyle w:val="VerbatimChar"/>
        </w:rPr>
        <w:t xml:space="preserve">2.7 kg CO2e per mile = physical armored transport displacement factor</w:t>
      </w:r>
      <w:r>
        <w:br/>
      </w:r>
      <w:r>
        <w:rPr>
          <w:rStyle w:val="VerbatimChar"/>
        </w:rPr>
        <w:t xml:space="preserve">Source: Calculated from average armored vehicle fuel consumption + security escort overhead</w:t>
      </w:r>
    </w:p>
    <w:bookmarkEnd w:id="67"/>
    <w:bookmarkStart w:id="68" w:name="settlement-fee"/>
    <w:p>
      <w:pPr>
        <w:pStyle w:val="Heading3"/>
      </w:pPr>
      <w:r>
        <w:t xml:space="preserve">Settlement Fee</w:t>
      </w:r>
    </w:p>
    <w:p>
      <w:pPr>
        <w:pStyle w:val="SourceCode"/>
      </w:pPr>
      <w:r>
        <w:rPr>
          <w:rStyle w:val="VerbatimChar"/>
        </w:rPr>
        <w:t xml:space="preserve">0.5% of transaction value</w:t>
      </w:r>
      <w:r>
        <w:br/>
      </w:r>
      <w:r>
        <w:rPr>
          <w:rStyle w:val="VerbatimChar"/>
        </w:rPr>
        <w:t xml:space="preserve">Minimum packet value: $100 USD</w:t>
      </w:r>
      <w:r>
        <w:br/>
      </w:r>
      <w:r>
        <w:rPr>
          <w:rStyle w:val="VerbatimChar"/>
        </w:rPr>
        <w:t xml:space="preserve">Maximum batch size: 1,000 packets</w:t>
      </w:r>
    </w:p>
    <w:bookmarkEnd w:id="68"/>
    <w:bookmarkStart w:id="69" w:name="security-parameters"/>
    <w:p>
      <w:pPr>
        <w:pStyle w:val="Heading3"/>
      </w:pPr>
      <w:r>
        <w:t xml:space="preserve">Security Parameters</w:t>
      </w:r>
    </w:p>
    <w:p>
      <w:pPr>
        <w:pStyle w:val="SourceCode"/>
      </w:pPr>
      <w:r>
        <w:rPr>
          <w:rStyle w:val="VerbatimChar"/>
        </w:rPr>
        <w:t xml:space="preserve">AES-GCM Key Size: 256 bits</w:t>
      </w:r>
      <w:r>
        <w:br/>
      </w:r>
      <w:r>
        <w:rPr>
          <w:rStyle w:val="VerbatimChar"/>
        </w:rPr>
        <w:t xml:space="preserve">IV Length: 12 bytes</w:t>
      </w:r>
      <w:r>
        <w:br/>
      </w:r>
      <w:r>
        <w:rPr>
          <w:rStyle w:val="VerbatimChar"/>
        </w:rPr>
        <w:t xml:space="preserve">Auth Tag Length: 16 bytes</w:t>
      </w:r>
      <w:r>
        <w:br/>
      </w:r>
      <w:r>
        <w:rPr>
          <w:rStyle w:val="VerbatimChar"/>
        </w:rPr>
        <w:t xml:space="preserve">Multi-Sig Required: 2 of 2</w:t>
      </w:r>
      <w:r>
        <w:br/>
      </w:r>
      <w:r>
        <w:rPr>
          <w:rStyle w:val="VerbatimChar"/>
        </w:rPr>
        <w:t xml:space="preserve">ZKP Hash: SHA-256 based proof</w:t>
      </w:r>
    </w:p>
    <w:bookmarkEnd w:id="69"/>
    <w:bookmarkStart w:id="70" w:name="token-economics"/>
    <w:p>
      <w:pPr>
        <w:pStyle w:val="Heading3"/>
      </w:pPr>
      <w:r>
        <w:t xml:space="preserve">Token Economics</w:t>
      </w:r>
    </w:p>
    <w:p>
      <w:pPr>
        <w:pStyle w:val="SourceCode"/>
      </w:pPr>
      <w:r>
        <w:rPr>
          <w:rStyle w:val="VerbatimChar"/>
        </w:rPr>
        <w:t xml:space="preserve">EXITZ Supply: Elastic (minted per verified displacement)</w:t>
      </w:r>
      <w:r>
        <w:br/>
      </w:r>
      <w:r>
        <w:rPr>
          <w:rStyle w:val="VerbatimChar"/>
        </w:rPr>
        <w:t xml:space="preserve">Decimals: 0 (whole units)</w:t>
      </w:r>
      <w:r>
        <w:br/>
      </w:r>
      <w:r>
        <w:rPr>
          <w:rStyle w:val="VerbatimChar"/>
        </w:rPr>
        <w:t xml:space="preserve">Mint Authority: Aethexer Sentinel only</w:t>
      </w:r>
      <w:r>
        <w:br/>
      </w:r>
      <w:r>
        <w:rPr>
          <w:rStyle w:val="VerbatimChar"/>
        </w:rPr>
        <w:t xml:space="preserve">Burn Mechanism: Retirement via Universal Ledger</w:t>
      </w:r>
    </w:p>
    <w:p>
      <w:r>
        <w:pict>
          <v:rect style="width:0;height:1.5pt" o:hralign="center" o:hrstd="t" o:hr="t"/>
        </w:pict>
      </w:r>
    </w:p>
    <w:bookmarkEnd w:id="70"/>
    <w:bookmarkEnd w:id="71"/>
    <w:bookmarkStart w:id="72" w:name="terminology-glossary"/>
    <w:p>
      <w:pPr>
        <w:pStyle w:val="Heading2"/>
      </w:pPr>
      <w:r>
        <w:t xml:space="preserve">12. Terminology Glossary</w:t>
      </w:r>
    </w:p>
    <w:tbl>
      <w:tblPr>
        <w:tblStyle w:val="Table"/>
        <w:tblW w:type="pct" w:w="5000"/>
        <w:tblLook w:firstRow="1" w:lastRow="0" w:firstColumn="0" w:lastColumn="0" w:noHBand="0" w:noVBand="0" w:val="0020"/>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Aethexer</w:t>
            </w:r>
          </w:p>
        </w:tc>
        <w:tc>
          <w:tcPr/>
          <w:p>
            <w:pPr>
              <w:pStyle w:val="Compact"/>
              <w:jc w:val="left"/>
            </w:pPr>
            <w:r>
              <w:t xml:space="preserve">The protocol system name —</w:t>
            </w:r>
            <w:r>
              <w:t xml:space="preserve"> </w:t>
            </w:r>
            <w:r>
              <w:t xml:space="preserve">“</w:t>
            </w:r>
            <w:r>
              <w:t xml:space="preserve">Universal Truth Layer</w:t>
            </w:r>
            <w:r>
              <w:t xml:space="preserve">”</w:t>
            </w:r>
          </w:p>
        </w:tc>
      </w:tr>
      <w:tr>
        <w:tc>
          <w:tcPr/>
          <w:p>
            <w:pPr>
              <w:pStyle w:val="Compact"/>
              <w:jc w:val="left"/>
            </w:pPr>
            <w:r>
              <w:rPr>
                <w:bCs/>
                <w:b/>
              </w:rPr>
              <w:t xml:space="preserve">EXITZ</w:t>
            </w:r>
          </w:p>
        </w:tc>
        <w:tc>
          <w:tcPr/>
          <w:p>
            <w:pPr>
              <w:pStyle w:val="Compact"/>
              <w:jc w:val="left"/>
            </w:pPr>
            <w:r>
              <w:t xml:space="preserve">Native carbon displacement token (Solana Token-2022)</w:t>
            </w:r>
          </w:p>
        </w:tc>
      </w:tr>
      <w:tr>
        <w:tc>
          <w:tcPr/>
          <w:p>
            <w:pPr>
              <w:pStyle w:val="Compact"/>
              <w:jc w:val="left"/>
            </w:pPr>
            <w:r>
              <w:rPr>
                <w:bCs/>
                <w:b/>
              </w:rPr>
              <w:t xml:space="preserve">Aethexer Sentinel (Node-01)</w:t>
            </w:r>
          </w:p>
        </w:tc>
        <w:tc>
          <w:tcPr/>
          <w:p>
            <w:pPr>
              <w:pStyle w:val="Compact"/>
              <w:jc w:val="left"/>
            </w:pPr>
            <w:r>
              <w:t xml:space="preserve">The institutional Solana wallet identity used for all platform operations (formerly Kato Service Identity)</w:t>
            </w:r>
          </w:p>
        </w:tc>
      </w:tr>
      <w:tr>
        <w:tc>
          <w:tcPr/>
          <w:p>
            <w:pPr>
              <w:pStyle w:val="Compact"/>
              <w:jc w:val="left"/>
            </w:pPr>
            <w:r>
              <w:rPr>
                <w:bCs/>
                <w:b/>
              </w:rPr>
              <w:t xml:space="preserve">Armored Digital Packet</w:t>
            </w:r>
          </w:p>
        </w:tc>
        <w:tc>
          <w:tcPr/>
          <w:p>
            <w:pPr>
              <w:pStyle w:val="Compact"/>
              <w:jc w:val="left"/>
            </w:pPr>
            <w:r>
              <w:t xml:space="preserve">Cryptographically secured data container replacing physical transport</w:t>
            </w:r>
          </w:p>
        </w:tc>
      </w:tr>
      <w:tr>
        <w:tc>
          <w:tcPr/>
          <w:p>
            <w:pPr>
              <w:pStyle w:val="Compact"/>
              <w:jc w:val="left"/>
            </w:pPr>
            <w:r>
              <w:rPr>
                <w:bCs/>
                <w:b/>
              </w:rPr>
              <w:t xml:space="preserve">Ballistic Layer</w:t>
            </w:r>
          </w:p>
        </w:tc>
        <w:tc>
          <w:tcPr/>
          <w:p>
            <w:pPr>
              <w:pStyle w:val="Compact"/>
              <w:jc w:val="left"/>
            </w:pPr>
            <w:r>
              <w:t xml:space="preserve">AES-GCM-256 encryption tier</w:t>
            </w:r>
          </w:p>
        </w:tc>
      </w:tr>
      <w:tr>
        <w:tc>
          <w:tcPr/>
          <w:p>
            <w:pPr>
              <w:pStyle w:val="Compact"/>
              <w:jc w:val="left"/>
            </w:pPr>
            <w:r>
              <w:rPr>
                <w:bCs/>
                <w:b/>
              </w:rPr>
              <w:t xml:space="preserve">Guardian Layer</w:t>
            </w:r>
          </w:p>
        </w:tc>
        <w:tc>
          <w:tcPr/>
          <w:p>
            <w:pPr>
              <w:pStyle w:val="Compact"/>
              <w:jc w:val="left"/>
            </w:pPr>
            <w:r>
              <w:t xml:space="preserve">2-of-2 multi-signature verification tier</w:t>
            </w:r>
          </w:p>
        </w:tc>
      </w:tr>
      <w:tr>
        <w:tc>
          <w:tcPr/>
          <w:p>
            <w:pPr>
              <w:pStyle w:val="Compact"/>
              <w:jc w:val="left"/>
            </w:pPr>
            <w:r>
              <w:rPr>
                <w:bCs/>
                <w:b/>
              </w:rPr>
              <w:t xml:space="preserve">Stealth Layer</w:t>
            </w:r>
          </w:p>
        </w:tc>
        <w:tc>
          <w:tcPr/>
          <w:p>
            <w:pPr>
              <w:pStyle w:val="Compact"/>
              <w:jc w:val="left"/>
            </w:pPr>
            <w:r>
              <w:t xml:space="preserve">Zero-Knowledge Proof verification tier</w:t>
            </w:r>
          </w:p>
        </w:tc>
      </w:tr>
      <w:tr>
        <w:tc>
          <w:tcPr/>
          <w:p>
            <w:pPr>
              <w:pStyle w:val="Compact"/>
              <w:jc w:val="left"/>
            </w:pPr>
            <w:r>
              <w:rPr>
                <w:bCs/>
                <w:b/>
              </w:rPr>
              <w:t xml:space="preserve">Retroactive Harvest</w:t>
            </w:r>
          </w:p>
        </w:tc>
        <w:tc>
          <w:tcPr/>
          <w:p>
            <w:pPr>
              <w:pStyle w:val="Compact"/>
              <w:jc w:val="left"/>
            </w:pPr>
            <w:r>
              <w:t xml:space="preserve">System for processing historical ERP data into environmental credits</w:t>
            </w:r>
          </w:p>
        </w:tc>
      </w:tr>
      <w:tr>
        <w:tc>
          <w:tcPr/>
          <w:p>
            <w:pPr>
              <w:pStyle w:val="Compact"/>
              <w:jc w:val="left"/>
            </w:pPr>
            <w:r>
              <w:rPr>
                <w:bCs/>
                <w:b/>
              </w:rPr>
              <w:t xml:space="preserve">Material Passport</w:t>
            </w:r>
          </w:p>
        </w:tc>
        <w:tc>
          <w:tcPr/>
          <w:p>
            <w:pPr>
              <w:pStyle w:val="Compact"/>
              <w:jc w:val="left"/>
            </w:pPr>
            <w:r>
              <w:t xml:space="preserve">Digital document tracking material chain-of-custody and environmental impact</w:t>
            </w:r>
          </w:p>
        </w:tc>
      </w:tr>
      <w:tr>
        <w:tc>
          <w:tcPr/>
          <w:p>
            <w:pPr>
              <w:pStyle w:val="Compact"/>
              <w:jc w:val="left"/>
            </w:pPr>
            <w:r>
              <w:rPr>
                <w:bCs/>
                <w:b/>
              </w:rPr>
              <w:t xml:space="preserve">Backtrace</w:t>
            </w:r>
          </w:p>
        </w:tc>
        <w:tc>
          <w:tcPr/>
          <w:p>
            <w:pPr>
              <w:pStyle w:val="Compact"/>
              <w:jc w:val="left"/>
            </w:pPr>
            <w:r>
              <w:t xml:space="preserve">Audit trail identifier (</w:t>
            </w:r>
            <w:r>
              <w:rPr>
                <w:rStyle w:val="VerbatimChar"/>
              </w:rPr>
              <w:t xml:space="preserve">BT-C9C4C5</w:t>
            </w:r>
            <w:r>
              <w:t xml:space="preserve">) linking all operations</w:t>
            </w:r>
          </w:p>
        </w:tc>
      </w:tr>
      <w:tr>
        <w:tc>
          <w:tcPr/>
          <w:p>
            <w:pPr>
              <w:pStyle w:val="Compact"/>
              <w:jc w:val="left"/>
            </w:pPr>
            <w:r>
              <w:rPr>
                <w:bCs/>
                <w:b/>
              </w:rPr>
              <w:t xml:space="preserve">ZerO</w:t>
            </w:r>
          </w:p>
        </w:tc>
        <w:tc>
          <w:tcPr/>
          <w:p>
            <w:pPr>
              <w:pStyle w:val="Compact"/>
              <w:jc w:val="left"/>
            </w:pPr>
            <w:r>
              <w:t xml:space="preserve">The entity/organization behind both Bedrock ESG and Aethexer</w:t>
            </w:r>
          </w:p>
        </w:tc>
      </w:tr>
      <w:tr>
        <w:tc>
          <w:tcPr/>
          <w:p>
            <w:pPr>
              <w:pStyle w:val="Compact"/>
              <w:jc w:val="left"/>
            </w:pPr>
            <w:r>
              <w:rPr>
                <w:bCs/>
                <w:b/>
              </w:rPr>
              <w:t xml:space="preserve">Sovereign Notary</w:t>
            </w:r>
          </w:p>
        </w:tc>
        <w:tc>
          <w:tcPr/>
          <w:p>
            <w:pPr>
              <w:pStyle w:val="Compact"/>
              <w:jc w:val="left"/>
            </w:pPr>
            <w:r>
              <w:t xml:space="preserve">Solana Memo-based attestation system</w:t>
            </w:r>
          </w:p>
        </w:tc>
      </w:tr>
      <w:tr>
        <w:tc>
          <w:tcPr/>
          <w:p>
            <w:pPr>
              <w:pStyle w:val="Compact"/>
              <w:jc w:val="left"/>
            </w:pPr>
            <w:r>
              <w:rPr>
                <w:bCs/>
                <w:b/>
              </w:rPr>
              <w:t xml:space="preserve">HUM Listener</w:t>
            </w:r>
          </w:p>
        </w:tc>
        <w:tc>
          <w:tcPr/>
          <w:p>
            <w:pPr>
              <w:pStyle w:val="Compact"/>
              <w:jc w:val="left"/>
            </w:pPr>
            <w:r>
              <w:t xml:space="preserve">Energy grid baseline monitoring service</w:t>
            </w:r>
          </w:p>
        </w:tc>
      </w:tr>
      <w:tr>
        <w:tc>
          <w:tcPr/>
          <w:p>
            <w:pPr>
              <w:pStyle w:val="Compact"/>
              <w:jc w:val="left"/>
            </w:pPr>
            <w:r>
              <w:rPr>
                <w:bCs/>
                <w:b/>
              </w:rPr>
              <w:t xml:space="preserve">Universal Ledger</w:t>
            </w:r>
          </w:p>
        </w:tc>
        <w:tc>
          <w:tcPr/>
          <w:p>
            <w:pPr>
              <w:pStyle w:val="Compact"/>
              <w:jc w:val="left"/>
            </w:pPr>
            <w:r>
              <w:t xml:space="preserve">Master environmental accounting ledger in Bedrock ESG</w:t>
            </w:r>
          </w:p>
        </w:tc>
      </w:tr>
      <w:tr>
        <w:tc>
          <w:tcPr/>
          <w:p>
            <w:pPr>
              <w:pStyle w:val="Compact"/>
              <w:jc w:val="left"/>
            </w:pPr>
            <w:r>
              <w:rPr>
                <w:bCs/>
                <w:b/>
              </w:rPr>
              <w:t xml:space="preserve">Displacement Factor</w:t>
            </w:r>
          </w:p>
        </w:tc>
        <w:tc>
          <w:tcPr/>
          <w:p>
            <w:pPr>
              <w:pStyle w:val="Compact"/>
              <w:jc w:val="left"/>
            </w:pPr>
            <w:r>
              <w:t xml:space="preserve">2.7 kg CO2e/mile — carbon savings from digital vs. physical transport</w:t>
            </w:r>
          </w:p>
        </w:tc>
      </w:tr>
    </w:tbl>
    <w:p>
      <w:r>
        <w:pict>
          <v:rect style="width:0;height:1.5pt" o:hralign="center" o:hrstd="t" o:hr="t"/>
        </w:pict>
      </w:r>
    </w:p>
    <w:bookmarkEnd w:id="72"/>
    <w:bookmarkStart w:id="73" w:name="cross-reference-guide"/>
    <w:p>
      <w:pPr>
        <w:pStyle w:val="Heading2"/>
      </w:pPr>
      <w:r>
        <w:t xml:space="preserve">13. Cross-Reference Guide</w:t>
      </w:r>
    </w:p>
    <w:p>
      <w:pPr>
        <w:pStyle w:val="FirstParagraph"/>
      </w:pPr>
      <w:r>
        <w:t xml:space="preserve">When working across both projects, here’s how they connect:</w:t>
      </w:r>
    </w:p>
    <w:p>
      <w:pPr>
        <w:pStyle w:val="SourceCode"/>
      </w:pPr>
      <w:r>
        <w:rPr>
          <w:rStyle w:val="VerbatimChar"/>
        </w:rPr>
        <w:t xml:space="preserve">aethexer.com (Landing Page)          bedrockesg.com (Engine)</w:t>
      </w:r>
      <w:r>
        <w:br/>
      </w:r>
      <w:r>
        <w:rPr>
          <w:rStyle w:val="VerbatimChar"/>
        </w:rPr>
        <w:t xml:space="preserve">─────────────────────────           ─────────────────────────</w:t>
      </w:r>
      <w:r>
        <w:br/>
      </w:r>
      <w:r>
        <w:rPr>
          <w:rStyle w:val="VerbatimChar"/>
        </w:rPr>
        <w:t xml:space="preserve">Marketing / Public Info    ←→       Protocol Implementation</w:t>
      </w:r>
      <w:r>
        <w:br/>
      </w:r>
      <w:r>
        <w:rPr>
          <w:rStyle w:val="VerbatimChar"/>
        </w:rPr>
        <w:t xml:space="preserve">UI/UX / Brand Identity     →       API Endpoints (/api/aethex-*)</w:t>
      </w:r>
      <w:r>
        <w:br/>
      </w:r>
      <w:r>
        <w:rPr>
          <w:rStyle w:val="VerbatimChar"/>
        </w:rPr>
        <w:t xml:space="preserve">                           ←       Data / Statistics</w:t>
      </w:r>
      <w:r>
        <w:br/>
      </w:r>
      <w:r>
        <w:rPr>
          <w:rStyle w:val="VerbatimChar"/>
        </w:rPr>
        <w:t xml:space="preserve">                           ←       Solana Attestation Proofs</w:t>
      </w:r>
      <w:r>
        <w:br/>
      </w:r>
      <w:r>
        <w:rPr>
          <w:rStyle w:val="VerbatimChar"/>
        </w:rPr>
        <w:t xml:space="preserve">                           ←       EXITZ Token State</w:t>
      </w:r>
    </w:p>
    <w:p>
      <w:pPr>
        <w:pStyle w:val="FirstParagraph"/>
      </w:pPr>
      <w:r>
        <w:rPr>
          <w:bCs/>
          <w:b/>
        </w:rPr>
        <w:t xml:space="preserve">Shared Identity:</w:t>
      </w:r>
      <w:r>
        <w:t xml:space="preserve"> </w:t>
      </w:r>
      <w:r>
        <w:t xml:space="preserve">- Same Solana wallet (Aethexer Sentinel)</w:t>
      </w:r>
      <w:r>
        <w:t xml:space="preserve"> </w:t>
      </w:r>
      <w:r>
        <w:t xml:space="preserve">- Same backtrace ID (BT-C9C4C5)</w:t>
      </w:r>
      <w:r>
        <w:t xml:space="preserve"> </w:t>
      </w:r>
      <w:r>
        <w:t xml:space="preserve">- Same EXITZ token mint address</w:t>
      </w:r>
      <w:r>
        <w:t xml:space="preserve"> </w:t>
      </w:r>
      <w:r>
        <w:t xml:space="preserve">- Same ZerO organizational branding</w:t>
      </w:r>
    </w:p>
    <w:p>
      <w:r>
        <w:pict>
          <v:rect style="width:0;height:1.5pt" o:hralign="center" o:hrstd="t" o:hr="t"/>
        </w:pict>
      </w:r>
    </w:p>
    <w:p>
      <w:pPr>
        <w:pStyle w:val="FirstParagraph"/>
      </w:pPr>
      <w:r>
        <w:rPr>
          <w:iCs/>
          <w:i/>
        </w:rPr>
        <w:t xml:space="preserve">Generated 2026-04-29 for Claude AI session context. This document is maintained by ZerO.</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2026-05-03T17:22:40Z</dcterms:created>
  <dcterms:modified xsi:type="dcterms:W3CDTF">2026-05-03T17:22:40Z</dcterms:modified>
</cp:coreProperties>
</file>

<file path=docProps/custom.xml><?xml version="1.0" encoding="utf-8"?>
<Properties xmlns="http://schemas.openxmlformats.org/officeDocument/2006/custom-properties" xmlns:vt="http://schemas.openxmlformats.org/officeDocument/2006/docPropsVTypes"/>
</file>