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bedrock-esg-project-bible"/>
    <w:p>
      <w:pPr>
        <w:pStyle w:val="Heading1"/>
      </w:pPr>
      <w:r>
        <w:t xml:space="preserve">BEDROCK ESG — Project Bible</w:t>
      </w:r>
    </w:p>
    <w:bookmarkStart w:id="20" w:name="X118c21413e74a9af35b73c6c3290f7ba1987c5e"/>
    <w:p>
      <w:pPr>
        <w:pStyle w:val="Heading2"/>
      </w:pPr>
      <w:r>
        <w:t xml:space="preserve">Sovereign Environmental Verification Platform</w:t>
      </w:r>
    </w:p>
    <w:p>
      <w:pPr>
        <w:pStyle w:val="FirstParagraph"/>
      </w:pPr>
      <w:r>
        <w:rPr>
          <w:bCs/>
          <w:b/>
        </w:rPr>
        <w:t xml:space="preserve">Version:</w:t>
      </w:r>
      <w:r>
        <w:t xml:space="preserve"> </w:t>
      </w:r>
      <w:r>
        <w:t xml:space="preserve">2026.04.29 —</w:t>
      </w:r>
      <w:r>
        <w:t xml:space="preserve"> </w:t>
      </w:r>
      <w:r>
        <w:rPr>
          <w:bCs/>
          <w:b/>
        </w:rPr>
        <w:t xml:space="preserve">Deployed:</w:t>
      </w:r>
      <w:r>
        <w:t xml:space="preserve"> </w:t>
      </w:r>
      <w:r>
        <w:t xml:space="preserve">bedrockesg.com</w:t>
      </w:r>
    </w:p>
    <w:p>
      <w:r>
        <w:pict>
          <v:rect style="width:0;height:1.5pt" o:hralign="center" o:hrstd="t" o:hr="t"/>
        </w:pict>
      </w:r>
    </w:p>
    <w:p>
      <w:pPr>
        <w:pStyle w:val="BlockText"/>
      </w:pPr>
      <w:r>
        <w:rPr>
          <w:bCs/>
          <w:b/>
        </w:rPr>
        <w:t xml:space="preserve">Purpose of This Document:</w:t>
      </w:r>
      <w:r>
        <w:t xml:space="preserve"> </w:t>
      </w:r>
      <w:r>
        <w:t xml:space="preserve">This is a self-contained reference document for Claude AI sessions. Paste this at the beginning of any conversation to give Claude full architectural context on the Bedrock ESG platform. No secrets or credentials are included.</w:t>
      </w:r>
    </w:p>
    <w:p>
      <w:r>
        <w:pict>
          <v:rect style="width:0;height:1.5pt" o:hralign="center" o:hrstd="t" o:hr="t"/>
        </w:pict>
      </w:r>
    </w:p>
    <w:bookmarkEnd w:id="20"/>
    <w:bookmarkStart w:id="21" w:name="platform-identity-mission"/>
    <w:p>
      <w:pPr>
        <w:pStyle w:val="Heading2"/>
      </w:pPr>
      <w:r>
        <w:t xml:space="preserve">1. Platform Identity &amp; Mission</w:t>
      </w:r>
    </w:p>
    <w:p>
      <w:pPr>
        <w:pStyle w:val="FirstParagraph"/>
      </w:pPr>
      <w:r>
        <w:rPr>
          <w:bCs/>
          <w:b/>
        </w:rPr>
        <w:t xml:space="preserve">Bedrock ESG</w:t>
      </w:r>
      <w:r>
        <w:t xml:space="preserve"> </w:t>
      </w:r>
      <w:r>
        <w:t xml:space="preserve">is a sovereign environmental verification platform built by</w:t>
      </w:r>
      <w:r>
        <w:t xml:space="preserve"> </w:t>
      </w:r>
      <w:r>
        <w:rPr>
          <w:bCs/>
          <w:b/>
        </w:rPr>
        <w:t xml:space="preserve">ZerO</w:t>
      </w:r>
      <w:r>
        <w:t xml:space="preserve">. It provides institutional-grade carbon accounting, environmental credit issuance, blockchain attestation, and regulatory compliance tooling for the construction, agriculture, and metals recovery sectors.</w:t>
      </w:r>
    </w:p>
    <w:p>
      <w:pPr>
        <w:pStyle w:val="BodyText"/>
      </w:pPr>
      <w:r>
        <w:t xml:space="preserve">The platform operates on a</w:t>
      </w:r>
      <w:r>
        <w:t xml:space="preserve"> </w:t>
      </w:r>
      <w:r>
        <w:rPr>
          <w:bCs/>
          <w:b/>
        </w:rPr>
        <w:t xml:space="preserve">“</w:t>
      </w:r>
      <w:r>
        <w:rPr>
          <w:bCs/>
          <w:b/>
        </w:rPr>
        <w:t xml:space="preserve">Deep Space</w:t>
      </w:r>
      <w:r>
        <w:rPr>
          <w:bCs/>
          <w:b/>
        </w:rPr>
        <w:t xml:space="preserve">”</w:t>
      </w:r>
      <w:r>
        <w:t xml:space="preserve"> </w:t>
      </w:r>
      <w:r>
        <w:t xml:space="preserve">dark theme design language — dark backgrounds (</w:t>
      </w:r>
      <w:r>
        <w:rPr>
          <w:rStyle w:val="VerbatimChar"/>
        </w:rPr>
        <w:t xml:space="preserve">#0a0a0f</w:t>
      </w:r>
      <w:r>
        <w:t xml:space="preserve">,</w:t>
      </w:r>
      <w:r>
        <w:t xml:space="preserve"> </w:t>
      </w:r>
      <w:r>
        <w:rPr>
          <w:rStyle w:val="VerbatimChar"/>
        </w:rPr>
        <w:t xml:space="preserve">#111118</w:t>
      </w:r>
      <w:r>
        <w:t xml:space="preserve">), accent colors (emerald</w:t>
      </w:r>
      <w:r>
        <w:t xml:space="preserve"> </w:t>
      </w:r>
      <w:r>
        <w:rPr>
          <w:rStyle w:val="VerbatimChar"/>
        </w:rPr>
        <w:t xml:space="preserve">#10b981</w:t>
      </w:r>
      <w:r>
        <w:t xml:space="preserve">, cyan</w:t>
      </w:r>
      <w:r>
        <w:t xml:space="preserve"> </w:t>
      </w:r>
      <w:r>
        <w:rPr>
          <w:rStyle w:val="VerbatimChar"/>
        </w:rPr>
        <w:t xml:space="preserve">#06b6d4</w:t>
      </w:r>
      <w:r>
        <w:t xml:space="preserve">, amber</w:t>
      </w:r>
      <w:r>
        <w:t xml:space="preserve"> </w:t>
      </w:r>
      <w:r>
        <w:rPr>
          <w:rStyle w:val="VerbatimChar"/>
        </w:rPr>
        <w:t xml:space="preserve">#f59e0b</w:t>
      </w:r>
      <w:r>
        <w:t xml:space="preserve">), with a cinematic, institutional aesthetic.</w:t>
      </w:r>
    </w:p>
    <w:p>
      <w:pPr>
        <w:pStyle w:val="BodyText"/>
      </w:pPr>
      <w:r>
        <w:rPr>
          <w:bCs/>
          <w:b/>
        </w:rPr>
        <w:t xml:space="preserve">Production URL:</w:t>
      </w:r>
      <w:r>
        <w:t xml:space="preserve"> </w:t>
      </w:r>
      <w:r>
        <w:rPr>
          <w:rStyle w:val="VerbatimChar"/>
        </w:rPr>
        <w:t xml:space="preserve">https://bedrockesg.com</w:t>
      </w:r>
      <w:r>
        <w:t xml:space="preserve"> </w:t>
      </w:r>
      <w:r>
        <w:rPr>
          <w:bCs/>
          <w:b/>
        </w:rPr>
        <w:t xml:space="preserve">Codebase Location:</w:t>
      </w:r>
      <w:r>
        <w:t xml:space="preserve"> </w:t>
      </w:r>
      <w:r>
        <w:rPr>
          <w:rStyle w:val="VerbatimChar"/>
        </w:rPr>
        <w:t xml:space="preserve">/home/ubuntu/scrapnet_dashboard/nextjs_space/</w:t>
      </w:r>
    </w:p>
    <w:p>
      <w:r>
        <w:pict>
          <v:rect style="width:0;height:1.5pt" o:hralign="center" o:hrstd="t" o:hr="t"/>
        </w:pict>
      </w:r>
    </w:p>
    <w:bookmarkEnd w:id="21"/>
    <w:bookmarkStart w:id="22" w:name="tech-stack"/>
    <w:p>
      <w:pPr>
        <w:pStyle w:val="Heading2"/>
      </w:pPr>
      <w:r>
        <w:t xml:space="preserve">2. Tech Stack</w:t>
      </w:r>
    </w:p>
    <w:tbl>
      <w:tblPr>
        <w:tblStyle w:val="Table"/>
        <w:tblW w:type="pct" w:w="5000"/>
        <w:tblLook w:firstRow="1" w:lastRow="0" w:firstColumn="0" w:lastColumn="0" w:noHBand="0" w:noVBand="0" w:val="0020"/>
      </w:tblPr>
      <w:tblGrid>
        <w:gridCol w:w="2917"/>
        <w:gridCol w:w="5002"/>
      </w:tblGrid>
      <w:tr>
        <w:trPr>
          <w:tblHeader w:val="true"/>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Framework</w:t>
            </w:r>
          </w:p>
        </w:tc>
        <w:tc>
          <w:tcPr/>
          <w:p>
            <w:pPr>
              <w:pStyle w:val="Compact"/>
              <w:jc w:val="left"/>
            </w:pPr>
            <w:r>
              <w:t xml:space="preserve">Next.js 14 (App Router)</w:t>
            </w:r>
          </w:p>
        </w:tc>
      </w:tr>
      <w:tr>
        <w:tc>
          <w:tcPr/>
          <w:p>
            <w:pPr>
              <w:pStyle w:val="Compact"/>
              <w:jc w:val="left"/>
            </w:pPr>
            <w:r>
              <w:t xml:space="preserve">Language</w:t>
            </w:r>
          </w:p>
        </w:tc>
        <w:tc>
          <w:tcPr/>
          <w:p>
            <w:pPr>
              <w:pStyle w:val="Compact"/>
              <w:jc w:val="left"/>
            </w:pPr>
            <w:r>
              <w:t xml:space="preserve">TypeScript</w:t>
            </w:r>
          </w:p>
        </w:tc>
      </w:tr>
      <w:tr>
        <w:tc>
          <w:tcPr/>
          <w:p>
            <w:pPr>
              <w:pStyle w:val="Compact"/>
              <w:jc w:val="left"/>
            </w:pPr>
            <w:r>
              <w:t xml:space="preserve">Database</w:t>
            </w:r>
          </w:p>
        </w:tc>
        <w:tc>
          <w:tcPr/>
          <w:p>
            <w:pPr>
              <w:pStyle w:val="Compact"/>
              <w:jc w:val="left"/>
            </w:pPr>
            <w:r>
              <w:t xml:space="preserve">PostgreSQL (Prisma ORM)</w:t>
            </w:r>
          </w:p>
        </w:tc>
      </w:tr>
      <w:tr>
        <w:tc>
          <w:tcPr/>
          <w:p>
            <w:pPr>
              <w:pStyle w:val="Compact"/>
              <w:jc w:val="left"/>
            </w:pPr>
            <w:r>
              <w:t xml:space="preserve">Blockchain</w:t>
            </w:r>
          </w:p>
        </w:tc>
        <w:tc>
          <w:tcPr/>
          <w:p>
            <w:pPr>
              <w:pStyle w:val="Compact"/>
              <w:jc w:val="left"/>
            </w:pPr>
            <w:r>
              <w:t xml:space="preserve">Solana Devnet (Memo Program), Hedera HCS, Polygon ERC-1155</w:t>
            </w:r>
          </w:p>
        </w:tc>
      </w:tr>
      <w:tr>
        <w:tc>
          <w:tcPr/>
          <w:p>
            <w:pPr>
              <w:pStyle w:val="Compact"/>
              <w:jc w:val="left"/>
            </w:pPr>
            <w:r>
              <w:t xml:space="preserve">Auth</w:t>
            </w:r>
          </w:p>
        </w:tc>
        <w:tc>
          <w:tcPr/>
          <w:p>
            <w:pPr>
              <w:pStyle w:val="Compact"/>
              <w:jc w:val="left"/>
            </w:pPr>
            <w:r>
              <w:t xml:space="preserve">NextAuth.js (email/password + role-based)</w:t>
            </w:r>
          </w:p>
        </w:tc>
      </w:tr>
      <w:tr>
        <w:tc>
          <w:tcPr/>
          <w:p>
            <w:pPr>
              <w:pStyle w:val="Compact"/>
              <w:jc w:val="left"/>
            </w:pPr>
            <w:r>
              <w:t xml:space="preserve">Styling</w:t>
            </w:r>
          </w:p>
        </w:tc>
        <w:tc>
          <w:tcPr/>
          <w:p>
            <w:pPr>
              <w:pStyle w:val="Compact"/>
              <w:jc w:val="left"/>
            </w:pPr>
            <w:r>
              <w:t xml:space="preserve">Tailwind CSS + shadcn/ui</w:t>
            </w:r>
          </w:p>
        </w:tc>
      </w:tr>
      <w:tr>
        <w:tc>
          <w:tcPr/>
          <w:p>
            <w:pPr>
              <w:pStyle w:val="Compact"/>
              <w:jc w:val="left"/>
            </w:pPr>
            <w:r>
              <w:t xml:space="preserve">Charts</w:t>
            </w:r>
          </w:p>
        </w:tc>
        <w:tc>
          <w:tcPr/>
          <w:p>
            <w:pPr>
              <w:pStyle w:val="Compact"/>
              <w:jc w:val="left"/>
            </w:pPr>
            <w:r>
              <w:t xml:space="preserve">Recharts</w:t>
            </w:r>
          </w:p>
        </w:tc>
      </w:tr>
      <w:tr>
        <w:tc>
          <w:tcPr/>
          <w:p>
            <w:pPr>
              <w:pStyle w:val="Compact"/>
              <w:jc w:val="left"/>
            </w:pPr>
            <w:r>
              <w:t xml:space="preserve">File Storage</w:t>
            </w:r>
          </w:p>
        </w:tc>
        <w:tc>
          <w:tcPr/>
          <w:p>
            <w:pPr>
              <w:pStyle w:val="Compact"/>
              <w:jc w:val="left"/>
            </w:pPr>
            <w:r>
              <w:t xml:space="preserve">AWS S3 (cloud storage)</w:t>
            </w:r>
          </w:p>
        </w:tc>
      </w:tr>
      <w:tr>
        <w:tc>
          <w:tcPr/>
          <w:p>
            <w:pPr>
              <w:pStyle w:val="Compact"/>
              <w:jc w:val="left"/>
            </w:pPr>
            <w:r>
              <w:t xml:space="preserve">PDF Generation</w:t>
            </w:r>
          </w:p>
        </w:tc>
        <w:tc>
          <w:tcPr/>
          <w:p>
            <w:pPr>
              <w:pStyle w:val="Compact"/>
              <w:jc w:val="left"/>
            </w:pPr>
            <w:r>
              <w:t xml:space="preserve">Abacus AI HTML2PDF API (Playwright-based)</w:t>
            </w:r>
          </w:p>
        </w:tc>
      </w:tr>
      <w:tr>
        <w:tc>
          <w:tcPr/>
          <w:p>
            <w:pPr>
              <w:pStyle w:val="Compact"/>
              <w:jc w:val="left"/>
            </w:pPr>
            <w:r>
              <w:t xml:space="preserve">LLM Integration</w:t>
            </w:r>
          </w:p>
        </w:tc>
        <w:tc>
          <w:tcPr/>
          <w:p>
            <w:pPr>
              <w:pStyle w:val="Compact"/>
              <w:jc w:val="left"/>
            </w:pPr>
            <w:r>
              <w:t xml:space="preserve">Abacus AI RouteLLM API (GPT-4-class)</w:t>
            </w:r>
          </w:p>
        </w:tc>
      </w:tr>
      <w:tr>
        <w:tc>
          <w:tcPr/>
          <w:p>
            <w:pPr>
              <w:pStyle w:val="Compact"/>
              <w:jc w:val="left"/>
            </w:pPr>
            <w:r>
              <w:t xml:space="preserve">Deployment</w:t>
            </w:r>
          </w:p>
        </w:tc>
        <w:tc>
          <w:tcPr/>
          <w:p>
            <w:pPr>
              <w:pStyle w:val="Compact"/>
              <w:jc w:val="left"/>
            </w:pPr>
            <w:r>
              <w:t xml:space="preserve">Abacus AI Hosted (standalone Next.js)</w:t>
            </w:r>
          </w:p>
        </w:tc>
      </w:tr>
      <w:tr>
        <w:tc>
          <w:tcPr/>
          <w:p>
            <w:pPr>
              <w:pStyle w:val="Compact"/>
              <w:jc w:val="left"/>
            </w:pPr>
            <w:r>
              <w:t xml:space="preserve">Package Manager</w:t>
            </w:r>
          </w:p>
        </w:tc>
        <w:tc>
          <w:tcPr/>
          <w:p>
            <w:pPr>
              <w:pStyle w:val="Compact"/>
              <w:jc w:val="left"/>
            </w:pPr>
            <w:r>
              <w:t xml:space="preserve">Yarn (never npm)</w:t>
            </w:r>
          </w:p>
        </w:tc>
      </w:tr>
    </w:tbl>
    <w:p>
      <w:r>
        <w:pict>
          <v:rect style="width:0;height:1.5pt" o:hralign="center" o:hrstd="t" o:hr="t"/>
        </w:pict>
      </w:r>
    </w:p>
    <w:bookmarkEnd w:id="22"/>
    <w:bookmarkStart w:id="23" w:name="key-identifiers"/>
    <w:p>
      <w:pPr>
        <w:pStyle w:val="Heading2"/>
      </w:pPr>
      <w:r>
        <w:t xml:space="preserve">3. Key Identifiers</w:t>
      </w:r>
    </w:p>
    <w:tbl>
      <w:tblPr>
        <w:tblStyle w:val="Table"/>
        <w:tblW w:type="pct" w:w="5000"/>
        <w:tblLook w:firstRow="1" w:lastRow="0" w:firstColumn="0" w:lastColumn="0" w:noHBand="0" w:noVBand="0" w:val="0020"/>
      </w:tblPr>
      <w:tblGrid>
        <w:gridCol w:w="2970"/>
        <w:gridCol w:w="1732"/>
        <w:gridCol w:w="3217"/>
      </w:tblGrid>
      <w:tr>
        <w:trPr>
          <w:tblHeader w:val="true"/>
        </w:trPr>
        <w:tc>
          <w:tcPr/>
          <w:p>
            <w:pPr>
              <w:pStyle w:val="Compact"/>
              <w:jc w:val="left"/>
            </w:pPr>
            <w:r>
              <w:t xml:space="preserve">Identifier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Aethexer Sentinel (Node-01)</w:t>
            </w:r>
          </w:p>
        </w:tc>
        <w:tc>
          <w:tcPr/>
          <w:p>
            <w:pPr>
              <w:pStyle w:val="Compact"/>
              <w:jc w:val="left"/>
            </w:pPr>
            <w:r>
              <w:rPr>
                <w:rStyle w:val="VerbatimChar"/>
              </w:rPr>
              <w:t xml:space="preserve">9tsq8qB4P9uPRSHrjXLaDQJd93nuo4wEEtkR1tAJRAQ3</w:t>
            </w:r>
          </w:p>
        </w:tc>
        <w:tc>
          <w:tcPr/>
          <w:p>
            <w:pPr>
              <w:pStyle w:val="Compact"/>
              <w:jc w:val="left"/>
            </w:pPr>
            <w:r>
              <w:t xml:space="preserve">Solana wallet for all platform attestations (formerly Kato Service Identity)</w:t>
            </w:r>
          </w:p>
        </w:tc>
      </w:tr>
      <w:tr>
        <w:tc>
          <w:tcPr/>
          <w:p>
            <w:pPr>
              <w:pStyle w:val="Compact"/>
              <w:jc w:val="left"/>
            </w:pPr>
            <w:r>
              <w:t xml:space="preserve">EXITZ Token Mint</w:t>
            </w:r>
          </w:p>
        </w:tc>
        <w:tc>
          <w:tcPr/>
          <w:p>
            <w:pPr>
              <w:pStyle w:val="Compact"/>
              <w:jc w:val="left"/>
            </w:pPr>
            <w:r>
              <w:rPr>
                <w:rStyle w:val="VerbatimChar"/>
              </w:rPr>
              <w:t xml:space="preserve">44SrHT9Qwyz2jiiJkRF1zHKF2NFTgTC8m6ubPTb5qJBJ</w:t>
            </w:r>
          </w:p>
        </w:tc>
        <w:tc>
          <w:tcPr/>
          <w:p>
            <w:pPr>
              <w:pStyle w:val="Compact"/>
              <w:jc w:val="left"/>
            </w:pPr>
            <w:r>
              <w:t xml:space="preserve">Token-2022 (0 decimals) for carbon displacement credits</w:t>
            </w:r>
          </w:p>
        </w:tc>
      </w:tr>
      <w:tr>
        <w:tc>
          <w:tcPr/>
          <w:p>
            <w:pPr>
              <w:pStyle w:val="Compact"/>
              <w:jc w:val="left"/>
            </w:pPr>
            <w:r>
              <w:t xml:space="preserve">Backtrace ID</w:t>
            </w:r>
          </w:p>
        </w:tc>
        <w:tc>
          <w:tcPr/>
          <w:p>
            <w:pPr>
              <w:pStyle w:val="Compact"/>
              <w:jc w:val="left"/>
            </w:pPr>
            <w:r>
              <w:rPr>
                <w:rStyle w:val="VerbatimChar"/>
              </w:rPr>
              <w:t xml:space="preserve">BT-C9C4C5</w:t>
            </w:r>
          </w:p>
        </w:tc>
        <w:tc>
          <w:tcPr/>
          <w:p>
            <w:pPr>
              <w:pStyle w:val="Compact"/>
              <w:jc w:val="left"/>
            </w:pPr>
            <w:r>
              <w:t xml:space="preserve">Sovereign audit trail identifier</w:t>
            </w:r>
          </w:p>
        </w:tc>
      </w:tr>
      <w:tr>
        <w:tc>
          <w:tcPr/>
          <w:p>
            <w:pPr>
              <w:pStyle w:val="Compact"/>
              <w:jc w:val="left"/>
            </w:pPr>
            <w:r>
              <w:t xml:space="preserve">Solana Network</w:t>
            </w:r>
          </w:p>
        </w:tc>
        <w:tc>
          <w:tcPr/>
          <w:p>
            <w:pPr>
              <w:pStyle w:val="Compact"/>
              <w:jc w:val="left"/>
            </w:pPr>
            <w:r>
              <w:t xml:space="preserve">Devnet</w:t>
            </w:r>
          </w:p>
        </w:tc>
        <w:tc>
          <w:tcPr/>
          <w:p>
            <w:pPr>
              <w:pStyle w:val="Compact"/>
              <w:jc w:val="left"/>
            </w:pPr>
            <w:r>
              <w:rPr>
                <w:rStyle w:val="VerbatimChar"/>
              </w:rPr>
              <w:t xml:space="preserve">https://api.devnet.solana.com</w:t>
            </w:r>
          </w:p>
        </w:tc>
      </w:tr>
      <w:tr>
        <w:tc>
          <w:tcPr/>
          <w:p>
            <w:pPr>
              <w:pStyle w:val="Compact"/>
              <w:jc w:val="left"/>
            </w:pPr>
            <w:r>
              <w:t xml:space="preserve">Solana Memo Program</w:t>
            </w:r>
          </w:p>
        </w:tc>
        <w:tc>
          <w:tcPr/>
          <w:p>
            <w:pPr>
              <w:pStyle w:val="Compact"/>
              <w:jc w:val="left"/>
            </w:pPr>
            <w:r>
              <w:rPr>
                <w:rStyle w:val="VerbatimChar"/>
              </w:rPr>
              <w:t xml:space="preserve">MemoSq4gqABAXKb96qnH8TysNcWxMyWCqXgDLGmfcHr</w:t>
            </w:r>
          </w:p>
        </w:tc>
        <w:tc>
          <w:tcPr/>
          <w:p>
            <w:pPr>
              <w:pStyle w:val="Compact"/>
              <w:jc w:val="left"/>
            </w:pPr>
            <w:r>
              <w:t xml:space="preserve">On-chain attestation program</w:t>
            </w:r>
          </w:p>
        </w:tc>
      </w:tr>
      <w:tr>
        <w:tc>
          <w:tcPr/>
          <w:p>
            <w:pPr>
              <w:pStyle w:val="Compact"/>
              <w:jc w:val="left"/>
            </w:pPr>
            <w:r>
              <w:t xml:space="preserve">Platform Owner</w:t>
            </w:r>
          </w:p>
        </w:tc>
        <w:tc>
          <w:tcPr/>
          <w:p>
            <w:pPr>
              <w:pStyle w:val="Compact"/>
              <w:jc w:val="left"/>
            </w:pPr>
            <w:r>
              <w:t xml:space="preserve">Bedrock ESG (ZerO)</w:t>
            </w:r>
          </w:p>
        </w:tc>
        <w:tc>
          <w:tcPr/>
          <w:p>
            <w:pPr>
              <w:pStyle w:val="Compact"/>
              <w:jc w:val="left"/>
            </w:pPr>
            <w:r>
              <w:t xml:space="preserve">Sovereign operator identity</w:t>
            </w:r>
          </w:p>
        </w:tc>
      </w:tr>
    </w:tbl>
    <w:p>
      <w:r>
        <w:pict>
          <v:rect style="width:0;height:1.5pt" o:hralign="center" o:hrstd="t" o:hr="t"/>
        </w:pict>
      </w:r>
    </w:p>
    <w:bookmarkEnd w:id="23"/>
    <w:bookmarkStart w:id="31" w:name="module-map"/>
    <w:p>
      <w:pPr>
        <w:pStyle w:val="Heading2"/>
      </w:pPr>
      <w:r>
        <w:t xml:space="preserve">4. Module Map</w:t>
      </w:r>
    </w:p>
    <w:p>
      <w:pPr>
        <w:pStyle w:val="FirstParagraph"/>
      </w:pPr>
      <w:r>
        <w:t xml:space="preserve">Bedrock ESG consists of</w:t>
      </w:r>
      <w:r>
        <w:t xml:space="preserve"> </w:t>
      </w:r>
      <w:r>
        <w:rPr>
          <w:bCs/>
          <w:b/>
        </w:rPr>
        <w:t xml:space="preserve">7 major modules</w:t>
      </w:r>
      <w:r>
        <w:t xml:space="preserve">:</w:t>
      </w:r>
    </w:p>
    <w:bookmarkStart w:id="24" w:name="asphalt-calculator-calculator"/>
    <w:p>
      <w:pPr>
        <w:pStyle w:val="Heading3"/>
      </w:pPr>
      <w:r>
        <w:t xml:space="preserve">4.1 Asphalt Calculator (</w:t>
      </w:r>
      <w:r>
        <w:rPr>
          <w:rStyle w:val="VerbatimChar"/>
        </w:rPr>
        <w:t xml:space="preserve">/calculator</w:t>
      </w:r>
      <w:r>
        <w:t xml:space="preserve">)</w:t>
      </w:r>
    </w:p>
    <w:p>
      <w:pPr>
        <w:numPr>
          <w:ilvl w:val="0"/>
          <w:numId w:val="1001"/>
        </w:numPr>
        <w:pStyle w:val="Compact"/>
      </w:pPr>
      <w:r>
        <w:rPr>
          <w:bCs/>
          <w:b/>
        </w:rPr>
        <w:t xml:space="preserve">Purpose:</w:t>
      </w:r>
      <w:r>
        <w:t xml:space="preserve"> </w:t>
      </w:r>
      <w:r>
        <w:t xml:space="preserve">ISO 14040-compliant LCA calculator for asphalt production</w:t>
      </w:r>
    </w:p>
    <w:p>
      <w:pPr>
        <w:numPr>
          <w:ilvl w:val="0"/>
          <w:numId w:val="1001"/>
        </w:numPr>
        <w:pStyle w:val="Compact"/>
      </w:pPr>
      <w:r>
        <w:rPr>
          <w:bCs/>
          <w:b/>
        </w:rPr>
        <w:t xml:space="preserve">Key Formula:</w:t>
      </w:r>
      <w:r>
        <w:t xml:space="preserve"> </w:t>
      </w:r>
      <w:r>
        <w:rPr>
          <w:rStyle w:val="VerbatimChar"/>
        </w:rPr>
        <w:t xml:space="preserve">Total CO2e = Σ(material_weight × emission_factor × distance_factor)</w:t>
      </w:r>
    </w:p>
    <w:p>
      <w:pPr>
        <w:numPr>
          <w:ilvl w:val="0"/>
          <w:numId w:val="1001"/>
        </w:numPr>
        <w:pStyle w:val="Compact"/>
      </w:pPr>
      <w:r>
        <w:rPr>
          <w:bCs/>
          <w:b/>
        </w:rPr>
        <w:t xml:space="preserve">Emission Databases:</w:t>
      </w:r>
    </w:p>
    <w:p>
      <w:pPr>
        <w:numPr>
          <w:ilvl w:val="1"/>
          <w:numId w:val="1002"/>
        </w:numPr>
        <w:pStyle w:val="Compact"/>
      </w:pPr>
      <w:r>
        <w:rPr>
          <w:bCs/>
          <w:b/>
        </w:rPr>
        <w:t xml:space="preserve">ICE v4.1</w:t>
      </w:r>
      <w:r>
        <w:t xml:space="preserve"> </w:t>
      </w:r>
      <w:r>
        <w:t xml:space="preserve">(University of Bath) — 25 material factors</w:t>
      </w:r>
    </w:p>
    <w:p>
      <w:pPr>
        <w:numPr>
          <w:ilvl w:val="1"/>
          <w:numId w:val="1002"/>
        </w:numPr>
        <w:pStyle w:val="Compact"/>
      </w:pPr>
      <w:r>
        <w:rPr>
          <w:bCs/>
          <w:b/>
        </w:rPr>
        <w:t xml:space="preserve">Ecoinvent v3.10.1</w:t>
      </w:r>
      <w:r>
        <w:t xml:space="preserve"> </w:t>
      </w:r>
      <w:r>
        <w:t xml:space="preserve">— 15 supplemental factors</w:t>
      </w:r>
    </w:p>
    <w:p>
      <w:pPr>
        <w:numPr>
          <w:ilvl w:val="1"/>
          <w:numId w:val="1002"/>
        </w:numPr>
        <w:pStyle w:val="Compact"/>
      </w:pPr>
      <w:r>
        <w:rPr>
          <w:bCs/>
          <w:b/>
        </w:rPr>
        <w:t xml:space="preserve">60% biogenic correction</w:t>
      </w:r>
      <w:r>
        <w:t xml:space="preserve"> </w:t>
      </w:r>
      <w:r>
        <w:t xml:space="preserve">applied to biochar entries</w:t>
      </w:r>
    </w:p>
    <w:p>
      <w:pPr>
        <w:numPr>
          <w:ilvl w:val="0"/>
          <w:numId w:val="1001"/>
        </w:numPr>
        <w:pStyle w:val="Compact"/>
      </w:pPr>
      <w:r>
        <w:rPr>
          <w:bCs/>
          <w:b/>
        </w:rPr>
        <w:t xml:space="preserve">Features:</w:t>
      </w:r>
      <w:r>
        <w:t xml:space="preserve"> </w:t>
      </w:r>
      <w:r>
        <w:t xml:space="preserve">Multi-material mix design, transport emissions, Solana attestation of results</w:t>
      </w:r>
    </w:p>
    <w:p>
      <w:pPr>
        <w:numPr>
          <w:ilvl w:val="0"/>
          <w:numId w:val="1001"/>
        </w:numPr>
        <w:pStyle w:val="Compact"/>
      </w:pPr>
      <w:r>
        <w:rPr>
          <w:bCs/>
          <w:b/>
        </w:rPr>
        <w:t xml:space="preserve">API:</w:t>
      </w:r>
      <w:r>
        <w:t xml:space="preserve"> </w:t>
      </w:r>
      <w:r>
        <w:rPr>
          <w:rStyle w:val="VerbatimChar"/>
        </w:rPr>
        <w:t xml:space="preserve">POST /api/calculate</w:t>
      </w:r>
      <w:r>
        <w:t xml:space="preserve"> </w:t>
      </w:r>
      <w:r>
        <w:t xml:space="preserve">— performs full LCA calculation</w:t>
      </w:r>
    </w:p>
    <w:p>
      <w:pPr>
        <w:numPr>
          <w:ilvl w:val="0"/>
          <w:numId w:val="1001"/>
        </w:numPr>
        <w:pStyle w:val="Compact"/>
      </w:pPr>
      <w:r>
        <w:rPr>
          <w:bCs/>
          <w:b/>
        </w:rPr>
        <w:t xml:space="preserve">API:</w:t>
      </w:r>
      <w:r>
        <w:t xml:space="preserve"> </w:t>
      </w:r>
      <w:r>
        <w:rPr>
          <w:rStyle w:val="VerbatimChar"/>
        </w:rPr>
        <w:t xml:space="preserve">GET/POST /api/emission-factors</w:t>
      </w:r>
      <w:r>
        <w:t xml:space="preserve"> </w:t>
      </w:r>
      <w:r>
        <w:t xml:space="preserve">— CRUD for emission factor database</w:t>
      </w:r>
    </w:p>
    <w:bookmarkEnd w:id="24"/>
    <w:bookmarkStart w:id="25" w:name="biochar-cdr-biochar-biocharbatches"/>
    <w:p>
      <w:pPr>
        <w:pStyle w:val="Heading3"/>
      </w:pPr>
      <w:r>
        <w:t xml:space="preserve">4.2 Biochar CDR (</w:t>
      </w:r>
      <w:r>
        <w:rPr>
          <w:rStyle w:val="VerbatimChar"/>
        </w:rPr>
        <w:t xml:space="preserve">/biochar</w:t>
      </w:r>
      <w:r>
        <w:t xml:space="preserve">,</w:t>
      </w:r>
      <w:r>
        <w:t xml:space="preserve"> </w:t>
      </w:r>
      <w:r>
        <w:rPr>
          <w:rStyle w:val="VerbatimChar"/>
        </w:rPr>
        <w:t xml:space="preserve">/biochar/batches</w:t>
      </w:r>
      <w:r>
        <w:t xml:space="preserve">)</w:t>
      </w:r>
    </w:p>
    <w:p>
      <w:pPr>
        <w:numPr>
          <w:ilvl w:val="0"/>
          <w:numId w:val="1003"/>
        </w:numPr>
        <w:pStyle w:val="Compact"/>
      </w:pPr>
      <w:r>
        <w:rPr>
          <w:bCs/>
          <w:b/>
        </w:rPr>
        <w:t xml:space="preserve">Purpose:</w:t>
      </w:r>
      <w:r>
        <w:t xml:space="preserve"> </w:t>
      </w:r>
      <w:r>
        <w:t xml:space="preserve">Carbon Dioxide Removal tracking for biochar production</w:t>
      </w:r>
    </w:p>
    <w:p>
      <w:pPr>
        <w:numPr>
          <w:ilvl w:val="0"/>
          <w:numId w:val="1003"/>
        </w:numPr>
        <w:pStyle w:val="Compact"/>
      </w:pPr>
      <w:r>
        <w:rPr>
          <w:bCs/>
          <w:b/>
        </w:rPr>
        <w:t xml:space="preserve">Features:</w:t>
      </w:r>
      <w:r>
        <w:t xml:space="preserve"> </w:t>
      </w:r>
      <w:r>
        <w:t xml:space="preserve">Batch management, permanence tracking, feedstock analysis, Solana attestation</w:t>
      </w:r>
    </w:p>
    <w:p>
      <w:pPr>
        <w:numPr>
          <w:ilvl w:val="0"/>
          <w:numId w:val="1003"/>
        </w:numPr>
        <w:pStyle w:val="Compact"/>
      </w:pPr>
      <w:r>
        <w:rPr>
          <w:bCs/>
          <w:b/>
        </w:rPr>
        <w:t xml:space="preserve">Database Model:</w:t>
      </w:r>
      <w:r>
        <w:t xml:space="preserve"> </w:t>
      </w:r>
      <w:r>
        <w:rPr>
          <w:rStyle w:val="VerbatimChar"/>
        </w:rPr>
        <w:t xml:space="preserve">BiocharBatch</w:t>
      </w:r>
      <w:r>
        <w:t xml:space="preserve"> </w:t>
      </w:r>
      <w:r>
        <w:t xml:space="preserve">— tracks feedstock, pyrolysis temp, carbon content, certification status</w:t>
      </w:r>
    </w:p>
    <w:p>
      <w:pPr>
        <w:numPr>
          <w:ilvl w:val="0"/>
          <w:numId w:val="1003"/>
        </w:numPr>
        <w:pStyle w:val="Compact"/>
      </w:pPr>
      <w:r>
        <w:rPr>
          <w:bCs/>
          <w:b/>
        </w:rPr>
        <w:t xml:space="preserve">APIs:</w:t>
      </w:r>
    </w:p>
    <w:p>
      <w:pPr>
        <w:numPr>
          <w:ilvl w:val="1"/>
          <w:numId w:val="1004"/>
        </w:numPr>
        <w:pStyle w:val="Compact"/>
      </w:pPr>
      <w:r>
        <w:rPr>
          <w:rStyle w:val="VerbatimChar"/>
        </w:rPr>
        <w:t xml:space="preserve">GET/POST /api/biochar</w:t>
      </w:r>
      <w:r>
        <w:t xml:space="preserve"> </w:t>
      </w:r>
      <w:r>
        <w:t xml:space="preserve">— list/create batches</w:t>
      </w:r>
    </w:p>
    <w:p>
      <w:pPr>
        <w:numPr>
          <w:ilvl w:val="1"/>
          <w:numId w:val="1004"/>
        </w:numPr>
        <w:pStyle w:val="Compact"/>
      </w:pPr>
      <w:r>
        <w:rPr>
          <w:rStyle w:val="VerbatimChar"/>
        </w:rPr>
        <w:t xml:space="preserve">GET/DELETE /api/biochar/[id]</w:t>
      </w:r>
      <w:r>
        <w:t xml:space="preserve"> </w:t>
      </w:r>
      <w:r>
        <w:t xml:space="preserve">— single batch operations</w:t>
      </w:r>
    </w:p>
    <w:p>
      <w:pPr>
        <w:numPr>
          <w:ilvl w:val="1"/>
          <w:numId w:val="1004"/>
        </w:numPr>
        <w:pStyle w:val="Compact"/>
      </w:pPr>
      <w:r>
        <w:rPr>
          <w:rStyle w:val="VerbatimChar"/>
        </w:rPr>
        <w:t xml:space="preserve">GET /api/biochar/stats</w:t>
      </w:r>
      <w:r>
        <w:t xml:space="preserve"> </w:t>
      </w:r>
      <w:r>
        <w:t xml:space="preserve">— aggregate statistics</w:t>
      </w:r>
    </w:p>
    <w:p>
      <w:pPr>
        <w:numPr>
          <w:ilvl w:val="1"/>
          <w:numId w:val="1004"/>
        </w:numPr>
        <w:pStyle w:val="Compact"/>
      </w:pPr>
      <w:r>
        <w:rPr>
          <w:rStyle w:val="VerbatimChar"/>
        </w:rPr>
        <w:t xml:space="preserve">GET /api/biochar/history</w:t>
      </w:r>
      <w:r>
        <w:t xml:space="preserve"> </w:t>
      </w:r>
      <w:r>
        <w:t xml:space="preserve">— historical data</w:t>
      </w:r>
    </w:p>
    <w:p>
      <w:pPr>
        <w:numPr>
          <w:ilvl w:val="1"/>
          <w:numId w:val="1004"/>
        </w:numPr>
        <w:pStyle w:val="Compact"/>
      </w:pPr>
      <w:r>
        <w:rPr>
          <w:rStyle w:val="VerbatimChar"/>
        </w:rPr>
        <w:t xml:space="preserve">GET /api/biochar/[id]/attestation</w:t>
      </w:r>
      <w:r>
        <w:t xml:space="preserve"> </w:t>
      </w:r>
      <w:r>
        <w:t xml:space="preserve">— Solana attestation proof</w:t>
      </w:r>
    </w:p>
    <w:bookmarkEnd w:id="25"/>
    <w:bookmarkStart w:id="26" w:name="Xbedc8bea8d02b5504dd8c84f693db686ef47d33"/>
    <w:p>
      <w:pPr>
        <w:pStyle w:val="Heading3"/>
      </w:pPr>
      <w:r>
        <w:t xml:space="preserve">4.3 Metal Recovery (</w:t>
      </w:r>
      <w:r>
        <w:rPr>
          <w:rStyle w:val="VerbatimChar"/>
        </w:rPr>
        <w:t xml:space="preserve">/metal</w:t>
      </w:r>
      <w:r>
        <w:t xml:space="preserve">,</w:t>
      </w:r>
      <w:r>
        <w:t xml:space="preserve"> </w:t>
      </w:r>
      <w:r>
        <w:rPr>
          <w:rStyle w:val="VerbatimChar"/>
        </w:rPr>
        <w:t xml:space="preserve">/metal/calculator</w:t>
      </w:r>
      <w:r>
        <w:t xml:space="preserve">,</w:t>
      </w:r>
      <w:r>
        <w:t xml:space="preserve"> </w:t>
      </w:r>
      <w:r>
        <w:rPr>
          <w:rStyle w:val="VerbatimChar"/>
        </w:rPr>
        <w:t xml:space="preserve">/metal/logs</w:t>
      </w:r>
      <w:r>
        <w:t xml:space="preserve">)</w:t>
      </w:r>
    </w:p>
    <w:p>
      <w:pPr>
        <w:numPr>
          <w:ilvl w:val="0"/>
          <w:numId w:val="1005"/>
        </w:numPr>
        <w:pStyle w:val="Compact"/>
      </w:pPr>
      <w:r>
        <w:rPr>
          <w:bCs/>
          <w:b/>
        </w:rPr>
        <w:t xml:space="preserve">Purpose:</w:t>
      </w:r>
      <w:r>
        <w:t xml:space="preserve"> </w:t>
      </w:r>
      <w:r>
        <w:t xml:space="preserve">Scrap metal processing and environmental impact tracking</w:t>
      </w:r>
    </w:p>
    <w:p>
      <w:pPr>
        <w:numPr>
          <w:ilvl w:val="0"/>
          <w:numId w:val="1005"/>
        </w:numPr>
        <w:pStyle w:val="Compact"/>
      </w:pPr>
      <w:r>
        <w:rPr>
          <w:bCs/>
          <w:b/>
        </w:rPr>
        <w:t xml:space="preserve">Features:</w:t>
      </w:r>
      <w:r>
        <w:t xml:space="preserve"> </w:t>
      </w:r>
      <w:r>
        <w:t xml:space="preserve">Material type classification, weight logging, CO2e displacement calculation, recovery rate analytics</w:t>
      </w:r>
    </w:p>
    <w:p>
      <w:pPr>
        <w:numPr>
          <w:ilvl w:val="0"/>
          <w:numId w:val="1005"/>
        </w:numPr>
        <w:pStyle w:val="Compact"/>
      </w:pPr>
      <w:r>
        <w:rPr>
          <w:bCs/>
          <w:b/>
        </w:rPr>
        <w:t xml:space="preserve">Database Model:</w:t>
      </w:r>
      <w:r>
        <w:t xml:space="preserve"> </w:t>
      </w:r>
      <w:r>
        <w:rPr>
          <w:rStyle w:val="VerbatimChar"/>
        </w:rPr>
        <w:t xml:space="preserve">MetalRecoveryLog</w:t>
      </w:r>
      <w:r>
        <w:t xml:space="preserve"> </w:t>
      </w:r>
      <w:r>
        <w:t xml:space="preserve">— ferrous/non-ferrous, weight, purity, CO2 displaced</w:t>
      </w:r>
    </w:p>
    <w:p>
      <w:pPr>
        <w:numPr>
          <w:ilvl w:val="0"/>
          <w:numId w:val="1005"/>
        </w:numPr>
        <w:pStyle w:val="Compact"/>
      </w:pPr>
      <w:r>
        <w:rPr>
          <w:bCs/>
          <w:b/>
        </w:rPr>
        <w:t xml:space="preserve">APIs:</w:t>
      </w:r>
    </w:p>
    <w:p>
      <w:pPr>
        <w:numPr>
          <w:ilvl w:val="1"/>
          <w:numId w:val="1006"/>
        </w:numPr>
        <w:pStyle w:val="Compact"/>
      </w:pPr>
      <w:r>
        <w:rPr>
          <w:rStyle w:val="VerbatimChar"/>
        </w:rPr>
        <w:t xml:space="preserve">GET/POST /api/metal</w:t>
      </w:r>
      <w:r>
        <w:t xml:space="preserve"> </w:t>
      </w:r>
      <w:r>
        <w:t xml:space="preserve">— list/create recovery logs</w:t>
      </w:r>
    </w:p>
    <w:p>
      <w:pPr>
        <w:numPr>
          <w:ilvl w:val="1"/>
          <w:numId w:val="1006"/>
        </w:numPr>
        <w:pStyle w:val="Compact"/>
      </w:pPr>
      <w:r>
        <w:rPr>
          <w:rStyle w:val="VerbatimChar"/>
        </w:rPr>
        <w:t xml:space="preserve">GET /api/metal/stats</w:t>
      </w:r>
      <w:r>
        <w:t xml:space="preserve"> </w:t>
      </w:r>
      <w:r>
        <w:t xml:space="preserve">— aggregate metal recovery statistics</w:t>
      </w:r>
    </w:p>
    <w:bookmarkEnd w:id="26"/>
    <w:bookmarkStart w:id="27" w:name="Xaa77928a56b74c718d2be87c5d37122ff2d53c4"/>
    <w:p>
      <w:pPr>
        <w:pStyle w:val="Heading3"/>
      </w:pPr>
      <w:r>
        <w:t xml:space="preserve">4.4 Digital Vault (</w:t>
      </w:r>
      <w:r>
        <w:rPr>
          <w:rStyle w:val="VerbatimChar"/>
        </w:rPr>
        <w:t xml:space="preserve">/vault</w:t>
      </w:r>
      <w:r>
        <w:t xml:space="preserve">,</w:t>
      </w:r>
      <w:r>
        <w:t xml:space="preserve"> </w:t>
      </w:r>
      <w:r>
        <w:rPr>
          <w:rStyle w:val="VerbatimChar"/>
        </w:rPr>
        <w:t xml:space="preserve">/vault/history</w:t>
      </w:r>
      <w:r>
        <w:t xml:space="preserve">,</w:t>
      </w:r>
      <w:r>
        <w:t xml:space="preserve"> </w:t>
      </w:r>
      <w:r>
        <w:rPr>
          <w:rStyle w:val="VerbatimChar"/>
        </w:rPr>
        <w:t xml:space="preserve">/vault/settings</w:t>
      </w:r>
      <w:r>
        <w:t xml:space="preserve">,</w:t>
      </w:r>
      <w:r>
        <w:t xml:space="preserve"> </w:t>
      </w:r>
      <w:r>
        <w:rPr>
          <w:rStyle w:val="VerbatimChar"/>
        </w:rPr>
        <w:t xml:space="preserve">/vault/community</w:t>
      </w:r>
      <w:r>
        <w:t xml:space="preserve">)</w:t>
      </w:r>
    </w:p>
    <w:p>
      <w:pPr>
        <w:numPr>
          <w:ilvl w:val="0"/>
          <w:numId w:val="1007"/>
        </w:numPr>
        <w:pStyle w:val="Compact"/>
      </w:pPr>
      <w:r>
        <w:rPr>
          <w:bCs/>
          <w:b/>
        </w:rPr>
        <w:t xml:space="preserve">Purpose:</w:t>
      </w:r>
      <w:r>
        <w:t xml:space="preserve"> </w:t>
      </w:r>
      <w:r>
        <w:t xml:space="preserve">Secure document storage, verification, and compliance attestation</w:t>
      </w:r>
    </w:p>
    <w:p>
      <w:pPr>
        <w:numPr>
          <w:ilvl w:val="0"/>
          <w:numId w:val="1007"/>
        </w:numPr>
        <w:pStyle w:val="Compact"/>
      </w:pPr>
      <w:r>
        <w:rPr>
          <w:bCs/>
          <w:b/>
        </w:rPr>
        <w:t xml:space="preserve">Features:</w:t>
      </w:r>
    </w:p>
    <w:p>
      <w:pPr>
        <w:numPr>
          <w:ilvl w:val="1"/>
          <w:numId w:val="1008"/>
        </w:numPr>
        <w:pStyle w:val="Compact"/>
      </w:pPr>
      <w:r>
        <w:rPr>
          <w:bCs/>
          <w:b/>
        </w:rPr>
        <w:t xml:space="preserve">Vault Nodes</w:t>
      </w:r>
      <w:r>
        <w:t xml:space="preserve"> </w:t>
      </w:r>
      <w:r>
        <w:t xml:space="preserve">— Distributed verification infrastructure</w:t>
      </w:r>
    </w:p>
    <w:p>
      <w:pPr>
        <w:numPr>
          <w:ilvl w:val="1"/>
          <w:numId w:val="1008"/>
        </w:numPr>
        <w:pStyle w:val="Compact"/>
      </w:pPr>
      <w:r>
        <w:rPr>
          <w:bCs/>
          <w:b/>
        </w:rPr>
        <w:t xml:space="preserve">Logistics Audit</w:t>
      </w:r>
      <w:r>
        <w:t xml:space="preserve"> </w:t>
      </w:r>
      <w:r>
        <w:t xml:space="preserve">— Supply chain document verification</w:t>
      </w:r>
    </w:p>
    <w:p>
      <w:pPr>
        <w:numPr>
          <w:ilvl w:val="1"/>
          <w:numId w:val="1008"/>
        </w:numPr>
        <w:pStyle w:val="Compact"/>
      </w:pPr>
      <w:r>
        <w:rPr>
          <w:bCs/>
          <w:b/>
        </w:rPr>
        <w:t xml:space="preserve">Destruction Proof</w:t>
      </w:r>
      <w:r>
        <w:t xml:space="preserve"> </w:t>
      </w:r>
      <w:r>
        <w:t xml:space="preserve">— Certified destruction records</w:t>
      </w:r>
    </w:p>
    <w:p>
      <w:pPr>
        <w:numPr>
          <w:ilvl w:val="1"/>
          <w:numId w:val="1008"/>
        </w:numPr>
        <w:pStyle w:val="Compact"/>
      </w:pPr>
      <w:r>
        <w:rPr>
          <w:bCs/>
          <w:b/>
        </w:rPr>
        <w:t xml:space="preserve">AI Compliance Check</w:t>
      </w:r>
      <w:r>
        <w:t xml:space="preserve"> </w:t>
      </w:r>
      <w:r>
        <w:t xml:space="preserve">— LLM-powered document analysis</w:t>
      </w:r>
    </w:p>
    <w:p>
      <w:pPr>
        <w:numPr>
          <w:ilvl w:val="0"/>
          <w:numId w:val="1007"/>
        </w:numPr>
        <w:pStyle w:val="Compact"/>
      </w:pPr>
      <w:r>
        <w:rPr>
          <w:bCs/>
          <w:b/>
        </w:rPr>
        <w:t xml:space="preserve">Database Models:</w:t>
      </w:r>
      <w:r>
        <w:t xml:space="preserve"> </w:t>
      </w:r>
      <w:r>
        <w:rPr>
          <w:rStyle w:val="VerbatimChar"/>
        </w:rPr>
        <w:t xml:space="preserve">VaultNode</w:t>
      </w:r>
      <w:r>
        <w:t xml:space="preserve">,</w:t>
      </w:r>
      <w:r>
        <w:t xml:space="preserve"> </w:t>
      </w:r>
      <w:r>
        <w:rPr>
          <w:rStyle w:val="VerbatimChar"/>
        </w:rPr>
        <w:t xml:space="preserve">VaultNodeOperator</w:t>
      </w:r>
      <w:r>
        <w:t xml:space="preserve">,</w:t>
      </w:r>
      <w:r>
        <w:t xml:space="preserve"> </w:t>
      </w:r>
      <w:r>
        <w:rPr>
          <w:rStyle w:val="VerbatimChar"/>
        </w:rPr>
        <w:t xml:space="preserve">VaultVerification</w:t>
      </w:r>
    </w:p>
    <w:p>
      <w:pPr>
        <w:numPr>
          <w:ilvl w:val="0"/>
          <w:numId w:val="1007"/>
        </w:numPr>
        <w:pStyle w:val="Compact"/>
      </w:pPr>
      <w:r>
        <w:rPr>
          <w:bCs/>
          <w:b/>
        </w:rPr>
        <w:t xml:space="preserve">APIs:</w:t>
      </w:r>
    </w:p>
    <w:p>
      <w:pPr>
        <w:numPr>
          <w:ilvl w:val="1"/>
          <w:numId w:val="1009"/>
        </w:numPr>
        <w:pStyle w:val="Compact"/>
      </w:pPr>
      <w:r>
        <w:rPr>
          <w:rStyle w:val="VerbatimChar"/>
        </w:rPr>
        <w:t xml:space="preserve">GET /api/vault</w:t>
      </w:r>
      <w:r>
        <w:t xml:space="preserve"> </w:t>
      </w:r>
      <w:r>
        <w:t xml:space="preserve">— vault contents</w:t>
      </w:r>
    </w:p>
    <w:p>
      <w:pPr>
        <w:numPr>
          <w:ilvl w:val="1"/>
          <w:numId w:val="1009"/>
        </w:numPr>
        <w:pStyle w:val="Compact"/>
      </w:pPr>
      <w:r>
        <w:rPr>
          <w:rStyle w:val="VerbatimChar"/>
        </w:rPr>
        <w:t xml:space="preserve">POST/GET/PUT /api/vault/logistics-audit</w:t>
      </w:r>
      <w:r>
        <w:t xml:space="preserve"> </w:t>
      </w:r>
      <w:r>
        <w:t xml:space="preserve">— logistics audit CRUD</w:t>
      </w:r>
    </w:p>
    <w:p>
      <w:pPr>
        <w:numPr>
          <w:ilvl w:val="1"/>
          <w:numId w:val="1009"/>
        </w:numPr>
        <w:pStyle w:val="Compact"/>
      </w:pPr>
      <w:r>
        <w:rPr>
          <w:rStyle w:val="VerbatimChar"/>
        </w:rPr>
        <w:t xml:space="preserve">POST/PUT /api/vault/destruction-proof</w:t>
      </w:r>
      <w:r>
        <w:t xml:space="preserve"> </w:t>
      </w:r>
      <w:r>
        <w:t xml:space="preserve">— destruction proof management</w:t>
      </w:r>
    </w:p>
    <w:p>
      <w:pPr>
        <w:numPr>
          <w:ilvl w:val="1"/>
          <w:numId w:val="1009"/>
        </w:numPr>
        <w:pStyle w:val="Compact"/>
      </w:pPr>
      <w:r>
        <w:rPr>
          <w:rStyle w:val="VerbatimChar"/>
        </w:rPr>
        <w:t xml:space="preserve">POST /api/vault/ai-check</w:t>
      </w:r>
      <w:r>
        <w:t xml:space="preserve"> </w:t>
      </w:r>
      <w:r>
        <w:t xml:space="preserve">— AI-powered compliance verification</w:t>
      </w:r>
    </w:p>
    <w:bookmarkEnd w:id="27"/>
    <w:bookmarkStart w:id="28" w:name="universal-ledger-ledger"/>
    <w:p>
      <w:pPr>
        <w:pStyle w:val="Heading3"/>
      </w:pPr>
      <w:r>
        <w:t xml:space="preserve">4.5 Universal Ledger (</w:t>
      </w:r>
      <w:r>
        <w:rPr>
          <w:rStyle w:val="VerbatimChar"/>
        </w:rPr>
        <w:t xml:space="preserve">/ledger</w:t>
      </w:r>
      <w:r>
        <w:t xml:space="preserve">)</w:t>
      </w:r>
    </w:p>
    <w:p>
      <w:pPr>
        <w:numPr>
          <w:ilvl w:val="0"/>
          <w:numId w:val="1010"/>
        </w:numPr>
        <w:pStyle w:val="Compact"/>
      </w:pPr>
      <w:r>
        <w:rPr>
          <w:bCs/>
          <w:b/>
        </w:rPr>
        <w:t xml:space="preserve">Purpose:</w:t>
      </w:r>
      <w:r>
        <w:t xml:space="preserve"> </w:t>
      </w:r>
      <w:r>
        <w:t xml:space="preserve">Master environmental accounting ledger with multi-chain settlement</w:t>
      </w:r>
    </w:p>
    <w:p>
      <w:pPr>
        <w:numPr>
          <w:ilvl w:val="0"/>
          <w:numId w:val="1010"/>
        </w:numPr>
        <w:pStyle w:val="Compact"/>
      </w:pPr>
      <w:r>
        <w:rPr>
          <w:bCs/>
          <w:b/>
        </w:rPr>
        <w:t xml:space="preserve">Features:</w:t>
      </w:r>
    </w:p>
    <w:p>
      <w:pPr>
        <w:numPr>
          <w:ilvl w:val="1"/>
          <w:numId w:val="1011"/>
        </w:numPr>
        <w:pStyle w:val="Compact"/>
      </w:pPr>
      <w:r>
        <w:t xml:space="preserve">Cross-chain settlement (Solana + Hedera + Polygon)</w:t>
      </w:r>
    </w:p>
    <w:p>
      <w:pPr>
        <w:numPr>
          <w:ilvl w:val="1"/>
          <w:numId w:val="1011"/>
        </w:numPr>
        <w:pStyle w:val="Compact"/>
      </w:pPr>
      <w:r>
        <w:t xml:space="preserve">16 entry types (Carbon Credit, Biochar CDR, Metal Recovery, Water Savings, etc.)</w:t>
      </w:r>
    </w:p>
    <w:p>
      <w:pPr>
        <w:numPr>
          <w:ilvl w:val="1"/>
          <w:numId w:val="1011"/>
        </w:numPr>
        <w:pStyle w:val="Compact"/>
      </w:pPr>
      <w:r>
        <w:t xml:space="preserve">Real-time balance tracking with ISO date precision</w:t>
      </w:r>
    </w:p>
    <w:p>
      <w:pPr>
        <w:numPr>
          <w:ilvl w:val="1"/>
          <w:numId w:val="1011"/>
        </w:numPr>
        <w:pStyle w:val="Compact"/>
      </w:pPr>
      <w:r>
        <w:t xml:space="preserve">Trade settlement with ticker feed</w:t>
      </w:r>
    </w:p>
    <w:p>
      <w:pPr>
        <w:numPr>
          <w:ilvl w:val="1"/>
          <w:numId w:val="1011"/>
        </w:numPr>
        <w:pStyle w:val="Compact"/>
      </w:pPr>
      <w:r>
        <w:t xml:space="preserve">Test settlement sandbox</w:t>
      </w:r>
    </w:p>
    <w:p>
      <w:pPr>
        <w:numPr>
          <w:ilvl w:val="0"/>
          <w:numId w:val="1010"/>
        </w:numPr>
        <w:pStyle w:val="Compact"/>
      </w:pPr>
      <w:r>
        <w:rPr>
          <w:bCs/>
          <w:b/>
        </w:rPr>
        <w:t xml:space="preserve">Database Model:</w:t>
      </w:r>
      <w:r>
        <w:t xml:space="preserve"> </w:t>
      </w:r>
      <w:r>
        <w:rPr>
          <w:rStyle w:val="VerbatimChar"/>
        </w:rPr>
        <w:t xml:space="preserve">UniversalLedgerEntry</w:t>
      </w:r>
      <w:r>
        <w:t xml:space="preserve"> </w:t>
      </w:r>
      <w:r>
        <w:t xml:space="preserve">— amount, unit, chain, tx hash, verification status</w:t>
      </w:r>
    </w:p>
    <w:p>
      <w:pPr>
        <w:numPr>
          <w:ilvl w:val="0"/>
          <w:numId w:val="1010"/>
        </w:numPr>
        <w:pStyle w:val="Compact"/>
      </w:pPr>
      <w:r>
        <w:rPr>
          <w:bCs/>
          <w:b/>
        </w:rPr>
        <w:t xml:space="preserve">APIs:</w:t>
      </w:r>
    </w:p>
    <w:p>
      <w:pPr>
        <w:numPr>
          <w:ilvl w:val="1"/>
          <w:numId w:val="1012"/>
        </w:numPr>
        <w:pStyle w:val="Compact"/>
      </w:pPr>
      <w:r>
        <w:rPr>
          <w:rStyle w:val="VerbatimChar"/>
        </w:rPr>
        <w:t xml:space="preserve">GET/POST /api/ledger</w:t>
      </w:r>
      <w:r>
        <w:t xml:space="preserve"> </w:t>
      </w:r>
      <w:r>
        <w:t xml:space="preserve">— ledger entry CRUD (supports filters: type, chain, dateRange, status)</w:t>
      </w:r>
    </w:p>
    <w:p>
      <w:pPr>
        <w:numPr>
          <w:ilvl w:val="1"/>
          <w:numId w:val="1012"/>
        </w:numPr>
        <w:pStyle w:val="Compact"/>
      </w:pPr>
      <w:r>
        <w:rPr>
          <w:rStyle w:val="VerbatimChar"/>
        </w:rPr>
        <w:t xml:space="preserve">GET/POST /api/ledger/test-settlement</w:t>
      </w:r>
      <w:r>
        <w:t xml:space="preserve"> </w:t>
      </w:r>
      <w:r>
        <w:t xml:space="preserve">— settlement sandbox</w:t>
      </w:r>
    </w:p>
    <w:p>
      <w:pPr>
        <w:numPr>
          <w:ilvl w:val="1"/>
          <w:numId w:val="1012"/>
        </w:numPr>
        <w:pStyle w:val="Compact"/>
      </w:pPr>
      <w:r>
        <w:rPr>
          <w:rStyle w:val="VerbatimChar"/>
        </w:rPr>
        <w:t xml:space="preserve">GET/POST /api/trade-settlement</w:t>
      </w:r>
      <w:r>
        <w:t xml:space="preserve"> </w:t>
      </w:r>
      <w:r>
        <w:t xml:space="preserve">— trade settlement engine</w:t>
      </w:r>
    </w:p>
    <w:p>
      <w:pPr>
        <w:numPr>
          <w:ilvl w:val="1"/>
          <w:numId w:val="1012"/>
        </w:numPr>
        <w:pStyle w:val="Compact"/>
      </w:pPr>
      <w:r>
        <w:rPr>
          <w:rStyle w:val="VerbatimChar"/>
        </w:rPr>
        <w:t xml:space="preserve">GET /api/trade-settlement/ticker</w:t>
      </w:r>
      <w:r>
        <w:t xml:space="preserve"> </w:t>
      </w:r>
      <w:r>
        <w:t xml:space="preserve">— live trade ticker</w:t>
      </w:r>
    </w:p>
    <w:p>
      <w:pPr>
        <w:numPr>
          <w:ilvl w:val="1"/>
          <w:numId w:val="1012"/>
        </w:numPr>
        <w:pStyle w:val="Compact"/>
      </w:pPr>
      <w:r>
        <w:rPr>
          <w:rStyle w:val="VerbatimChar"/>
        </w:rPr>
        <w:t xml:space="preserve">GET /api/global-ledger</w:t>
      </w:r>
      <w:r>
        <w:t xml:space="preserve"> </w:t>
      </w:r>
      <w:r>
        <w:t xml:space="preserve">— public global ledger view</w:t>
      </w:r>
    </w:p>
    <w:bookmarkEnd w:id="28"/>
    <w:bookmarkStart w:id="29" w:name="X6ae4501c3aaa77f64ce972a2dabd54340ba3609"/>
    <w:p>
      <w:pPr>
        <w:pStyle w:val="Heading3"/>
      </w:pPr>
      <w:r>
        <w:t xml:space="preserve">4.6 Business Submission Portal (</w:t>
      </w:r>
      <w:r>
        <w:rPr>
          <w:rStyle w:val="VerbatimChar"/>
        </w:rPr>
        <w:t xml:space="preserve">/submission-portal</w:t>
      </w:r>
      <w:r>
        <w:t xml:space="preserve">)</w:t>
      </w:r>
    </w:p>
    <w:p>
      <w:pPr>
        <w:numPr>
          <w:ilvl w:val="0"/>
          <w:numId w:val="1013"/>
        </w:numPr>
        <w:pStyle w:val="Compact"/>
      </w:pPr>
      <w:r>
        <w:rPr>
          <w:bCs/>
          <w:b/>
        </w:rPr>
        <w:t xml:space="preserve">Purpose:</w:t>
      </w:r>
      <w:r>
        <w:t xml:space="preserve"> </w:t>
      </w:r>
      <w:r>
        <w:t xml:space="preserve">“</w:t>
      </w:r>
      <w:r>
        <w:t xml:space="preserve">Corporate Gatehouse</w:t>
      </w:r>
      <w:r>
        <w:t xml:space="preserve">”</w:t>
      </w:r>
      <w:r>
        <w:t xml:space="preserve"> </w:t>
      </w:r>
      <w:r>
        <w:t xml:space="preserve">— businesses submit environmental documents for forensic analysis</w:t>
      </w:r>
    </w:p>
    <w:p>
      <w:pPr>
        <w:numPr>
          <w:ilvl w:val="0"/>
          <w:numId w:val="1013"/>
        </w:numPr>
        <w:pStyle w:val="Compact"/>
      </w:pPr>
      <w:r>
        <w:rPr>
          <w:bCs/>
          <w:b/>
        </w:rPr>
        <w:t xml:space="preserve">Workflow:</w:t>
      </w:r>
    </w:p>
    <w:p>
      <w:pPr>
        <w:numPr>
          <w:ilvl w:val="1"/>
          <w:numId w:val="1014"/>
        </w:numPr>
        <w:pStyle w:val="Compact"/>
      </w:pPr>
      <w:r>
        <w:t xml:space="preserve">Business submits documents (drag-and-drop, multi-track: Carbon, Water, Energy, Waste, Social)</w:t>
      </w:r>
    </w:p>
    <w:p>
      <w:pPr>
        <w:numPr>
          <w:ilvl w:val="1"/>
          <w:numId w:val="1014"/>
        </w:numPr>
        <w:pStyle w:val="Compact"/>
      </w:pPr>
      <w:r>
        <w:t xml:space="preserve">AI Forensic Parser analyzes documents via LLM API</w:t>
      </w:r>
    </w:p>
    <w:p>
      <w:pPr>
        <w:numPr>
          <w:ilvl w:val="1"/>
          <w:numId w:val="1014"/>
        </w:numPr>
        <w:pStyle w:val="Compact"/>
      </w:pPr>
      <w:r>
        <w:t xml:space="preserve">Settlement Engine applies</w:t>
      </w:r>
      <w:r>
        <w:t xml:space="preserve"> </w:t>
      </w:r>
      <w:r>
        <w:rPr>
          <w:bCs/>
          <w:b/>
        </w:rPr>
        <w:t xml:space="preserve">70/20/10 split</w:t>
      </w:r>
      <w:r>
        <w:t xml:space="preserve"> </w:t>
      </w:r>
      <w:r>
        <w:t xml:space="preserve">(70% Platform Credit, 20% Submitter Incentive, 10% Community Reserve)</w:t>
      </w:r>
    </w:p>
    <w:p>
      <w:pPr>
        <w:numPr>
          <w:ilvl w:val="1"/>
          <w:numId w:val="1014"/>
        </w:numPr>
        <w:pStyle w:val="Compact"/>
      </w:pPr>
      <w:r>
        <w:t xml:space="preserve">Sovereign Certificate PDF generated with Solana attestation</w:t>
      </w:r>
    </w:p>
    <w:p>
      <w:pPr>
        <w:numPr>
          <w:ilvl w:val="0"/>
          <w:numId w:val="1013"/>
        </w:numPr>
        <w:pStyle w:val="Compact"/>
      </w:pPr>
      <w:r>
        <w:rPr>
          <w:bCs/>
          <w:b/>
        </w:rPr>
        <w:t xml:space="preserve">Database Models:</w:t>
      </w:r>
    </w:p>
    <w:p>
      <w:pPr>
        <w:numPr>
          <w:ilvl w:val="1"/>
          <w:numId w:val="1015"/>
        </w:numPr>
        <w:pStyle w:val="Compact"/>
      </w:pPr>
      <w:r>
        <w:rPr>
          <w:rStyle w:val="VerbatimChar"/>
        </w:rPr>
        <w:t xml:space="preserve">Submission</w:t>
      </w:r>
      <w:r>
        <w:t xml:space="preserve"> </w:t>
      </w:r>
      <w:r>
        <w:t xml:space="preserve">— company info, status, AI analysis results, settlement data</w:t>
      </w:r>
    </w:p>
    <w:p>
      <w:pPr>
        <w:numPr>
          <w:ilvl w:val="1"/>
          <w:numId w:val="1015"/>
        </w:numPr>
        <w:pStyle w:val="Compact"/>
      </w:pPr>
      <w:r>
        <w:rPr>
          <w:rStyle w:val="VerbatimChar"/>
        </w:rPr>
        <w:t xml:space="preserve">SubmissionDocument</w:t>
      </w:r>
      <w:r>
        <w:t xml:space="preserve"> </w:t>
      </w:r>
      <w:r>
        <w:t xml:space="preserve">— individual files with S3 cloud storage paths</w:t>
      </w:r>
    </w:p>
    <w:p>
      <w:pPr>
        <w:numPr>
          <w:ilvl w:val="1"/>
          <w:numId w:val="1015"/>
        </w:numPr>
        <w:pStyle w:val="Compact"/>
      </w:pPr>
      <w:r>
        <w:rPr>
          <w:rStyle w:val="VerbatimChar"/>
        </w:rPr>
        <w:t xml:space="preserve">Settlement</w:t>
      </w:r>
      <w:r>
        <w:t xml:space="preserve"> </w:t>
      </w:r>
      <w:r>
        <w:t xml:space="preserve">— calculated split amounts, blockchain tx signatures</w:t>
      </w:r>
    </w:p>
    <w:p>
      <w:pPr>
        <w:numPr>
          <w:ilvl w:val="0"/>
          <w:numId w:val="1013"/>
        </w:numPr>
        <w:pStyle w:val="Compact"/>
      </w:pPr>
      <w:r>
        <w:rPr>
          <w:bCs/>
          <w:b/>
        </w:rPr>
        <w:t xml:space="preserve">APIs:</w:t>
      </w:r>
    </w:p>
    <w:p>
      <w:pPr>
        <w:numPr>
          <w:ilvl w:val="1"/>
          <w:numId w:val="1016"/>
        </w:numPr>
        <w:pStyle w:val="Compact"/>
      </w:pPr>
      <w:r>
        <w:rPr>
          <w:rStyle w:val="VerbatimChar"/>
        </w:rPr>
        <w:t xml:space="preserve">GET/POST /api/submissions</w:t>
      </w:r>
      <w:r>
        <w:t xml:space="preserve"> </w:t>
      </w:r>
      <w:r>
        <w:t xml:space="preserve">— list/create submissions</w:t>
      </w:r>
    </w:p>
    <w:p>
      <w:pPr>
        <w:numPr>
          <w:ilvl w:val="1"/>
          <w:numId w:val="1016"/>
        </w:numPr>
        <w:pStyle w:val="Compact"/>
      </w:pPr>
      <w:r>
        <w:rPr>
          <w:rStyle w:val="VerbatimChar"/>
        </w:rPr>
        <w:t xml:space="preserve">GET/DELETE /api/submissions/[id]</w:t>
      </w:r>
      <w:r>
        <w:t xml:space="preserve"> </w:t>
      </w:r>
      <w:r>
        <w:t xml:space="preserve">— single submission</w:t>
      </w:r>
    </w:p>
    <w:p>
      <w:pPr>
        <w:numPr>
          <w:ilvl w:val="1"/>
          <w:numId w:val="1016"/>
        </w:numPr>
        <w:pStyle w:val="Compact"/>
      </w:pPr>
      <w:r>
        <w:rPr>
          <w:rStyle w:val="VerbatimChar"/>
        </w:rPr>
        <w:t xml:space="preserve">POST /api/submissions/[id]/parse</w:t>
      </w:r>
      <w:r>
        <w:t xml:space="preserve"> </w:t>
      </w:r>
      <w:r>
        <w:t xml:space="preserve">— trigger AI forensic analysis</w:t>
      </w:r>
    </w:p>
    <w:p>
      <w:pPr>
        <w:numPr>
          <w:ilvl w:val="1"/>
          <w:numId w:val="1016"/>
        </w:numPr>
        <w:pStyle w:val="Compact"/>
      </w:pPr>
      <w:r>
        <w:rPr>
          <w:rStyle w:val="VerbatimChar"/>
        </w:rPr>
        <w:t xml:space="preserve">POST /api/submissions/[id]/settle</w:t>
      </w:r>
      <w:r>
        <w:t xml:space="preserve"> </w:t>
      </w:r>
      <w:r>
        <w:t xml:space="preserve">— execute 70/20/10 settlement</w:t>
      </w:r>
    </w:p>
    <w:p>
      <w:pPr>
        <w:numPr>
          <w:ilvl w:val="1"/>
          <w:numId w:val="1016"/>
        </w:numPr>
        <w:pStyle w:val="Compact"/>
      </w:pPr>
      <w:r>
        <w:rPr>
          <w:rStyle w:val="VerbatimChar"/>
        </w:rPr>
        <w:t xml:space="preserve">POST /api/submissions/[id]/certificate</w:t>
      </w:r>
      <w:r>
        <w:t xml:space="preserve"> </w:t>
      </w:r>
      <w:r>
        <w:t xml:space="preserve">— generate Sovereign Certificate PDF</w:t>
      </w:r>
    </w:p>
    <w:p>
      <w:pPr>
        <w:numPr>
          <w:ilvl w:val="1"/>
          <w:numId w:val="1016"/>
        </w:numPr>
        <w:pStyle w:val="Compact"/>
      </w:pPr>
      <w:r>
        <w:rPr>
          <w:rStyle w:val="VerbatimChar"/>
        </w:rPr>
        <w:t xml:space="preserve">POST /api/upload</w:t>
      </w:r>
      <w:r>
        <w:t xml:space="preserve"> </w:t>
      </w:r>
      <w:r>
        <w:t xml:space="preserve">— S3 presigned URL generation</w:t>
      </w:r>
    </w:p>
    <w:bookmarkEnd w:id="29"/>
    <w:bookmarkStart w:id="30" w:name="aethex-protocol-exitz-integration"/>
    <w:p>
      <w:pPr>
        <w:pStyle w:val="Heading3"/>
      </w:pPr>
      <w:r>
        <w:t xml:space="preserve">4.7 Aethex Protocol / EXITZ Integration</w:t>
      </w:r>
    </w:p>
    <w:p>
      <w:pPr>
        <w:numPr>
          <w:ilvl w:val="0"/>
          <w:numId w:val="1017"/>
        </w:numPr>
        <w:pStyle w:val="Compact"/>
      </w:pPr>
      <w:r>
        <w:t xml:space="preserve">See the</w:t>
      </w:r>
      <w:r>
        <w:t xml:space="preserve"> </w:t>
      </w:r>
      <w:r>
        <w:rPr>
          <w:bCs/>
          <w:b/>
        </w:rPr>
        <w:t xml:space="preserve">Aethexer/EXITZ Project Bible</w:t>
      </w:r>
      <w:r>
        <w:t xml:space="preserve"> </w:t>
      </w:r>
      <w:r>
        <w:t xml:space="preserve">for full details</w:t>
      </w:r>
    </w:p>
    <w:p>
      <w:pPr>
        <w:numPr>
          <w:ilvl w:val="0"/>
          <w:numId w:val="1017"/>
        </w:numPr>
        <w:pStyle w:val="Compact"/>
      </w:pPr>
      <w:r>
        <w:rPr>
          <w:bCs/>
          <w:b/>
        </w:rPr>
        <w:t xml:space="preserve">Key integration:</w:t>
      </w:r>
      <w:r>
        <w:t xml:space="preserve"> </w:t>
      </w:r>
      <w:r>
        <w:t xml:space="preserve">Aethex Protocol routes live inside this codebase</w:t>
      </w:r>
    </w:p>
    <w:p>
      <w:pPr>
        <w:numPr>
          <w:ilvl w:val="0"/>
          <w:numId w:val="1017"/>
        </w:numPr>
        <w:pStyle w:val="Compact"/>
      </w:pPr>
      <w:r>
        <w:rPr>
          <w:bCs/>
          <w:b/>
        </w:rPr>
        <w:t xml:space="preserve">APIs:</w:t>
      </w:r>
      <w:r>
        <w:t xml:space="preserve"> </w:t>
      </w:r>
      <w:r>
        <w:rPr>
          <w:rStyle w:val="VerbatimChar"/>
        </w:rPr>
        <w:t xml:space="preserve">/api/aethex-settlement</w:t>
      </w:r>
      <w:r>
        <w:t xml:space="preserve">,</w:t>
      </w:r>
      <w:r>
        <w:t xml:space="preserve"> </w:t>
      </w:r>
      <w:r>
        <w:rPr>
          <w:rStyle w:val="VerbatimChar"/>
        </w:rPr>
        <w:t xml:space="preserve">/api/aethex/digital-packet</w:t>
      </w:r>
      <w:r>
        <w:t xml:space="preserve">,</w:t>
      </w:r>
      <w:r>
        <w:t xml:space="preserve"> </w:t>
      </w:r>
      <w:r>
        <w:rPr>
          <w:rStyle w:val="VerbatimChar"/>
        </w:rPr>
        <w:t xml:space="preserve">/api/aethex/retroactive-harvest</w:t>
      </w:r>
    </w:p>
    <w:p>
      <w:r>
        <w:pict>
          <v:rect style="width:0;height:1.5pt" o:hralign="center" o:hrstd="t" o:hr="t"/>
        </w:pict>
      </w:r>
    </w:p>
    <w:bookmarkEnd w:id="30"/>
    <w:bookmarkEnd w:id="31"/>
    <w:bookmarkStart w:id="43" w:name="supporting-modules"/>
    <w:p>
      <w:pPr>
        <w:pStyle w:val="Heading2"/>
      </w:pPr>
      <w:r>
        <w:t xml:space="preserve">5. Supporting Modules</w:t>
      </w:r>
    </w:p>
    <w:bookmarkStart w:id="32" w:name="Xab26229ef7927927d1bd9742df7359474833dfb"/>
    <w:p>
      <w:pPr>
        <w:pStyle w:val="Heading3"/>
      </w:pPr>
      <w:r>
        <w:t xml:space="preserve">5.1 Impact Dashboard (</w:t>
      </w:r>
      <w:r>
        <w:rPr>
          <w:rStyle w:val="VerbatimChar"/>
        </w:rPr>
        <w:t xml:space="preserve">/impact</w:t>
      </w:r>
      <w:r>
        <w:t xml:space="preserve">,</w:t>
      </w:r>
      <w:r>
        <w:t xml:space="preserve"> </w:t>
      </w:r>
      <w:r>
        <w:rPr>
          <w:rStyle w:val="VerbatimChar"/>
        </w:rPr>
        <w:t xml:space="preserve">/impact-calculator</w:t>
      </w:r>
      <w:r>
        <w:t xml:space="preserve">)</w:t>
      </w:r>
    </w:p>
    <w:p>
      <w:pPr>
        <w:numPr>
          <w:ilvl w:val="0"/>
          <w:numId w:val="1018"/>
        </w:numPr>
        <w:pStyle w:val="Compact"/>
      </w:pPr>
      <w:r>
        <w:t xml:space="preserve">Environmental impact aggregation across all modules</w:t>
      </w:r>
    </w:p>
    <w:p>
      <w:pPr>
        <w:numPr>
          <w:ilvl w:val="0"/>
          <w:numId w:val="1018"/>
        </w:numPr>
        <w:pStyle w:val="Compact"/>
      </w:pPr>
      <w:r>
        <w:rPr>
          <w:rStyle w:val="VerbatimChar"/>
        </w:rPr>
        <w:t xml:space="preserve">GET/POST /api/impact</w:t>
      </w:r>
      <w:r>
        <w:t xml:space="preserve"> </w:t>
      </w:r>
      <w:r>
        <w:t xml:space="preserve">— impact metrics</w:t>
      </w:r>
    </w:p>
    <w:p>
      <w:pPr>
        <w:numPr>
          <w:ilvl w:val="0"/>
          <w:numId w:val="1018"/>
        </w:numPr>
        <w:pStyle w:val="Compact"/>
      </w:pPr>
      <w:r>
        <w:rPr>
          <w:rStyle w:val="VerbatimChar"/>
        </w:rPr>
        <w:t xml:space="preserve">GET /api/carbon-impact</w:t>
      </w:r>
      <w:r>
        <w:t xml:space="preserve"> </w:t>
      </w:r>
      <w:r>
        <w:t xml:space="preserve">— carbon-specific impact</w:t>
      </w:r>
    </w:p>
    <w:p>
      <w:pPr>
        <w:numPr>
          <w:ilvl w:val="0"/>
          <w:numId w:val="1018"/>
        </w:numPr>
        <w:pStyle w:val="Compact"/>
      </w:pPr>
      <w:r>
        <w:rPr>
          <w:rStyle w:val="VerbatimChar"/>
        </w:rPr>
        <w:t xml:space="preserve">POST /api/carbon-score</w:t>
      </w:r>
      <w:r>
        <w:t xml:space="preserve"> </w:t>
      </w:r>
      <w:r>
        <w:t xml:space="preserve">— carbon scoring</w:t>
      </w:r>
    </w:p>
    <w:bookmarkEnd w:id="32"/>
    <w:bookmarkStart w:id="33" w:name="farmer-registry-farmers"/>
    <w:p>
      <w:pPr>
        <w:pStyle w:val="Heading3"/>
      </w:pPr>
      <w:r>
        <w:t xml:space="preserve">5.2 Farmer Registry (</w:t>
      </w:r>
      <w:r>
        <w:rPr>
          <w:rStyle w:val="VerbatimChar"/>
        </w:rPr>
        <w:t xml:space="preserve">/farmers</w:t>
      </w:r>
      <w:r>
        <w:t xml:space="preserve">)</w:t>
      </w:r>
    </w:p>
    <w:p>
      <w:pPr>
        <w:numPr>
          <w:ilvl w:val="0"/>
          <w:numId w:val="1019"/>
        </w:numPr>
        <w:pStyle w:val="Compact"/>
      </w:pPr>
      <w:r>
        <w:t xml:space="preserve">Agricultural partner management</w:t>
      </w:r>
    </w:p>
    <w:p>
      <w:pPr>
        <w:numPr>
          <w:ilvl w:val="0"/>
          <w:numId w:val="1019"/>
        </w:numPr>
        <w:pStyle w:val="Compact"/>
      </w:pPr>
      <w:r>
        <w:rPr>
          <w:rStyle w:val="VerbatimChar"/>
        </w:rPr>
        <w:t xml:space="preserve">GET/POST /api/farmers</w:t>
      </w:r>
      <w:r>
        <w:t xml:space="preserve">,</w:t>
      </w:r>
      <w:r>
        <w:t xml:space="preserve"> </w:t>
      </w:r>
      <w:r>
        <w:rPr>
          <w:rStyle w:val="VerbatimChar"/>
        </w:rPr>
        <w:t xml:space="preserve">GET/PATCH/DELETE /api/farmers/[id]</w:t>
      </w:r>
    </w:p>
    <w:p>
      <w:pPr>
        <w:numPr>
          <w:ilvl w:val="0"/>
          <w:numId w:val="1019"/>
        </w:numPr>
        <w:pStyle w:val="Compact"/>
      </w:pPr>
      <w:r>
        <w:rPr>
          <w:rStyle w:val="VerbatimChar"/>
        </w:rPr>
        <w:t xml:space="preserve">GET/POST /api/credits</w:t>
      </w:r>
      <w:r>
        <w:t xml:space="preserve"> </w:t>
      </w:r>
      <w:r>
        <w:t xml:space="preserve">— farmer credit management</w:t>
      </w:r>
    </w:p>
    <w:bookmarkEnd w:id="33"/>
    <w:bookmarkStart w:id="34" w:name="analytics-dashboard-analytics"/>
    <w:p>
      <w:pPr>
        <w:pStyle w:val="Heading3"/>
      </w:pPr>
      <w:r>
        <w:t xml:space="preserve">5.3 Analytics Dashboard (</w:t>
      </w:r>
      <w:r>
        <w:rPr>
          <w:rStyle w:val="VerbatimChar"/>
        </w:rPr>
        <w:t xml:space="preserve">/analytics</w:t>
      </w:r>
      <w:r>
        <w:t xml:space="preserve">)</w:t>
      </w:r>
    </w:p>
    <w:p>
      <w:pPr>
        <w:numPr>
          <w:ilvl w:val="0"/>
          <w:numId w:val="1020"/>
        </w:numPr>
        <w:pStyle w:val="Compact"/>
      </w:pPr>
      <w:r>
        <w:t xml:space="preserve">Platform-wide analytics and reporting</w:t>
      </w:r>
    </w:p>
    <w:p>
      <w:pPr>
        <w:numPr>
          <w:ilvl w:val="0"/>
          <w:numId w:val="1020"/>
        </w:numPr>
        <w:pStyle w:val="Compact"/>
      </w:pPr>
      <w:r>
        <w:rPr>
          <w:rStyle w:val="VerbatimChar"/>
        </w:rPr>
        <w:t xml:space="preserve">GET /api/analytics</w:t>
      </w:r>
      <w:r>
        <w:t xml:space="preserve"> </w:t>
      </w:r>
      <w:r>
        <w:t xml:space="preserve">— aggregate analytics</w:t>
      </w:r>
    </w:p>
    <w:p>
      <w:pPr>
        <w:numPr>
          <w:ilvl w:val="0"/>
          <w:numId w:val="1020"/>
        </w:numPr>
        <w:pStyle w:val="Compact"/>
      </w:pPr>
      <w:r>
        <w:rPr>
          <w:rStyle w:val="VerbatimChar"/>
        </w:rPr>
        <w:t xml:space="preserve">GET /api/stats</w:t>
      </w:r>
      <w:r>
        <w:t xml:space="preserve"> </w:t>
      </w:r>
      <w:r>
        <w:t xml:space="preserve">— platform statistics</w:t>
      </w:r>
    </w:p>
    <w:p>
      <w:pPr>
        <w:numPr>
          <w:ilvl w:val="0"/>
          <w:numId w:val="1020"/>
        </w:numPr>
        <w:pStyle w:val="Compact"/>
      </w:pPr>
      <w:r>
        <w:rPr>
          <w:rStyle w:val="VerbatimChar"/>
        </w:rPr>
        <w:t xml:space="preserve">GET /api/leaderboard</w:t>
      </w:r>
      <w:r>
        <w:t xml:space="preserve"> </w:t>
      </w:r>
      <w:r>
        <w:t xml:space="preserve">— participant leaderboard</w:t>
      </w:r>
    </w:p>
    <w:bookmarkEnd w:id="34"/>
    <w:bookmarkStart w:id="35" w:name="X4fec870d61bd65e78ee5467507890649c95ec60"/>
    <w:p>
      <w:pPr>
        <w:pStyle w:val="Heading3"/>
      </w:pPr>
      <w:r>
        <w:t xml:space="preserve">5.4 Agent Portal (</w:t>
      </w:r>
      <w:r>
        <w:rPr>
          <w:rStyle w:val="VerbatimChar"/>
        </w:rPr>
        <w:t xml:space="preserve">/agent-portal</w:t>
      </w:r>
      <w:r>
        <w:t xml:space="preserve">,</w:t>
      </w:r>
      <w:r>
        <w:t xml:space="preserve"> </w:t>
      </w:r>
      <w:r>
        <w:rPr>
          <w:rStyle w:val="VerbatimChar"/>
        </w:rPr>
        <w:t xml:space="preserve">/agent-portal/verification-queue</w:t>
      </w:r>
      <w:r>
        <w:t xml:space="preserve">)</w:t>
      </w:r>
    </w:p>
    <w:p>
      <w:pPr>
        <w:numPr>
          <w:ilvl w:val="0"/>
          <w:numId w:val="1021"/>
        </w:numPr>
        <w:pStyle w:val="Compact"/>
      </w:pPr>
      <w:r>
        <w:t xml:space="preserve">Verification agent interface for reviewing submissions</w:t>
      </w:r>
    </w:p>
    <w:p>
      <w:pPr>
        <w:numPr>
          <w:ilvl w:val="0"/>
          <w:numId w:val="1021"/>
        </w:numPr>
        <w:pStyle w:val="Compact"/>
      </w:pPr>
      <w:r>
        <w:rPr>
          <w:rStyle w:val="VerbatimChar"/>
        </w:rPr>
        <w:t xml:space="preserve">GET/POST /api/agent/verification-queue</w:t>
      </w:r>
      <w:r>
        <w:t xml:space="preserve"> </w:t>
      </w:r>
      <w:r>
        <w:t xml:space="preserve">— queue management</w:t>
      </w:r>
    </w:p>
    <w:p>
      <w:pPr>
        <w:numPr>
          <w:ilvl w:val="0"/>
          <w:numId w:val="1021"/>
        </w:numPr>
        <w:pStyle w:val="Compact"/>
      </w:pPr>
      <w:r>
        <w:rPr>
          <w:rStyle w:val="VerbatimChar"/>
        </w:rPr>
        <w:t xml:space="preserve">GET /api/agent/pending-counts</w:t>
      </w:r>
      <w:r>
        <w:t xml:space="preserve"> </w:t>
      </w:r>
      <w:r>
        <w:t xml:space="preserve">— pending verification counts</w:t>
      </w:r>
    </w:p>
    <w:p>
      <w:pPr>
        <w:numPr>
          <w:ilvl w:val="0"/>
          <w:numId w:val="1021"/>
        </w:numPr>
        <w:pStyle w:val="Compact"/>
      </w:pPr>
      <w:r>
        <w:rPr>
          <w:rStyle w:val="VerbatimChar"/>
        </w:rPr>
        <w:t xml:space="preserve">POST /api/agent/register-farmer</w:t>
      </w:r>
      <w:r>
        <w:t xml:space="preserve"> </w:t>
      </w:r>
      <w:r>
        <w:t xml:space="preserve">— agent-initiated farmer registration</w:t>
      </w:r>
    </w:p>
    <w:bookmarkEnd w:id="35"/>
    <w:bookmarkStart w:id="36" w:name="legacy-healer-legacy-healer"/>
    <w:p>
      <w:pPr>
        <w:pStyle w:val="Heading3"/>
      </w:pPr>
      <w:r>
        <w:t xml:space="preserve">5.5 Legacy Healer (</w:t>
      </w:r>
      <w:r>
        <w:rPr>
          <w:rStyle w:val="VerbatimChar"/>
        </w:rPr>
        <w:t xml:space="preserve">/legacy-healer</w:t>
      </w:r>
      <w:r>
        <w:t xml:space="preserve">)</w:t>
      </w:r>
    </w:p>
    <w:p>
      <w:pPr>
        <w:numPr>
          <w:ilvl w:val="0"/>
          <w:numId w:val="1022"/>
        </w:numPr>
        <w:pStyle w:val="Compact"/>
      </w:pPr>
      <w:r>
        <w:t xml:space="preserve">Legacy data migration and healing tool</w:t>
      </w:r>
    </w:p>
    <w:p>
      <w:pPr>
        <w:numPr>
          <w:ilvl w:val="0"/>
          <w:numId w:val="1022"/>
        </w:numPr>
        <w:pStyle w:val="Compact"/>
      </w:pPr>
      <w:r>
        <w:rPr>
          <w:rStyle w:val="VerbatimChar"/>
        </w:rPr>
        <w:t xml:space="preserve">GET/POST /api/legacy-healer</w:t>
      </w:r>
      <w:r>
        <w:t xml:space="preserve"> </w:t>
      </w:r>
      <w:r>
        <w:t xml:space="preserve">— legacy audit management</w:t>
      </w:r>
    </w:p>
    <w:bookmarkEnd w:id="36"/>
    <w:bookmarkStart w:id="37" w:name="rap-alpha-apirap-alpha"/>
    <w:p>
      <w:pPr>
        <w:pStyle w:val="Heading3"/>
      </w:pPr>
      <w:r>
        <w:t xml:space="preserve">5.6 RAP Alpha (</w:t>
      </w:r>
      <w:r>
        <w:rPr>
          <w:rStyle w:val="VerbatimChar"/>
        </w:rPr>
        <w:t xml:space="preserve">/api/rap-alpha</w:t>
      </w:r>
      <w:r>
        <w:t xml:space="preserve">)</w:t>
      </w:r>
    </w:p>
    <w:p>
      <w:pPr>
        <w:numPr>
          <w:ilvl w:val="0"/>
          <w:numId w:val="1023"/>
        </w:numPr>
        <w:pStyle w:val="Compact"/>
      </w:pPr>
      <w:r>
        <w:t xml:space="preserve">Retroactive Attestation Protocol</w:t>
      </w:r>
    </w:p>
    <w:p>
      <w:pPr>
        <w:numPr>
          <w:ilvl w:val="0"/>
          <w:numId w:val="1023"/>
        </w:numPr>
        <w:pStyle w:val="Compact"/>
      </w:pPr>
      <w:r>
        <w:rPr>
          <w:rStyle w:val="VerbatimChar"/>
        </w:rPr>
        <w:t xml:space="preserve">GET/POST /api/rap-alpha</w:t>
      </w:r>
      <w:r>
        <w:t xml:space="preserve"> </w:t>
      </w:r>
      <w:r>
        <w:t xml:space="preserve">— retroactive proof generation</w:t>
      </w:r>
    </w:p>
    <w:bookmarkEnd w:id="37"/>
    <w:bookmarkStart w:id="38" w:name="location-management"/>
    <w:p>
      <w:pPr>
        <w:pStyle w:val="Heading3"/>
      </w:pPr>
      <w:r>
        <w:t xml:space="preserve">5.7 Location Management</w:t>
      </w:r>
    </w:p>
    <w:p>
      <w:pPr>
        <w:numPr>
          <w:ilvl w:val="0"/>
          <w:numId w:val="1024"/>
        </w:numPr>
        <w:pStyle w:val="Compact"/>
      </w:pPr>
      <w:r>
        <w:t xml:space="preserve">Geographic location tracking for environmental operations</w:t>
      </w:r>
    </w:p>
    <w:p>
      <w:pPr>
        <w:numPr>
          <w:ilvl w:val="0"/>
          <w:numId w:val="1024"/>
        </w:numPr>
        <w:pStyle w:val="Compact"/>
      </w:pPr>
      <w:r>
        <w:rPr>
          <w:rStyle w:val="VerbatimChar"/>
        </w:rPr>
        <w:t xml:space="preserve">GET/POST /api/locations</w:t>
      </w:r>
      <w:r>
        <w:t xml:space="preserve">,</w:t>
      </w:r>
      <w:r>
        <w:t xml:space="preserve"> </w:t>
      </w:r>
      <w:r>
        <w:rPr>
          <w:rStyle w:val="VerbatimChar"/>
        </w:rPr>
        <w:t xml:space="preserve">GET/PATCH/DELETE /api/locations/[id]</w:t>
      </w:r>
    </w:p>
    <w:bookmarkEnd w:id="38"/>
    <w:bookmarkStart w:id="39" w:name="compliance-consent"/>
    <w:p>
      <w:pPr>
        <w:pStyle w:val="Heading3"/>
      </w:pPr>
      <w:r>
        <w:t xml:space="preserve">5.8 Compliance &amp; Consent</w:t>
      </w:r>
    </w:p>
    <w:p>
      <w:pPr>
        <w:numPr>
          <w:ilvl w:val="0"/>
          <w:numId w:val="1025"/>
        </w:numPr>
        <w:pStyle w:val="Compact"/>
      </w:pPr>
      <w:r>
        <w:rPr>
          <w:rStyle w:val="VerbatimChar"/>
        </w:rPr>
        <w:t xml:space="preserve">GET/POST /api/compliance</w:t>
      </w:r>
      <w:r>
        <w:t xml:space="preserve"> </w:t>
      </w:r>
      <w:r>
        <w:t xml:space="preserve">— compliance framework management</w:t>
      </w:r>
    </w:p>
    <w:p>
      <w:pPr>
        <w:numPr>
          <w:ilvl w:val="0"/>
          <w:numId w:val="1025"/>
        </w:numPr>
        <w:pStyle w:val="Compact"/>
      </w:pPr>
      <w:r>
        <w:rPr>
          <w:rStyle w:val="VerbatimChar"/>
        </w:rPr>
        <w:t xml:space="preserve">GET/POST /api/consent</w:t>
      </w:r>
      <w:r>
        <w:t xml:space="preserve"> </w:t>
      </w:r>
      <w:r>
        <w:t xml:space="preserve">— user consent tracking</w:t>
      </w:r>
    </w:p>
    <w:p>
      <w:pPr>
        <w:numPr>
          <w:ilvl w:val="0"/>
          <w:numId w:val="1025"/>
        </w:numPr>
        <w:pStyle w:val="Compact"/>
      </w:pPr>
      <w:r>
        <w:rPr>
          <w:rStyle w:val="VerbatimChar"/>
        </w:rPr>
        <w:t xml:space="preserve">POST /api/consent/verify</w:t>
      </w:r>
      <w:r>
        <w:t xml:space="preserve"> </w:t>
      </w:r>
      <w:r>
        <w:t xml:space="preserve">— consent verification</w:t>
      </w:r>
    </w:p>
    <w:p>
      <w:pPr>
        <w:numPr>
          <w:ilvl w:val="0"/>
          <w:numId w:val="1025"/>
        </w:numPr>
        <w:pStyle w:val="Compact"/>
      </w:pPr>
      <w:r>
        <w:rPr>
          <w:rStyle w:val="VerbatimChar"/>
        </w:rPr>
        <w:t xml:space="preserve">GET /api/consent/logs</w:t>
      </w:r>
      <w:r>
        <w:t xml:space="preserve"> </w:t>
      </w:r>
      <w:r>
        <w:t xml:space="preserve">— audit logs</w:t>
      </w:r>
    </w:p>
    <w:bookmarkEnd w:id="39"/>
    <w:bookmarkStart w:id="40" w:name="solana-integration"/>
    <w:p>
      <w:pPr>
        <w:pStyle w:val="Heading3"/>
      </w:pPr>
      <w:r>
        <w:t xml:space="preserve">5.9 Solana Integration</w:t>
      </w:r>
    </w:p>
    <w:p>
      <w:pPr>
        <w:numPr>
          <w:ilvl w:val="0"/>
          <w:numId w:val="1026"/>
        </w:numPr>
        <w:pStyle w:val="Compact"/>
      </w:pPr>
      <w:r>
        <w:rPr>
          <w:rStyle w:val="VerbatimChar"/>
        </w:rPr>
        <w:t xml:space="preserve">GET /api/solana/proofs</w:t>
      </w:r>
      <w:r>
        <w:t xml:space="preserve"> </w:t>
      </w:r>
      <w:r>
        <w:t xml:space="preserve">— retrieve on-chain proofs</w:t>
      </w:r>
    </w:p>
    <w:p>
      <w:pPr>
        <w:numPr>
          <w:ilvl w:val="0"/>
          <w:numId w:val="1026"/>
        </w:numPr>
        <w:pStyle w:val="Compact"/>
      </w:pPr>
      <w:r>
        <w:rPr>
          <w:rStyle w:val="VerbatimChar"/>
        </w:rPr>
        <w:t xml:space="preserve">POST /api/solana/mint</w:t>
      </w:r>
      <w:r>
        <w:t xml:space="preserve"> </w:t>
      </w:r>
      <w:r>
        <w:t xml:space="preserve">— mint on-chain assets</w:t>
      </w:r>
    </w:p>
    <w:p>
      <w:pPr>
        <w:numPr>
          <w:ilvl w:val="0"/>
          <w:numId w:val="1026"/>
        </w:numPr>
        <w:pStyle w:val="Compact"/>
      </w:pPr>
      <w:r>
        <w:rPr>
          <w:rStyle w:val="VerbatimChar"/>
        </w:rPr>
        <w:t xml:space="preserve">GET/POST /api/notary</w:t>
      </w:r>
      <w:r>
        <w:t xml:space="preserve"> </w:t>
      </w:r>
      <w:r>
        <w:t xml:space="preserve">— Sovereign Notary (Solana Memo signing)</w:t>
      </w:r>
    </w:p>
    <w:bookmarkEnd w:id="40"/>
    <w:bookmarkStart w:id="41" w:name="hum-telemetry"/>
    <w:p>
      <w:pPr>
        <w:pStyle w:val="Heading3"/>
      </w:pPr>
      <w:r>
        <w:t xml:space="preserve">5.10 HUM Telemetry</w:t>
      </w:r>
    </w:p>
    <w:p>
      <w:pPr>
        <w:numPr>
          <w:ilvl w:val="0"/>
          <w:numId w:val="1027"/>
        </w:numPr>
        <w:pStyle w:val="Compact"/>
      </w:pPr>
      <w:r>
        <w:t xml:space="preserve">Dynamic HUM Listener — monitors energy grid baselines</w:t>
      </w:r>
    </w:p>
    <w:p>
      <w:pPr>
        <w:numPr>
          <w:ilvl w:val="0"/>
          <w:numId w:val="1027"/>
        </w:numPr>
        <w:pStyle w:val="Compact"/>
      </w:pPr>
      <w:r>
        <w:rPr>
          <w:bCs/>
          <w:b/>
        </w:rPr>
        <w:t xml:space="preserve">Current baseline:</w:t>
      </w:r>
      <w:r>
        <w:t xml:space="preserve"> </w:t>
      </w:r>
      <w:r>
        <w:t xml:space="preserve">12.6 MW (replaced legacy 18.0 MW)</w:t>
      </w:r>
    </w:p>
    <w:p>
      <w:pPr>
        <w:numPr>
          <w:ilvl w:val="0"/>
          <w:numId w:val="1027"/>
        </w:numPr>
        <w:pStyle w:val="Compact"/>
      </w:pPr>
      <w:r>
        <w:rPr>
          <w:bCs/>
          <w:b/>
        </w:rPr>
        <w:t xml:space="preserve">Shift threshold:</w:t>
      </w:r>
      <w:r>
        <w:t xml:space="preserve"> </w:t>
      </w:r>
      <w:r>
        <w:t xml:space="preserve">5%</w:t>
      </w:r>
    </w:p>
    <w:p>
      <w:pPr>
        <w:numPr>
          <w:ilvl w:val="0"/>
          <w:numId w:val="1027"/>
        </w:numPr>
        <w:pStyle w:val="Compact"/>
      </w:pPr>
      <w:r>
        <w:rPr>
          <w:rStyle w:val="VerbatimChar"/>
        </w:rPr>
        <w:t xml:space="preserve">GET/POST /api/hum-telemetry</w:t>
      </w:r>
      <w:r>
        <w:t xml:space="preserve"> </w:t>
      </w:r>
      <w:r>
        <w:t xml:space="preserve">— telemetry data management</w:t>
      </w:r>
    </w:p>
    <w:bookmarkEnd w:id="41"/>
    <w:bookmarkStart w:id="42" w:name="spatial-data"/>
    <w:p>
      <w:pPr>
        <w:pStyle w:val="Heading3"/>
      </w:pPr>
      <w:r>
        <w:t xml:space="preserve">5.11 Spatial Data</w:t>
      </w:r>
    </w:p>
    <w:p>
      <w:pPr>
        <w:numPr>
          <w:ilvl w:val="0"/>
          <w:numId w:val="1028"/>
        </w:numPr>
        <w:pStyle w:val="Compact"/>
      </w:pPr>
      <w:r>
        <w:t xml:space="preserve">PLY/point cloud parsing for environmental scanning</w:t>
      </w:r>
    </w:p>
    <w:p>
      <w:pPr>
        <w:numPr>
          <w:ilvl w:val="0"/>
          <w:numId w:val="1028"/>
        </w:numPr>
        <w:pStyle w:val="Compact"/>
      </w:pPr>
      <w:r>
        <w:rPr>
          <w:rStyle w:val="VerbatimChar"/>
        </w:rPr>
        <w:t xml:space="preserve">GET/POST /api/spatial</w:t>
      </w:r>
      <w:r>
        <w:t xml:space="preserve"> </w:t>
      </w:r>
      <w:r>
        <w:t xml:space="preserve">— spatial data management</w:t>
      </w:r>
    </w:p>
    <w:p>
      <w:r>
        <w:pict>
          <v:rect style="width:0;height:1.5pt" o:hralign="center" o:hrstd="t" o:hr="t"/>
        </w:pict>
      </w:r>
    </w:p>
    <w:bookmarkEnd w:id="42"/>
    <w:bookmarkEnd w:id="43"/>
    <w:bookmarkStart w:id="52" w:name="database-schema-overview"/>
    <w:p>
      <w:pPr>
        <w:pStyle w:val="Heading2"/>
      </w:pPr>
      <w:r>
        <w:t xml:space="preserve">6. Database Schema Overview</w:t>
      </w:r>
    </w:p>
    <w:p>
      <w:pPr>
        <w:pStyle w:val="FirstParagraph"/>
      </w:pPr>
      <w:r>
        <w:rPr>
          <w:bCs/>
          <w:b/>
        </w:rPr>
        <w:t xml:space="preserve">ORM:</w:t>
      </w:r>
      <w:r>
        <w:t xml:space="preserve"> </w:t>
      </w:r>
      <w:r>
        <w:t xml:space="preserve">Prisma |</w:t>
      </w:r>
      <w:r>
        <w:t xml:space="preserve"> </w:t>
      </w:r>
      <w:r>
        <w:rPr>
          <w:bCs/>
          <w:b/>
        </w:rPr>
        <w:t xml:space="preserve">Provider:</w:t>
      </w:r>
      <w:r>
        <w:t xml:space="preserve"> </w:t>
      </w:r>
      <w:r>
        <w:t xml:space="preserve">PostgreSQL</w:t>
      </w:r>
    </w:p>
    <w:bookmarkStart w:id="51" w:name="core-models-41-total"/>
    <w:p>
      <w:pPr>
        <w:pStyle w:val="Heading3"/>
      </w:pPr>
      <w:r>
        <w:t xml:space="preserve">Core Models (41 total):</w:t>
      </w:r>
    </w:p>
    <w:bookmarkStart w:id="44" w:name="user-profile-system"/>
    <w:p>
      <w:pPr>
        <w:pStyle w:val="Heading4"/>
      </w:pPr>
      <w:r>
        <w:t xml:space="preserve">User &amp; Profile System</w:t>
      </w:r>
    </w:p>
    <w:p>
      <w:pPr>
        <w:numPr>
          <w:ilvl w:val="0"/>
          <w:numId w:val="1029"/>
        </w:numPr>
        <w:pStyle w:val="Compact"/>
      </w:pPr>
      <w:r>
        <w:rPr>
          <w:rStyle w:val="VerbatimChar"/>
        </w:rPr>
        <w:t xml:space="preserve">User</w:t>
      </w:r>
      <w:r>
        <w:t xml:space="preserve"> </w:t>
      </w:r>
      <w:r>
        <w:t xml:space="preserve">— email, password hash, role (ADMIN/AGENT/FARMER/REALTOR/BUSINESS/SOVEREIGN/USER), verified status</w:t>
      </w:r>
    </w:p>
    <w:p>
      <w:pPr>
        <w:numPr>
          <w:ilvl w:val="0"/>
          <w:numId w:val="1029"/>
        </w:numPr>
        <w:pStyle w:val="Compact"/>
      </w:pPr>
      <w:r>
        <w:rPr>
          <w:rStyle w:val="VerbatimChar"/>
        </w:rPr>
        <w:t xml:space="preserve">UserProfile</w:t>
      </w:r>
      <w:r>
        <w:t xml:space="preserve"> </w:t>
      </w:r>
      <w:r>
        <w:t xml:space="preserve">— extended profile data</w:t>
      </w:r>
    </w:p>
    <w:p>
      <w:pPr>
        <w:numPr>
          <w:ilvl w:val="0"/>
          <w:numId w:val="1029"/>
        </w:numPr>
        <w:pStyle w:val="Compact"/>
      </w:pPr>
      <w:r>
        <w:rPr>
          <w:rStyle w:val="VerbatimChar"/>
        </w:rPr>
        <w:t xml:space="preserve">FarmerProfile</w:t>
      </w:r>
      <w:r>
        <w:t xml:space="preserve">,</w:t>
      </w:r>
      <w:r>
        <w:t xml:space="preserve"> </w:t>
      </w:r>
      <w:r>
        <w:rPr>
          <w:rStyle w:val="VerbatimChar"/>
        </w:rPr>
        <w:t xml:space="preserve">RealtorProfile</w:t>
      </w:r>
      <w:r>
        <w:t xml:space="preserve">,</w:t>
      </w:r>
      <w:r>
        <w:t xml:space="preserve"> </w:t>
      </w:r>
      <w:r>
        <w:rPr>
          <w:rStyle w:val="VerbatimChar"/>
        </w:rPr>
        <w:t xml:space="preserve">BusinessProfile</w:t>
      </w:r>
      <w:r>
        <w:t xml:space="preserve">,</w:t>
      </w:r>
      <w:r>
        <w:t xml:space="preserve"> </w:t>
      </w:r>
      <w:r>
        <w:rPr>
          <w:rStyle w:val="VerbatimChar"/>
        </w:rPr>
        <w:t xml:space="preserve">SovereignProfile</w:t>
      </w:r>
      <w:r>
        <w:t xml:space="preserve"> </w:t>
      </w:r>
      <w:r>
        <w:t xml:space="preserve">— role-specific profiles</w:t>
      </w:r>
    </w:p>
    <w:p>
      <w:pPr>
        <w:numPr>
          <w:ilvl w:val="0"/>
          <w:numId w:val="1029"/>
        </w:numPr>
        <w:pStyle w:val="Compact"/>
      </w:pPr>
      <w:r>
        <w:rPr>
          <w:rStyle w:val="VerbatimChar"/>
        </w:rPr>
        <w:t xml:space="preserve">InvitationCode</w:t>
      </w:r>
      <w:r>
        <w:t xml:space="preserve"> </w:t>
      </w:r>
      <w:r>
        <w:t xml:space="preserve">— invite-based registration</w:t>
      </w:r>
    </w:p>
    <w:bookmarkEnd w:id="44"/>
    <w:bookmarkStart w:id="45" w:name="environmental-data"/>
    <w:p>
      <w:pPr>
        <w:pStyle w:val="Heading4"/>
      </w:pPr>
      <w:r>
        <w:t xml:space="preserve">Environmental Data</w:t>
      </w:r>
    </w:p>
    <w:p>
      <w:pPr>
        <w:numPr>
          <w:ilvl w:val="0"/>
          <w:numId w:val="1030"/>
        </w:numPr>
        <w:pStyle w:val="Compact"/>
      </w:pPr>
      <w:r>
        <w:rPr>
          <w:rStyle w:val="VerbatimChar"/>
        </w:rPr>
        <w:t xml:space="preserve">UserCarbonEntry</w:t>
      </w:r>
      <w:r>
        <w:t xml:space="preserve"> </w:t>
      </w:r>
      <w:r>
        <w:t xml:space="preserve">— individual carbon calculations</w:t>
      </w:r>
    </w:p>
    <w:p>
      <w:pPr>
        <w:numPr>
          <w:ilvl w:val="0"/>
          <w:numId w:val="1030"/>
        </w:numPr>
        <w:pStyle w:val="Compact"/>
      </w:pPr>
      <w:r>
        <w:rPr>
          <w:rStyle w:val="VerbatimChar"/>
        </w:rPr>
        <w:t xml:space="preserve">BiocharBatch</w:t>
      </w:r>
      <w:r>
        <w:t xml:space="preserve"> </w:t>
      </w:r>
      <w:r>
        <w:t xml:space="preserve">— CDR batch tracking (feedstock, pyrolysis temp, carbon content, certification)</w:t>
      </w:r>
    </w:p>
    <w:p>
      <w:pPr>
        <w:numPr>
          <w:ilvl w:val="0"/>
          <w:numId w:val="1030"/>
        </w:numPr>
        <w:pStyle w:val="Compact"/>
      </w:pPr>
      <w:r>
        <w:rPr>
          <w:rStyle w:val="VerbatimChar"/>
        </w:rPr>
        <w:t xml:space="preserve">MetalRecoveryLog</w:t>
      </w:r>
      <w:r>
        <w:t xml:space="preserve"> </w:t>
      </w:r>
      <w:r>
        <w:t xml:space="preserve">— scrap metal recovery (type, weight, purity, CO2 displaced)</w:t>
      </w:r>
    </w:p>
    <w:p>
      <w:pPr>
        <w:numPr>
          <w:ilvl w:val="0"/>
          <w:numId w:val="1030"/>
        </w:numPr>
        <w:pStyle w:val="Compact"/>
      </w:pPr>
      <w:r>
        <w:rPr>
          <w:rStyle w:val="VerbatimChar"/>
        </w:rPr>
        <w:t xml:space="preserve">RecyclingLog</w:t>
      </w:r>
      <w:r>
        <w:t xml:space="preserve"> </w:t>
      </w:r>
      <w:r>
        <w:t xml:space="preserve">— recycling event records</w:t>
      </w:r>
    </w:p>
    <w:p>
      <w:pPr>
        <w:numPr>
          <w:ilvl w:val="0"/>
          <w:numId w:val="1030"/>
        </w:numPr>
        <w:pStyle w:val="Compact"/>
      </w:pPr>
      <w:r>
        <w:rPr>
          <w:rStyle w:val="VerbatimChar"/>
        </w:rPr>
        <w:t xml:space="preserve">FarmerCredit</w:t>
      </w:r>
      <w:r>
        <w:t xml:space="preserve"> </w:t>
      </w:r>
      <w:r>
        <w:t xml:space="preserve">— agricultural carbon credits</w:t>
      </w:r>
    </w:p>
    <w:bookmarkEnd w:id="45"/>
    <w:bookmarkStart w:id="46" w:name="verification-compliance"/>
    <w:p>
      <w:pPr>
        <w:pStyle w:val="Heading4"/>
      </w:pPr>
      <w:r>
        <w:t xml:space="preserve">Verification &amp; Compliance</w:t>
      </w:r>
    </w:p>
    <w:p>
      <w:pPr>
        <w:numPr>
          <w:ilvl w:val="0"/>
          <w:numId w:val="1031"/>
        </w:numPr>
        <w:pStyle w:val="Compact"/>
      </w:pPr>
      <w:r>
        <w:rPr>
          <w:rStyle w:val="VerbatimChar"/>
        </w:rPr>
        <w:t xml:space="preserve">VaultNode</w:t>
      </w:r>
      <w:r>
        <w:t xml:space="preserve"> </w:t>
      </w:r>
      <w:r>
        <w:t xml:space="preserve">— distributed verification nodes</w:t>
      </w:r>
    </w:p>
    <w:p>
      <w:pPr>
        <w:numPr>
          <w:ilvl w:val="0"/>
          <w:numId w:val="1031"/>
        </w:numPr>
        <w:pStyle w:val="Compact"/>
      </w:pPr>
      <w:r>
        <w:rPr>
          <w:rStyle w:val="VerbatimChar"/>
        </w:rPr>
        <w:t xml:space="preserve">VaultNodeOperator</w:t>
      </w:r>
      <w:r>
        <w:t xml:space="preserve"> </w:t>
      </w:r>
      <w:r>
        <w:t xml:space="preserve">— node operator assignments</w:t>
      </w:r>
    </w:p>
    <w:p>
      <w:pPr>
        <w:numPr>
          <w:ilvl w:val="0"/>
          <w:numId w:val="1031"/>
        </w:numPr>
        <w:pStyle w:val="Compact"/>
      </w:pPr>
      <w:r>
        <w:rPr>
          <w:rStyle w:val="VerbatimChar"/>
        </w:rPr>
        <w:t xml:space="preserve">VaultVerification</w:t>
      </w:r>
      <w:r>
        <w:t xml:space="preserve"> </w:t>
      </w:r>
      <w:r>
        <w:t xml:space="preserve">— verification records with multi-level status</w:t>
      </w:r>
    </w:p>
    <w:p>
      <w:pPr>
        <w:numPr>
          <w:ilvl w:val="0"/>
          <w:numId w:val="1031"/>
        </w:numPr>
        <w:pStyle w:val="Compact"/>
      </w:pPr>
      <w:r>
        <w:rPr>
          <w:rStyle w:val="VerbatimChar"/>
        </w:rPr>
        <w:t xml:space="preserve">ComplianceFramework</w:t>
      </w:r>
      <w:r>
        <w:t xml:space="preserve"> </w:t>
      </w:r>
      <w:r>
        <w:t xml:space="preserve">— regulatory framework tracking</w:t>
      </w:r>
    </w:p>
    <w:p>
      <w:pPr>
        <w:numPr>
          <w:ilvl w:val="0"/>
          <w:numId w:val="1031"/>
        </w:numPr>
        <w:pStyle w:val="Compact"/>
      </w:pPr>
      <w:r>
        <w:rPr>
          <w:rStyle w:val="VerbatimChar"/>
        </w:rPr>
        <w:t xml:space="preserve">UserConsent</w:t>
      </w:r>
      <w:r>
        <w:t xml:space="preserve">,</w:t>
      </w:r>
      <w:r>
        <w:t xml:space="preserve"> </w:t>
      </w:r>
      <w:r>
        <w:rPr>
          <w:rStyle w:val="VerbatimChar"/>
        </w:rPr>
        <w:t xml:space="preserve">ConsentLog</w:t>
      </w:r>
      <w:r>
        <w:t xml:space="preserve"> </w:t>
      </w:r>
      <w:r>
        <w:t xml:space="preserve">— consent management</w:t>
      </w:r>
    </w:p>
    <w:bookmarkEnd w:id="46"/>
    <w:bookmarkStart w:id="47" w:name="financial-trading"/>
    <w:p>
      <w:pPr>
        <w:pStyle w:val="Heading4"/>
      </w:pPr>
      <w:r>
        <w:t xml:space="preserve">Financial &amp; Trading</w:t>
      </w:r>
    </w:p>
    <w:p>
      <w:pPr>
        <w:numPr>
          <w:ilvl w:val="0"/>
          <w:numId w:val="1032"/>
        </w:numPr>
        <w:pStyle w:val="Compact"/>
      </w:pPr>
      <w:r>
        <w:rPr>
          <w:rStyle w:val="VerbatimChar"/>
        </w:rPr>
        <w:t xml:space="preserve">UniversalLedgerEntry</w:t>
      </w:r>
      <w:r>
        <w:t xml:space="preserve"> </w:t>
      </w:r>
      <w:r>
        <w:t xml:space="preserve">— master ledger (amount, unit, chain, txHash, 16 entry types)</w:t>
      </w:r>
    </w:p>
    <w:p>
      <w:pPr>
        <w:numPr>
          <w:ilvl w:val="0"/>
          <w:numId w:val="1032"/>
        </w:numPr>
        <w:pStyle w:val="Compact"/>
      </w:pPr>
      <w:r>
        <w:rPr>
          <w:rStyle w:val="VerbatimChar"/>
        </w:rPr>
        <w:t xml:space="preserve">InternationalTransaction</w:t>
      </w:r>
      <w:r>
        <w:t xml:space="preserve"> </w:t>
      </w:r>
      <w:r>
        <w:t xml:space="preserve">— cross-border transactions</w:t>
      </w:r>
    </w:p>
    <w:p>
      <w:pPr>
        <w:numPr>
          <w:ilvl w:val="0"/>
          <w:numId w:val="1032"/>
        </w:numPr>
        <w:pStyle w:val="Compact"/>
      </w:pPr>
      <w:r>
        <w:rPr>
          <w:rStyle w:val="VerbatimChar"/>
        </w:rPr>
        <w:t xml:space="preserve">TravelRuleExchange</w:t>
      </w:r>
      <w:r>
        <w:t xml:space="preserve"> </w:t>
      </w:r>
      <w:r>
        <w:t xml:space="preserve">— FATF Travel Rule compliance</w:t>
      </w:r>
    </w:p>
    <w:p>
      <w:pPr>
        <w:numPr>
          <w:ilvl w:val="0"/>
          <w:numId w:val="1032"/>
        </w:numPr>
        <w:pStyle w:val="Compact"/>
      </w:pPr>
      <w:r>
        <w:rPr>
          <w:rStyle w:val="VerbatimChar"/>
        </w:rPr>
        <w:t xml:space="preserve">VatTaxRate</w:t>
      </w:r>
      <w:r>
        <w:t xml:space="preserve"> </w:t>
      </w:r>
      <w:r>
        <w:t xml:space="preserve">— jurisdictional tax rates</w:t>
      </w:r>
    </w:p>
    <w:p>
      <w:pPr>
        <w:numPr>
          <w:ilvl w:val="0"/>
          <w:numId w:val="1032"/>
        </w:numPr>
        <w:pStyle w:val="Compact"/>
      </w:pPr>
      <w:r>
        <w:rPr>
          <w:rStyle w:val="VerbatimChar"/>
        </w:rPr>
        <w:t xml:space="preserve">PortfolioOffset</w:t>
      </w:r>
      <w:r>
        <w:t xml:space="preserve"> </w:t>
      </w:r>
      <w:r>
        <w:t xml:space="preserve">— offset portfolio management</w:t>
      </w:r>
    </w:p>
    <w:p>
      <w:pPr>
        <w:numPr>
          <w:ilvl w:val="0"/>
          <w:numId w:val="1032"/>
        </w:numPr>
        <w:pStyle w:val="Compact"/>
      </w:pPr>
      <w:r>
        <w:rPr>
          <w:rStyle w:val="VerbatimChar"/>
        </w:rPr>
        <w:t xml:space="preserve">RetiredCredit</w:t>
      </w:r>
      <w:r>
        <w:t xml:space="preserve"> </w:t>
      </w:r>
      <w:r>
        <w:t xml:space="preserve">— retired credit tracking</w:t>
      </w:r>
    </w:p>
    <w:p>
      <w:pPr>
        <w:numPr>
          <w:ilvl w:val="0"/>
          <w:numId w:val="1032"/>
        </w:numPr>
        <w:pStyle w:val="Compact"/>
      </w:pPr>
      <w:r>
        <w:rPr>
          <w:rStyle w:val="VerbatimChar"/>
        </w:rPr>
        <w:t xml:space="preserve">FinancedEmissionLog</w:t>
      </w:r>
      <w:r>
        <w:t xml:space="preserve"> </w:t>
      </w:r>
      <w:r>
        <w:t xml:space="preserve">— Scope 3 financed emissions</w:t>
      </w:r>
    </w:p>
    <w:bookmarkEnd w:id="47"/>
    <w:bookmarkStart w:id="48" w:name="advanced-modules"/>
    <w:p>
      <w:pPr>
        <w:pStyle w:val="Heading4"/>
      </w:pPr>
      <w:r>
        <w:t xml:space="preserve">Advanced Modules</w:t>
      </w:r>
    </w:p>
    <w:p>
      <w:pPr>
        <w:numPr>
          <w:ilvl w:val="0"/>
          <w:numId w:val="1033"/>
        </w:numPr>
        <w:pStyle w:val="Compact"/>
      </w:pPr>
      <w:r>
        <w:rPr>
          <w:rStyle w:val="VerbatimChar"/>
        </w:rPr>
        <w:t xml:space="preserve">DeadMassExtraction</w:t>
      </w:r>
      <w:r>
        <w:t xml:space="preserve"> </w:t>
      </w:r>
      <w:r>
        <w:t xml:space="preserve">— dead mass carbon extraction</w:t>
      </w:r>
    </w:p>
    <w:p>
      <w:pPr>
        <w:numPr>
          <w:ilvl w:val="0"/>
          <w:numId w:val="1033"/>
        </w:numPr>
        <w:pStyle w:val="Compact"/>
      </w:pPr>
      <w:r>
        <w:rPr>
          <w:rStyle w:val="VerbatimChar"/>
        </w:rPr>
        <w:t xml:space="preserve">ResonancePrint</w:t>
      </w:r>
      <w:r>
        <w:t xml:space="preserve"> </w:t>
      </w:r>
      <w:r>
        <w:t xml:space="preserve">— environmental resonance fingerprints</w:t>
      </w:r>
    </w:p>
    <w:p>
      <w:pPr>
        <w:numPr>
          <w:ilvl w:val="0"/>
          <w:numId w:val="1033"/>
        </w:numPr>
        <w:pStyle w:val="Compact"/>
      </w:pPr>
      <w:r>
        <w:rPr>
          <w:rStyle w:val="VerbatimChar"/>
        </w:rPr>
        <w:t xml:space="preserve">SocialYield</w:t>
      </w:r>
      <w:r>
        <w:t xml:space="preserve"> </w:t>
      </w:r>
      <w:r>
        <w:t xml:space="preserve">— social impact metrics</w:t>
      </w:r>
    </w:p>
    <w:p>
      <w:pPr>
        <w:numPr>
          <w:ilvl w:val="0"/>
          <w:numId w:val="1033"/>
        </w:numPr>
        <w:pStyle w:val="Compact"/>
      </w:pPr>
      <w:r>
        <w:rPr>
          <w:rStyle w:val="VerbatimChar"/>
        </w:rPr>
        <w:t xml:space="preserve">PublicResilienceGrant</w:t>
      </w:r>
      <w:r>
        <w:t xml:space="preserve"> </w:t>
      </w:r>
      <w:r>
        <w:t xml:space="preserve">— grant management</w:t>
      </w:r>
    </w:p>
    <w:p>
      <w:pPr>
        <w:numPr>
          <w:ilvl w:val="0"/>
          <w:numId w:val="1033"/>
        </w:numPr>
        <w:pStyle w:val="Compact"/>
      </w:pPr>
      <w:r>
        <w:rPr>
          <w:rStyle w:val="VerbatimChar"/>
        </w:rPr>
        <w:t xml:space="preserve">ImpactReport</w:t>
      </w:r>
      <w:r>
        <w:t xml:space="preserve"> </w:t>
      </w:r>
      <w:r>
        <w:t xml:space="preserve">— generated impact reports</w:t>
      </w:r>
    </w:p>
    <w:p>
      <w:pPr>
        <w:numPr>
          <w:ilvl w:val="0"/>
          <w:numId w:val="1033"/>
        </w:numPr>
        <w:pStyle w:val="Compact"/>
      </w:pPr>
      <w:r>
        <w:rPr>
          <w:rStyle w:val="VerbatimChar"/>
        </w:rPr>
        <w:t xml:space="preserve">LegacyAudit</w:t>
      </w:r>
      <w:r>
        <w:t xml:space="preserve"> </w:t>
      </w:r>
      <w:r>
        <w:t xml:space="preserve">— legacy data audit trail</w:t>
      </w:r>
    </w:p>
    <w:p>
      <w:pPr>
        <w:numPr>
          <w:ilvl w:val="0"/>
          <w:numId w:val="1033"/>
        </w:numPr>
        <w:pStyle w:val="Compact"/>
      </w:pPr>
      <w:r>
        <w:rPr>
          <w:rStyle w:val="VerbatimChar"/>
        </w:rPr>
        <w:t xml:space="preserve">VibrationalEquity</w:t>
      </w:r>
      <w:r>
        <w:t xml:space="preserve"> </w:t>
      </w:r>
      <w:r>
        <w:t xml:space="preserve">— vibrational equity scoring</w:t>
      </w:r>
    </w:p>
    <w:p>
      <w:pPr>
        <w:numPr>
          <w:ilvl w:val="0"/>
          <w:numId w:val="1033"/>
        </w:numPr>
        <w:pStyle w:val="Compact"/>
      </w:pPr>
      <w:r>
        <w:rPr>
          <w:rStyle w:val="VerbatimChar"/>
        </w:rPr>
        <w:t xml:space="preserve">ParametricInsurance</w:t>
      </w:r>
      <w:r>
        <w:t xml:space="preserve"> </w:t>
      </w:r>
      <w:r>
        <w:t xml:space="preserve">— parametric insurance products</w:t>
      </w:r>
    </w:p>
    <w:p>
      <w:pPr>
        <w:numPr>
          <w:ilvl w:val="0"/>
          <w:numId w:val="1033"/>
        </w:numPr>
        <w:pStyle w:val="Compact"/>
      </w:pPr>
      <w:r>
        <w:rPr>
          <w:rStyle w:val="VerbatimChar"/>
        </w:rPr>
        <w:t xml:space="preserve">PulseString</w:t>
      </w:r>
      <w:r>
        <w:t xml:space="preserve"> </w:t>
      </w:r>
      <w:r>
        <w:t xml:space="preserve">— real-time pulse monitoring</w:t>
      </w:r>
    </w:p>
    <w:bookmarkEnd w:id="48"/>
    <w:bookmarkStart w:id="49" w:name="submission-portal"/>
    <w:p>
      <w:pPr>
        <w:pStyle w:val="Heading4"/>
      </w:pPr>
      <w:r>
        <w:t xml:space="preserve">Submission Portal</w:t>
      </w:r>
    </w:p>
    <w:p>
      <w:pPr>
        <w:numPr>
          <w:ilvl w:val="0"/>
          <w:numId w:val="1034"/>
        </w:numPr>
        <w:pStyle w:val="Compact"/>
      </w:pPr>
      <w:r>
        <w:rPr>
          <w:rStyle w:val="VerbatimChar"/>
        </w:rPr>
        <w:t xml:space="preserve">Submission</w:t>
      </w:r>
      <w:r>
        <w:t xml:space="preserve"> </w:t>
      </w:r>
      <w:r>
        <w:t xml:space="preserve">— business submissions (companyName, track, status, AI analysis, settlement data)</w:t>
      </w:r>
    </w:p>
    <w:p>
      <w:pPr>
        <w:numPr>
          <w:ilvl w:val="0"/>
          <w:numId w:val="1034"/>
        </w:numPr>
        <w:pStyle w:val="Compact"/>
      </w:pPr>
      <w:r>
        <w:rPr>
          <w:rStyle w:val="VerbatimChar"/>
        </w:rPr>
        <w:t xml:space="preserve">SubmissionDocument</w:t>
      </w:r>
      <w:r>
        <w:t xml:space="preserve"> </w:t>
      </w:r>
      <w:r>
        <w:t xml:space="preserve">— uploaded documents (fileName, fileSize, cloudStoragePath)</w:t>
      </w:r>
    </w:p>
    <w:p>
      <w:pPr>
        <w:numPr>
          <w:ilvl w:val="0"/>
          <w:numId w:val="1034"/>
        </w:numPr>
        <w:pStyle w:val="Compact"/>
      </w:pPr>
      <w:r>
        <w:rPr>
          <w:rStyle w:val="VerbatimChar"/>
        </w:rPr>
        <w:t xml:space="preserve">Settlement</w:t>
      </w:r>
      <w:r>
        <w:t xml:space="preserve"> </w:t>
      </w:r>
      <w:r>
        <w:t xml:space="preserve">— 70/20/10 settlement records</w:t>
      </w:r>
    </w:p>
    <w:bookmarkEnd w:id="49"/>
    <w:bookmarkStart w:id="50" w:name="blockchain"/>
    <w:p>
      <w:pPr>
        <w:pStyle w:val="Heading4"/>
      </w:pPr>
      <w:r>
        <w:t xml:space="preserve">Blockchain</w:t>
      </w:r>
    </w:p>
    <w:p>
      <w:pPr>
        <w:numPr>
          <w:ilvl w:val="0"/>
          <w:numId w:val="1035"/>
        </w:numPr>
        <w:pStyle w:val="Compact"/>
      </w:pPr>
      <w:r>
        <w:rPr>
          <w:rStyle w:val="VerbatimChar"/>
        </w:rPr>
        <w:t xml:space="preserve">SolanaAuditProof</w:t>
      </w:r>
      <w:r>
        <w:t xml:space="preserve"> </w:t>
      </w:r>
      <w:r>
        <w:t xml:space="preserve">— on-chain proof records</w:t>
      </w:r>
    </w:p>
    <w:p>
      <w:r>
        <w:pict>
          <v:rect style="width:0;height:1.5pt" o:hralign="center" o:hrstd="t" o:hr="t"/>
        </w:pict>
      </w:r>
    </w:p>
    <w:bookmarkEnd w:id="50"/>
    <w:bookmarkEnd w:id="51"/>
    <w:bookmarkEnd w:id="52"/>
    <w:bookmarkStart w:id="56" w:name="blockchain-architecture"/>
    <w:p>
      <w:pPr>
        <w:pStyle w:val="Heading2"/>
      </w:pPr>
      <w:r>
        <w:t xml:space="preserve">7. Blockchain Architecture</w:t>
      </w:r>
    </w:p>
    <w:bookmarkStart w:id="53" w:name="solana-primary-chain"/>
    <w:p>
      <w:pPr>
        <w:pStyle w:val="Heading3"/>
      </w:pPr>
      <w:r>
        <w:t xml:space="preserve">7.1 Solana (Primary Chain)</w:t>
      </w:r>
    </w:p>
    <w:p>
      <w:pPr>
        <w:numPr>
          <w:ilvl w:val="0"/>
          <w:numId w:val="1036"/>
        </w:numPr>
        <w:pStyle w:val="Compact"/>
      </w:pPr>
      <w:r>
        <w:rPr>
          <w:bCs/>
          <w:b/>
        </w:rPr>
        <w:t xml:space="preserve">Network:</w:t>
      </w:r>
      <w:r>
        <w:t xml:space="preserve"> </w:t>
      </w:r>
      <w:r>
        <w:t xml:space="preserve">Devnet</w:t>
      </w:r>
    </w:p>
    <w:p>
      <w:pPr>
        <w:numPr>
          <w:ilvl w:val="0"/>
          <w:numId w:val="1036"/>
        </w:numPr>
        <w:pStyle w:val="Compact"/>
      </w:pPr>
      <w:r>
        <w:rPr>
          <w:bCs/>
          <w:b/>
        </w:rPr>
        <w:t xml:space="preserve">Program:</w:t>
      </w:r>
      <w:r>
        <w:t xml:space="preserve"> </w:t>
      </w:r>
      <w:r>
        <w:t xml:space="preserve">Memo Program (</w:t>
      </w:r>
      <w:r>
        <w:rPr>
          <w:rStyle w:val="VerbatimChar"/>
        </w:rPr>
        <w:t xml:space="preserve">MemoSq4gqABAXKb96qnH8TysNcWxMyWCqXgDLGmfcHr</w:t>
      </w:r>
      <w:r>
        <w:t xml:space="preserve">)</w:t>
      </w:r>
    </w:p>
    <w:p>
      <w:pPr>
        <w:numPr>
          <w:ilvl w:val="0"/>
          <w:numId w:val="1036"/>
        </w:numPr>
        <w:pStyle w:val="Compact"/>
      </w:pPr>
      <w:r>
        <w:rPr>
          <w:bCs/>
          <w:b/>
        </w:rPr>
        <w:t xml:space="preserve">Identity:</w:t>
      </w:r>
      <w:r>
        <w:t xml:space="preserve"> </w:t>
      </w:r>
      <w:r>
        <w:t xml:space="preserve">Aethexer Sentinel (</w:t>
      </w:r>
      <w:r>
        <w:rPr>
          <w:rStyle w:val="VerbatimChar"/>
        </w:rPr>
        <w:t xml:space="preserve">9tsq8qB4P9uPRSHrjXLaDQJd93nuo4wEEtkR1tAJRAQ3</w:t>
      </w:r>
      <w:r>
        <w:t xml:space="preserve">)</w:t>
      </w:r>
    </w:p>
    <w:p>
      <w:pPr>
        <w:numPr>
          <w:ilvl w:val="0"/>
          <w:numId w:val="1036"/>
        </w:numPr>
        <w:pStyle w:val="Compact"/>
      </w:pPr>
      <w:r>
        <w:rPr>
          <w:bCs/>
          <w:b/>
        </w:rPr>
        <w:t xml:space="preserve">Usage:</w:t>
      </w:r>
      <w:r>
        <w:t xml:space="preserve"> </w:t>
      </w:r>
      <w:r>
        <w:t xml:space="preserve">Environmental attestations, EXITZ token minting, audit proofs</w:t>
      </w:r>
    </w:p>
    <w:p>
      <w:pPr>
        <w:numPr>
          <w:ilvl w:val="0"/>
          <w:numId w:val="1036"/>
        </w:numPr>
        <w:pStyle w:val="Compact"/>
      </w:pPr>
      <w:r>
        <w:rPr>
          <w:bCs/>
          <w:b/>
        </w:rPr>
        <w:t xml:space="preserve">Implementation:</w:t>
      </w:r>
      <w:r>
        <w:t xml:space="preserve"> </w:t>
      </w:r>
      <w:r>
        <w:rPr>
          <w:rStyle w:val="VerbatimChar"/>
        </w:rPr>
        <w:t xml:space="preserve">lib/solana-notary.ts</w:t>
      </w:r>
      <w:r>
        <w:t xml:space="preserve"> </w:t>
      </w:r>
      <w:r>
        <w:t xml:space="preserve">—</w:t>
      </w:r>
      <w:r>
        <w:t xml:space="preserve"> </w:t>
      </w:r>
      <w:r>
        <w:rPr>
          <w:rStyle w:val="VerbatimChar"/>
        </w:rPr>
        <w:t xml:space="preserve">notarizeOnSolana()</w:t>
      </w:r>
      <w:r>
        <w:t xml:space="preserve"> </w:t>
      </w:r>
      <w:r>
        <w:t xml:space="preserve">function</w:t>
      </w:r>
    </w:p>
    <w:p>
      <w:pPr>
        <w:numPr>
          <w:ilvl w:val="1"/>
          <w:numId w:val="1037"/>
        </w:numPr>
        <w:pStyle w:val="Compact"/>
      </w:pPr>
      <w:r>
        <w:t xml:space="preserve">Creates Memo transactions with structured payload</w:t>
      </w:r>
    </w:p>
    <w:p>
      <w:pPr>
        <w:numPr>
          <w:ilvl w:val="1"/>
          <w:numId w:val="1037"/>
        </w:numPr>
        <w:pStyle w:val="Compact"/>
      </w:pPr>
      <w:r>
        <w:t xml:space="preserve">Payload format:</w:t>
      </w:r>
      <w:r>
        <w:t xml:space="preserve"> </w:t>
      </w:r>
      <w:r>
        <w:rPr>
          <w:rStyle w:val="VerbatimChar"/>
        </w:rPr>
        <w:t xml:space="preserve">{type, data, timestamp, backtrace: "BT-C9C4C5"}</w:t>
      </w:r>
    </w:p>
    <w:p>
      <w:pPr>
        <w:numPr>
          <w:ilvl w:val="1"/>
          <w:numId w:val="1037"/>
        </w:numPr>
        <w:pStyle w:val="Compact"/>
      </w:pPr>
      <w:r>
        <w:t xml:space="preserve">Returns transaction signature for on-chain verification</w:t>
      </w:r>
    </w:p>
    <w:bookmarkEnd w:id="53"/>
    <w:bookmarkStart w:id="54" w:name="hedera-secondary-chain"/>
    <w:p>
      <w:pPr>
        <w:pStyle w:val="Heading3"/>
      </w:pPr>
      <w:r>
        <w:t xml:space="preserve">7.2 Hedera (Secondary Chain)</w:t>
      </w:r>
    </w:p>
    <w:p>
      <w:pPr>
        <w:numPr>
          <w:ilvl w:val="0"/>
          <w:numId w:val="1038"/>
        </w:numPr>
        <w:pStyle w:val="Compact"/>
      </w:pPr>
      <w:r>
        <w:rPr>
          <w:bCs/>
          <w:b/>
        </w:rPr>
        <w:t xml:space="preserve">Usage:</w:t>
      </w:r>
      <w:r>
        <w:t xml:space="preserve"> </w:t>
      </w:r>
      <w:r>
        <w:t xml:space="preserve">Hashgraph Consensus Service (HCS) for immutable topic-based logging</w:t>
      </w:r>
    </w:p>
    <w:p>
      <w:pPr>
        <w:numPr>
          <w:ilvl w:val="0"/>
          <w:numId w:val="1038"/>
        </w:numPr>
        <w:pStyle w:val="Compact"/>
      </w:pPr>
      <w:r>
        <w:rPr>
          <w:bCs/>
          <w:b/>
        </w:rPr>
        <w:t xml:space="preserve">Integration:</w:t>
      </w:r>
      <w:r>
        <w:t xml:space="preserve"> </w:t>
      </w:r>
      <w:r>
        <w:t xml:space="preserve">Via Universal Ledger entries with</w:t>
      </w:r>
      <w:r>
        <w:t xml:space="preserve"> </w:t>
      </w:r>
      <w:r>
        <w:rPr>
          <w:rStyle w:val="VerbatimChar"/>
        </w:rPr>
        <w:t xml:space="preserve">chain: "hedera"</w:t>
      </w:r>
    </w:p>
    <w:bookmarkEnd w:id="54"/>
    <w:bookmarkStart w:id="55" w:name="polygon-tertiary-chain"/>
    <w:p>
      <w:pPr>
        <w:pStyle w:val="Heading3"/>
      </w:pPr>
      <w:r>
        <w:t xml:space="preserve">7.3 Polygon (Tertiary Chain)</w:t>
      </w:r>
    </w:p>
    <w:p>
      <w:pPr>
        <w:numPr>
          <w:ilvl w:val="0"/>
          <w:numId w:val="1039"/>
        </w:numPr>
        <w:pStyle w:val="Compact"/>
      </w:pPr>
      <w:r>
        <w:rPr>
          <w:bCs/>
          <w:b/>
        </w:rPr>
        <w:t xml:space="preserve">Usage:</w:t>
      </w:r>
      <w:r>
        <w:t xml:space="preserve"> </w:t>
      </w:r>
      <w:r>
        <w:t xml:space="preserve">ERC-1155 multi-token standard for tradeable environmental credits</w:t>
      </w:r>
    </w:p>
    <w:p>
      <w:pPr>
        <w:numPr>
          <w:ilvl w:val="0"/>
          <w:numId w:val="1039"/>
        </w:numPr>
        <w:pStyle w:val="Compact"/>
      </w:pPr>
      <w:r>
        <w:rPr>
          <w:bCs/>
          <w:b/>
        </w:rPr>
        <w:t xml:space="preserve">Integration:</w:t>
      </w:r>
      <w:r>
        <w:t xml:space="preserve"> </w:t>
      </w:r>
      <w:r>
        <w:t xml:space="preserve">Via Universal Ledger entries with</w:t>
      </w:r>
      <w:r>
        <w:t xml:space="preserve"> </w:t>
      </w:r>
      <w:r>
        <w:rPr>
          <w:rStyle w:val="VerbatimChar"/>
        </w:rPr>
        <w:t xml:space="preserve">chain: "polygon"</w:t>
      </w:r>
    </w:p>
    <w:p>
      <w:r>
        <w:pict>
          <v:rect style="width:0;height:1.5pt" o:hralign="center" o:hrstd="t" o:hr="t"/>
        </w:pict>
      </w:r>
    </w:p>
    <w:bookmarkEnd w:id="55"/>
    <w:bookmarkEnd w:id="56"/>
    <w:bookmarkStart w:id="63" w:name="key-libraries-services"/>
    <w:p>
      <w:pPr>
        <w:pStyle w:val="Heading2"/>
      </w:pPr>
      <w:r>
        <w:t xml:space="preserve">8. Key Libraries &amp; Services</w:t>
      </w:r>
    </w:p>
    <w:bookmarkStart w:id="57" w:name="sovereign-notary-libsolana-notary.ts"/>
    <w:p>
      <w:pPr>
        <w:pStyle w:val="Heading3"/>
      </w:pPr>
      <w:r>
        <w:t xml:space="preserve">8.1 Sovereign Notary (</w:t>
      </w:r>
      <w:r>
        <w:rPr>
          <w:rStyle w:val="VerbatimChar"/>
        </w:rPr>
        <w:t xml:space="preserve">lib/solana-notary.ts</w:t>
      </w:r>
      <w:r>
        <w:t xml:space="preserve">)</w:t>
      </w:r>
    </w:p>
    <w:p>
      <w:pPr>
        <w:numPr>
          <w:ilvl w:val="0"/>
          <w:numId w:val="1040"/>
        </w:numPr>
        <w:pStyle w:val="Compact"/>
      </w:pPr>
      <w:r>
        <w:t xml:space="preserve">Signs environmental attestations on Solana Memo Program</w:t>
      </w:r>
    </w:p>
    <w:p>
      <w:pPr>
        <w:numPr>
          <w:ilvl w:val="0"/>
          <w:numId w:val="1040"/>
        </w:numPr>
        <w:pStyle w:val="Compact"/>
      </w:pPr>
      <w:r>
        <w:t xml:space="preserve">Uses Aethexer Sentinel keypair</w:t>
      </w:r>
    </w:p>
    <w:p>
      <w:pPr>
        <w:numPr>
          <w:ilvl w:val="0"/>
          <w:numId w:val="1040"/>
        </w:numPr>
        <w:pStyle w:val="Compact"/>
      </w:pPr>
      <w:r>
        <w:t xml:space="preserve">Every attestation includes backtrace</w:t>
      </w:r>
      <w:r>
        <w:t xml:space="preserve"> </w:t>
      </w:r>
      <w:r>
        <w:rPr>
          <w:rStyle w:val="VerbatimChar"/>
        </w:rPr>
        <w:t xml:space="preserve">BT-C9C4C5</w:t>
      </w:r>
    </w:p>
    <w:bookmarkEnd w:id="57"/>
    <w:bookmarkStart w:id="58" w:name="X9b88c10431b785fcc32d3c22b3f4a04c48bbcf3"/>
    <w:p>
      <w:pPr>
        <w:pStyle w:val="Heading3"/>
      </w:pPr>
      <w:r>
        <w:t xml:space="preserve">8.2 Emission Factor Engine (</w:t>
      </w:r>
      <w:r>
        <w:rPr>
          <w:rStyle w:val="VerbatimChar"/>
        </w:rPr>
        <w:t xml:space="preserve">lib/emission-factors.ts</w:t>
      </w:r>
      <w:r>
        <w:t xml:space="preserve">)</w:t>
      </w:r>
    </w:p>
    <w:p>
      <w:pPr>
        <w:numPr>
          <w:ilvl w:val="0"/>
          <w:numId w:val="1041"/>
        </w:numPr>
        <w:pStyle w:val="Compact"/>
      </w:pPr>
      <w:r>
        <w:rPr>
          <w:bCs/>
          <w:b/>
        </w:rPr>
        <w:t xml:space="preserve">ICE v4.1 Database:</w:t>
      </w:r>
      <w:r>
        <w:t xml:space="preserve"> </w:t>
      </w:r>
      <w:r>
        <w:t xml:space="preserve">25 material emission factors (kg CO2e/kg)</w:t>
      </w:r>
    </w:p>
    <w:p>
      <w:pPr>
        <w:numPr>
          <w:ilvl w:val="1"/>
          <w:numId w:val="1042"/>
        </w:numPr>
        <w:pStyle w:val="Compact"/>
      </w:pPr>
      <w:r>
        <w:t xml:space="preserve">Examples: General Aggregate (0.00747), Bitumen (0.49), Portland Cement (0.912), Steel (1.46)</w:t>
      </w:r>
    </w:p>
    <w:p>
      <w:pPr>
        <w:numPr>
          <w:ilvl w:val="0"/>
          <w:numId w:val="1041"/>
        </w:numPr>
        <w:pStyle w:val="Compact"/>
      </w:pPr>
      <w:r>
        <w:rPr>
          <w:bCs/>
          <w:b/>
        </w:rPr>
        <w:t xml:space="preserve">Ecoinvent v3.10.1 Database:</w:t>
      </w:r>
      <w:r>
        <w:t xml:space="preserve"> </w:t>
      </w:r>
      <w:r>
        <w:t xml:space="preserve">15 supplemental factors</w:t>
      </w:r>
    </w:p>
    <w:p>
      <w:pPr>
        <w:numPr>
          <w:ilvl w:val="1"/>
          <w:numId w:val="1043"/>
        </w:numPr>
        <w:pStyle w:val="Compact"/>
      </w:pPr>
      <w:r>
        <w:t xml:space="preserve">Examples: RAP (0.00320), CRM (0.00850), Warm Mix Additive (0.15)</w:t>
      </w:r>
    </w:p>
    <w:p>
      <w:pPr>
        <w:numPr>
          <w:ilvl w:val="0"/>
          <w:numId w:val="1041"/>
        </w:numPr>
        <w:pStyle w:val="Compact"/>
      </w:pPr>
      <w:r>
        <w:rPr>
          <w:bCs/>
          <w:b/>
        </w:rPr>
        <w:t xml:space="preserve">60% biogenic correction</w:t>
      </w:r>
      <w:r>
        <w:t xml:space="preserve"> </w:t>
      </w:r>
      <w:r>
        <w:t xml:space="preserve">for biochar-origin materials</w:t>
      </w:r>
    </w:p>
    <w:p>
      <w:pPr>
        <w:numPr>
          <w:ilvl w:val="0"/>
          <w:numId w:val="1041"/>
        </w:numPr>
        <w:pStyle w:val="Compact"/>
      </w:pPr>
      <w:r>
        <w:t xml:space="preserve">Lookup functions:</w:t>
      </w:r>
      <w:r>
        <w:t xml:space="preserve"> </w:t>
      </w:r>
      <w:r>
        <w:rPr>
          <w:rStyle w:val="VerbatimChar"/>
        </w:rPr>
        <w:t xml:space="preserve">getEmissionFactor()</w:t>
      </w:r>
      <w:r>
        <w:t xml:space="preserve">,</w:t>
      </w:r>
      <w:r>
        <w:t xml:space="preserve"> </w:t>
      </w:r>
      <w:r>
        <w:rPr>
          <w:rStyle w:val="VerbatimChar"/>
        </w:rPr>
        <w:t xml:space="preserve">getAllFactors()</w:t>
      </w:r>
      <w:r>
        <w:t xml:space="preserve">,</w:t>
      </w:r>
      <w:r>
        <w:t xml:space="preserve"> </w:t>
      </w:r>
      <w:r>
        <w:rPr>
          <w:rStyle w:val="VerbatimChar"/>
        </w:rPr>
        <w:t xml:space="preserve">getFactorsByCategory()</w:t>
      </w:r>
    </w:p>
    <w:bookmarkEnd w:id="58"/>
    <w:bookmarkStart w:id="59" w:name="ply-parser-libply-parser.ts"/>
    <w:p>
      <w:pPr>
        <w:pStyle w:val="Heading3"/>
      </w:pPr>
      <w:r>
        <w:t xml:space="preserve">8.3 PLY Parser (</w:t>
      </w:r>
      <w:r>
        <w:rPr>
          <w:rStyle w:val="VerbatimChar"/>
        </w:rPr>
        <w:t xml:space="preserve">lib/ply-parser.ts</w:t>
      </w:r>
      <w:r>
        <w:t xml:space="preserve">)</w:t>
      </w:r>
    </w:p>
    <w:p>
      <w:pPr>
        <w:numPr>
          <w:ilvl w:val="0"/>
          <w:numId w:val="1044"/>
        </w:numPr>
        <w:pStyle w:val="Compact"/>
      </w:pPr>
      <w:r>
        <w:t xml:space="preserve">Parses PLY point cloud files for environmental spatial analysis</w:t>
      </w:r>
    </w:p>
    <w:p>
      <w:pPr>
        <w:numPr>
          <w:ilvl w:val="0"/>
          <w:numId w:val="1044"/>
        </w:numPr>
        <w:pStyle w:val="Compact"/>
      </w:pPr>
      <w:r>
        <w:t xml:space="preserve">Used in spatial data module</w:t>
      </w:r>
    </w:p>
    <w:bookmarkEnd w:id="59"/>
    <w:bookmarkStart w:id="60" w:name="X0418a5fdeb7e03cf3bae405a32056d2754bc849"/>
    <w:p>
      <w:pPr>
        <w:pStyle w:val="Heading3"/>
      </w:pPr>
      <w:r>
        <w:t xml:space="preserve">8.4 Dynamic HUM Listener (</w:t>
      </w:r>
      <w:r>
        <w:rPr>
          <w:rStyle w:val="VerbatimChar"/>
        </w:rPr>
        <w:t xml:space="preserve">services/hum-listener.ts</w:t>
      </w:r>
      <w:r>
        <w:t xml:space="preserve">)</w:t>
      </w:r>
    </w:p>
    <w:p>
      <w:pPr>
        <w:numPr>
          <w:ilvl w:val="0"/>
          <w:numId w:val="1045"/>
        </w:numPr>
        <w:pStyle w:val="Compact"/>
      </w:pPr>
      <w:r>
        <w:t xml:space="preserve">Monitors energy grid baseline for carbon displacement calculations</w:t>
      </w:r>
    </w:p>
    <w:p>
      <w:pPr>
        <w:numPr>
          <w:ilvl w:val="0"/>
          <w:numId w:val="1045"/>
        </w:numPr>
        <w:pStyle w:val="Compact"/>
      </w:pPr>
      <w:r>
        <w:rPr>
          <w:bCs/>
          <w:b/>
        </w:rPr>
        <w:t xml:space="preserve">Baseline:</w:t>
      </w:r>
      <w:r>
        <w:t xml:space="preserve"> </w:t>
      </w:r>
      <w:r>
        <w:t xml:space="preserve">12.6 MW (updated from legacy 18.0 MW)</w:t>
      </w:r>
    </w:p>
    <w:p>
      <w:pPr>
        <w:numPr>
          <w:ilvl w:val="0"/>
          <w:numId w:val="1045"/>
        </w:numPr>
        <w:pStyle w:val="Compact"/>
      </w:pPr>
      <w:r>
        <w:rPr>
          <w:bCs/>
          <w:b/>
        </w:rPr>
        <w:t xml:space="preserve">Threshold:</w:t>
      </w:r>
      <w:r>
        <w:t xml:space="preserve"> </w:t>
      </w:r>
      <w:r>
        <w:t xml:space="preserve">5% shift triggers recalibration</w:t>
      </w:r>
    </w:p>
    <w:p>
      <w:pPr>
        <w:numPr>
          <w:ilvl w:val="0"/>
          <w:numId w:val="1045"/>
        </w:numPr>
        <w:pStyle w:val="Compact"/>
      </w:pPr>
      <w:r>
        <w:t xml:space="preserve">Provides real-time grid factor for emission calculations</w:t>
      </w:r>
    </w:p>
    <w:bookmarkEnd w:id="60"/>
    <w:bookmarkStart w:id="61" w:name="aethex-protocol-libaethex-protocol.ts"/>
    <w:p>
      <w:pPr>
        <w:pStyle w:val="Heading3"/>
      </w:pPr>
      <w:r>
        <w:t xml:space="preserve">8.5 Aethex Protocol (</w:t>
      </w:r>
      <w:r>
        <w:rPr>
          <w:rStyle w:val="VerbatimChar"/>
        </w:rPr>
        <w:t xml:space="preserve">lib/aethex-protocol.ts</w:t>
      </w:r>
      <w:r>
        <w:t xml:space="preserve">)</w:t>
      </w:r>
    </w:p>
    <w:p>
      <w:pPr>
        <w:numPr>
          <w:ilvl w:val="0"/>
          <w:numId w:val="1046"/>
        </w:numPr>
        <w:pStyle w:val="Compact"/>
      </w:pPr>
      <w:r>
        <w:t xml:space="preserve">Universal Truth Layer — see Aethexer/EXITZ Bible for details</w:t>
      </w:r>
    </w:p>
    <w:bookmarkEnd w:id="61"/>
    <w:bookmarkStart w:id="62" w:name="aethex-engine-libaethex-engine.ts"/>
    <w:p>
      <w:pPr>
        <w:pStyle w:val="Heading3"/>
      </w:pPr>
      <w:r>
        <w:t xml:space="preserve">8.6 Aethex Engine (</w:t>
      </w:r>
      <w:r>
        <w:rPr>
          <w:rStyle w:val="VerbatimChar"/>
        </w:rPr>
        <w:t xml:space="preserve">lib/aethex-engine.ts</w:t>
      </w:r>
      <w:r>
        <w:t xml:space="preserve">)</w:t>
      </w:r>
    </w:p>
    <w:p>
      <w:pPr>
        <w:numPr>
          <w:ilvl w:val="0"/>
          <w:numId w:val="1047"/>
        </w:numPr>
        <w:pStyle w:val="Compact"/>
      </w:pPr>
      <w:r>
        <w:t xml:space="preserve">Trade Settlement &amp; GHG Displacement Engine — see Aethexer/EXITZ Bible</w:t>
      </w:r>
    </w:p>
    <w:p>
      <w:r>
        <w:pict>
          <v:rect style="width:0;height:1.5pt" o:hralign="center" o:hrstd="t" o:hr="t"/>
        </w:pict>
      </w:r>
    </w:p>
    <w:bookmarkEnd w:id="62"/>
    <w:bookmarkEnd w:id="63"/>
    <w:bookmarkStart w:id="64" w:name="user-roles-auth"/>
    <w:p>
      <w:pPr>
        <w:pStyle w:val="Heading2"/>
      </w:pPr>
      <w:r>
        <w:t xml:space="preserve">9. User Roles &amp; Auth</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Role</w:t>
            </w:r>
          </w:p>
        </w:tc>
        <w:tc>
          <w:tcPr/>
          <w:p>
            <w:pPr>
              <w:pStyle w:val="Compact"/>
              <w:jc w:val="left"/>
            </w:pPr>
            <w:r>
              <w:t xml:space="preserve">Access Level</w:t>
            </w:r>
          </w:p>
        </w:tc>
      </w:tr>
      <w:tr>
        <w:tc>
          <w:tcPr/>
          <w:p>
            <w:pPr>
              <w:pStyle w:val="Compact"/>
              <w:jc w:val="left"/>
            </w:pPr>
            <w:r>
              <w:rPr>
                <w:rStyle w:val="VerbatimChar"/>
              </w:rPr>
              <w:t xml:space="preserve">ADMIN</w:t>
            </w:r>
          </w:p>
        </w:tc>
        <w:tc>
          <w:tcPr/>
          <w:p>
            <w:pPr>
              <w:pStyle w:val="Compact"/>
              <w:jc w:val="left"/>
            </w:pPr>
            <w:r>
              <w:t xml:space="preserve">Full platform access, all modules</w:t>
            </w:r>
          </w:p>
        </w:tc>
      </w:tr>
      <w:tr>
        <w:tc>
          <w:tcPr/>
          <w:p>
            <w:pPr>
              <w:pStyle w:val="Compact"/>
              <w:jc w:val="left"/>
            </w:pPr>
            <w:r>
              <w:rPr>
                <w:rStyle w:val="VerbatimChar"/>
              </w:rPr>
              <w:t xml:space="preserve">AGENT</w:t>
            </w:r>
          </w:p>
        </w:tc>
        <w:tc>
          <w:tcPr/>
          <w:p>
            <w:pPr>
              <w:pStyle w:val="Compact"/>
              <w:jc w:val="left"/>
            </w:pPr>
            <w:r>
              <w:t xml:space="preserve">Verification queue, farmer registration</w:t>
            </w:r>
          </w:p>
        </w:tc>
      </w:tr>
      <w:tr>
        <w:tc>
          <w:tcPr/>
          <w:p>
            <w:pPr>
              <w:pStyle w:val="Compact"/>
              <w:jc w:val="left"/>
            </w:pPr>
            <w:r>
              <w:rPr>
                <w:rStyle w:val="VerbatimChar"/>
              </w:rPr>
              <w:t xml:space="preserve">FARMER</w:t>
            </w:r>
          </w:p>
        </w:tc>
        <w:tc>
          <w:tcPr/>
          <w:p>
            <w:pPr>
              <w:pStyle w:val="Compact"/>
              <w:jc w:val="left"/>
            </w:pPr>
            <w:r>
              <w:t xml:space="preserve">Biochar batches, credits, profile</w:t>
            </w:r>
          </w:p>
        </w:tc>
      </w:tr>
      <w:tr>
        <w:tc>
          <w:tcPr/>
          <w:p>
            <w:pPr>
              <w:pStyle w:val="Compact"/>
              <w:jc w:val="left"/>
            </w:pPr>
            <w:r>
              <w:rPr>
                <w:rStyle w:val="VerbatimChar"/>
              </w:rPr>
              <w:t xml:space="preserve">REALTOR</w:t>
            </w:r>
          </w:p>
        </w:tc>
        <w:tc>
          <w:tcPr/>
          <w:p>
            <w:pPr>
              <w:pStyle w:val="Compact"/>
              <w:jc w:val="left"/>
            </w:pPr>
            <w:r>
              <w:t xml:space="preserve">Property-related environmental data</w:t>
            </w:r>
          </w:p>
        </w:tc>
      </w:tr>
      <w:tr>
        <w:tc>
          <w:tcPr/>
          <w:p>
            <w:pPr>
              <w:pStyle w:val="Compact"/>
              <w:jc w:val="left"/>
            </w:pPr>
            <w:r>
              <w:rPr>
                <w:rStyle w:val="VerbatimChar"/>
              </w:rPr>
              <w:t xml:space="preserve">BUSINESS</w:t>
            </w:r>
          </w:p>
        </w:tc>
        <w:tc>
          <w:tcPr/>
          <w:p>
            <w:pPr>
              <w:pStyle w:val="Compact"/>
              <w:jc w:val="left"/>
            </w:pPr>
            <w:r>
              <w:t xml:space="preserve">Submission portal, compliance</w:t>
            </w:r>
          </w:p>
        </w:tc>
      </w:tr>
      <w:tr>
        <w:tc>
          <w:tcPr/>
          <w:p>
            <w:pPr>
              <w:pStyle w:val="Compact"/>
              <w:jc w:val="left"/>
            </w:pPr>
            <w:r>
              <w:rPr>
                <w:rStyle w:val="VerbatimChar"/>
              </w:rPr>
              <w:t xml:space="preserve">SOVEREIGN</w:t>
            </w:r>
          </w:p>
        </w:tc>
        <w:tc>
          <w:tcPr/>
          <w:p>
            <w:pPr>
              <w:pStyle w:val="Compact"/>
              <w:jc w:val="left"/>
            </w:pPr>
            <w:r>
              <w:t xml:space="preserve">Full sovereign operations</w:t>
            </w:r>
          </w:p>
        </w:tc>
      </w:tr>
      <w:tr>
        <w:tc>
          <w:tcPr/>
          <w:p>
            <w:pPr>
              <w:pStyle w:val="Compact"/>
              <w:jc w:val="left"/>
            </w:pPr>
            <w:r>
              <w:rPr>
                <w:rStyle w:val="VerbatimChar"/>
              </w:rPr>
              <w:t xml:space="preserve">USER</w:t>
            </w:r>
          </w:p>
        </w:tc>
        <w:tc>
          <w:tcPr/>
          <w:p>
            <w:pPr>
              <w:pStyle w:val="Compact"/>
              <w:jc w:val="left"/>
            </w:pPr>
            <w:r>
              <w:t xml:space="preserve">Basic access, calculator, impact</w:t>
            </w:r>
          </w:p>
        </w:tc>
      </w:tr>
    </w:tbl>
    <w:p>
      <w:pPr>
        <w:pStyle w:val="BodyText"/>
      </w:pPr>
      <w:r>
        <w:rPr>
          <w:bCs/>
          <w:b/>
        </w:rPr>
        <w:t xml:space="preserve">Auth Flow:</w:t>
      </w:r>
      <w:r>
        <w:t xml:space="preserve"> </w:t>
      </w:r>
      <w:r>
        <w:t xml:space="preserve">NextAuth.js with JWT sessions, bcrypt password hashing.</w:t>
      </w:r>
      <w:r>
        <w:t xml:space="preserve"> </w:t>
      </w:r>
      <w:r>
        <w:rPr>
          <w:bCs/>
          <w:b/>
        </w:rPr>
        <w:t xml:space="preserve">Signup Variants:</w:t>
      </w:r>
      <w:r>
        <w:t xml:space="preserve"> </w:t>
      </w:r>
      <w:r>
        <w:t xml:space="preserve">Standard (</w:t>
      </w:r>
      <w:r>
        <w:rPr>
          <w:rStyle w:val="VerbatimChar"/>
        </w:rPr>
        <w:t xml:space="preserve">/signup</w:t>
      </w:r>
      <w:r>
        <w:t xml:space="preserve">), Agent (</w:t>
      </w:r>
      <w:r>
        <w:rPr>
          <w:rStyle w:val="VerbatimChar"/>
        </w:rPr>
        <w:t xml:space="preserve">/signup/agent</w:t>
      </w:r>
      <w:r>
        <w:t xml:space="preserve">), API (</w:t>
      </w:r>
      <w:r>
        <w:rPr>
          <w:rStyle w:val="VerbatimChar"/>
        </w:rPr>
        <w:t xml:space="preserve">/api/auth/signup</w:t>
      </w:r>
      <w:r>
        <w:t xml:space="preserve">,</w:t>
      </w:r>
      <w:r>
        <w:t xml:space="preserve"> </w:t>
      </w:r>
      <w:r>
        <w:rPr>
          <w:rStyle w:val="VerbatimChar"/>
        </w:rPr>
        <w:t xml:space="preserve">/api/auth/agent-signup</w:t>
      </w:r>
      <w:r>
        <w:t xml:space="preserve">)</w:t>
      </w:r>
    </w:p>
    <w:p>
      <w:r>
        <w:pict>
          <v:rect style="width:0;height:1.5pt" o:hralign="center" o:hrstd="t" o:hr="t"/>
        </w:pict>
      </w:r>
    </w:p>
    <w:bookmarkEnd w:id="64"/>
    <w:bookmarkStart w:id="65" w:name="page-map-29-routes"/>
    <w:p>
      <w:pPr>
        <w:pStyle w:val="Heading2"/>
      </w:pPr>
      <w:r>
        <w:t xml:space="preserve">10. Page Map (29 Routes)</w:t>
      </w:r>
    </w:p>
    <w:tbl>
      <w:tblPr>
        <w:tblStyle w:val="Table"/>
        <w:tblW w:type="pct" w:w="5000"/>
        <w:tblLook w:firstRow="1" w:lastRow="0" w:firstColumn="0" w:lastColumn="0" w:noHBand="0" w:noVBand="0" w:val="0020"/>
      </w:tblPr>
      <w:tblGrid>
        <w:gridCol w:w="3696"/>
        <w:gridCol w:w="4224"/>
      </w:tblGrid>
      <w:tr>
        <w:trPr>
          <w:tblHeader w:val="true"/>
        </w:trPr>
        <w:tc>
          <w:tcPr/>
          <w:p>
            <w:pPr>
              <w:pStyle w:val="Compact"/>
              <w:jc w:val="left"/>
            </w:pPr>
            <w:r>
              <w:t xml:space="preserve">Route</w:t>
            </w:r>
          </w:p>
        </w:tc>
        <w:tc>
          <w:tcPr/>
          <w:p>
            <w:pPr>
              <w:pStyle w:val="Compact"/>
              <w:jc w:val="left"/>
            </w:pPr>
            <w:r>
              <w:t xml:space="preserve">Module</w:t>
            </w:r>
          </w:p>
        </w:tc>
      </w:tr>
      <w:tr>
        <w:tc>
          <w:tcPr/>
          <w:p>
            <w:pPr>
              <w:pStyle w:val="Compact"/>
              <w:jc w:val="left"/>
            </w:pPr>
            <w:r>
              <w:rPr>
                <w:rStyle w:val="VerbatimChar"/>
              </w:rPr>
              <w:t xml:space="preserve">/</w:t>
            </w:r>
          </w:p>
        </w:tc>
        <w:tc>
          <w:tcPr/>
          <w:p>
            <w:pPr>
              <w:pStyle w:val="Compact"/>
              <w:jc w:val="left"/>
            </w:pPr>
            <w:r>
              <w:t xml:space="preserve">Dashboard (home)</w:t>
            </w:r>
          </w:p>
        </w:tc>
      </w:tr>
      <w:tr>
        <w:tc>
          <w:tcPr/>
          <w:p>
            <w:pPr>
              <w:pStyle w:val="Compact"/>
              <w:jc w:val="left"/>
            </w:pPr>
            <w:r>
              <w:rPr>
                <w:rStyle w:val="VerbatimChar"/>
              </w:rPr>
              <w:t xml:space="preserve">/login</w:t>
            </w:r>
          </w:p>
        </w:tc>
        <w:tc>
          <w:tcPr/>
          <w:p>
            <w:pPr>
              <w:pStyle w:val="Compact"/>
              <w:jc w:val="left"/>
            </w:pPr>
            <w:r>
              <w:t xml:space="preserve">Authentication</w:t>
            </w:r>
          </w:p>
        </w:tc>
      </w:tr>
      <w:tr>
        <w:tc>
          <w:tcPr/>
          <w:p>
            <w:pPr>
              <w:pStyle w:val="Compact"/>
              <w:jc w:val="left"/>
            </w:pPr>
            <w:r>
              <w:rPr>
                <w:rStyle w:val="VerbatimChar"/>
              </w:rPr>
              <w:t xml:space="preserve">/signup</w:t>
            </w:r>
            <w:r>
              <w:t xml:space="preserve">,</w:t>
            </w:r>
            <w:r>
              <w:t xml:space="preserve"> </w:t>
            </w:r>
            <w:r>
              <w:rPr>
                <w:rStyle w:val="VerbatimChar"/>
              </w:rPr>
              <w:t xml:space="preserve">/signup/agent</w:t>
            </w:r>
          </w:p>
        </w:tc>
        <w:tc>
          <w:tcPr/>
          <w:p>
            <w:pPr>
              <w:pStyle w:val="Compact"/>
              <w:jc w:val="left"/>
            </w:pPr>
            <w:r>
              <w:t xml:space="preserve">Registration</w:t>
            </w:r>
          </w:p>
        </w:tc>
      </w:tr>
      <w:tr>
        <w:tc>
          <w:tcPr/>
          <w:p>
            <w:pPr>
              <w:pStyle w:val="Compact"/>
              <w:jc w:val="left"/>
            </w:pPr>
            <w:r>
              <w:rPr>
                <w:rStyle w:val="VerbatimChar"/>
              </w:rPr>
              <w:t xml:space="preserve">/onboarding</w:t>
            </w:r>
          </w:p>
        </w:tc>
        <w:tc>
          <w:tcPr/>
          <w:p>
            <w:pPr>
              <w:pStyle w:val="Compact"/>
              <w:jc w:val="left"/>
            </w:pPr>
            <w:r>
              <w:t xml:space="preserve">New user onboarding</w:t>
            </w:r>
          </w:p>
        </w:tc>
      </w:tr>
      <w:tr>
        <w:tc>
          <w:tcPr/>
          <w:p>
            <w:pPr>
              <w:pStyle w:val="Compact"/>
              <w:jc w:val="left"/>
            </w:pPr>
            <w:r>
              <w:rPr>
                <w:rStyle w:val="VerbatimChar"/>
              </w:rPr>
              <w:t xml:space="preserve">/calculator</w:t>
            </w:r>
          </w:p>
        </w:tc>
        <w:tc>
          <w:tcPr/>
          <w:p>
            <w:pPr>
              <w:pStyle w:val="Compact"/>
              <w:jc w:val="left"/>
            </w:pPr>
            <w:r>
              <w:t xml:space="preserve">Asphalt LCA Calculator</w:t>
            </w:r>
          </w:p>
        </w:tc>
      </w:tr>
      <w:tr>
        <w:tc>
          <w:tcPr/>
          <w:p>
            <w:pPr>
              <w:pStyle w:val="Compact"/>
              <w:jc w:val="left"/>
            </w:pPr>
            <w:r>
              <w:rPr>
                <w:rStyle w:val="VerbatimChar"/>
              </w:rPr>
              <w:t xml:space="preserve">/biochar</w:t>
            </w:r>
            <w:r>
              <w:t xml:space="preserve">,</w:t>
            </w:r>
            <w:r>
              <w:t xml:space="preserve"> </w:t>
            </w:r>
            <w:r>
              <w:rPr>
                <w:rStyle w:val="VerbatimChar"/>
              </w:rPr>
              <w:t xml:space="preserve">/biochar/batches</w:t>
            </w:r>
          </w:p>
        </w:tc>
        <w:tc>
          <w:tcPr/>
          <w:p>
            <w:pPr>
              <w:pStyle w:val="Compact"/>
              <w:jc w:val="left"/>
            </w:pPr>
            <w:r>
              <w:t xml:space="preserve">Biochar CDR</w:t>
            </w:r>
          </w:p>
        </w:tc>
      </w:tr>
      <w:tr>
        <w:tc>
          <w:tcPr/>
          <w:p>
            <w:pPr>
              <w:pStyle w:val="Compact"/>
              <w:jc w:val="left"/>
            </w:pPr>
            <w:r>
              <w:rPr>
                <w:rStyle w:val="VerbatimChar"/>
              </w:rPr>
              <w:t xml:space="preserve">/metal</w:t>
            </w:r>
            <w:r>
              <w:t xml:space="preserve">,</w:t>
            </w:r>
            <w:r>
              <w:t xml:space="preserve"> </w:t>
            </w:r>
            <w:r>
              <w:rPr>
                <w:rStyle w:val="VerbatimChar"/>
              </w:rPr>
              <w:t xml:space="preserve">/metal/calculator</w:t>
            </w:r>
            <w:r>
              <w:t xml:space="preserve">,</w:t>
            </w:r>
            <w:r>
              <w:t xml:space="preserve"> </w:t>
            </w:r>
            <w:r>
              <w:rPr>
                <w:rStyle w:val="VerbatimChar"/>
              </w:rPr>
              <w:t xml:space="preserve">/metal/logs</w:t>
            </w:r>
          </w:p>
        </w:tc>
        <w:tc>
          <w:tcPr/>
          <w:p>
            <w:pPr>
              <w:pStyle w:val="Compact"/>
              <w:jc w:val="left"/>
            </w:pPr>
            <w:r>
              <w:t xml:space="preserve">Metal Recovery</w:t>
            </w:r>
          </w:p>
        </w:tc>
      </w:tr>
      <w:tr>
        <w:tc>
          <w:tcPr/>
          <w:p>
            <w:pPr>
              <w:pStyle w:val="Compact"/>
              <w:jc w:val="left"/>
            </w:pPr>
            <w:r>
              <w:rPr>
                <w:rStyle w:val="VerbatimChar"/>
              </w:rPr>
              <w:t xml:space="preserve">/vault</w:t>
            </w:r>
            <w:r>
              <w:t xml:space="preserve">,</w:t>
            </w:r>
            <w:r>
              <w:t xml:space="preserve"> </w:t>
            </w:r>
            <w:r>
              <w:rPr>
                <w:rStyle w:val="VerbatimChar"/>
              </w:rPr>
              <w:t xml:space="preserve">/vault/history</w:t>
            </w:r>
            <w:r>
              <w:t xml:space="preserve">,</w:t>
            </w:r>
            <w:r>
              <w:t xml:space="preserve"> </w:t>
            </w:r>
            <w:r>
              <w:rPr>
                <w:rStyle w:val="VerbatimChar"/>
              </w:rPr>
              <w:t xml:space="preserve">/vault/settings</w:t>
            </w:r>
            <w:r>
              <w:t xml:space="preserve">,</w:t>
            </w:r>
            <w:r>
              <w:t xml:space="preserve"> </w:t>
            </w:r>
            <w:r>
              <w:rPr>
                <w:rStyle w:val="VerbatimChar"/>
              </w:rPr>
              <w:t xml:space="preserve">/vault/community</w:t>
            </w:r>
          </w:p>
        </w:tc>
        <w:tc>
          <w:tcPr/>
          <w:p>
            <w:pPr>
              <w:pStyle w:val="Compact"/>
              <w:jc w:val="left"/>
            </w:pPr>
            <w:r>
              <w:t xml:space="preserve">Digital Vault</w:t>
            </w:r>
          </w:p>
        </w:tc>
      </w:tr>
      <w:tr>
        <w:tc>
          <w:tcPr/>
          <w:p>
            <w:pPr>
              <w:pStyle w:val="Compact"/>
              <w:jc w:val="left"/>
            </w:pPr>
            <w:r>
              <w:rPr>
                <w:rStyle w:val="VerbatimChar"/>
              </w:rPr>
              <w:t xml:space="preserve">/ledger</w:t>
            </w:r>
          </w:p>
        </w:tc>
        <w:tc>
          <w:tcPr/>
          <w:p>
            <w:pPr>
              <w:pStyle w:val="Compact"/>
              <w:jc w:val="left"/>
            </w:pPr>
            <w:r>
              <w:t xml:space="preserve">Universal Ledger</w:t>
            </w:r>
          </w:p>
        </w:tc>
      </w:tr>
      <w:tr>
        <w:tc>
          <w:tcPr/>
          <w:p>
            <w:pPr>
              <w:pStyle w:val="Compact"/>
              <w:jc w:val="left"/>
            </w:pPr>
            <w:r>
              <w:rPr>
                <w:rStyle w:val="VerbatimChar"/>
              </w:rPr>
              <w:t xml:space="preserve">/global-ledger</w:t>
            </w:r>
          </w:p>
        </w:tc>
        <w:tc>
          <w:tcPr/>
          <w:p>
            <w:pPr>
              <w:pStyle w:val="Compact"/>
              <w:jc w:val="left"/>
            </w:pPr>
            <w:r>
              <w:t xml:space="preserve">Public Global Ledger</w:t>
            </w:r>
          </w:p>
        </w:tc>
      </w:tr>
      <w:tr>
        <w:tc>
          <w:tcPr/>
          <w:p>
            <w:pPr>
              <w:pStyle w:val="Compact"/>
              <w:jc w:val="left"/>
            </w:pPr>
            <w:r>
              <w:rPr>
                <w:rStyle w:val="VerbatimChar"/>
              </w:rPr>
              <w:t xml:space="preserve">/submission-portal</w:t>
            </w:r>
          </w:p>
        </w:tc>
        <w:tc>
          <w:tcPr/>
          <w:p>
            <w:pPr>
              <w:pStyle w:val="Compact"/>
              <w:jc w:val="left"/>
            </w:pPr>
            <w:r>
              <w:t xml:space="preserve">Business Submission Portal</w:t>
            </w:r>
          </w:p>
        </w:tc>
      </w:tr>
      <w:tr>
        <w:tc>
          <w:tcPr/>
          <w:p>
            <w:pPr>
              <w:pStyle w:val="Compact"/>
              <w:jc w:val="left"/>
            </w:pPr>
            <w:r>
              <w:rPr>
                <w:rStyle w:val="VerbatimChar"/>
              </w:rPr>
              <w:t xml:space="preserve">/impact</w:t>
            </w:r>
            <w:r>
              <w:t xml:space="preserve">,</w:t>
            </w:r>
            <w:r>
              <w:t xml:space="preserve"> </w:t>
            </w:r>
            <w:r>
              <w:rPr>
                <w:rStyle w:val="VerbatimChar"/>
              </w:rPr>
              <w:t xml:space="preserve">/impact-calculator</w:t>
            </w:r>
          </w:p>
        </w:tc>
        <w:tc>
          <w:tcPr/>
          <w:p>
            <w:pPr>
              <w:pStyle w:val="Compact"/>
              <w:jc w:val="left"/>
            </w:pPr>
            <w:r>
              <w:t xml:space="preserve">Impact Dashboard</w:t>
            </w:r>
          </w:p>
        </w:tc>
      </w:tr>
      <w:tr>
        <w:tc>
          <w:tcPr/>
          <w:p>
            <w:pPr>
              <w:pStyle w:val="Compact"/>
              <w:jc w:val="left"/>
            </w:pPr>
            <w:r>
              <w:rPr>
                <w:rStyle w:val="VerbatimChar"/>
              </w:rPr>
              <w:t xml:space="preserve">/farmers</w:t>
            </w:r>
          </w:p>
        </w:tc>
        <w:tc>
          <w:tcPr/>
          <w:p>
            <w:pPr>
              <w:pStyle w:val="Compact"/>
              <w:jc w:val="left"/>
            </w:pPr>
            <w:r>
              <w:t xml:space="preserve">Farmer Registry</w:t>
            </w:r>
          </w:p>
        </w:tc>
      </w:tr>
      <w:tr>
        <w:tc>
          <w:tcPr/>
          <w:p>
            <w:pPr>
              <w:pStyle w:val="Compact"/>
              <w:jc w:val="left"/>
            </w:pPr>
            <w:r>
              <w:rPr>
                <w:rStyle w:val="VerbatimChar"/>
              </w:rPr>
              <w:t xml:space="preserve">/credits</w:t>
            </w:r>
          </w:p>
        </w:tc>
        <w:tc>
          <w:tcPr/>
          <w:p>
            <w:pPr>
              <w:pStyle w:val="Compact"/>
              <w:jc w:val="left"/>
            </w:pPr>
            <w:r>
              <w:t xml:space="preserve">Credit Management</w:t>
            </w:r>
          </w:p>
        </w:tc>
      </w:tr>
      <w:tr>
        <w:tc>
          <w:tcPr/>
          <w:p>
            <w:pPr>
              <w:pStyle w:val="Compact"/>
              <w:jc w:val="left"/>
            </w:pPr>
            <w:r>
              <w:rPr>
                <w:rStyle w:val="VerbatimChar"/>
              </w:rPr>
              <w:t xml:space="preserve">/analytics</w:t>
            </w:r>
          </w:p>
        </w:tc>
        <w:tc>
          <w:tcPr/>
          <w:p>
            <w:pPr>
              <w:pStyle w:val="Compact"/>
              <w:jc w:val="left"/>
            </w:pPr>
            <w:r>
              <w:t xml:space="preserve">Analytics Dashboard</w:t>
            </w:r>
          </w:p>
        </w:tc>
      </w:tr>
      <w:tr>
        <w:tc>
          <w:tcPr/>
          <w:p>
            <w:pPr>
              <w:pStyle w:val="Compact"/>
              <w:jc w:val="left"/>
            </w:pPr>
            <w:r>
              <w:rPr>
                <w:rStyle w:val="VerbatimChar"/>
              </w:rPr>
              <w:t xml:space="preserve">/agent-portal</w:t>
            </w:r>
            <w:r>
              <w:t xml:space="preserve">,</w:t>
            </w:r>
            <w:r>
              <w:t xml:space="preserve"> </w:t>
            </w:r>
            <w:r>
              <w:rPr>
                <w:rStyle w:val="VerbatimChar"/>
              </w:rPr>
              <w:t xml:space="preserve">/agent-portal/verification-queue</w:t>
            </w:r>
          </w:p>
        </w:tc>
        <w:tc>
          <w:tcPr/>
          <w:p>
            <w:pPr>
              <w:pStyle w:val="Compact"/>
              <w:jc w:val="left"/>
            </w:pPr>
            <w:r>
              <w:t xml:space="preserve">Agent Portal</w:t>
            </w:r>
          </w:p>
        </w:tc>
      </w:tr>
      <w:tr>
        <w:tc>
          <w:tcPr/>
          <w:p>
            <w:pPr>
              <w:pStyle w:val="Compact"/>
              <w:jc w:val="left"/>
            </w:pPr>
            <w:r>
              <w:rPr>
                <w:rStyle w:val="VerbatimChar"/>
              </w:rPr>
              <w:t xml:space="preserve">/legacy-healer</w:t>
            </w:r>
          </w:p>
        </w:tc>
        <w:tc>
          <w:tcPr/>
          <w:p>
            <w:pPr>
              <w:pStyle w:val="Compact"/>
              <w:jc w:val="left"/>
            </w:pPr>
            <w:r>
              <w:t xml:space="preserve">Legacy Data Healer</w:t>
            </w:r>
          </w:p>
        </w:tc>
      </w:tr>
      <w:tr>
        <w:tc>
          <w:tcPr/>
          <w:p>
            <w:pPr>
              <w:pStyle w:val="Compact"/>
              <w:jc w:val="left"/>
            </w:pPr>
            <w:r>
              <w:rPr>
                <w:rStyle w:val="VerbatimChar"/>
              </w:rPr>
              <w:t xml:space="preserve">/projects</w:t>
            </w:r>
          </w:p>
        </w:tc>
        <w:tc>
          <w:tcPr/>
          <w:p>
            <w:pPr>
              <w:pStyle w:val="Compact"/>
              <w:jc w:val="left"/>
            </w:pPr>
            <w:r>
              <w:t xml:space="preserve">Project Management</w:t>
            </w:r>
          </w:p>
        </w:tc>
      </w:tr>
      <w:tr>
        <w:tc>
          <w:tcPr/>
          <w:p>
            <w:pPr>
              <w:pStyle w:val="Compact"/>
              <w:jc w:val="left"/>
            </w:pPr>
            <w:r>
              <w:rPr>
                <w:rStyle w:val="VerbatimChar"/>
              </w:rPr>
              <w:t xml:space="preserve">/vault-node</w:t>
            </w:r>
          </w:p>
        </w:tc>
        <w:tc>
          <w:tcPr/>
          <w:p>
            <w:pPr>
              <w:pStyle w:val="Compact"/>
              <w:jc w:val="left"/>
            </w:pPr>
            <w:r>
              <w:t xml:space="preserve">Vault Node Management</w:t>
            </w:r>
          </w:p>
        </w:tc>
      </w:tr>
    </w:tbl>
    <w:p>
      <w:r>
        <w:pict>
          <v:rect style="width:0;height:1.5pt" o:hralign="center" o:hrstd="t" o:hr="t"/>
        </w:pict>
      </w:r>
    </w:p>
    <w:bookmarkEnd w:id="65"/>
    <w:bookmarkStart w:id="68" w:name="design-language"/>
    <w:p>
      <w:pPr>
        <w:pStyle w:val="Heading2"/>
      </w:pPr>
      <w:r>
        <w:t xml:space="preserve">11. Design Language</w:t>
      </w:r>
    </w:p>
    <w:bookmarkStart w:id="66" w:name="theme-deep-space"/>
    <w:p>
      <w:pPr>
        <w:pStyle w:val="Heading3"/>
      </w:pPr>
      <w:r>
        <w:t xml:space="preserve">Theme:</w:t>
      </w:r>
      <w:r>
        <w:t xml:space="preserve"> </w:t>
      </w:r>
      <w:r>
        <w:t xml:space="preserve">“</w:t>
      </w:r>
      <w:r>
        <w:t xml:space="preserve">Deep Space</w:t>
      </w:r>
      <w:r>
        <w:t xml:space="preserve">”</w:t>
      </w:r>
    </w:p>
    <w:p>
      <w:pPr>
        <w:numPr>
          <w:ilvl w:val="0"/>
          <w:numId w:val="1048"/>
        </w:numPr>
        <w:pStyle w:val="Compact"/>
      </w:pPr>
      <w:r>
        <w:rPr>
          <w:bCs/>
          <w:b/>
        </w:rPr>
        <w:t xml:space="preserve">Background:</w:t>
      </w:r>
      <w:r>
        <w:t xml:space="preserve"> </w:t>
      </w:r>
      <w:r>
        <w:rPr>
          <w:rStyle w:val="VerbatimChar"/>
        </w:rPr>
        <w:t xml:space="preserve">#0a0a0f</w:t>
      </w:r>
      <w:r>
        <w:t xml:space="preserve"> </w:t>
      </w:r>
      <w:r>
        <w:t xml:space="preserve">(primary),</w:t>
      </w:r>
      <w:r>
        <w:t xml:space="preserve"> </w:t>
      </w:r>
      <w:r>
        <w:rPr>
          <w:rStyle w:val="VerbatimChar"/>
        </w:rPr>
        <w:t xml:space="preserve">#111118</w:t>
      </w:r>
      <w:r>
        <w:t xml:space="preserve"> </w:t>
      </w:r>
      <w:r>
        <w:t xml:space="preserve">(secondary),</w:t>
      </w:r>
      <w:r>
        <w:t xml:space="preserve"> </w:t>
      </w:r>
      <w:r>
        <w:rPr>
          <w:rStyle w:val="VerbatimChar"/>
        </w:rPr>
        <w:t xml:space="preserve">#1a1a2e</w:t>
      </w:r>
      <w:r>
        <w:t xml:space="preserve"> </w:t>
      </w:r>
      <w:r>
        <w:t xml:space="preserve">(cards)</w:t>
      </w:r>
    </w:p>
    <w:p>
      <w:pPr>
        <w:numPr>
          <w:ilvl w:val="0"/>
          <w:numId w:val="1048"/>
        </w:numPr>
        <w:pStyle w:val="Compact"/>
      </w:pPr>
      <w:r>
        <w:rPr>
          <w:bCs/>
          <w:b/>
        </w:rPr>
        <w:t xml:space="preserve">Accent Colors:</w:t>
      </w:r>
    </w:p>
    <w:p>
      <w:pPr>
        <w:numPr>
          <w:ilvl w:val="1"/>
          <w:numId w:val="1049"/>
        </w:numPr>
        <w:pStyle w:val="Compact"/>
      </w:pPr>
      <w:r>
        <w:t xml:space="preserve">Emerald (</w:t>
      </w:r>
      <w:r>
        <w:rPr>
          <w:rStyle w:val="VerbatimChar"/>
        </w:rPr>
        <w:t xml:space="preserve">#10b981</w:t>
      </w:r>
      <w:r>
        <w:t xml:space="preserve">) — primary actions, success states</w:t>
      </w:r>
    </w:p>
    <w:p>
      <w:pPr>
        <w:numPr>
          <w:ilvl w:val="1"/>
          <w:numId w:val="1049"/>
        </w:numPr>
        <w:pStyle w:val="Compact"/>
      </w:pPr>
      <w:r>
        <w:t xml:space="preserve">Cyan (</w:t>
      </w:r>
      <w:r>
        <w:rPr>
          <w:rStyle w:val="VerbatimChar"/>
        </w:rPr>
        <w:t xml:space="preserve">#06b6d4</w:t>
      </w:r>
      <w:r>
        <w:t xml:space="preserve">) — data visualization, links</w:t>
      </w:r>
    </w:p>
    <w:p>
      <w:pPr>
        <w:numPr>
          <w:ilvl w:val="1"/>
          <w:numId w:val="1049"/>
        </w:numPr>
        <w:pStyle w:val="Compact"/>
      </w:pPr>
      <w:r>
        <w:t xml:space="preserve">Amber (</w:t>
      </w:r>
      <w:r>
        <w:rPr>
          <w:rStyle w:val="VerbatimChar"/>
        </w:rPr>
        <w:t xml:space="preserve">#f59e0b</w:t>
      </w:r>
      <w:r>
        <w:t xml:space="preserve">) — warnings, highlights</w:t>
      </w:r>
    </w:p>
    <w:p>
      <w:pPr>
        <w:numPr>
          <w:ilvl w:val="1"/>
          <w:numId w:val="1049"/>
        </w:numPr>
        <w:pStyle w:val="Compact"/>
      </w:pPr>
      <w:r>
        <w:t xml:space="preserve">Red (</w:t>
      </w:r>
      <w:r>
        <w:rPr>
          <w:rStyle w:val="VerbatimChar"/>
        </w:rPr>
        <w:t xml:space="preserve">#ef4444</w:t>
      </w:r>
      <w:r>
        <w:t xml:space="preserve">) — destructive actions, errors</w:t>
      </w:r>
    </w:p>
    <w:p>
      <w:pPr>
        <w:numPr>
          <w:ilvl w:val="0"/>
          <w:numId w:val="1048"/>
        </w:numPr>
        <w:pStyle w:val="Compact"/>
      </w:pPr>
      <w:r>
        <w:rPr>
          <w:bCs/>
          <w:b/>
        </w:rPr>
        <w:t xml:space="preserve">Typography:</w:t>
      </w:r>
      <w:r>
        <w:t xml:space="preserve"> </w:t>
      </w:r>
      <w:r>
        <w:t xml:space="preserve">System fonts, monospace for data/addresses</w:t>
      </w:r>
    </w:p>
    <w:p>
      <w:pPr>
        <w:numPr>
          <w:ilvl w:val="0"/>
          <w:numId w:val="1048"/>
        </w:numPr>
        <w:pStyle w:val="Compact"/>
      </w:pPr>
      <w:r>
        <w:rPr>
          <w:bCs/>
          <w:b/>
        </w:rPr>
        <w:t xml:space="preserve">Effects:</w:t>
      </w:r>
      <w:r>
        <w:t xml:space="preserve"> </w:t>
      </w:r>
      <w:r>
        <w:t xml:space="preserve">Subtle gradients, glassmorphism on cards, particle/grain backgrounds</w:t>
      </w:r>
    </w:p>
    <w:p>
      <w:pPr>
        <w:numPr>
          <w:ilvl w:val="0"/>
          <w:numId w:val="1048"/>
        </w:numPr>
        <w:pStyle w:val="Compact"/>
      </w:pPr>
      <w:r>
        <w:rPr>
          <w:bCs/>
          <w:b/>
        </w:rPr>
        <w:t xml:space="preserve">Icons:</w:t>
      </w:r>
      <w:r>
        <w:t xml:space="preserve"> </w:t>
      </w:r>
      <w:r>
        <w:t xml:space="preserve">Lucide React icon set</w:t>
      </w:r>
    </w:p>
    <w:p>
      <w:pPr>
        <w:numPr>
          <w:ilvl w:val="0"/>
          <w:numId w:val="1048"/>
        </w:numPr>
        <w:pStyle w:val="Compact"/>
      </w:pPr>
      <w:r>
        <w:rPr>
          <w:bCs/>
          <w:b/>
        </w:rPr>
        <w:t xml:space="preserve">Components:</w:t>
      </w:r>
      <w:r>
        <w:t xml:space="preserve"> </w:t>
      </w:r>
      <w:r>
        <w:t xml:space="preserve">shadcn/ui (Button, Card, Dialog, Table, Tabs, etc.)</w:t>
      </w:r>
    </w:p>
    <w:bookmarkEnd w:id="66"/>
    <w:bookmarkStart w:id="67" w:name="navigation"/>
    <w:p>
      <w:pPr>
        <w:pStyle w:val="Heading3"/>
      </w:pPr>
      <w:r>
        <w:t xml:space="preserve">Navigation</w:t>
      </w:r>
    </w:p>
    <w:p>
      <w:pPr>
        <w:numPr>
          <w:ilvl w:val="0"/>
          <w:numId w:val="1050"/>
        </w:numPr>
        <w:pStyle w:val="Compact"/>
      </w:pPr>
      <w:r>
        <w:rPr>
          <w:bCs/>
          <w:b/>
        </w:rPr>
        <w:t xml:space="preserve">Sidebar-based</w:t>
      </w:r>
      <w:r>
        <w:t xml:space="preserve"> </w:t>
      </w:r>
      <w:r>
        <w:t xml:space="preserve">navigation with collapsible groups</w:t>
      </w:r>
    </w:p>
    <w:p>
      <w:pPr>
        <w:numPr>
          <w:ilvl w:val="0"/>
          <w:numId w:val="1050"/>
        </w:numPr>
        <w:pStyle w:val="Compact"/>
      </w:pPr>
      <w:r>
        <w:rPr>
          <w:bCs/>
          <w:b/>
        </w:rPr>
        <w:t xml:space="preserve">Header</w:t>
      </w:r>
      <w:r>
        <w:t xml:space="preserve"> </w:t>
      </w:r>
      <w:r>
        <w:t xml:space="preserve">with Solana wallet connect button</w:t>
      </w:r>
    </w:p>
    <w:p>
      <w:pPr>
        <w:numPr>
          <w:ilvl w:val="0"/>
          <w:numId w:val="1050"/>
        </w:numPr>
        <w:pStyle w:val="Compact"/>
      </w:pPr>
      <w:r>
        <w:rPr>
          <w:bCs/>
          <w:b/>
        </w:rPr>
        <w:t xml:space="preserve">Role-based</w:t>
      </w:r>
      <w:r>
        <w:t xml:space="preserve"> </w:t>
      </w:r>
      <w:r>
        <w:t xml:space="preserve">menu item visibility</w:t>
      </w:r>
    </w:p>
    <w:p>
      <w:r>
        <w:pict>
          <v:rect style="width:0;height:1.5pt" o:hralign="center" o:hrstd="t" o:hr="t"/>
        </w:pict>
      </w:r>
    </w:p>
    <w:bookmarkEnd w:id="67"/>
    <w:bookmarkEnd w:id="68"/>
    <w:bookmarkStart w:id="69" w:name="X5a792aed20dc5e1fb7334c9a6e3d4afff9193c1"/>
    <w:p>
      <w:pPr>
        <w:pStyle w:val="Heading2"/>
      </w:pPr>
      <w:r>
        <w:t xml:space="preserve">12. Environment Variables (Structure Only — No Values)</w:t>
      </w:r>
    </w:p>
    <w:p>
      <w:pPr>
        <w:pStyle w:val="SourceCode"/>
      </w:pPr>
      <w:r>
        <w:rPr>
          <w:rStyle w:val="VerbatimChar"/>
        </w:rPr>
        <w:t xml:space="preserve">DATABASE_URL          — PostgreSQL connection string</w:t>
      </w:r>
      <w:r>
        <w:br/>
      </w:r>
      <w:r>
        <w:rPr>
          <w:rStyle w:val="VerbatimChar"/>
        </w:rPr>
        <w:t xml:space="preserve">NEXTAUTH_SECRET       — JWT signing secret</w:t>
      </w:r>
      <w:r>
        <w:br/>
      </w:r>
      <w:r>
        <w:rPr>
          <w:rStyle w:val="VerbatimChar"/>
        </w:rPr>
        <w:t xml:space="preserve">NEXTAUTH_URL          — Auto-configured per environment</w:t>
      </w:r>
      <w:r>
        <w:br/>
      </w:r>
      <w:r>
        <w:rPr>
          <w:rStyle w:val="VerbatimChar"/>
        </w:rPr>
        <w:t xml:space="preserve">SOLANA_PRIVATE_KEY    — Aethexer Sentinel (Sentinel Node-01) keypair</w:t>
      </w:r>
      <w:r>
        <w:br/>
      </w:r>
      <w:r>
        <w:rPr>
          <w:rStyle w:val="VerbatimChar"/>
        </w:rPr>
        <w:t xml:space="preserve">ABACUSAI_API_KEY      — LLM API access</w:t>
      </w:r>
      <w:r>
        <w:br/>
      </w:r>
      <w:r>
        <w:rPr>
          <w:rStyle w:val="VerbatimChar"/>
        </w:rPr>
        <w:t xml:space="preserve">NOTIF_API_KEY         — Email notification API</w:t>
      </w:r>
      <w:r>
        <w:br/>
      </w:r>
      <w:r>
        <w:rPr>
          <w:rStyle w:val="VerbatimChar"/>
        </w:rPr>
        <w:t xml:space="preserve">NOTIF_ID_*            — Notification type IDs</w:t>
      </w:r>
      <w:r>
        <w:br/>
      </w:r>
      <w:r>
        <w:rPr>
          <w:rStyle w:val="VerbatimChar"/>
        </w:rPr>
        <w:t xml:space="preserve">AWS_ACCESS_KEY_ID     — S3 storage access</w:t>
      </w:r>
      <w:r>
        <w:br/>
      </w:r>
      <w:r>
        <w:rPr>
          <w:rStyle w:val="VerbatimChar"/>
        </w:rPr>
        <w:t xml:space="preserve">AWS_SECRET_ACCESS_KEY — S3 storage secret</w:t>
      </w:r>
      <w:r>
        <w:br/>
      </w:r>
      <w:r>
        <w:rPr>
          <w:rStyle w:val="VerbatimChar"/>
        </w:rPr>
        <w:t xml:space="preserve">AWS_REGION            — S3 region</w:t>
      </w:r>
      <w:r>
        <w:br/>
      </w:r>
      <w:r>
        <w:rPr>
          <w:rStyle w:val="VerbatimChar"/>
        </w:rPr>
        <w:t xml:space="preserve">AWS_S3_BUCKET         — S3 bucket name</w:t>
      </w:r>
      <w:r>
        <w:br/>
      </w:r>
      <w:r>
        <w:rPr>
          <w:rStyle w:val="VerbatimChar"/>
        </w:rPr>
        <w:t xml:space="preserve">HTML2PDF_*            — PDF generation API config</w:t>
      </w:r>
    </w:p>
    <w:p>
      <w:r>
        <w:pict>
          <v:rect style="width:0;height:1.5pt" o:hralign="center" o:hrstd="t" o:hr="t"/>
        </w:pict>
      </w:r>
    </w:p>
    <w:bookmarkEnd w:id="69"/>
    <w:bookmarkStart w:id="72" w:name="integration-points"/>
    <w:p>
      <w:pPr>
        <w:pStyle w:val="Heading2"/>
      </w:pPr>
      <w:r>
        <w:t xml:space="preserve">13. Integration Points</w:t>
      </w:r>
    </w:p>
    <w:bookmarkStart w:id="70" w:name="internal-integrations"/>
    <w:p>
      <w:pPr>
        <w:pStyle w:val="Heading3"/>
      </w:pPr>
      <w:r>
        <w:t xml:space="preserve">Internal Integrations</w:t>
      </w:r>
    </w:p>
    <w:p>
      <w:pPr>
        <w:numPr>
          <w:ilvl w:val="0"/>
          <w:numId w:val="1051"/>
        </w:numPr>
        <w:pStyle w:val="Compact"/>
      </w:pPr>
      <w:r>
        <w:rPr>
          <w:bCs/>
          <w:b/>
        </w:rPr>
        <w:t xml:space="preserve">Aethex Protocol</w:t>
      </w:r>
      <w:r>
        <w:t xml:space="preserve"> </w:t>
      </w:r>
      <w:r>
        <w:t xml:space="preserve">— shares database, Solana identity, routes live in this codebase</w:t>
      </w:r>
    </w:p>
    <w:p>
      <w:pPr>
        <w:numPr>
          <w:ilvl w:val="0"/>
          <w:numId w:val="1051"/>
        </w:numPr>
        <w:pStyle w:val="Compact"/>
      </w:pPr>
      <w:r>
        <w:rPr>
          <w:bCs/>
          <w:b/>
        </w:rPr>
        <w:t xml:space="preserve">EXITZ Token</w:t>
      </w:r>
      <w:r>
        <w:t xml:space="preserve"> </w:t>
      </w:r>
      <w:r>
        <w:t xml:space="preserve">— minted via this platform’s Solana integration</w:t>
      </w:r>
    </w:p>
    <w:p>
      <w:pPr>
        <w:numPr>
          <w:ilvl w:val="0"/>
          <w:numId w:val="1051"/>
        </w:numPr>
        <w:pStyle w:val="Compact"/>
      </w:pPr>
      <w:r>
        <w:rPr>
          <w:bCs/>
          <w:b/>
        </w:rPr>
        <w:t xml:space="preserve">Universal Ledger</w:t>
      </w:r>
      <w:r>
        <w:t xml:space="preserve"> </w:t>
      </w:r>
      <w:r>
        <w:t xml:space="preserve">— aggregates data from all modules</w:t>
      </w:r>
    </w:p>
    <w:bookmarkEnd w:id="70"/>
    <w:bookmarkStart w:id="71" w:name="external-integrations"/>
    <w:p>
      <w:pPr>
        <w:pStyle w:val="Heading3"/>
      </w:pPr>
      <w:r>
        <w:t xml:space="preserve">External Integrations</w:t>
      </w:r>
    </w:p>
    <w:p>
      <w:pPr>
        <w:numPr>
          <w:ilvl w:val="0"/>
          <w:numId w:val="1052"/>
        </w:numPr>
        <w:pStyle w:val="Compact"/>
      </w:pPr>
      <w:r>
        <w:rPr>
          <w:bCs/>
          <w:b/>
        </w:rPr>
        <w:t xml:space="preserve">Solana Devnet</w:t>
      </w:r>
      <w:r>
        <w:t xml:space="preserve"> </w:t>
      </w:r>
      <w:r>
        <w:t xml:space="preserve">— blockchain attestations</w:t>
      </w:r>
    </w:p>
    <w:p>
      <w:pPr>
        <w:numPr>
          <w:ilvl w:val="0"/>
          <w:numId w:val="1052"/>
        </w:numPr>
        <w:pStyle w:val="Compact"/>
      </w:pPr>
      <w:r>
        <w:rPr>
          <w:bCs/>
          <w:b/>
        </w:rPr>
        <w:t xml:space="preserve">Hedera HCS</w:t>
      </w:r>
      <w:r>
        <w:t xml:space="preserve"> </w:t>
      </w:r>
      <w:r>
        <w:t xml:space="preserve">— consensus logging</w:t>
      </w:r>
    </w:p>
    <w:p>
      <w:pPr>
        <w:numPr>
          <w:ilvl w:val="0"/>
          <w:numId w:val="1052"/>
        </w:numPr>
        <w:pStyle w:val="Compact"/>
      </w:pPr>
      <w:r>
        <w:rPr>
          <w:bCs/>
          <w:b/>
        </w:rPr>
        <w:t xml:space="preserve">Polygon</w:t>
      </w:r>
      <w:r>
        <w:t xml:space="preserve"> </w:t>
      </w:r>
      <w:r>
        <w:t xml:space="preserve">— ERC-1155 credit tokens</w:t>
      </w:r>
    </w:p>
    <w:p>
      <w:pPr>
        <w:numPr>
          <w:ilvl w:val="0"/>
          <w:numId w:val="1052"/>
        </w:numPr>
        <w:pStyle w:val="Compact"/>
      </w:pPr>
      <w:r>
        <w:rPr>
          <w:bCs/>
          <w:b/>
        </w:rPr>
        <w:t xml:space="preserve">AWS S3</w:t>
      </w:r>
      <w:r>
        <w:t xml:space="preserve"> </w:t>
      </w:r>
      <w:r>
        <w:t xml:space="preserve">— document/file storage</w:t>
      </w:r>
    </w:p>
    <w:p>
      <w:pPr>
        <w:numPr>
          <w:ilvl w:val="0"/>
          <w:numId w:val="1052"/>
        </w:numPr>
        <w:pStyle w:val="Compact"/>
      </w:pPr>
      <w:r>
        <w:rPr>
          <w:bCs/>
          <w:b/>
        </w:rPr>
        <w:t xml:space="preserve">Abacus AI LLM</w:t>
      </w:r>
      <w:r>
        <w:t xml:space="preserve"> </w:t>
      </w:r>
      <w:r>
        <w:t xml:space="preserve">— forensic document analysis, AI compliance checks</w:t>
      </w:r>
    </w:p>
    <w:p>
      <w:pPr>
        <w:numPr>
          <w:ilvl w:val="0"/>
          <w:numId w:val="1052"/>
        </w:numPr>
        <w:pStyle w:val="Compact"/>
      </w:pPr>
      <w:r>
        <w:rPr>
          <w:bCs/>
          <w:b/>
        </w:rPr>
        <w:t xml:space="preserve">Abacus AI HTML2PDF</w:t>
      </w:r>
      <w:r>
        <w:t xml:space="preserve"> </w:t>
      </w:r>
      <w:r>
        <w:t xml:space="preserve">— certificate generation</w:t>
      </w:r>
    </w:p>
    <w:p>
      <w:r>
        <w:pict>
          <v:rect style="width:0;height:1.5pt" o:hralign="center" o:hrstd="t" o:hr="t"/>
        </w:pict>
      </w:r>
    </w:p>
    <w:bookmarkEnd w:id="71"/>
    <w:bookmarkEnd w:id="72"/>
    <w:bookmarkStart w:id="77" w:name="key-formulas-constants"/>
    <w:p>
      <w:pPr>
        <w:pStyle w:val="Heading2"/>
      </w:pPr>
      <w:r>
        <w:t xml:space="preserve">14. Key Formulas &amp; Constants</w:t>
      </w:r>
    </w:p>
    <w:bookmarkStart w:id="73" w:name="lca-calculation"/>
    <w:p>
      <w:pPr>
        <w:pStyle w:val="Heading3"/>
      </w:pPr>
      <w:r>
        <w:t xml:space="preserve">LCA Calculation</w:t>
      </w:r>
    </w:p>
    <w:p>
      <w:pPr>
        <w:pStyle w:val="SourceCode"/>
      </w:pPr>
      <w:r>
        <w:rPr>
          <w:rStyle w:val="VerbatimChar"/>
        </w:rPr>
        <w:t xml:space="preserve">Total_CO2e = Σ(weight_kg × emission_factor_kgCO2e_per_kg × (1 + transport_factor))</w:t>
      </w:r>
      <w:r>
        <w:br/>
      </w:r>
      <w:r>
        <w:rPr>
          <w:rStyle w:val="VerbatimChar"/>
        </w:rPr>
        <w:t xml:space="preserve">transport_factor = distance_km × transport_emission_rate</w:t>
      </w:r>
      <w:r>
        <w:br/>
      </w:r>
      <w:r>
        <w:rPr>
          <w:rStyle w:val="VerbatimChar"/>
        </w:rPr>
        <w:t xml:space="preserve">biogenic_correction = 0.60 (applied to biochar-origin materials)</w:t>
      </w:r>
    </w:p>
    <w:bookmarkEnd w:id="73"/>
    <w:bookmarkStart w:id="74" w:name="settlement-split-submission-portal"/>
    <w:p>
      <w:pPr>
        <w:pStyle w:val="Heading3"/>
      </w:pPr>
      <w:r>
        <w:t xml:space="preserve">Settlement Split (Submission Portal)</w:t>
      </w:r>
    </w:p>
    <w:p>
      <w:pPr>
        <w:pStyle w:val="SourceCode"/>
      </w:pPr>
      <w:r>
        <w:rPr>
          <w:rStyle w:val="VerbatimChar"/>
        </w:rPr>
        <w:t xml:space="preserve">Platform Credit:      70% of verified amount</w:t>
      </w:r>
      <w:r>
        <w:br/>
      </w:r>
      <w:r>
        <w:rPr>
          <w:rStyle w:val="VerbatimChar"/>
        </w:rPr>
        <w:t xml:space="preserve">Submitter Incentive:  20% of verified amount  </w:t>
      </w:r>
      <w:r>
        <w:br/>
      </w:r>
      <w:r>
        <w:rPr>
          <w:rStyle w:val="VerbatimChar"/>
        </w:rPr>
        <w:t xml:space="preserve">Community Reserve:    10% of verified amount</w:t>
      </w:r>
    </w:p>
    <w:bookmarkEnd w:id="74"/>
    <w:bookmarkStart w:id="75" w:name="hum-baseline"/>
    <w:p>
      <w:pPr>
        <w:pStyle w:val="Heading3"/>
      </w:pPr>
      <w:r>
        <w:t xml:space="preserve">HUM Baseline</w:t>
      </w:r>
    </w:p>
    <w:p>
      <w:pPr>
        <w:pStyle w:val="SourceCode"/>
      </w:pPr>
      <w:r>
        <w:rPr>
          <w:rStyle w:val="VerbatimChar"/>
        </w:rPr>
        <w:t xml:space="preserve">Current Baseline: 12.6 MW</w:t>
      </w:r>
      <w:r>
        <w:br/>
      </w:r>
      <w:r>
        <w:rPr>
          <w:rStyle w:val="VerbatimChar"/>
        </w:rPr>
        <w:t xml:space="preserve">Shift Threshold:  5%</w:t>
      </w:r>
      <w:r>
        <w:br/>
      </w:r>
      <w:r>
        <w:rPr>
          <w:rStyle w:val="VerbatimChar"/>
        </w:rPr>
        <w:t xml:space="preserve">Recalibration triggers when |current - baseline| &gt; threshold × baseline</w:t>
      </w:r>
    </w:p>
    <w:bookmarkEnd w:id="75"/>
    <w:bookmarkStart w:id="76" w:name="exitz-token"/>
    <w:p>
      <w:pPr>
        <w:pStyle w:val="Heading3"/>
      </w:pPr>
      <w:r>
        <w:t xml:space="preserve">EXITZ Token</w:t>
      </w:r>
    </w:p>
    <w:p>
      <w:pPr>
        <w:pStyle w:val="SourceCode"/>
      </w:pPr>
      <w:r>
        <w:rPr>
          <w:rStyle w:val="VerbatimChar"/>
        </w:rPr>
        <w:t xml:space="preserve">Standard:  Token-2022 (SPL)</w:t>
      </w:r>
      <w:r>
        <w:br/>
      </w:r>
      <w:r>
        <w:rPr>
          <w:rStyle w:val="VerbatimChar"/>
        </w:rPr>
        <w:t xml:space="preserve">Decimals:  0 (whole units only)</w:t>
      </w:r>
      <w:r>
        <w:br/>
      </w:r>
      <w:r>
        <w:rPr>
          <w:rStyle w:val="VerbatimChar"/>
        </w:rPr>
        <w:t xml:space="preserve">Metadata:  name="EXITZ", symbol="EXITZ", backtrace_id=BT-C9C4C5</w:t>
      </w:r>
    </w:p>
    <w:p>
      <w:r>
        <w:pict>
          <v:rect style="width:0;height:1.5pt" o:hralign="center" o:hrstd="t" o:hr="t"/>
        </w:pict>
      </w:r>
    </w:p>
    <w:bookmarkEnd w:id="76"/>
    <w:bookmarkEnd w:id="77"/>
    <w:bookmarkStart w:id="78" w:name="file-structure-reference"/>
    <w:p>
      <w:pPr>
        <w:pStyle w:val="Heading2"/>
      </w:pPr>
      <w:r>
        <w:t xml:space="preserve">15. File Structure Reference</w:t>
      </w:r>
    </w:p>
    <w:p>
      <w:pPr>
        <w:pStyle w:val="SourceCode"/>
      </w:pPr>
      <w:r>
        <w:rPr>
          <w:rStyle w:val="VerbatimChar"/>
        </w:rPr>
        <w:t xml:space="preserve">nextjs_space/</w:t>
      </w:r>
      <w:r>
        <w:br/>
      </w:r>
      <w:r>
        <w:rPr>
          <w:rStyle w:val="VerbatimChar"/>
        </w:rPr>
        <w:t xml:space="preserve">├── app/</w:t>
      </w:r>
      <w:r>
        <w:br/>
      </w:r>
      <w:r>
        <w:rPr>
          <w:rStyle w:val="VerbatimChar"/>
        </w:rPr>
        <w:t xml:space="preserve">│   ├── api/                    # 30+ API route groups</w:t>
      </w:r>
      <w:r>
        <w:br/>
      </w:r>
      <w:r>
        <w:rPr>
          <w:rStyle w:val="VerbatimChar"/>
        </w:rPr>
        <w:t xml:space="preserve">│   ├── (public)/               # Public routes</w:t>
      </w:r>
      <w:r>
        <w:br/>
      </w:r>
      <w:r>
        <w:rPr>
          <w:rStyle w:val="VerbatimChar"/>
        </w:rPr>
        <w:t xml:space="preserve">│   ├── calculator/             # Asphalt LCA</w:t>
      </w:r>
      <w:r>
        <w:br/>
      </w:r>
      <w:r>
        <w:rPr>
          <w:rStyle w:val="VerbatimChar"/>
        </w:rPr>
        <w:t xml:space="preserve">│   ├── biochar/                # Biochar CDR</w:t>
      </w:r>
      <w:r>
        <w:br/>
      </w:r>
      <w:r>
        <w:rPr>
          <w:rStyle w:val="VerbatimChar"/>
        </w:rPr>
        <w:t xml:space="preserve">│   ├── metal/                  # Metal Recovery</w:t>
      </w:r>
      <w:r>
        <w:br/>
      </w:r>
      <w:r>
        <w:rPr>
          <w:rStyle w:val="VerbatimChar"/>
        </w:rPr>
        <w:t xml:space="preserve">│   ├── vault/                  # Digital Vault</w:t>
      </w:r>
      <w:r>
        <w:br/>
      </w:r>
      <w:r>
        <w:rPr>
          <w:rStyle w:val="VerbatimChar"/>
        </w:rPr>
        <w:t xml:space="preserve">│   ├── ledger/                 # Universal Ledger</w:t>
      </w:r>
      <w:r>
        <w:br/>
      </w:r>
      <w:r>
        <w:rPr>
          <w:rStyle w:val="VerbatimChar"/>
        </w:rPr>
        <w:t xml:space="preserve">│   ├── submission-portal/      # Business Submissions</w:t>
      </w:r>
      <w:r>
        <w:br/>
      </w:r>
      <w:r>
        <w:rPr>
          <w:rStyle w:val="VerbatimChar"/>
        </w:rPr>
        <w:t xml:space="preserve">│   ├── impact/                 # Impact Dashboard</w:t>
      </w:r>
      <w:r>
        <w:br/>
      </w:r>
      <w:r>
        <w:rPr>
          <w:rStyle w:val="VerbatimChar"/>
        </w:rPr>
        <w:t xml:space="preserve">│   ├── farmers/                # Farmer Registry</w:t>
      </w:r>
      <w:r>
        <w:br/>
      </w:r>
      <w:r>
        <w:rPr>
          <w:rStyle w:val="VerbatimChar"/>
        </w:rPr>
        <w:t xml:space="preserve">│   ├── agent-portal/           # Agent Portal</w:t>
      </w:r>
      <w:r>
        <w:br/>
      </w:r>
      <w:r>
        <w:rPr>
          <w:rStyle w:val="VerbatimChar"/>
        </w:rPr>
        <w:t xml:space="preserve">│   └── ...                     # Other pages</w:t>
      </w:r>
      <w:r>
        <w:br/>
      </w:r>
      <w:r>
        <w:rPr>
          <w:rStyle w:val="VerbatimChar"/>
        </w:rPr>
        <w:t xml:space="preserve">├── components/</w:t>
      </w:r>
      <w:r>
        <w:br/>
      </w:r>
      <w:r>
        <w:rPr>
          <w:rStyle w:val="VerbatimChar"/>
        </w:rPr>
        <w:t xml:space="preserve">│   ├── sidebar.tsx             # Main navigation</w:t>
      </w:r>
      <w:r>
        <w:br/>
      </w:r>
      <w:r>
        <w:rPr>
          <w:rStyle w:val="VerbatimChar"/>
        </w:rPr>
        <w:t xml:space="preserve">│   ├── solana-provider.tsx     # Wallet adapter</w:t>
      </w:r>
      <w:r>
        <w:br/>
      </w:r>
      <w:r>
        <w:rPr>
          <w:rStyle w:val="VerbatimChar"/>
        </w:rPr>
        <w:t xml:space="preserve">│   ├── aethex-protocol-widget.tsx</w:t>
      </w:r>
      <w:r>
        <w:br/>
      </w:r>
      <w:r>
        <w:rPr>
          <w:rStyle w:val="VerbatimChar"/>
        </w:rPr>
        <w:t xml:space="preserve">│   ├── submission-drop-zone.tsx</w:t>
      </w:r>
      <w:r>
        <w:br/>
      </w:r>
      <w:r>
        <w:rPr>
          <w:rStyle w:val="VerbatimChar"/>
        </w:rPr>
        <w:t xml:space="preserve">│   ├── submissions-list.tsx</w:t>
      </w:r>
      <w:r>
        <w:br/>
      </w:r>
      <w:r>
        <w:rPr>
          <w:rStyle w:val="VerbatimChar"/>
        </w:rPr>
        <w:t xml:space="preserve">│   ├── ui/                     # shadcn/ui components</w:t>
      </w:r>
      <w:r>
        <w:br/>
      </w:r>
      <w:r>
        <w:rPr>
          <w:rStyle w:val="VerbatimChar"/>
        </w:rPr>
        <w:t xml:space="preserve">│   └── layouts/                # Layout components</w:t>
      </w:r>
      <w:r>
        <w:br/>
      </w:r>
      <w:r>
        <w:rPr>
          <w:rStyle w:val="VerbatimChar"/>
        </w:rPr>
        <w:t xml:space="preserve">├── lib/</w:t>
      </w:r>
      <w:r>
        <w:br/>
      </w:r>
      <w:r>
        <w:rPr>
          <w:rStyle w:val="VerbatimChar"/>
        </w:rPr>
        <w:t xml:space="preserve">│   ├── solana-notary.ts        # Sovereign Notary</w:t>
      </w:r>
      <w:r>
        <w:br/>
      </w:r>
      <w:r>
        <w:rPr>
          <w:rStyle w:val="VerbatimChar"/>
        </w:rPr>
        <w:t xml:space="preserve">│   ├── emission-factors.ts     # ICE v4.1 + Ecoinvent</w:t>
      </w:r>
      <w:r>
        <w:br/>
      </w:r>
      <w:r>
        <w:rPr>
          <w:rStyle w:val="VerbatimChar"/>
        </w:rPr>
        <w:t xml:space="preserve">│   ├── ply-parser.ts           # PLY point cloud parser</w:t>
      </w:r>
      <w:r>
        <w:br/>
      </w:r>
      <w:r>
        <w:rPr>
          <w:rStyle w:val="VerbatimChar"/>
        </w:rPr>
        <w:t xml:space="preserve">│   ├── aethex-protocol.ts      # Aethex Protocol</w:t>
      </w:r>
      <w:r>
        <w:br/>
      </w:r>
      <w:r>
        <w:rPr>
          <w:rStyle w:val="VerbatimChar"/>
        </w:rPr>
        <w:t xml:space="preserve">│   ├── aethex-engine.ts        # Trade Settlement Engine</w:t>
      </w:r>
      <w:r>
        <w:br/>
      </w:r>
      <w:r>
        <w:rPr>
          <w:rStyle w:val="VerbatimChar"/>
        </w:rPr>
        <w:t xml:space="preserve">│   ├── aws-config.ts           # S3 configuration</w:t>
      </w:r>
      <w:r>
        <w:br/>
      </w:r>
      <w:r>
        <w:rPr>
          <w:rStyle w:val="VerbatimChar"/>
        </w:rPr>
        <w:t xml:space="preserve">│   ├── s3.ts                   # S3 utilities</w:t>
      </w:r>
      <w:r>
        <w:br/>
      </w:r>
      <w:r>
        <w:rPr>
          <w:rStyle w:val="VerbatimChar"/>
        </w:rPr>
        <w:t xml:space="preserve">│   ├── db.ts                   # Prisma client</w:t>
      </w:r>
      <w:r>
        <w:br/>
      </w:r>
      <w:r>
        <w:rPr>
          <w:rStyle w:val="VerbatimChar"/>
        </w:rPr>
        <w:t xml:space="preserve">│   └── utils.ts                # Shared utilities</w:t>
      </w:r>
      <w:r>
        <w:br/>
      </w:r>
      <w:r>
        <w:rPr>
          <w:rStyle w:val="VerbatimChar"/>
        </w:rPr>
        <w:t xml:space="preserve">├── services/</w:t>
      </w:r>
      <w:r>
        <w:br/>
      </w:r>
      <w:r>
        <w:rPr>
          <w:rStyle w:val="VerbatimChar"/>
        </w:rPr>
        <w:t xml:space="preserve">│   └── hum-listener.ts         # Dynamic HUM Listener</w:t>
      </w:r>
      <w:r>
        <w:br/>
      </w:r>
      <w:r>
        <w:rPr>
          <w:rStyle w:val="VerbatimChar"/>
        </w:rPr>
        <w:t xml:space="preserve">├── scripts/</w:t>
      </w:r>
      <w:r>
        <w:br/>
      </w:r>
      <w:r>
        <w:rPr>
          <w:rStyle w:val="VerbatimChar"/>
        </w:rPr>
        <w:t xml:space="preserve">│   ├── mint-exitz.ts           # EXITZ token creation</w:t>
      </w:r>
      <w:r>
        <w:br/>
      </w:r>
      <w:r>
        <w:rPr>
          <w:rStyle w:val="VerbatimChar"/>
        </w:rPr>
        <w:t xml:space="preserve">│   ├── genesis-emission.ts     # Genesis emission</w:t>
      </w:r>
      <w:r>
        <w:br/>
      </w:r>
      <w:r>
        <w:rPr>
          <w:rStyle w:val="VerbatimChar"/>
        </w:rPr>
        <w:t xml:space="preserve">│   └── seed.ts                 # Database seeding</w:t>
      </w:r>
      <w:r>
        <w:br/>
      </w:r>
      <w:r>
        <w:rPr>
          <w:rStyle w:val="VerbatimChar"/>
        </w:rPr>
        <w:t xml:space="preserve">├── prisma/</w:t>
      </w:r>
      <w:r>
        <w:br/>
      </w:r>
      <w:r>
        <w:rPr>
          <w:rStyle w:val="VerbatimChar"/>
        </w:rPr>
        <w:t xml:space="preserve">│   └── schema.prisma           # Database schema (41 models)</w:t>
      </w:r>
      <w:r>
        <w:br/>
      </w:r>
      <w:r>
        <w:rPr>
          <w:rStyle w:val="VerbatimChar"/>
        </w:rPr>
        <w:t xml:space="preserve">└── STYLE_GUIDE.md              # Component style reference</w:t>
      </w:r>
    </w:p>
    <w:p>
      <w:r>
        <w:pict>
          <v:rect style="width:0;height:1.5pt" o:hralign="center" o:hrstd="t" o:hr="t"/>
        </w:pict>
      </w:r>
    </w:p>
    <w:p>
      <w:pPr>
        <w:pStyle w:val="FirstParagraph"/>
      </w:pPr>
      <w:r>
        <w:rPr>
          <w:iCs/>
          <w:i/>
        </w:rPr>
        <w:t xml:space="preserve">Generated 2026-04-29 for Claude AI session context. This document is maintained by ZerO.</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2026-05-03T17:22:35Z</dcterms:created>
  <dcterms:modified xsi:type="dcterms:W3CDTF">2026-05-03T17:22:35Z</dcterms:modified>
</cp:coreProperties>
</file>

<file path=docProps/custom.xml><?xml version="1.0" encoding="utf-8"?>
<Properties xmlns="http://schemas.openxmlformats.org/officeDocument/2006/custom-properties" xmlns:vt="http://schemas.openxmlformats.org/officeDocument/2006/docPropsVTypes"/>
</file>