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3cbd9ae9c0d19c014605f293b9451d3c388953c"/>
    <w:p>
      <w:pPr>
        <w:pStyle w:val="Heading1"/>
      </w:pPr>
      <w:r>
        <w:t xml:space="preserve">Bedrock ESG — Roofing Industry Vertical Specification</w:t>
      </w:r>
    </w:p>
    <w:bookmarkStart w:id="20" w:name="draft-v0.1-may-2026"/>
    <w:p>
      <w:pPr>
        <w:pStyle w:val="Heading2"/>
      </w:pPr>
      <w:r>
        <w:t xml:space="preserve">DRAFT v0.1 | May 2026</w:t>
      </w:r>
    </w:p>
    <w:bookmarkEnd w:id="20"/>
    <w:bookmarkStart w:id="21" w:name="X8866a1edbb032dac93c2b3ce51bf7eab50348e8"/>
    <w:p>
      <w:pPr>
        <w:pStyle w:val="Heading2"/>
      </w:pPr>
      <w:r>
        <w:t xml:space="preserve">Classification: Pre-Build Specification — Phase 2 Deliverable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specification defines the integration of the</w:t>
      </w:r>
      <w:r>
        <w:t xml:space="preserve"> </w:t>
      </w:r>
      <w:r>
        <w:rPr>
          <w:bCs/>
          <w:b/>
        </w:rPr>
        <w:t xml:space="preserve">Roofing Industry Vertical</w:t>
      </w:r>
      <w:r>
        <w:t xml:space="preserve"> </w:t>
      </w:r>
      <w:r>
        <w:t xml:space="preserve">into the Bedrock ESG platform. The objective is to onboard commercial roofing installations (TPO, EPDM, Metal, and High-Albedo Coatings) as verifiable carbon-offset assets through the Aethexer Protocol.</w:t>
      </w:r>
    </w:p>
    <w:p>
      <w:pPr>
        <w:pStyle w:val="BodyText"/>
      </w:pPr>
      <w:r>
        <w:t xml:space="preserve">The core innovation is the</w:t>
      </w:r>
      <w:r>
        <w:t xml:space="preserve"> </w:t>
      </w:r>
      <w:r>
        <w:rPr>
          <w:bCs/>
          <w:b/>
        </w:rPr>
        <w:t xml:space="preserve">Thermal Load Shedding (TLS)</w:t>
      </w:r>
      <w:r>
        <w:t xml:space="preserve"> </w:t>
      </w:r>
      <w:r>
        <w:t xml:space="preserve">calculation — a methodology that quantifies the kWh reduction in HVAC demand achieved by high-performance cool roofing systems, converts that reduction into verifiable CO₂e savings, and anchors the proof to Solana via the existing Sovereign Notary.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vertical does NOT introduce a new token. Verified roofing assets flow through the existing EXITZ tokenization pipeline and the 70/20/10 settlement split.</w:t>
      </w:r>
    </w:p>
    <w:p>
      <w:r>
        <w:pict>
          <v:rect style="width:0;height:1.5pt" o:hralign="center" o:hrstd="t" o:hr="t"/>
        </w:pict>
      </w:r>
    </w:p>
    <w:bookmarkEnd w:id="22"/>
    <w:bookmarkStart w:id="25" w:name="regulatory-standards-foundation"/>
    <w:p>
      <w:pPr>
        <w:pStyle w:val="Heading2"/>
      </w:pPr>
      <w:r>
        <w:t xml:space="preserve">2. Regulatory &amp; Standards Foundation</w:t>
      </w:r>
    </w:p>
    <w:p>
      <w:pPr>
        <w:pStyle w:val="FirstParagraph"/>
      </w:pPr>
      <w:r>
        <w:t xml:space="preserve">All calculations and thresholds in this specification are grounded in published standards. Bedrock ESG does not invent metrics — it automates the verification of metrics that already have institutional backing.</w:t>
      </w:r>
    </w:p>
    <w:bookmarkStart w:id="23" w:name="applicable-standards"/>
    <w:p>
      <w:pPr>
        <w:pStyle w:val="Heading3"/>
      </w:pPr>
      <w:r>
        <w:t xml:space="preserve">2.1 Applicable Standards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ASTM C1549-16R22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ASTM International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reflectance measurement (portable reflectometer, 4 wavelengths)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ASTM E1980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ASTM International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Reflectance Index (SRI) 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ASHRAE 90.1-2022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ASHRAE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cool roof requirements: SR ≥ 0.70, TE ≥ 0.75, or SRI ≥ 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ENERGY STAR (Legacy)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Low-slope: Initial SR ≥ 0.65, 3-year aged SR ≥ 0.50; TE ≥ 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LEED v4.1 SS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USGBC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SRI ≥ 78 (low-slope) or ≥ 29 (steep-slope) for 75% of roof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CRRC-1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 Roof Rating Council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rating database and aged-value methodology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 24 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California Energy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Climate-zone-specific cool roof requirements</w:t>
            </w:r>
          </w:p>
        </w:tc>
      </w:tr>
    </w:tbl>
    <w:bookmarkEnd w:id="23"/>
    <w:bookmarkStart w:id="24" w:name="performance-tiers"/>
    <w:p>
      <w:pPr>
        <w:pStyle w:val="Heading3"/>
      </w:pPr>
      <w:r>
        <w:t xml:space="preserve">2.2 Performance Tiers</w:t>
      </w:r>
    </w:p>
    <w:p>
      <w:pPr>
        <w:pStyle w:val="FirstParagraph"/>
      </w:pPr>
      <w:r>
        <w:t xml:space="preserve">Bedrock ESG defines three performance tiers for roofing assets: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Reflectance (SR)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 Emittance (TE)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 —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≥ 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≥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SRI ≥ 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ENERGY STAR / LEED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2 — High-Performance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≥ 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≥ 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SRI ≥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ASHRAE 90.1 by &gt;10%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3 — Sub-Ambient Radiative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≥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≥ 0.90 (8–13μm window)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SRI ≥ 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Lab-verified radiative cooling membranes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Tier 3 represents emerging radiative cooling technology (e.g., photonic membranes, meta-material coatings). Gemini’s prompt specified SR ≥ 0.97 — this is achievable only with Tier 3 materials and must not be presented as the baseline requirement. The platform must support all three tiers.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9d1a976c5ff0b0494736c419c4a40e08d958428"/>
    <w:p>
      <w:pPr>
        <w:pStyle w:val="Heading2"/>
      </w:pPr>
      <w:r>
        <w:t xml:space="preserve">3. Thermal Load Shedding (TLS) Calculation Engine</w:t>
      </w:r>
    </w:p>
    <w:bookmarkStart w:id="26" w:name="core-formula"/>
    <w:p>
      <w:pPr>
        <w:pStyle w:val="Heading3"/>
      </w:pPr>
      <w:r>
        <w:t xml:space="preserve">3.1 Core Formula</w:t>
      </w:r>
    </w:p>
    <w:p>
      <w:pPr>
        <w:pStyle w:val="FirstParagraph"/>
      </w:pPr>
      <w:r>
        <w:t xml:space="preserve">The TLS calculation determines the annual HVAC energy reduction attributable to a cool roof installation:</w:t>
      </w:r>
    </w:p>
    <w:p>
      <w:pPr>
        <w:pStyle w:val="SourceCode"/>
      </w:pPr>
      <w:r>
        <w:rPr>
          <w:rStyle w:val="VerbatimChar"/>
        </w:rPr>
        <w:t xml:space="preserve">TLS (kWh/year) = A × CDD × Uf × (1 - SR_new/SR_baseline) × η_HVAC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= Roof area (m²)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CDD</w:t>
      </w:r>
      <w:r>
        <w:t xml:space="preserve"> </w:t>
      </w:r>
      <w:r>
        <w:t xml:space="preserve">= Cooling Degree Days for the installation’s climate zone (ASHRAE data)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Uf</w:t>
      </w:r>
      <w:r>
        <w:t xml:space="preserve"> </w:t>
      </w:r>
      <w:r>
        <w:t xml:space="preserve">= Roof thermal transmittance (W/m²·K) — derived from R-value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SR_new</w:t>
      </w:r>
      <w:r>
        <w:t xml:space="preserve"> </w:t>
      </w:r>
      <w:r>
        <w:t xml:space="preserve">= Solar reflectance of the installed cool roof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SR_baseline</w:t>
      </w:r>
      <w:r>
        <w:t xml:space="preserve"> </w:t>
      </w:r>
      <w:r>
        <w:t xml:space="preserve">= Solar reflectance of the baseline roof (default: 0.10 for dark asphalt shingle, 0.20 for aged membrane)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η_HVAC</w:t>
      </w:r>
      <w:r>
        <w:t xml:space="preserve"> </w:t>
      </w:r>
      <w:r>
        <w:t xml:space="preserve">= HVAC system efficiency factor (COP of cooling system, default: 3.5)</w:t>
      </w:r>
    </w:p>
    <w:bookmarkEnd w:id="26"/>
    <w:bookmarkStart w:id="27" w:name="co₂e-conversion"/>
    <w:p>
      <w:pPr>
        <w:pStyle w:val="Heading3"/>
      </w:pPr>
      <w:r>
        <w:t xml:space="preserve">3.2 CO₂e Conversion</w:t>
      </w:r>
    </w:p>
    <w:p>
      <w:pPr>
        <w:pStyle w:val="SourceCode"/>
      </w:pPr>
      <w:r>
        <w:rPr>
          <w:rStyle w:val="VerbatimChar"/>
        </w:rPr>
        <w:t xml:space="preserve">CO₂e Saved (kg/year) = TLS (kWh/year) × Grid Emission Factor (kg CO₂e/kWh)</w:t>
      </w:r>
    </w:p>
    <w:p>
      <w:pPr>
        <w:pStyle w:val="FirstParagraph"/>
      </w:pPr>
      <w:r>
        <w:t xml:space="preserve">Grid emission factors sourced from EPA eGRID by subregion. Default:</w:t>
      </w:r>
      <w:r>
        <w:t xml:space="preserve"> </w:t>
      </w:r>
      <w:r>
        <w:rPr>
          <w:bCs/>
          <w:b/>
        </w:rPr>
        <w:t xml:space="preserve">0.386 kg CO₂e/kWh</w:t>
      </w:r>
      <w:r>
        <w:t xml:space="preserve"> </w:t>
      </w:r>
      <w:r>
        <w:t xml:space="preserve">(US national average 2024).</w:t>
      </w:r>
    </w:p>
    <w:bookmarkEnd w:id="27"/>
    <w:bookmarkStart w:id="28" w:name="negative-watts-nw-definition"/>
    <w:p>
      <w:pPr>
        <w:pStyle w:val="Heading3"/>
      </w:pPr>
      <w:r>
        <w:t xml:space="preserve">3.3 Negative Watts ($NW) — Definition</w:t>
      </w:r>
    </w:p>
    <w:p>
      <w:pPr>
        <w:pStyle w:val="FirstParagraph"/>
      </w:pPr>
      <w:r>
        <w:t xml:space="preserve">“</w:t>
      </w:r>
      <w:r>
        <w:t xml:space="preserve">Negative Watts</w:t>
      </w:r>
      <w:r>
        <w:t xml:space="preserve">”</w:t>
      </w:r>
      <w:r>
        <w:t xml:space="preserve"> </w:t>
      </w:r>
      <w:r>
        <w:t xml:space="preserve">is a Bedrock ESG proprietary metric,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industry standard. It must always be presented with this context.</w:t>
      </w:r>
    </w:p>
    <w:p>
      <w:pPr>
        <w:pStyle w:val="SourceCode"/>
      </w:pPr>
      <w:r>
        <w:rPr>
          <w:rStyle w:val="VerbatimChar"/>
        </w:rPr>
        <w:t xml:space="preserve">$NW = TLS (kWh/year) / 8,760 hours</w:t>
      </w:r>
    </w:p>
    <w:p>
      <w:pPr>
        <w:pStyle w:val="FirstParagraph"/>
      </w:pPr>
      <w:r>
        <w:t xml:space="preserve">This yields the average continuous wattage of cooling load avoided — the</w:t>
      </w:r>
      <w:r>
        <w:t xml:space="preserve"> </w:t>
      </w:r>
      <w:r>
        <w:t xml:space="preserve">“</w:t>
      </w:r>
      <w:r>
        <w:t xml:space="preserve">negative</w:t>
      </w:r>
      <w:r>
        <w:t xml:space="preserve">”</w:t>
      </w:r>
      <w:r>
        <w:t xml:space="preserve"> </w:t>
      </w:r>
      <w:r>
        <w:t xml:space="preserve">power draw. A roof that avoids 43,800 kWh/year = 5 $NW (5 watts of continuous avoided load).</w:t>
      </w:r>
    </w:p>
    <w:p>
      <w:pPr>
        <w:pStyle w:val="BlockText"/>
      </w:pPr>
      <w:r>
        <w:rPr>
          <w:bCs/>
          <w:b/>
        </w:rPr>
        <w:t xml:space="preserve">Compliance Note:</w:t>
      </w:r>
      <w:r>
        <w:t xml:space="preserve"> </w:t>
      </w:r>
      <w:r>
        <w:t xml:space="preserve">$NW is a communication metric for investor/owner comprehension. All regulatory filings and carbon credit calculations must use standard kWh and kg CO₂e units.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data-input-schema"/>
    <w:p>
      <w:pPr>
        <w:pStyle w:val="Heading2"/>
      </w:pPr>
      <w:r>
        <w:t xml:space="preserve">4. Data Input Schema</w:t>
      </w:r>
    </w:p>
    <w:bookmarkStart w:id="30" w:name="material-registration-fields"/>
    <w:p>
      <w:pPr>
        <w:pStyle w:val="Heading3"/>
      </w:pPr>
      <w:r>
        <w:t xml:space="preserve">4.1 Material Registration Fields</w:t>
      </w:r>
    </w:p>
    <w:p>
      <w:pPr>
        <w:pStyle w:val="FirstParagraph"/>
      </w:pPr>
      <w:r>
        <w:t xml:space="preserve">Fields required for a roofing company to register their materials in the Bedrock ESG asset registry: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manufacturerName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manufacturer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product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Manufacturer’s batch/lot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substrateType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EPDM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METAL_STANDING_SEAM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METAL_CORRUGATED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SPRAY_COATING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PHOTONIC_MEMBRANE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coatingType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Coating chemistry (e.g.,</w:t>
            </w:r>
            <w:r>
              <w:t xml:space="preserve"> </w:t>
            </w:r>
            <w:r>
              <w:t xml:space="preserve">“</w:t>
            </w:r>
            <w:r>
              <w:t xml:space="preserve">Acrylic Elastomeric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Silicone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PVDF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coatingThicknessMils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Dry film thickness in mils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 resistance (ft²·°F·h/BTU)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solarReflectanceInitial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SR per ASTM C1549 (0.00–1.00)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solarReflectanceAged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3-year aged SR per CRRC methodology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thermalEmittance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per ASTM C1371 (0.00–1.00)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sriValue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Solar Reflectance Index per ASTM E1980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crrcProductId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CRRC Rated Product ID (if 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spectralTestReportUrl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Cloud storage path to spectral test PDF</w:t>
            </w:r>
          </w:p>
        </w:tc>
      </w:tr>
    </w:tbl>
    <w:bookmarkEnd w:id="30"/>
    <w:bookmarkStart w:id="31" w:name="installation-registration-fields"/>
    <w:p>
      <w:pPr>
        <w:pStyle w:val="Heading3"/>
      </w:pPr>
      <w:r>
        <w:t xml:space="preserve">4.2 Installation Registration Fields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installerCompanyName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Licensed roofing contractor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installerLicense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contractor license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installationDate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installation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roofAreaSqFt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roof area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roofSlope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LOW_SLOPE</w:t>
            </w:r>
            <w:r>
              <w:t xml:space="preserve"> </w:t>
            </w:r>
            <w:r>
              <w:t xml:space="preserve">(≤2:12) or</w:t>
            </w:r>
            <w:r>
              <w:t xml:space="preserve"> </w:t>
            </w:r>
            <w:r>
              <w:rPr>
                <w:rStyle w:val="VerbatimChar"/>
              </w:rPr>
              <w:t xml:space="preserve">STEEP_SLOPE</w:t>
            </w:r>
            <w:r>
              <w:t xml:space="preserve"> </w:t>
            </w:r>
            <w:r>
              <w:t xml:space="preserve">(&gt;2:12)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buildingType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COMMERCIAL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INDUSTRIAL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RESIDENTIAL_HIGH_RISE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WAREHOUSE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climateZone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ASHRAE climate zone (e.g.,</w:t>
            </w:r>
            <w:r>
              <w:t xml:space="preserve"> </w:t>
            </w:r>
            <w:r>
              <w:t xml:space="preserve">“</w:t>
            </w:r>
            <w:r>
              <w:t xml:space="preserve">2A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3B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4C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latitude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geoLongitude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longitude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previousRoofType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roof being replaced/coated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previousRoofSR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Measured SR of previous roof (default applied if omitted)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hvacSystemType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HVAC type for η 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hvacCOP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Coefficient of Performance (default: 3.5)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walletAddress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 wallet for settlement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solana-anchor-genesis-block-protocol"/>
    <w:p>
      <w:pPr>
        <w:pStyle w:val="Heading2"/>
      </w:pPr>
      <w:r>
        <w:t xml:space="preserve">5. Solana Anchor — Genesis Block Protocol</w:t>
      </w:r>
    </w:p>
    <w:bookmarkStart w:id="33" w:name="hash-construction"/>
    <w:p>
      <w:pPr>
        <w:pStyle w:val="Heading3"/>
      </w:pPr>
      <w:r>
        <w:t xml:space="preserve">5.1 Hash Construction</w:t>
      </w:r>
    </w:p>
    <w:p>
      <w:pPr>
        <w:pStyle w:val="FirstParagraph"/>
      </w:pPr>
      <w:r>
        <w:t xml:space="preserve">Each verified installation triggers a SHA-256 Genesis Hash anchored to Solana Devnet via the existing Sovereign Notary (</w:t>
      </w:r>
      <w:r>
        <w:rPr>
          <w:rStyle w:val="VerbatimChar"/>
        </w:rPr>
        <w:t xml:space="preserve">lib/solana-notary.ts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Genesis Hash = SHA-256(</w:t>
      </w:r>
      <w:r>
        <w:br/>
      </w:r>
      <w:r>
        <w:rPr>
          <w:rStyle w:val="VerbatimChar"/>
        </w:rPr>
        <w:t xml:space="preserve">  batchId +</w:t>
      </w:r>
      <w:r>
        <w:br/>
      </w:r>
      <w:r>
        <w:rPr>
          <w:rStyle w:val="VerbatimChar"/>
        </w:rPr>
        <w:t xml:space="preserve">  solarReflectanceInitial +</w:t>
      </w:r>
      <w:r>
        <w:br/>
      </w:r>
      <w:r>
        <w:rPr>
          <w:rStyle w:val="VerbatimChar"/>
        </w:rPr>
        <w:t xml:space="preserve">  thermalEmittance +</w:t>
      </w:r>
      <w:r>
        <w:br/>
      </w:r>
      <w:r>
        <w:rPr>
          <w:rStyle w:val="VerbatimChar"/>
        </w:rPr>
        <w:t xml:space="preserve">  geoLatitude + geoLongitude +</w:t>
      </w:r>
      <w:r>
        <w:br/>
      </w:r>
      <w:r>
        <w:rPr>
          <w:rStyle w:val="VerbatimChar"/>
        </w:rPr>
        <w:t xml:space="preserve">  installationDate +</w:t>
      </w:r>
      <w:r>
        <w:br/>
      </w:r>
      <w:r>
        <w:rPr>
          <w:rStyle w:val="VerbatimChar"/>
        </w:rPr>
        <w:t xml:space="preserve">  roofAreaSqFt +</w:t>
      </w:r>
      <w:r>
        <w:br/>
      </w:r>
      <w:r>
        <w:rPr>
          <w:rStyle w:val="VerbatimChar"/>
        </w:rPr>
        <w:t xml:space="preserve">  installerLicense</w:t>
      </w:r>
      <w:r>
        <w:br/>
      </w:r>
      <w:r>
        <w:rPr>
          <w:rStyle w:val="VerbatimChar"/>
        </w:rPr>
        <w:t xml:space="preserve">)</w:t>
      </w:r>
    </w:p>
    <w:bookmarkEnd w:id="33"/>
    <w:bookmarkStart w:id="34" w:name="memo-payload-structure"/>
    <w:p>
      <w:pPr>
        <w:pStyle w:val="Heading3"/>
      </w:pPr>
      <w:r>
        <w:t xml:space="preserve">5.2 Memo Payload Structure</w:t>
      </w:r>
    </w:p>
    <w:p>
      <w:pPr>
        <w:pStyle w:val="FirstParagraph"/>
      </w:pPr>
      <w:r>
        <w:t xml:space="preserve">Anchored via the Solana Memo Program (</w:t>
      </w:r>
      <w:r>
        <w:rPr>
          <w:rStyle w:val="VerbatimChar"/>
        </w:rPr>
        <w:t xml:space="preserve">MemoSq4gqABAXKb96qnH8TysNcWxMyWCqXgDLGmfcHr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"aethexer-v1"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"ROOFING_GENESIS"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"TPO-2026-05-BATCH-4412"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"genesisHash"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"a3f8c2..."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"TIER_2"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"areaM2"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1486.5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"climateZone"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33.4484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-112.0740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"sentinel"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"9tsq8qB4P9uPRSHrjXLaDQJd93nuo4wEEtkR1tAJRAQ3"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monthly-reporting-cycle"/>
    <w:p>
      <w:pPr>
        <w:pStyle w:val="Heading3"/>
      </w:pPr>
      <w:r>
        <w:t xml:space="preserve">5.3 Monthly Reporting Cycle</w:t>
      </w:r>
    </w:p>
    <w:p>
      <w:pPr>
        <w:pStyle w:val="FirstParagraph"/>
      </w:pPr>
      <w:r>
        <w:t xml:space="preserve">After the Genesis Block, monthly TLS calculations are anchored as</w:t>
      </w:r>
      <w:r>
        <w:t xml:space="preserve"> </w:t>
      </w:r>
      <w:r>
        <w:rPr>
          <w:rStyle w:val="VerbatimChar"/>
        </w:rPr>
        <w:t xml:space="preserve">ROOFING_TLS_REPORT</w:t>
      </w:r>
      <w:r>
        <w:t xml:space="preserve"> </w:t>
      </w:r>
      <w:r>
        <w:t xml:space="preserve">memos: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"aethexer-v1"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"ROOFING_TLS_REPORT"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"genesisHash"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"a3f8c2..."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"tlsKwh"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"co2eSavedKg"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1408.9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"negativeWatts"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"gridEmissionFactor"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"sentinel"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"9tsq8qB4P9uPRSHrjXLaDQJd93nuo4wEEtkR1tAJRAQ3"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ettlement-integration"/>
    <w:p>
      <w:pPr>
        <w:pStyle w:val="Heading2"/>
      </w:pPr>
      <w:r>
        <w:t xml:space="preserve">6. Settlement Integration</w:t>
      </w:r>
    </w:p>
    <w:p>
      <w:pPr>
        <w:pStyle w:val="FirstParagraph"/>
      </w:pPr>
      <w:r>
        <w:t xml:space="preserve">Roofing settlements use the existing 70/20/10 split with no modifications: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Roofing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owner or roofing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Bedrock Treasury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backing / institutional reserve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agent who confirmed installation</w:t>
            </w:r>
          </w:p>
        </w:tc>
      </w:tr>
    </w:tbl>
    <w:p>
      <w:pPr>
        <w:pStyle w:val="BodyText"/>
      </w:pPr>
      <w:r>
        <w:t xml:space="preserve">Settlement is triggered when:</w:t>
      </w:r>
      <w:r>
        <w:t xml:space="preserve"> </w:t>
      </w:r>
      <w:r>
        <w:t xml:space="preserve">1. Material registration is complete with spectral test data</w:t>
      </w:r>
      <w:r>
        <w:t xml:space="preserve"> </w:t>
      </w:r>
      <w:r>
        <w:t xml:space="preserve">2. Installation registration is complete with geolocation</w:t>
      </w:r>
      <w:r>
        <w:t xml:space="preserve"> </w:t>
      </w:r>
      <w:r>
        <w:t xml:space="preserve">3. Genesis Hash is anchored to Solana</w:t>
      </w:r>
      <w:r>
        <w:t xml:space="preserve"> </w:t>
      </w:r>
      <w:r>
        <w:t xml:space="preserve">4. First monthly TLS report is generated</w:t>
      </w:r>
      <w:r>
        <w:t xml:space="preserve"> </w:t>
      </w:r>
      <w:r>
        <w:t xml:space="preserve">5. Founder approval gate is passed (human-in-the-loop)</w:t>
      </w:r>
    </w:p>
    <w:p>
      <w:r>
        <w:pict>
          <v:rect style="width:0;height:1.5pt" o:hralign="center" o:hrstd="t" o:hr="t"/>
        </w:pict>
      </w:r>
    </w:p>
    <w:bookmarkEnd w:id="37"/>
    <w:bookmarkStart w:id="41" w:name="forensic-audit-handshake"/>
    <w:p>
      <w:pPr>
        <w:pStyle w:val="Heading2"/>
      </w:pPr>
      <w:r>
        <w:t xml:space="preserve">7. Forensic Audit Handshake</w:t>
      </w:r>
    </w:p>
    <w:p>
      <w:pPr>
        <w:pStyle w:val="FirstParagraph"/>
      </w:pPr>
      <w:r>
        <w:t xml:space="preserve">The platform verifies installation performance through a three-stage handshake:</w:t>
      </w:r>
    </w:p>
    <w:bookmarkStart w:id="38" w:name="stage-1-document-forensics"/>
    <w:p>
      <w:pPr>
        <w:pStyle w:val="Heading3"/>
      </w:pPr>
      <w:r>
        <w:t xml:space="preserve">Stage 1: Document Forensics</w:t>
      </w:r>
    </w:p>
    <w:p>
      <w:pPr>
        <w:numPr>
          <w:ilvl w:val="0"/>
          <w:numId w:val="1001"/>
        </w:numPr>
        <w:pStyle w:val="Compact"/>
      </w:pPr>
      <w:r>
        <w:t xml:space="preserve">Spectral test report PDF ingested via</w:t>
      </w:r>
      <w:r>
        <w:t xml:space="preserve"> </w:t>
      </w:r>
      <w:r>
        <w:rPr>
          <w:rStyle w:val="VerbatimChar"/>
        </w:rPr>
        <w:t xml:space="preserve">/api/v1/forensic-ingest</w:t>
      </w:r>
    </w:p>
    <w:p>
      <w:pPr>
        <w:numPr>
          <w:ilvl w:val="0"/>
          <w:numId w:val="1001"/>
        </w:numPr>
        <w:pStyle w:val="Compact"/>
      </w:pPr>
      <w:r>
        <w:t xml:space="preserve">LLM parser extracts SR, TE, SRI values</w:t>
      </w:r>
    </w:p>
    <w:p>
      <w:pPr>
        <w:numPr>
          <w:ilvl w:val="0"/>
          <w:numId w:val="1001"/>
        </w:numPr>
        <w:pStyle w:val="Compact"/>
      </w:pPr>
      <w:r>
        <w:t xml:space="preserve">Cross-referenced against CRRC database (if CRRC Product ID provided)</w:t>
      </w:r>
    </w:p>
    <w:p>
      <w:pPr>
        <w:numPr>
          <w:ilvl w:val="0"/>
          <w:numId w:val="1001"/>
        </w:numPr>
        <w:pStyle w:val="Compact"/>
      </w:pPr>
      <w:r>
        <w:t xml:space="preserve">Parser confidence score generated</w:t>
      </w:r>
    </w:p>
    <w:bookmarkEnd w:id="38"/>
    <w:bookmarkStart w:id="39" w:name="stage-2-geospatial-verification"/>
    <w:p>
      <w:pPr>
        <w:pStyle w:val="Heading3"/>
      </w:pPr>
      <w:r>
        <w:t xml:space="preserve">Stage 2: Geospatial Verification</w:t>
      </w:r>
    </w:p>
    <w:p>
      <w:pPr>
        <w:numPr>
          <w:ilvl w:val="0"/>
          <w:numId w:val="1002"/>
        </w:numPr>
        <w:pStyle w:val="Compact"/>
      </w:pPr>
      <w:r>
        <w:t xml:space="preserve">Installation coordinates validated against building footprint data</w:t>
      </w:r>
    </w:p>
    <w:p>
      <w:pPr>
        <w:numPr>
          <w:ilvl w:val="0"/>
          <w:numId w:val="1002"/>
        </w:numPr>
        <w:pStyle w:val="Compact"/>
      </w:pPr>
      <w:r>
        <w:t xml:space="preserve">Climate zone auto-assigned from ASHRAE lookup table</w:t>
      </w:r>
    </w:p>
    <w:p>
      <w:pPr>
        <w:numPr>
          <w:ilvl w:val="0"/>
          <w:numId w:val="1002"/>
        </w:numPr>
        <w:pStyle w:val="Compact"/>
      </w:pPr>
      <w:r>
        <w:t xml:space="preserve">Cooling Degree Days pulled from NOAA historical data for the location</w:t>
      </w:r>
    </w:p>
    <w:p>
      <w:pPr>
        <w:numPr>
          <w:ilvl w:val="0"/>
          <w:numId w:val="1002"/>
        </w:numPr>
        <w:pStyle w:val="Compact"/>
      </w:pPr>
      <w:r>
        <w:t xml:space="preserve">Satellite imagery cross-reference (Phase 3 — future)</w:t>
      </w:r>
    </w:p>
    <w:bookmarkEnd w:id="39"/>
    <w:bookmarkStart w:id="40" w:name="stage-3-solana-anchor"/>
    <w:p>
      <w:pPr>
        <w:pStyle w:val="Heading3"/>
      </w:pPr>
      <w:r>
        <w:t xml:space="preserve">Stage 3: Solana Anchor</w:t>
      </w:r>
    </w:p>
    <w:p>
      <w:pPr>
        <w:numPr>
          <w:ilvl w:val="0"/>
          <w:numId w:val="1003"/>
        </w:numPr>
        <w:pStyle w:val="Compact"/>
      </w:pPr>
      <w:r>
        <w:t xml:space="preserve">Genesis Hash constructed and anchored</w:t>
      </w:r>
    </w:p>
    <w:p>
      <w:pPr>
        <w:numPr>
          <w:ilvl w:val="0"/>
          <w:numId w:val="1003"/>
        </w:numPr>
        <w:pStyle w:val="Compact"/>
      </w:pPr>
      <w:r>
        <w:t xml:space="preserve">Memo transaction signed by Sentinel Node-01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solanaSignature</w:t>
      </w:r>
      <w:r>
        <w:t xml:space="preserve"> </w:t>
      </w:r>
      <w:r>
        <w:t xml:space="preserve">stored in Settlement record</w:t>
      </w:r>
    </w:p>
    <w:p>
      <w:pPr>
        <w:numPr>
          <w:ilvl w:val="0"/>
          <w:numId w:val="1003"/>
        </w:numPr>
        <w:pStyle w:val="Compact"/>
      </w:pPr>
      <w:r>
        <w:t xml:space="preserve">Submission status transitions:</w:t>
      </w:r>
      <w:r>
        <w:t xml:space="preserve"> </w:t>
      </w:r>
      <w:r>
        <w:rPr>
          <w:rStyle w:val="VerbatimChar"/>
        </w:rPr>
        <w:t xml:space="preserve">DRAFT → PENDING_FORENSIC_VERIFICATION → FORENSIC_VERIFIED → [founderApproved] → SETTLEMENT_COMPLETE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implementation-roadmap"/>
    <w:p>
      <w:pPr>
        <w:pStyle w:val="Heading2"/>
      </w:pPr>
      <w:r>
        <w:t xml:space="preserve">8. Implementation Roadmap</w:t>
      </w:r>
    </w:p>
    <w:bookmarkStart w:id="42" w:name="phase-2a-schema-api-estimated-1-session"/>
    <w:p>
      <w:pPr>
        <w:pStyle w:val="Heading3"/>
      </w:pPr>
      <w:r>
        <w:t xml:space="preserve">Phase 2A — Schema &amp; API (Estimated: 1 session)</w:t>
      </w:r>
    </w:p>
    <w:p>
      <w:pPr>
        <w:numPr>
          <w:ilvl w:val="0"/>
          <w:numId w:val="1004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ROOFING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ServiceType</w:t>
      </w:r>
      <w:r>
        <w:t xml:space="preserve"> </w:t>
      </w:r>
      <w:r>
        <w:t xml:space="preserve">enum</w:t>
      </w:r>
    </w:p>
    <w:p>
      <w:pPr>
        <w:numPr>
          <w:ilvl w:val="0"/>
          <w:numId w:val="1004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SubstrateType</w:t>
      </w:r>
      <w:r>
        <w:t xml:space="preserve"> </w:t>
      </w:r>
      <w:r>
        <w:t xml:space="preserve">enum</w:t>
      </w:r>
    </w:p>
    <w:p>
      <w:pPr>
        <w:numPr>
          <w:ilvl w:val="0"/>
          <w:numId w:val="1004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RoofingMaterial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RoofingInstallation</w:t>
      </w:r>
      <w:r>
        <w:t xml:space="preserve"> </w:t>
      </w:r>
      <w:r>
        <w:t xml:space="preserve">models</w:t>
      </w:r>
    </w:p>
    <w:p>
      <w:pPr>
        <w:numPr>
          <w:ilvl w:val="0"/>
          <w:numId w:val="1004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/api/roofing/calculate</w:t>
      </w:r>
      <w:r>
        <w:t xml:space="preserve"> </w:t>
      </w:r>
      <w:r>
        <w:t xml:space="preserve">endpoint (TLS engine)</w:t>
      </w:r>
    </w:p>
    <w:p>
      <w:pPr>
        <w:numPr>
          <w:ilvl w:val="0"/>
          <w:numId w:val="1004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/api/roofing/register-material</w:t>
      </w:r>
      <w:r>
        <w:t xml:space="preserve"> </w:t>
      </w:r>
      <w:r>
        <w:t xml:space="preserve">endpoint</w:t>
      </w:r>
    </w:p>
    <w:p>
      <w:pPr>
        <w:numPr>
          <w:ilvl w:val="0"/>
          <w:numId w:val="1004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/api/roofing/register-installation</w:t>
      </w:r>
      <w:r>
        <w:t xml:space="preserve"> </w:t>
      </w:r>
      <w:r>
        <w:t xml:space="preserve">endpoint</w:t>
      </w:r>
    </w:p>
    <w:bookmarkEnd w:id="42"/>
    <w:bookmarkStart w:id="43" w:name="phase-2b-ui-pages-estimated-1-session"/>
    <w:p>
      <w:pPr>
        <w:pStyle w:val="Heading3"/>
      </w:pPr>
      <w:r>
        <w:t xml:space="preserve">Phase 2B — UI Pages (Estimated: 1 session)</w:t>
      </w:r>
    </w:p>
    <w:p>
      <w:pPr>
        <w:numPr>
          <w:ilvl w:val="0"/>
          <w:numId w:val="1005"/>
        </w:numPr>
        <w:pStyle w:val="Compact"/>
      </w:pPr>
      <w:r>
        <w:t xml:space="preserve">Add ROOFING section to sidebar navigation</w:t>
      </w:r>
    </w:p>
    <w:p>
      <w:pPr>
        <w:numPr>
          <w:ilvl w:val="0"/>
          <w:numId w:val="1005"/>
        </w:numPr>
        <w:pStyle w:val="Compact"/>
      </w:pPr>
      <w:r>
        <w:t xml:space="preserve">Build Roofing Calculator page (TLS calculation with SSE streaming)</w:t>
      </w:r>
    </w:p>
    <w:p>
      <w:pPr>
        <w:numPr>
          <w:ilvl w:val="0"/>
          <w:numId w:val="1005"/>
        </w:numPr>
        <w:pStyle w:val="Compact"/>
      </w:pPr>
      <w:r>
        <w:t xml:space="preserve">Build Material Registry page</w:t>
      </w:r>
    </w:p>
    <w:p>
      <w:pPr>
        <w:numPr>
          <w:ilvl w:val="0"/>
          <w:numId w:val="1005"/>
        </w:numPr>
        <w:pStyle w:val="Compact"/>
      </w:pPr>
      <w:r>
        <w:t xml:space="preserve">Build Installation Tracker page</w:t>
      </w:r>
    </w:p>
    <w:bookmarkEnd w:id="43"/>
    <w:bookmarkStart w:id="44" w:name="Xf650af0ab971b9adde61623e2394fb22ce1cad9"/>
    <w:p>
      <w:pPr>
        <w:pStyle w:val="Heading3"/>
      </w:pPr>
      <w:r>
        <w:t xml:space="preserve">Phase 2C — Solana Integration (Estimated: 1 session)</w:t>
      </w:r>
    </w:p>
    <w:p>
      <w:pPr>
        <w:numPr>
          <w:ilvl w:val="0"/>
          <w:numId w:val="1006"/>
        </w:numPr>
        <w:pStyle w:val="Compact"/>
      </w:pPr>
      <w:r>
        <w:t xml:space="preserve">Extend</w:t>
      </w:r>
      <w:r>
        <w:t xml:space="preserve"> </w:t>
      </w:r>
      <w:r>
        <w:rPr>
          <w:rStyle w:val="VerbatimChar"/>
        </w:rPr>
        <w:t xml:space="preserve">anchorToDevnet()</w:t>
      </w:r>
      <w:r>
        <w:t xml:space="preserve"> </w:t>
      </w:r>
      <w:r>
        <w:t xml:space="preserve">to support</w:t>
      </w:r>
      <w:r>
        <w:t xml:space="preserve"> </w:t>
      </w:r>
      <w:r>
        <w:rPr>
          <w:rStyle w:val="VerbatimChar"/>
        </w:rPr>
        <w:t xml:space="preserve">ROOFING_GENESIS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ROOFING_TLS_REPORT</w:t>
      </w:r>
      <w:r>
        <w:t xml:space="preserve"> </w:t>
      </w:r>
      <w:r>
        <w:t xml:space="preserve">memo types</w:t>
      </w:r>
    </w:p>
    <w:p>
      <w:pPr>
        <w:numPr>
          <w:ilvl w:val="0"/>
          <w:numId w:val="1006"/>
        </w:numPr>
        <w:pStyle w:val="Compact"/>
      </w:pPr>
      <w:r>
        <w:t xml:space="preserve">Wire monthly TLS report generation</w:t>
      </w:r>
    </w:p>
    <w:p>
      <w:pPr>
        <w:numPr>
          <w:ilvl w:val="0"/>
          <w:numId w:val="1006"/>
        </w:numPr>
        <w:pStyle w:val="Compact"/>
      </w:pPr>
      <w:r>
        <w:t xml:space="preserve">Update Global Ledger to display roofing assets</w:t>
      </w:r>
    </w:p>
    <w:bookmarkEnd w:id="44"/>
    <w:bookmarkStart w:id="45" w:name="X6d549fab80a6faa4cbcd585f3b09105baad2413"/>
    <w:p>
      <w:pPr>
        <w:pStyle w:val="Heading3"/>
      </w:pPr>
      <w:r>
        <w:t xml:space="preserve">Phase 2D — Certificates &amp; Compliance (Estimated: 1 session)</w:t>
      </w:r>
    </w:p>
    <w:p>
      <w:pPr>
        <w:numPr>
          <w:ilvl w:val="0"/>
          <w:numId w:val="1007"/>
        </w:numPr>
        <w:pStyle w:val="Compact"/>
      </w:pPr>
      <w:r>
        <w:t xml:space="preserve">Generate</w:t>
      </w:r>
      <w:r>
        <w:t xml:space="preserve"> </w:t>
      </w:r>
      <w:r>
        <w:t xml:space="preserve">“</w:t>
      </w:r>
      <w:r>
        <w:t xml:space="preserve">Thermal Load Shedding Certificate</w:t>
      </w:r>
      <w:r>
        <w:t xml:space="preserve">”</w:t>
      </w:r>
      <w:r>
        <w:t xml:space="preserve"> </w:t>
      </w:r>
      <w:r>
        <w:t xml:space="preserve">PDF</w:t>
      </w:r>
    </w:p>
    <w:p>
      <w:pPr>
        <w:numPr>
          <w:ilvl w:val="0"/>
          <w:numId w:val="1007"/>
        </w:numPr>
        <w:pStyle w:val="Compact"/>
      </w:pPr>
      <w:r>
        <w:t xml:space="preserve">Include: Installation details, TLS calculation, CO₂e saved, Solana signature, QR code linking to on-chain proof</w:t>
      </w:r>
    </w:p>
    <w:p>
      <w:pPr>
        <w:numPr>
          <w:ilvl w:val="0"/>
          <w:numId w:val="1007"/>
        </w:numPr>
        <w:pStyle w:val="Compact"/>
      </w:pPr>
      <w:r>
        <w:t xml:space="preserve">Update Project Bibles with roofing vertical documentation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what-this-specification-does-not-include"/>
    <w:p>
      <w:pPr>
        <w:pStyle w:val="Heading2"/>
      </w:pPr>
      <w:r>
        <w:t xml:space="preserve">9. What This Specification Does NOT Include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Negative Watts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as a tradeable token.</w:t>
      </w:r>
      <w:r>
        <w:t xml:space="preserve"> </w:t>
      </w:r>
      <w:r>
        <w:t xml:space="preserve">$NW is a metric, not a token. Verified savings flow through EXITZ.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Elimination claims.</w:t>
      </w:r>
      <w:r>
        <w:t xml:space="preserve"> </w:t>
      </w:r>
      <w:r>
        <w:t xml:space="preserve">The platform does not claim to</w:t>
      </w:r>
      <w:r>
        <w:t xml:space="preserve"> </w:t>
      </w:r>
      <w:r>
        <w:t xml:space="preserve">“</w:t>
      </w:r>
      <w:r>
        <w:t xml:space="preserve">eliminate</w:t>
      </w:r>
      <w:r>
        <w:t xml:space="preserve">”</w:t>
      </w:r>
      <w:r>
        <w:t xml:space="preserve"> </w:t>
      </w:r>
      <w:r>
        <w:t xml:space="preserve">HVAC systems. It quantifies</w:t>
      </w:r>
      <w:r>
        <w:t xml:space="preserve"> </w:t>
      </w:r>
      <w:r>
        <w:rPr>
          <w:iCs/>
          <w:i/>
        </w:rPr>
        <w:t xml:space="preserve">reduction</w:t>
      </w:r>
      <w:r>
        <w:t xml:space="preserve"> </w:t>
      </w:r>
      <w:r>
        <w:t xml:space="preserve">in thermal load.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Tier 3 as baseline.</w:t>
      </w:r>
      <w:r>
        <w:t xml:space="preserve"> </w:t>
      </w:r>
      <w:r>
        <w:t xml:space="preserve">Sub-ambient radiative cooling (SR ≥ 0.95) is supported but not required. Most commercial installations will be Tier 1 or Tier 2.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Real-time monitoring.</w:t>
      </w:r>
      <w:r>
        <w:t xml:space="preserve"> </w:t>
      </w:r>
      <w:r>
        <w:t xml:space="preserve">This specification covers document-based verification. IoT sensor integration (roof temperature monitoring) is a Phase 3 consideration.</w:t>
      </w:r>
    </w:p>
    <w:p>
      <w:r>
        <w:pict>
          <v:rect style="width:0;height:1.5pt" o:hralign="center" o:hrstd="t" o:hr="t"/>
        </w:pict>
      </w:r>
    </w:p>
    <w:bookmarkEnd w:id="47"/>
    <w:bookmarkStart w:id="48" w:name="references"/>
    <w:p>
      <w:pPr>
        <w:pStyle w:val="Heading2"/>
      </w:pPr>
      <w:r>
        <w:t xml:space="preserve">10. References</w:t>
      </w:r>
    </w:p>
    <w:p>
      <w:pPr>
        <w:numPr>
          <w:ilvl w:val="0"/>
          <w:numId w:val="1009"/>
        </w:numPr>
        <w:pStyle w:val="Compact"/>
      </w:pPr>
      <w:r>
        <w:t xml:space="preserve">ASTM C1549-16R22 — Standard Test Method for Determination of Solar Reflectance Near Ambient Temperature</w:t>
      </w:r>
    </w:p>
    <w:p>
      <w:pPr>
        <w:numPr>
          <w:ilvl w:val="0"/>
          <w:numId w:val="1009"/>
        </w:numPr>
        <w:pStyle w:val="Compact"/>
      </w:pPr>
      <w:r>
        <w:t xml:space="preserve">ASTM E1980 — Standard Practice for Calculating Solar Reflectance Index</w:t>
      </w:r>
    </w:p>
    <w:p>
      <w:pPr>
        <w:numPr>
          <w:ilvl w:val="0"/>
          <w:numId w:val="1009"/>
        </w:numPr>
        <w:pStyle w:val="Compact"/>
      </w:pPr>
      <w:r>
        <w:t xml:space="preserve">ASHRAE 90.1-2022 — Energy Standard for Buildings Except Low-Rise Residential Buildings</w:t>
      </w:r>
    </w:p>
    <w:p>
      <w:pPr>
        <w:numPr>
          <w:ilvl w:val="0"/>
          <w:numId w:val="1009"/>
        </w:numPr>
        <w:pStyle w:val="Compact"/>
      </w:pPr>
      <w:r>
        <w:t xml:space="preserve">ENERGY STAR Roof Products Program Requirements v3.0 (discontinued June 2022, metrics remain industry standard)</w:t>
      </w:r>
    </w:p>
    <w:p>
      <w:pPr>
        <w:numPr>
          <w:ilvl w:val="0"/>
          <w:numId w:val="1009"/>
        </w:numPr>
        <w:pStyle w:val="Compact"/>
      </w:pPr>
      <w:r>
        <w:t xml:space="preserve">LEED v4.1 — Sustainable Sites Credit: Heat Island Reduction</w:t>
      </w:r>
    </w:p>
    <w:p>
      <w:pPr>
        <w:numPr>
          <w:ilvl w:val="0"/>
          <w:numId w:val="1009"/>
        </w:numPr>
        <w:pStyle w:val="Compact"/>
      </w:pPr>
      <w:r>
        <w:t xml:space="preserve">CRRC-1 — Cool Roof Rating Council Product Rating Program</w:t>
      </w:r>
    </w:p>
    <w:p>
      <w:pPr>
        <w:numPr>
          <w:ilvl w:val="0"/>
          <w:numId w:val="1009"/>
        </w:numPr>
        <w:pStyle w:val="Compact"/>
      </w:pPr>
      <w:r>
        <w:t xml:space="preserve">EPA eGRID — Emissions &amp; Generation Resource Integrated Database</w:t>
      </w:r>
    </w:p>
    <w:p>
      <w:pPr>
        <w:numPr>
          <w:ilvl w:val="0"/>
          <w:numId w:val="1009"/>
        </w:numPr>
        <w:pStyle w:val="Compact"/>
      </w:pPr>
      <w:r>
        <w:t xml:space="preserve">PNNL-24904 — Radiative Cooling Roof System Energy Savings Analysis</w:t>
      </w:r>
    </w:p>
    <w:p>
      <w:pPr>
        <w:numPr>
          <w:ilvl w:val="0"/>
          <w:numId w:val="1009"/>
        </w:numPr>
        <w:pStyle w:val="Compact"/>
      </w:pPr>
      <w:r>
        <w:t xml:space="preserve">NOAA — Historical Cooling Degree Day Data by Climate Zone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prepared by Bedrock ESG Platform Architecture — Abacus AI Agent</w:t>
      </w:r>
      <w:r>
        <w:t xml:space="preserve"> </w:t>
      </w:r>
      <w:r>
        <w:rPr>
          <w:iCs/>
          <w:i/>
        </w:rPr>
        <w:t xml:space="preserve">Classification: Internal Draft — Not for external distribution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2026-05-08T00:38:31Z</dcterms:created>
  <dcterms:modified xsi:type="dcterms:W3CDTF">2026-05-08T00:38:31Z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