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BACG2024000556</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eastAsia"/>
                <w:sz w:val="30"/>
                <w:szCs w:val="30"/>
                <w:lang w:eastAsia="zh-CN"/>
              </w:rPr>
            </w:pPr>
            <w:r>
              <w:rPr>
                <w:rFonts w:asciiTheme="minorEastAsia" w:hAnsiTheme="minorEastAsia" w:hint="eastAsia"/>
                <w:sz w:val="30"/>
                <w:szCs w:val="30"/>
              </w:rPr>
              <w:t>深圳市宝安区信息中心智慧宝安大数据资源平台完善工程项目（A包）</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sz w:val="21"/>
                <w:szCs w:val="21"/>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713"/>
        <w:gridCol w:w="652"/>
        <w:gridCol w:w="4347"/>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4045"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4347"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1</w:t>
            </w:r>
          </w:p>
        </w:tc>
        <w:tc>
          <w:tcPr>
            <w:tcW w:w="4045"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价格</w:t>
            </w:r>
          </w:p>
        </w:tc>
        <w:tc>
          <w:tcPr>
            <w:tcW w:w="4347"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10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trHeight w:val="90"/>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2</w:t>
            </w:r>
          </w:p>
        </w:tc>
        <w:tc>
          <w:tcPr>
            <w:tcW w:w="4045" w:type="dxa"/>
            <w:gridSpan w:val="3"/>
            <w:tcBorders>
              <w:top w:val="single" w:sz="8" w:space="0" w:color="000000"/>
              <w:left w:val="single" w:sz="8" w:space="0" w:color="000000"/>
              <w:bottom w:val="single" w:sz="8" w:space="0" w:color="000000"/>
              <w:right w:val="single" w:sz="8" w:space="0" w:color="000000"/>
            </w:tcBorders>
          </w:tcPr>
          <w:p>
            <w:pPr>
              <w:wordWrap w:val="0"/>
              <w:jc w:val="center"/>
              <w:rPr>
                <w:b/>
                <w:bCs/>
                <w:color w:val="0000FF"/>
              </w:rPr>
            </w:pPr>
            <w:r>
              <w:rPr>
                <w:rFonts w:hint="eastAsia"/>
                <w:b/>
                <w:bCs/>
                <w:color w:val="0000FF"/>
              </w:rPr>
              <w:t>技术部分</w:t>
            </w:r>
          </w:p>
        </w:tc>
        <w:tc>
          <w:tcPr>
            <w:tcW w:w="4347" w:type="dxa"/>
            <w:tcBorders>
              <w:top w:val="single" w:sz="8" w:space="0" w:color="000000"/>
              <w:left w:val="single" w:sz="8" w:space="0" w:color="000000"/>
              <w:bottom w:val="single" w:sz="8" w:space="0" w:color="000000"/>
              <w:right w:val="single" w:sz="8" w:space="0" w:color="000000"/>
            </w:tcBorders>
          </w:tcPr>
          <w:p>
            <w:pPr>
              <w:wordWrap w:val="0"/>
              <w:jc w:val="center"/>
              <w:rPr>
                <w:b/>
                <w:bCs/>
                <w:color w:val="0000FF"/>
              </w:rPr>
            </w:pPr>
            <w:r>
              <w:rPr>
                <w:rFonts w:hint="eastAsia"/>
                <w:b/>
                <w:bCs/>
                <w:color w:val="0000FF"/>
              </w:rPr>
              <w:t>55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71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5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3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w:t>
            </w:r>
          </w:p>
        </w:tc>
        <w:tc>
          <w:tcPr>
            <w:tcW w:w="2713"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Theme="minorEastAsia" w:hAnsiTheme="minorEastAsia" w:hint="eastAsia"/>
                <w:szCs w:val="21"/>
              </w:rPr>
              <w:t>技术方案评价</w:t>
            </w:r>
          </w:p>
        </w:tc>
        <w:tc>
          <w:tcPr>
            <w:tcW w:w="652"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Theme="minorEastAsia" w:hAnsiTheme="minorEastAsia" w:cs="宋体" w:hint="eastAsia"/>
                <w:szCs w:val="21"/>
              </w:rPr>
              <w:t>10</w:t>
            </w:r>
          </w:p>
        </w:tc>
        <w:tc>
          <w:tcPr>
            <w:tcW w:w="4347"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napToGrid w:val="0"/>
              <w:spacing w:line="260" w:lineRule="exact"/>
              <w:rPr>
                <w:rFonts w:ascii="宋体" w:hAnsi="宋体" w:cs="宋体"/>
                <w:kern w:val="0"/>
                <w:szCs w:val="21"/>
              </w:rPr>
            </w:pPr>
            <w:r>
              <w:rPr>
                <w:rFonts w:ascii="宋体" w:hAnsi="宋体" w:cs="宋体" w:hint="eastAsia"/>
                <w:kern w:val="0"/>
                <w:szCs w:val="21"/>
              </w:rPr>
              <w:t>（一）评分内容：</w:t>
            </w:r>
          </w:p>
          <w:p>
            <w:pPr>
              <w:snapToGrid w:val="0"/>
              <w:spacing w:line="260" w:lineRule="exact"/>
              <w:rPr>
                <w:rFonts w:ascii="宋体" w:hAnsi="宋体" w:cs="宋体"/>
                <w:kern w:val="0"/>
                <w:szCs w:val="21"/>
              </w:rPr>
            </w:pPr>
            <w:r>
              <w:rPr>
                <w:rFonts w:ascii="宋体" w:hAnsi="宋体" w:cs="宋体" w:hint="eastAsia"/>
                <w:kern w:val="0"/>
                <w:szCs w:val="21"/>
              </w:rPr>
              <w:t>对投标人提供的技术方案进行评价：</w:t>
            </w:r>
          </w:p>
          <w:p>
            <w:pPr>
              <w:snapToGrid w:val="0"/>
              <w:spacing w:line="260" w:lineRule="exact"/>
              <w:rPr>
                <w:rFonts w:ascii="宋体" w:hAnsi="宋体" w:cs="宋体"/>
                <w:kern w:val="0"/>
                <w:szCs w:val="21"/>
              </w:rPr>
            </w:pPr>
            <w:r>
              <w:rPr>
                <w:rFonts w:ascii="宋体" w:hAnsi="宋体" w:cs="宋体" w:hint="eastAsia"/>
                <w:kern w:val="0"/>
                <w:szCs w:val="21"/>
              </w:rPr>
              <w:t>（1）投标人需提供对项目需求分析的理解，包括不限于现状及问题分析、用户需求、功能需求、数据需求和性能需求等；</w:t>
            </w:r>
          </w:p>
          <w:p>
            <w:pPr>
              <w:snapToGrid w:val="0"/>
              <w:spacing w:line="260" w:lineRule="exact"/>
              <w:rPr>
                <w:rFonts w:ascii="宋体" w:hAnsi="宋体" w:cs="宋体"/>
                <w:kern w:val="0"/>
                <w:szCs w:val="21"/>
              </w:rPr>
            </w:pPr>
            <w:r>
              <w:rPr>
                <w:rFonts w:ascii="宋体" w:hAnsi="宋体" w:cs="宋体" w:hint="eastAsia"/>
                <w:kern w:val="0"/>
                <w:szCs w:val="21"/>
              </w:rPr>
              <w:t>（2）投标人需结合项目服务内容和项目实际情况提出设计方案，包括不限于系统架构、数据架构、部署架构等内容；</w:t>
            </w:r>
          </w:p>
          <w:p>
            <w:pPr>
              <w:snapToGrid w:val="0"/>
              <w:spacing w:line="260" w:lineRule="exact"/>
              <w:rPr>
                <w:rFonts w:ascii="宋体" w:hAnsi="宋体" w:cs="宋体"/>
                <w:kern w:val="0"/>
                <w:szCs w:val="21"/>
              </w:rPr>
            </w:pPr>
            <w:r>
              <w:rPr>
                <w:rFonts w:ascii="宋体" w:hAnsi="宋体" w:cs="宋体" w:hint="eastAsia"/>
                <w:kern w:val="0"/>
                <w:szCs w:val="21"/>
              </w:rPr>
              <w:t>（3）投标人需提供详细的系统升级方案，包括大数据引擎升级等内容；</w:t>
            </w:r>
          </w:p>
          <w:p>
            <w:pPr>
              <w:snapToGrid w:val="0"/>
              <w:spacing w:line="260" w:lineRule="exact"/>
              <w:rPr>
                <w:rFonts w:ascii="宋体" w:hAnsi="宋体" w:cs="宋体"/>
                <w:kern w:val="0"/>
                <w:szCs w:val="21"/>
              </w:rPr>
            </w:pPr>
            <w:r>
              <w:rPr>
                <w:rFonts w:ascii="宋体" w:hAnsi="宋体" w:cs="宋体" w:hint="eastAsia"/>
                <w:kern w:val="0"/>
                <w:szCs w:val="21"/>
              </w:rPr>
              <w:t>（4）投标人需提供详细的系统软件建设方案，包括分布式数据库、时序数据库、对象存储、实时计算软件等内容；</w:t>
            </w:r>
          </w:p>
          <w:p>
            <w:pPr>
              <w:snapToGrid w:val="0"/>
              <w:spacing w:line="260" w:lineRule="exact"/>
              <w:rPr>
                <w:rFonts w:ascii="宋体" w:hAnsi="宋体" w:cs="宋体"/>
                <w:kern w:val="0"/>
                <w:szCs w:val="21"/>
              </w:rPr>
            </w:pPr>
            <w:r>
              <w:rPr>
                <w:rFonts w:ascii="宋体" w:hAnsi="宋体" w:cs="宋体" w:hint="eastAsia"/>
                <w:kern w:val="0"/>
                <w:szCs w:val="21"/>
              </w:rPr>
              <w:t>（二）评分标准：</w:t>
            </w:r>
          </w:p>
          <w:p>
            <w:pPr>
              <w:snapToGrid w:val="0"/>
              <w:spacing w:line="260" w:lineRule="exact"/>
              <w:rPr>
                <w:rFonts w:ascii="宋体" w:hAnsi="宋体" w:cs="宋体"/>
                <w:kern w:val="0"/>
                <w:szCs w:val="21"/>
              </w:rPr>
            </w:pPr>
            <w:r>
              <w:rPr>
                <w:rFonts w:ascii="宋体" w:hAnsi="宋体" w:cs="宋体" w:hint="eastAsia"/>
                <w:kern w:val="0"/>
                <w:szCs w:val="21"/>
              </w:rPr>
              <w:t>提供的方案满足上述四点的80分，满足任意三点的得60分，满足任意二点的得40分，满足任意一点的得20分，未满足不得分。</w:t>
            </w:r>
          </w:p>
          <w:p>
            <w:pPr>
              <w:snapToGrid w:val="0"/>
              <w:spacing w:line="260" w:lineRule="exact"/>
              <w:rPr>
                <w:rFonts w:ascii="宋体" w:hAnsi="宋体" w:cs="宋体"/>
                <w:color w:val="auto"/>
                <w:kern w:val="0"/>
                <w:szCs w:val="21"/>
              </w:rPr>
            </w:pPr>
            <w:r>
              <w:rPr>
                <w:rFonts w:ascii="宋体" w:hAnsi="宋体" w:cs="宋体" w:hint="eastAsia"/>
                <w:kern w:val="0"/>
                <w:szCs w:val="21"/>
              </w:rPr>
              <w:t>在</w:t>
            </w:r>
            <w:r>
              <w:rPr>
                <w:rFonts w:ascii="宋体" w:hAnsi="宋体" w:cs="宋体" w:hint="eastAsia"/>
                <w:color w:val="auto"/>
                <w:kern w:val="0"/>
                <w:szCs w:val="21"/>
              </w:rPr>
              <w:t>此基础上，由评审委员会对具体响应内容进一步评审：</w:t>
            </w:r>
          </w:p>
          <w:p>
            <w:pPr>
              <w:snapToGrid w:val="0"/>
              <w:spacing w:line="320" w:lineRule="exact"/>
              <w:rPr>
                <w:rFonts w:ascii="宋体" w:hAnsi="宋体" w:cs="等线"/>
                <w:color w:val="auto"/>
                <w:szCs w:val="21"/>
              </w:rPr>
            </w:pPr>
            <w:r>
              <w:rPr>
                <w:rFonts w:ascii="宋体" w:hAnsi="宋体" w:cs="等线" w:hint="eastAsia"/>
                <w:color w:val="auto"/>
                <w:szCs w:val="21"/>
              </w:rPr>
              <w:t>①方案全面具体、科学合理、操作性强的，得2</w:t>
            </w:r>
            <w:r>
              <w:rPr>
                <w:rFonts w:ascii="宋体" w:hAnsi="宋体" w:cs="等线"/>
                <w:color w:val="auto"/>
                <w:szCs w:val="21"/>
              </w:rPr>
              <w:t>0</w:t>
            </w:r>
            <w:r>
              <w:rPr>
                <w:rFonts w:ascii="宋体" w:hAnsi="宋体" w:cs="等线" w:hint="eastAsia"/>
                <w:color w:val="auto"/>
                <w:szCs w:val="21"/>
              </w:rPr>
              <w:t>分；</w:t>
            </w:r>
          </w:p>
          <w:p>
            <w:pPr>
              <w:snapToGrid w:val="0"/>
              <w:spacing w:line="320" w:lineRule="exact"/>
              <w:rPr>
                <w:rFonts w:ascii="宋体" w:hAnsi="宋体" w:cs="等线"/>
                <w:color w:val="auto"/>
                <w:szCs w:val="21"/>
              </w:rPr>
            </w:pPr>
            <w:r>
              <w:rPr>
                <w:rFonts w:ascii="宋体" w:hAnsi="宋体" w:cs="等线" w:hint="eastAsia"/>
                <w:color w:val="auto"/>
                <w:szCs w:val="21"/>
              </w:rPr>
              <w:t>②方案较全面，但有一项不够具体，且方案基本合理、有可操作性的，得1</w:t>
            </w:r>
            <w:r>
              <w:rPr>
                <w:rFonts w:ascii="宋体" w:hAnsi="宋体" w:cs="等线"/>
                <w:color w:val="auto"/>
                <w:szCs w:val="21"/>
              </w:rPr>
              <w:t>0</w:t>
            </w:r>
            <w:r>
              <w:rPr>
                <w:rFonts w:ascii="宋体" w:hAnsi="宋体" w:cs="等线" w:hint="eastAsia"/>
                <w:color w:val="auto"/>
                <w:szCs w:val="21"/>
              </w:rPr>
              <w:t>分；</w:t>
            </w:r>
          </w:p>
          <w:p>
            <w:pPr>
              <w:snapToGrid w:val="0"/>
              <w:spacing w:line="260" w:lineRule="exact"/>
              <w:rPr>
                <w:rFonts w:asciiTheme="minorEastAsia" w:hAnsiTheme="minorEastAsia" w:cs="宋体"/>
                <w:szCs w:val="21"/>
              </w:rPr>
            </w:pPr>
            <w:r>
              <w:rPr>
                <w:rFonts w:ascii="宋体" w:hAnsi="宋体" w:cs="等线" w:hint="eastAsia"/>
                <w:color w:val="auto"/>
                <w:szCs w:val="21"/>
              </w:rPr>
              <w:t>③方案不够全面或至少有一项缺乏具体方案、合理性有明显缺陷，操作性不强的，不得分。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2</w:t>
            </w:r>
          </w:p>
        </w:tc>
        <w:tc>
          <w:tcPr>
            <w:tcW w:w="2713"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b/>
                <w:szCs w:val="21"/>
              </w:rPr>
            </w:pPr>
            <w:r>
              <w:rPr>
                <w:rFonts w:asciiTheme="minorEastAsia" w:hAnsiTheme="minorEastAsia" w:hint="eastAsia"/>
                <w:szCs w:val="21"/>
              </w:rPr>
              <w:t>质量保证评价</w:t>
            </w:r>
          </w:p>
        </w:tc>
        <w:tc>
          <w:tcPr>
            <w:tcW w:w="652"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szCs w:val="21"/>
              </w:rPr>
            </w:pPr>
            <w:r>
              <w:rPr>
                <w:rFonts w:asciiTheme="minorEastAsia" w:hAnsiTheme="minorEastAsia" w:hint="eastAsia"/>
                <w:szCs w:val="21"/>
              </w:rPr>
              <w:t>2</w:t>
            </w:r>
          </w:p>
        </w:tc>
        <w:tc>
          <w:tcPr>
            <w:tcW w:w="4347"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napToGrid w:val="0"/>
              <w:spacing w:line="260" w:lineRule="exact"/>
              <w:rPr>
                <w:rFonts w:asciiTheme="minorEastAsia" w:hAnsiTheme="minorEastAsia" w:cs="宋体"/>
                <w:szCs w:val="21"/>
              </w:rPr>
            </w:pPr>
            <w:r>
              <w:rPr>
                <w:rFonts w:asciiTheme="minorEastAsia" w:hAnsiTheme="minorEastAsia" w:cs="宋体" w:hint="eastAsia"/>
                <w:szCs w:val="21"/>
              </w:rPr>
              <w:t>（一）评分内容：</w:t>
            </w:r>
          </w:p>
          <w:p>
            <w:pPr>
              <w:snapToGrid w:val="0"/>
              <w:spacing w:line="260" w:lineRule="exact"/>
              <w:rPr>
                <w:rFonts w:asciiTheme="minorEastAsia" w:hAnsiTheme="minorEastAsia" w:cs="宋体"/>
                <w:szCs w:val="21"/>
              </w:rPr>
            </w:pPr>
            <w:r>
              <w:rPr>
                <w:rFonts w:asciiTheme="minorEastAsia" w:hAnsiTheme="minorEastAsia" w:cs="宋体" w:hint="eastAsia"/>
                <w:szCs w:val="21"/>
              </w:rPr>
              <w:t>投标人详细阐述项目的质量保障措施方案，包含以下内容：</w:t>
            </w:r>
          </w:p>
          <w:p>
            <w:pPr>
              <w:snapToGrid w:val="0"/>
              <w:spacing w:line="260" w:lineRule="exact"/>
              <w:rPr>
                <w:rFonts w:asciiTheme="minorEastAsia" w:hAnsiTheme="minorEastAsia" w:cs="宋体"/>
                <w:szCs w:val="21"/>
              </w:rPr>
            </w:pPr>
            <w:r>
              <w:rPr>
                <w:rFonts w:asciiTheme="minorEastAsia" w:hAnsiTheme="minorEastAsia" w:cs="宋体" w:hint="eastAsia"/>
                <w:szCs w:val="21"/>
              </w:rPr>
              <w:t>（1）项目组织架构；</w:t>
            </w:r>
          </w:p>
          <w:p>
            <w:pPr>
              <w:snapToGrid w:val="0"/>
              <w:spacing w:line="260" w:lineRule="exact"/>
              <w:rPr>
                <w:rFonts w:asciiTheme="minorEastAsia" w:hAnsiTheme="minorEastAsia" w:cs="宋体"/>
                <w:szCs w:val="21"/>
              </w:rPr>
            </w:pPr>
            <w:r>
              <w:rPr>
                <w:rFonts w:asciiTheme="minorEastAsia" w:hAnsiTheme="minorEastAsia" w:cs="宋体" w:hint="eastAsia"/>
                <w:szCs w:val="21"/>
              </w:rPr>
              <w:t>（2）保障措施；</w:t>
            </w:r>
          </w:p>
          <w:p>
            <w:pPr>
              <w:snapToGrid w:val="0"/>
              <w:spacing w:line="260" w:lineRule="exact"/>
              <w:rPr>
                <w:rFonts w:asciiTheme="minorEastAsia" w:hAnsiTheme="minorEastAsia" w:cs="宋体"/>
                <w:szCs w:val="21"/>
              </w:rPr>
            </w:pPr>
            <w:r>
              <w:rPr>
                <w:rFonts w:asciiTheme="minorEastAsia" w:hAnsiTheme="minorEastAsia" w:cs="宋体" w:hint="eastAsia"/>
                <w:szCs w:val="21"/>
              </w:rPr>
              <w:t>（3）项目交付管理；</w:t>
            </w:r>
          </w:p>
          <w:p>
            <w:pPr>
              <w:snapToGrid w:val="0"/>
              <w:spacing w:line="260" w:lineRule="exact"/>
              <w:rPr>
                <w:rFonts w:asciiTheme="minorEastAsia" w:hAnsiTheme="minorEastAsia" w:cs="宋体"/>
                <w:szCs w:val="21"/>
              </w:rPr>
            </w:pPr>
            <w:r>
              <w:rPr>
                <w:rFonts w:asciiTheme="minorEastAsia" w:hAnsiTheme="minorEastAsia" w:cs="宋体" w:hint="eastAsia"/>
                <w:szCs w:val="21"/>
              </w:rPr>
              <w:t>（4）项目变更管理；</w:t>
            </w:r>
          </w:p>
          <w:p>
            <w:pPr>
              <w:snapToGrid w:val="0"/>
              <w:spacing w:line="260" w:lineRule="exact"/>
              <w:rPr>
                <w:rFonts w:asciiTheme="minorEastAsia" w:hAnsiTheme="minorEastAsia" w:cs="宋体"/>
                <w:szCs w:val="21"/>
              </w:rPr>
            </w:pPr>
            <w:r>
              <w:rPr>
                <w:rFonts w:asciiTheme="minorEastAsia" w:hAnsiTheme="minorEastAsia" w:cs="宋体" w:hint="eastAsia"/>
                <w:szCs w:val="21"/>
              </w:rPr>
              <w:t>（5）项目实施管理；</w:t>
            </w:r>
          </w:p>
          <w:p>
            <w:pPr>
              <w:snapToGrid w:val="0"/>
              <w:spacing w:line="260" w:lineRule="exact"/>
              <w:rPr>
                <w:rFonts w:asciiTheme="minorEastAsia" w:hAnsiTheme="minorEastAsia" w:cs="宋体"/>
                <w:szCs w:val="21"/>
              </w:rPr>
            </w:pPr>
            <w:r>
              <w:rPr>
                <w:rFonts w:asciiTheme="minorEastAsia" w:hAnsiTheme="minorEastAsia" w:cs="宋体" w:hint="eastAsia"/>
                <w:szCs w:val="21"/>
              </w:rPr>
              <w:t>（6）培训管理内容。</w:t>
            </w:r>
          </w:p>
          <w:p>
            <w:pPr>
              <w:snapToGrid w:val="0"/>
              <w:spacing w:line="260" w:lineRule="exact"/>
              <w:rPr>
                <w:rFonts w:asciiTheme="minorEastAsia" w:hAnsiTheme="minorEastAsia" w:cs="宋体"/>
                <w:szCs w:val="21"/>
              </w:rPr>
            </w:pPr>
            <w:r>
              <w:rPr>
                <w:rFonts w:asciiTheme="minorEastAsia" w:hAnsiTheme="minorEastAsia" w:cs="宋体" w:hint="eastAsia"/>
                <w:szCs w:val="21"/>
              </w:rPr>
              <w:t>（二）评分标准：</w:t>
            </w:r>
          </w:p>
          <w:p>
            <w:pPr>
              <w:snapToGrid w:val="0"/>
              <w:spacing w:line="260" w:lineRule="exact"/>
              <w:rPr>
                <w:rFonts w:asciiTheme="minorEastAsia" w:hAnsiTheme="minorEastAsia" w:cs="宋体"/>
                <w:szCs w:val="21"/>
              </w:rPr>
            </w:pPr>
            <w:r>
              <w:rPr>
                <w:rFonts w:asciiTheme="minorEastAsia" w:hAnsiTheme="minorEastAsia" w:cs="宋体" w:hint="eastAsia"/>
                <w:szCs w:val="21"/>
              </w:rPr>
              <w:t>方案每包含1项得10分，本项最高得60分。在此基础上，由评审委员会根据方案响应情况进一步评审：</w:t>
            </w:r>
          </w:p>
          <w:p>
            <w:pPr>
              <w:snapToGrid w:val="0"/>
              <w:spacing w:line="260" w:lineRule="exact"/>
              <w:rPr>
                <w:rFonts w:asciiTheme="minorEastAsia" w:hAnsiTheme="minorEastAsia" w:cs="宋体"/>
                <w:szCs w:val="21"/>
              </w:rPr>
            </w:pPr>
            <w:r>
              <w:rPr>
                <w:rFonts w:asciiTheme="minorEastAsia" w:hAnsiTheme="minorEastAsia" w:cs="宋体" w:hint="eastAsia"/>
                <w:szCs w:val="21"/>
              </w:rPr>
              <w:t>①方案内容全面，合理，可操作性强的，得40分；</w:t>
            </w:r>
          </w:p>
          <w:p>
            <w:pPr>
              <w:snapToGrid w:val="0"/>
              <w:spacing w:line="260" w:lineRule="exact"/>
              <w:rPr>
                <w:rFonts w:asciiTheme="minorEastAsia" w:hAnsiTheme="minorEastAsia" w:cs="宋体"/>
                <w:szCs w:val="21"/>
              </w:rPr>
            </w:pPr>
            <w:r>
              <w:rPr>
                <w:rFonts w:asciiTheme="minorEastAsia" w:hAnsiTheme="minorEastAsia" w:cs="宋体" w:hint="eastAsia"/>
                <w:szCs w:val="21"/>
              </w:rPr>
              <w:t>②方案内容全面，较合理，可操作性较强的，得30分；</w:t>
            </w:r>
          </w:p>
          <w:p>
            <w:pPr>
              <w:snapToGrid w:val="0"/>
              <w:spacing w:line="260" w:lineRule="exact"/>
              <w:rPr>
                <w:rFonts w:asciiTheme="minorEastAsia" w:hAnsiTheme="minorEastAsia" w:cs="宋体"/>
                <w:szCs w:val="21"/>
              </w:rPr>
            </w:pPr>
            <w:r>
              <w:rPr>
                <w:rFonts w:asciiTheme="minorEastAsia" w:hAnsiTheme="minorEastAsia" w:cs="宋体" w:hint="eastAsia"/>
                <w:szCs w:val="21"/>
              </w:rPr>
              <w:t>③方案内容全面，一般合理，可操作性一般的，得20分；</w:t>
            </w:r>
          </w:p>
          <w:p>
            <w:pPr>
              <w:snapToGrid w:val="0"/>
              <w:spacing w:line="260" w:lineRule="exact"/>
              <w:rPr>
                <w:rFonts w:asciiTheme="minorEastAsia" w:hAnsiTheme="minorEastAsia" w:cs="宋体"/>
                <w:szCs w:val="21"/>
              </w:rPr>
            </w:pPr>
            <w:r>
              <w:rPr>
                <w:rFonts w:asciiTheme="minorEastAsia" w:hAnsiTheme="minorEastAsia" w:cs="宋体" w:hint="eastAsia"/>
                <w:szCs w:val="21"/>
              </w:rPr>
              <w:t>④方案内容不全面，不合理，不具有可操作性的，不得分。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3</w:t>
            </w:r>
          </w:p>
        </w:tc>
        <w:tc>
          <w:tcPr>
            <w:tcW w:w="2713"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宋体" w:hAnsi="宋体" w:cs="宋体" w:hint="eastAsia"/>
                <w:szCs w:val="21"/>
              </w:rPr>
              <w:t>系统演示</w:t>
            </w:r>
          </w:p>
        </w:tc>
        <w:tc>
          <w:tcPr>
            <w:tcW w:w="652"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Theme="minorEastAsia" w:hAnsiTheme="minorEastAsia" w:cs="宋体" w:hint="eastAsia"/>
                <w:szCs w:val="21"/>
              </w:rPr>
              <w:t>20</w:t>
            </w:r>
          </w:p>
        </w:tc>
        <w:tc>
          <w:tcPr>
            <w:tcW w:w="4347"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（一）评分内容：</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提供该项目的系统功能现场演示，由评分专家根据现场系统演示内容进行评分。</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演示具体要求为：</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（1）</w:t>
            </w:r>
            <w:r>
              <w:rPr>
                <w:rFonts w:ascii="等线" w:hAnsi="等线" w:cs="宋体" w:hint="eastAsia"/>
                <w:color w:val="auto"/>
                <w:szCs w:val="21"/>
              </w:rPr>
              <w:t>支持通过同一套管控部署管理多个hadoop集群，支持集群的创建和卸载</w:t>
            </w:r>
            <w:r>
              <w:rPr>
                <w:rFonts w:asciiTheme="minorEastAsia" w:hAnsiTheme="minorEastAsia" w:cs="宋体" w:hint="eastAsia"/>
                <w:color w:val="auto"/>
                <w:szCs w:val="21"/>
              </w:rPr>
              <w:t>；</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2）部署组件完整性与开放性：部署完成可展示已安装的所有组件及对应的版本，组件的WebUI地址有链接可以直接跳转。（每个组件需要标识健康状态，核心组件包括HBase、Tez、Trino、Flink、Hive、Spark、kyuubi、Zookeeper、Kafka）</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（3）Iceberg表可视化元数据管理，支持查看表结构、表快照、表的变更历史记录；</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（4）HBase表删除后，不会立即从HDFS删除数据文件，而是备份到回收站，防止误删除。</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（二）评分标准：</w:t>
            </w:r>
            <w:r>
              <w:rPr>
                <w:rFonts w:asciiTheme="minorEastAsia" w:hAnsiTheme="minorEastAsia" w:cs="宋体" w:hint="eastAsia"/>
                <w:color w:val="auto"/>
                <w:szCs w:val="21"/>
              </w:rPr>
              <w:tab/>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①以上演示内容，如投标人通过可运行演示系统进行现场演示，每一分项内容全部完整演示并符合要求的得25分，演示不齐全、不完整的不得分，最高得100分；</w:t>
            </w:r>
          </w:p>
          <w:p>
            <w:pPr>
              <w:snapToGrid w:val="0"/>
              <w:spacing w:line="260" w:lineRule="exact"/>
              <w:rPr>
                <w:rFonts w:asciiTheme="minorEastAsia" w:hAnsiTheme="minorEastAsia" w:cs="宋体"/>
                <w:color w:val="auto"/>
                <w:szCs w:val="21"/>
              </w:rPr>
            </w:pPr>
            <w:r>
              <w:rPr>
                <w:rFonts w:asciiTheme="minorEastAsia" w:hAnsiTheme="minorEastAsia" w:cs="宋体" w:hint="eastAsia"/>
                <w:color w:val="auto"/>
                <w:szCs w:val="21"/>
              </w:rPr>
              <w:t>②以上演示内容，如投标人使用PPT或Flash或视频等方式进行现场演示，每一分项内容全部完整演示并符合要求的得12.5分，演示不齐全、不完整的不得分，最高得50分；</w:t>
            </w:r>
          </w:p>
          <w:p>
            <w:pPr>
              <w:snapToGrid w:val="0"/>
              <w:spacing w:line="260" w:lineRule="exact"/>
              <w:rPr>
                <w:rFonts w:asciiTheme="minorEastAsia" w:hAnsiTheme="minorEastAsia" w:cs="宋体"/>
                <w:szCs w:val="21"/>
              </w:rPr>
            </w:pPr>
            <w:r>
              <w:rPr>
                <w:rFonts w:asciiTheme="minorEastAsia" w:hAnsiTheme="minorEastAsia" w:cs="宋体" w:hint="eastAsia"/>
                <w:color w:val="auto"/>
                <w:szCs w:val="21"/>
              </w:rPr>
              <w:t>③演示内容是否满足评分要求，由评审委员会判断，如现场判断意见不一致的，按照“少数服从多数”的原则确定评审委员会的统一意见。</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4</w:t>
            </w:r>
          </w:p>
        </w:tc>
        <w:tc>
          <w:tcPr>
            <w:tcW w:w="271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拟安排的项目负责人情况（仅限一人）</w:t>
            </w:r>
          </w:p>
        </w:tc>
        <w:tc>
          <w:tcPr>
            <w:tcW w:w="652"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11</w:t>
            </w:r>
          </w:p>
        </w:tc>
        <w:tc>
          <w:tcPr>
            <w:tcW w:w="4347"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szCs w:val="21"/>
              </w:rPr>
              <w:t>（一）评分内容：</w:t>
            </w:r>
          </w:p>
          <w:p>
            <w:pPr>
              <w:wordWrap w:val="0"/>
              <w:rPr>
                <w:rFonts w:ascii="宋体" w:hAnsi="宋体" w:cs="宋体"/>
                <w:szCs w:val="21"/>
              </w:rPr>
            </w:pPr>
            <w:r>
              <w:rPr>
                <w:rFonts w:ascii="宋体" w:hAnsi="宋体" w:cs="宋体" w:hint="eastAsia"/>
                <w:szCs w:val="21"/>
              </w:rPr>
              <w:t>拟安排的项目负责人（仅限1人）需为自有员工（以社保证明文件为准），不满足此项要求的，本项不得分：</w:t>
            </w:r>
          </w:p>
          <w:p>
            <w:pPr>
              <w:wordWrap w:val="0"/>
              <w:rPr>
                <w:rFonts w:ascii="宋体" w:hAnsi="宋体" w:cs="宋体"/>
                <w:szCs w:val="21"/>
              </w:rPr>
            </w:pPr>
            <w:r>
              <w:rPr>
                <w:rFonts w:ascii="宋体" w:hAnsi="宋体" w:cs="宋体" w:hint="eastAsia"/>
                <w:szCs w:val="21"/>
              </w:rPr>
              <w:t>1、具有信息安全类专业研究生学历的，得20分；</w:t>
            </w:r>
          </w:p>
          <w:p>
            <w:pPr>
              <w:wordWrap w:val="0"/>
              <w:rPr>
                <w:rFonts w:ascii="宋体" w:hAnsi="宋体" w:cs="宋体"/>
                <w:szCs w:val="21"/>
              </w:rPr>
            </w:pPr>
            <w:r>
              <w:rPr>
                <w:rFonts w:ascii="宋体" w:hAnsi="宋体" w:cs="宋体" w:hint="eastAsia"/>
                <w:szCs w:val="21"/>
              </w:rPr>
              <w:t>2、具有具有国家机关（或事业单位）颁发的信息系统项目管理师证书的，得20分；</w:t>
            </w:r>
          </w:p>
          <w:p>
            <w:pPr>
              <w:wordWrap w:val="0"/>
              <w:rPr>
                <w:rFonts w:ascii="宋体" w:hAnsi="宋体" w:cs="宋体"/>
                <w:szCs w:val="21"/>
              </w:rPr>
            </w:pPr>
            <w:r>
              <w:rPr>
                <w:rFonts w:ascii="宋体" w:hAnsi="宋体" w:cs="宋体" w:hint="eastAsia"/>
                <w:szCs w:val="21"/>
              </w:rPr>
              <w:t>3、由国家机关（或事业单位）颁发的CISP（注册信息安全专业人员）证书的，得20分；</w:t>
            </w:r>
          </w:p>
          <w:p>
            <w:pPr>
              <w:wordWrap w:val="0"/>
              <w:rPr>
                <w:rFonts w:ascii="宋体" w:hAnsi="宋体" w:cs="宋体"/>
                <w:szCs w:val="21"/>
              </w:rPr>
            </w:pPr>
            <w:r>
              <w:rPr>
                <w:rFonts w:ascii="宋体" w:hAnsi="宋体" w:cs="宋体" w:hint="eastAsia"/>
                <w:szCs w:val="21"/>
              </w:rPr>
              <w:t>4、中国网络安全审查技术与认证中心颁发的CISAW（信息安全保障人员认证）的，得20分；</w:t>
            </w:r>
          </w:p>
          <w:p>
            <w:pPr>
              <w:wordWrap w:val="0"/>
              <w:rPr>
                <w:rFonts w:ascii="宋体" w:hAnsi="宋体" w:cs="宋体"/>
                <w:szCs w:val="21"/>
              </w:rPr>
            </w:pPr>
            <w:r>
              <w:rPr>
                <w:rFonts w:ascii="宋体" w:hAnsi="宋体" w:cs="宋体" w:hint="eastAsia"/>
                <w:szCs w:val="21"/>
              </w:rPr>
              <w:t>5、自2021年1月1日至本项目投标截止日前（以合同签订时间为准），曾担任过国家机关（或事业单位）信息化类项目负责人或项目经理的，得20分。</w:t>
            </w:r>
          </w:p>
          <w:p>
            <w:pPr>
              <w:wordWrap w:val="0"/>
              <w:rPr>
                <w:rFonts w:ascii="宋体" w:hAnsi="宋体" w:cs="宋体"/>
                <w:szCs w:val="21"/>
              </w:rPr>
            </w:pPr>
            <w:r>
              <w:rPr>
                <w:rFonts w:ascii="宋体" w:hAnsi="宋体" w:cs="宋体" w:hint="eastAsia"/>
                <w:szCs w:val="21"/>
              </w:rPr>
              <w:t>以上5项得分累计，满分100分。</w:t>
            </w:r>
          </w:p>
          <w:p>
            <w:pPr>
              <w:wordWrap w:val="0"/>
              <w:rPr>
                <w:rFonts w:ascii="宋体" w:hAnsi="宋体" w:cs="宋体"/>
                <w:szCs w:val="21"/>
              </w:rPr>
            </w:pPr>
            <w:r>
              <w:rPr>
                <w:rFonts w:ascii="宋体" w:hAnsi="宋体" w:cs="宋体" w:hint="eastAsia"/>
                <w:szCs w:val="21"/>
              </w:rPr>
              <w:t>（二）评分标准：</w:t>
            </w:r>
          </w:p>
          <w:p>
            <w:pPr>
              <w:wordWrap w:val="0"/>
              <w:rPr>
                <w:rFonts w:ascii="宋体" w:hAnsi="宋体" w:cs="宋体"/>
                <w:szCs w:val="21"/>
              </w:rPr>
            </w:pPr>
            <w:r>
              <w:rPr>
                <w:rFonts w:ascii="宋体" w:hAnsi="宋体" w:cs="宋体" w:hint="eastAsia"/>
                <w:szCs w:val="21"/>
              </w:rPr>
              <w:t>1、第1-4项提供相关证书扫描件，其中学历需同时提供学信网查询记录截图（如较早颁发的学历或学位证书，学信网无法查询的，可提供毕业院校或教育或人社部门等颁发机构或监管机构等出具的证明，如海外留学（含港澳台）人学历无法通过学信网站查询的，应当提供教育部留学服务中心出具的国外学历学位认证证书以及教育部留学服务中心官网查询截图。若证明文件为其它语言，必须附中文译文，以中文译文为准）；</w:t>
            </w:r>
          </w:p>
          <w:p>
            <w:pPr>
              <w:wordWrap w:val="0"/>
              <w:rPr>
                <w:rFonts w:ascii="宋体" w:hAnsi="宋体" w:cs="宋体"/>
                <w:szCs w:val="21"/>
              </w:rPr>
            </w:pPr>
            <w:r>
              <w:rPr>
                <w:rFonts w:ascii="宋体" w:hAnsi="宋体" w:cs="宋体" w:hint="eastAsia"/>
                <w:szCs w:val="21"/>
              </w:rPr>
              <w:t xml:space="preserve">2、第5项提供项目合同关键页扫描件，合同关键页需能体现相关服务内容及项目负责人（技术经理）或项目经理信息，如无法体现的可同时补充提供合同甲方出具并加盖公章（或业务章）的经验证明材料扫描件； </w:t>
            </w:r>
          </w:p>
          <w:p>
            <w:pPr>
              <w:wordWrap w:val="0"/>
              <w:rPr>
                <w:rFonts w:ascii="宋体" w:hAnsi="宋体" w:cs="宋体"/>
                <w:szCs w:val="21"/>
              </w:rPr>
            </w:pPr>
            <w:r>
              <w:rPr>
                <w:rFonts w:ascii="宋体" w:hAnsi="宋体" w:cs="宋体" w:hint="eastAsia"/>
                <w:szCs w:val="21"/>
              </w:rPr>
              <w:t>3、提供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pPr>
              <w:wordWrap w:val="0"/>
              <w:rPr>
                <w:rFonts w:ascii="宋体" w:hAnsi="宋体" w:cs="宋体"/>
                <w:szCs w:val="21"/>
              </w:rPr>
            </w:pPr>
            <w:r>
              <w:rPr>
                <w:rFonts w:ascii="宋体" w:hAnsi="宋体" w:cs="宋体" w:hint="eastAsia"/>
                <w:szCs w:val="21"/>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default"/>
                <w:kern w:val="2"/>
                <w:sz w:val="21"/>
                <w:szCs w:val="21"/>
                <w:lang w:val="en-US" w:eastAsia="zh-CN" w:bidi="ar-SA"/>
              </w:rPr>
            </w:pPr>
            <w:r>
              <w:rPr>
                <w:rFonts w:ascii="宋体" w:hAnsi="宋体" w:cs="宋体" w:hint="eastAsia"/>
                <w:szCs w:val="21"/>
                <w:lang w:val="en-US" w:eastAsia="zh-CN"/>
              </w:rPr>
              <w:t>5</w:t>
            </w:r>
          </w:p>
        </w:tc>
        <w:tc>
          <w:tcPr>
            <w:tcW w:w="271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rPr>
              <w:t>拟安排的项目团队成员情况（项目负责人除外）</w:t>
            </w:r>
          </w:p>
        </w:tc>
        <w:tc>
          <w:tcPr>
            <w:tcW w:w="652"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kern w:val="2"/>
                <w:sz w:val="21"/>
                <w:szCs w:val="21"/>
                <w:lang w:val="en-US" w:eastAsia="zh-CN" w:bidi="ar-SA"/>
              </w:rPr>
            </w:pPr>
            <w:r>
              <w:rPr>
                <w:rFonts w:ascii="宋体" w:hAnsi="宋体" w:cs="宋体" w:hint="eastAsia"/>
                <w:szCs w:val="21"/>
              </w:rPr>
              <w:t>6</w:t>
            </w:r>
          </w:p>
        </w:tc>
        <w:tc>
          <w:tcPr>
            <w:tcW w:w="4347" w:type="dxa"/>
            <w:tcBorders>
              <w:top w:val="single" w:sz="8" w:space="0" w:color="000000"/>
              <w:left w:val="single" w:sz="8" w:space="0" w:color="000000"/>
              <w:bottom w:val="single" w:sz="8" w:space="0" w:color="000000"/>
              <w:right w:val="single" w:sz="8" w:space="0" w:color="000000"/>
            </w:tcBorders>
            <w:shd w:val="clear" w:color="auto" w:fill="auto"/>
            <w:vAlign w:val="top"/>
          </w:tcPr>
          <w:p>
            <w:pPr>
              <w:wordWrap w:val="0"/>
              <w:rPr>
                <w:rFonts w:ascii="宋体" w:hAnsi="宋体" w:cs="宋体"/>
                <w:szCs w:val="21"/>
              </w:rPr>
            </w:pPr>
            <w:r>
              <w:rPr>
                <w:rFonts w:ascii="宋体" w:hAnsi="宋体" w:cs="宋体" w:hint="eastAsia"/>
                <w:szCs w:val="21"/>
              </w:rPr>
              <w:t>（一）评分内容：</w:t>
            </w:r>
          </w:p>
          <w:p>
            <w:pPr>
              <w:wordWrap w:val="0"/>
              <w:rPr>
                <w:rFonts w:ascii="宋体" w:hAnsi="宋体" w:cs="宋体"/>
                <w:szCs w:val="21"/>
              </w:rPr>
            </w:pPr>
            <w:r>
              <w:rPr>
                <w:rFonts w:ascii="宋体" w:hAnsi="宋体" w:cs="宋体" w:hint="eastAsia"/>
                <w:szCs w:val="21"/>
              </w:rPr>
              <w:t>拟安排的团队成员需为自有员工（以社保证明文件为准），不满足此项要求的，本项不得分：</w:t>
            </w:r>
          </w:p>
          <w:p>
            <w:pPr>
              <w:wordWrap w:val="0"/>
              <w:rPr>
                <w:rFonts w:ascii="宋体" w:hAnsi="宋体" w:cs="宋体"/>
                <w:szCs w:val="21"/>
              </w:rPr>
            </w:pPr>
            <w:r>
              <w:rPr>
                <w:rFonts w:ascii="宋体" w:hAnsi="宋体" w:cs="宋体" w:hint="eastAsia"/>
                <w:szCs w:val="21"/>
              </w:rPr>
              <w:t>1、技术负责人（仅限1人）：</w:t>
            </w:r>
          </w:p>
          <w:p>
            <w:pPr>
              <w:wordWrap w:val="0"/>
              <w:rPr>
                <w:rFonts w:ascii="宋体" w:hAnsi="宋体" w:cs="宋体"/>
                <w:szCs w:val="21"/>
              </w:rPr>
            </w:pPr>
            <w:r>
              <w:rPr>
                <w:rFonts w:ascii="宋体" w:hAnsi="宋体" w:cs="宋体" w:hint="eastAsia"/>
                <w:szCs w:val="21"/>
              </w:rPr>
              <w:t>（1）具有计算机类专业本科（或以上）学历，得10分；</w:t>
            </w:r>
          </w:p>
          <w:p>
            <w:pPr>
              <w:wordWrap w:val="0"/>
              <w:rPr>
                <w:rFonts w:ascii="宋体" w:hAnsi="宋体" w:cs="宋体"/>
                <w:szCs w:val="21"/>
              </w:rPr>
            </w:pPr>
            <w:r>
              <w:rPr>
                <w:rFonts w:ascii="宋体" w:hAnsi="宋体" w:cs="宋体" w:hint="eastAsia"/>
                <w:szCs w:val="21"/>
              </w:rPr>
              <w:t>（2）具有国家机关（或事业单位）颁发的信息系统项目管理师证书的，得20分；</w:t>
            </w:r>
          </w:p>
          <w:p>
            <w:pPr>
              <w:wordWrap w:val="0"/>
              <w:rPr>
                <w:rFonts w:ascii="宋体" w:hAnsi="宋体" w:cs="宋体"/>
                <w:szCs w:val="21"/>
              </w:rPr>
            </w:pPr>
            <w:r>
              <w:rPr>
                <w:rFonts w:ascii="宋体" w:hAnsi="宋体" w:cs="宋体" w:hint="eastAsia"/>
                <w:szCs w:val="21"/>
              </w:rPr>
              <w:t>（3）具有国家机关（或事业单位）颁发的系统分析师证书的，得20分。</w:t>
            </w:r>
          </w:p>
          <w:p>
            <w:pPr>
              <w:wordWrap w:val="0"/>
              <w:rPr>
                <w:rFonts w:ascii="宋体" w:hAnsi="宋体" w:cs="宋体"/>
                <w:szCs w:val="21"/>
              </w:rPr>
            </w:pPr>
            <w:r>
              <w:rPr>
                <w:rFonts w:ascii="宋体" w:hAnsi="宋体" w:cs="宋体" w:hint="eastAsia"/>
                <w:szCs w:val="21"/>
              </w:rPr>
              <w:t>以上得分累计，最高50分。</w:t>
            </w:r>
          </w:p>
          <w:p>
            <w:pPr>
              <w:wordWrap w:val="0"/>
              <w:rPr>
                <w:rFonts w:ascii="宋体" w:hAnsi="宋体" w:cs="宋体"/>
                <w:szCs w:val="21"/>
              </w:rPr>
            </w:pPr>
            <w:r>
              <w:rPr>
                <w:rFonts w:ascii="宋体" w:hAnsi="宋体" w:cs="宋体" w:hint="eastAsia"/>
                <w:szCs w:val="21"/>
              </w:rPr>
              <w:t>2、项目团队其他人员（项目负责人和技术负责人除外，本项最高得50分）：</w:t>
            </w:r>
          </w:p>
          <w:p>
            <w:pPr>
              <w:wordWrap w:val="0"/>
              <w:rPr>
                <w:rFonts w:ascii="宋体" w:hAnsi="宋体" w:cs="宋体"/>
                <w:szCs w:val="21"/>
              </w:rPr>
            </w:pPr>
            <w:r>
              <w:rPr>
                <w:rFonts w:ascii="宋体" w:hAnsi="宋体" w:cs="宋体" w:hint="eastAsia"/>
                <w:szCs w:val="21"/>
              </w:rPr>
              <w:t>（1）具有国家机关（或事业单位）颁发的网络规划设计师的，每提供1个得10分，本项最高得10分；</w:t>
            </w:r>
          </w:p>
          <w:p>
            <w:pPr>
              <w:wordWrap w:val="0"/>
              <w:rPr>
                <w:rFonts w:ascii="宋体" w:hAnsi="宋体" w:cs="宋体"/>
                <w:szCs w:val="21"/>
              </w:rPr>
            </w:pPr>
            <w:r>
              <w:rPr>
                <w:rFonts w:ascii="宋体" w:hAnsi="宋体" w:cs="宋体" w:hint="eastAsia"/>
                <w:szCs w:val="21"/>
              </w:rPr>
              <w:t>（2）具有国家机关（或事业单位）颁发的信息系统项目管理师证书的，每提供一人得10分，本项最高得10分；</w:t>
            </w:r>
          </w:p>
          <w:p>
            <w:pPr>
              <w:wordWrap w:val="0"/>
              <w:rPr>
                <w:rFonts w:ascii="宋体" w:hAnsi="宋体" w:cs="宋体"/>
                <w:szCs w:val="21"/>
              </w:rPr>
            </w:pPr>
            <w:r>
              <w:rPr>
                <w:rFonts w:ascii="宋体" w:hAnsi="宋体" w:cs="宋体" w:hint="eastAsia"/>
                <w:szCs w:val="21"/>
              </w:rPr>
              <w:t>（3）具有国家机关（或事业单位）颁发的注册信息安全专业人员（CISP）证书的，每提供1个得5分，本项最高得10分；</w:t>
            </w:r>
          </w:p>
          <w:p>
            <w:pPr>
              <w:wordWrap w:val="0"/>
              <w:rPr>
                <w:rFonts w:ascii="宋体" w:hAnsi="宋体" w:cs="宋体"/>
                <w:szCs w:val="21"/>
              </w:rPr>
            </w:pPr>
            <w:r>
              <w:rPr>
                <w:rFonts w:ascii="宋体" w:hAnsi="宋体" w:cs="宋体" w:hint="eastAsia"/>
                <w:szCs w:val="21"/>
              </w:rPr>
              <w:t>（4）具有国家机关（或事业单位）颁发的系统架构设计师证书的，每提供一人得10分，本项最高得10分；</w:t>
            </w:r>
          </w:p>
          <w:p>
            <w:pPr>
              <w:wordWrap w:val="0"/>
              <w:rPr>
                <w:rFonts w:ascii="宋体" w:hAnsi="宋体" w:cs="宋体"/>
                <w:szCs w:val="21"/>
              </w:rPr>
            </w:pPr>
            <w:r>
              <w:rPr>
                <w:rFonts w:ascii="宋体" w:hAnsi="宋体" w:cs="宋体" w:hint="eastAsia"/>
                <w:szCs w:val="21"/>
              </w:rPr>
              <w:t>（5）具有国家机关（或事业单位）颁发的数据库系统工程师证书的，每提供一人得5分，本项最高得5分；</w:t>
            </w:r>
          </w:p>
          <w:p>
            <w:pPr>
              <w:wordWrap w:val="0"/>
              <w:rPr>
                <w:rFonts w:ascii="宋体" w:hAnsi="宋体" w:cs="宋体"/>
                <w:szCs w:val="21"/>
              </w:rPr>
            </w:pPr>
            <w:r>
              <w:rPr>
                <w:rFonts w:ascii="宋体" w:hAnsi="宋体" w:cs="宋体" w:hint="eastAsia"/>
                <w:szCs w:val="21"/>
              </w:rPr>
              <w:t>（6）具有国家机关（或事业单位）颁发的软件设计师证书的，每提供一人得5分，本项最高得5分；</w:t>
            </w:r>
          </w:p>
          <w:p>
            <w:pPr>
              <w:wordWrap w:val="0"/>
              <w:rPr>
                <w:rFonts w:ascii="宋体" w:hAnsi="宋体" w:cs="宋体"/>
                <w:szCs w:val="21"/>
              </w:rPr>
            </w:pPr>
            <w:r>
              <w:rPr>
                <w:rFonts w:ascii="宋体" w:hAnsi="宋体" w:cs="宋体" w:hint="eastAsia"/>
                <w:szCs w:val="21"/>
              </w:rPr>
              <w:t>以上1-2累计最高得100分。第2项团队成员中如同一人具有多项证书的不重复得分，只按最优计分。</w:t>
            </w:r>
          </w:p>
          <w:p>
            <w:pPr>
              <w:wordWrap w:val="0"/>
              <w:rPr>
                <w:rFonts w:ascii="宋体" w:hAnsi="宋体" w:cs="宋体"/>
                <w:szCs w:val="21"/>
              </w:rPr>
            </w:pPr>
            <w:r>
              <w:rPr>
                <w:rFonts w:ascii="宋体" w:hAnsi="宋体" w:cs="宋体" w:hint="eastAsia"/>
                <w:szCs w:val="21"/>
              </w:rPr>
              <w:t>（二）评分标准：</w:t>
            </w:r>
          </w:p>
          <w:p>
            <w:pPr>
              <w:wordWrap w:val="0"/>
              <w:rPr>
                <w:rFonts w:ascii="宋体" w:hAnsi="宋体" w:cs="宋体"/>
                <w:szCs w:val="21"/>
              </w:rPr>
            </w:pPr>
            <w:r>
              <w:rPr>
                <w:rFonts w:ascii="宋体" w:hAnsi="宋体" w:cs="宋体" w:hint="eastAsia"/>
                <w:szCs w:val="21"/>
              </w:rPr>
              <w:t>1、以上需提供相关人员相关证书扫描件，原件备查，其中学历或学位证书需同时提供学信网查询记录截图（如较早颁发的学历或学位证书，学信网无法查询的，可提供毕业院校或教育或人社部门等颁发机构或监管机构等出具的证明，如海外留学（含港澳台）人学历无法通过学信网站查询的，应当提供教育部留学服务中心出具的国外学历学位认证证书以及教育部留学服务中心官网查询截图。若证明文件为其它语言，必须附中文译文，以中文译文为准；</w:t>
            </w:r>
          </w:p>
          <w:p>
            <w:pPr>
              <w:wordWrap w:val="0"/>
              <w:rPr>
                <w:rFonts w:ascii="宋体" w:hAnsi="宋体" w:cs="宋体"/>
                <w:szCs w:val="21"/>
              </w:rPr>
            </w:pPr>
            <w:r>
              <w:rPr>
                <w:rFonts w:ascii="宋体" w:hAnsi="宋体" w:cs="宋体" w:hint="eastAsia"/>
                <w:szCs w:val="21"/>
              </w:rPr>
              <w:t>2、提供相关人员开标日当月或前一个月在本公司（单位）缴纳且载有社保部门（或税务部门）公章（或业务章）的社保缴交证明材料（如开标日当月或前一个的社保材料因社保部门（或税务部门）原因暂时无法取得，则可以往前顺延一个月）；</w:t>
            </w:r>
          </w:p>
          <w:p>
            <w:pPr>
              <w:wordWrap w:val="0"/>
              <w:rPr>
                <w:rFonts w:ascii="宋体" w:eastAsia="宋体" w:hAnsi="宋体" w:cs="宋体" w:hint="eastAsia"/>
                <w:kern w:val="2"/>
                <w:sz w:val="21"/>
                <w:szCs w:val="21"/>
                <w:lang w:val="en-US" w:eastAsia="zh-CN" w:bidi="ar-SA"/>
              </w:rPr>
            </w:pPr>
            <w:r>
              <w:rPr>
                <w:rFonts w:ascii="宋体" w:hAnsi="宋体" w:cs="宋体" w:hint="eastAsia"/>
                <w:szCs w:val="21"/>
              </w:rPr>
              <w:t>3、未按要求提供相关证明材料（或相关证明材料无法判断是否符合评分要求）的不计得分，原件备查。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6</w:t>
            </w:r>
          </w:p>
        </w:tc>
        <w:tc>
          <w:tcPr>
            <w:tcW w:w="2713" w:type="dxa"/>
            <w:tcBorders>
              <w:top w:val="single" w:sz="8" w:space="0" w:color="000000"/>
              <w:left w:val="single" w:sz="8" w:space="0" w:color="000000"/>
              <w:bottom w:val="single" w:sz="8" w:space="0" w:color="000000"/>
              <w:right w:val="single" w:sz="8" w:space="0" w:color="000000"/>
            </w:tcBorders>
            <w:vAlign w:val="center"/>
          </w:tcPr>
          <w:p>
            <w:pPr>
              <w:spacing w:line="320" w:lineRule="exact"/>
              <w:jc w:val="center"/>
              <w:rPr>
                <w:rFonts w:ascii="宋体" w:hAnsi="宋体" w:cs="宋体"/>
                <w:szCs w:val="21"/>
              </w:rPr>
            </w:pPr>
            <w:r>
              <w:rPr>
                <w:rFonts w:ascii="宋体" w:hAnsi="宋体" w:hint="eastAsia"/>
                <w:szCs w:val="21"/>
              </w:rPr>
              <w:t>“▲”关键技术要求参数评分</w:t>
            </w:r>
          </w:p>
        </w:tc>
        <w:tc>
          <w:tcPr>
            <w:tcW w:w="652" w:type="dxa"/>
            <w:tcBorders>
              <w:top w:val="single" w:sz="8" w:space="0" w:color="000000"/>
              <w:left w:val="single" w:sz="8" w:space="0" w:color="000000"/>
              <w:bottom w:val="single" w:sz="8" w:space="0" w:color="000000"/>
              <w:right w:val="single" w:sz="8" w:space="0" w:color="000000"/>
            </w:tcBorders>
            <w:vAlign w:val="center"/>
          </w:tcPr>
          <w:p>
            <w:pPr>
              <w:spacing w:line="320" w:lineRule="exact"/>
              <w:jc w:val="center"/>
              <w:rPr>
                <w:rFonts w:ascii="宋体" w:hAnsi="宋体" w:cs="宋体"/>
                <w:szCs w:val="21"/>
              </w:rPr>
            </w:pPr>
            <w:r>
              <w:rPr>
                <w:rFonts w:ascii="宋体" w:hAnsi="宋体" w:cs="宋体" w:hint="eastAsia"/>
                <w:szCs w:val="21"/>
              </w:rPr>
              <w:t>4</w:t>
            </w:r>
          </w:p>
        </w:tc>
        <w:tc>
          <w:tcPr>
            <w:tcW w:w="4347" w:type="dxa"/>
            <w:tcBorders>
              <w:top w:val="single" w:sz="8" w:space="0" w:color="000000"/>
              <w:left w:val="single" w:sz="8" w:space="0" w:color="000000"/>
              <w:bottom w:val="single" w:sz="8" w:space="0" w:color="000000"/>
              <w:right w:val="single" w:sz="8" w:space="0" w:color="000000"/>
            </w:tcBorders>
            <w:vAlign w:val="center"/>
          </w:tcPr>
          <w:p>
            <w:pPr>
              <w:widowControl/>
              <w:adjustRightInd w:val="0"/>
              <w:snapToGrid w:val="0"/>
              <w:jc w:val="left"/>
              <w:rPr>
                <w:rFonts w:ascii="仿宋_GB2312" w:eastAsia="仿宋_GB2312" w:hAnsi="华文仿宋"/>
                <w:b/>
                <w:bCs/>
                <w:kern w:val="0"/>
                <w:sz w:val="28"/>
                <w:szCs w:val="28"/>
              </w:rPr>
            </w:pPr>
            <w:r>
              <w:rPr>
                <w:rFonts w:ascii="宋体" w:hAnsi="宋体" w:cs="等线" w:hint="eastAsia"/>
                <w:b/>
                <w:szCs w:val="21"/>
              </w:rPr>
              <w:t>（一）评分内容：</w:t>
            </w:r>
          </w:p>
          <w:p>
            <w:pPr>
              <w:adjustRightInd w:val="0"/>
              <w:snapToGrid w:val="0"/>
              <w:ind w:left="105"/>
              <w:rPr>
                <w:rFonts w:ascii="等线" w:hAnsi="等线" w:cs="等线"/>
                <w:szCs w:val="21"/>
              </w:rPr>
            </w:pPr>
            <w:r>
              <w:rPr>
                <w:rFonts w:ascii="等线" w:hAnsi="等线" w:cs="等线" w:hint="eastAsia"/>
                <w:szCs w:val="21"/>
              </w:rPr>
              <w:t>考察投标人对招标文件</w:t>
            </w:r>
            <w:r>
              <w:rPr>
                <w:rFonts w:ascii="等线" w:hAnsi="等线" w:cs="等线" w:hint="eastAsia"/>
                <w:b/>
                <w:bCs/>
                <w:szCs w:val="21"/>
              </w:rPr>
              <w:t>《第一册专用条款第三章 用户需求书：2.服务内容、技术标准、工作质量要求》：</w:t>
            </w:r>
            <w:r>
              <w:rPr>
                <w:rFonts w:ascii="等线" w:hAnsi="等线" w:cs="等线" w:hint="eastAsia"/>
                <w:b/>
                <w:bCs/>
                <w:szCs w:val="21"/>
                <w:lang w:eastAsia="zh-CN"/>
              </w:rPr>
              <w:t>（</w:t>
            </w:r>
            <w:r>
              <w:rPr>
                <w:rFonts w:ascii="等线" w:hAnsi="等线" w:cs="等线" w:hint="eastAsia"/>
                <w:b/>
                <w:bCs/>
                <w:szCs w:val="21"/>
                <w:lang w:val="en-US" w:eastAsia="zh-CN"/>
              </w:rPr>
              <w:t>2</w:t>
            </w:r>
            <w:r>
              <w:rPr>
                <w:rFonts w:ascii="等线" w:hAnsi="等线" w:cs="等线" w:hint="eastAsia"/>
                <w:b/>
                <w:bCs/>
                <w:szCs w:val="21"/>
                <w:lang w:eastAsia="zh-CN"/>
              </w:rPr>
              <w:t>）</w:t>
            </w:r>
            <w:r>
              <w:rPr>
                <w:rFonts w:ascii="等线" w:hAnsi="等线" w:cs="等线" w:hint="eastAsia"/>
                <w:b/>
                <w:bCs/>
                <w:szCs w:val="21"/>
              </w:rPr>
              <w:t>技术标准</w:t>
            </w:r>
            <w:r>
              <w:rPr>
                <w:rFonts w:ascii="等线" w:hAnsi="等线" w:cs="等线" w:hint="eastAsia"/>
                <w:szCs w:val="21"/>
              </w:rPr>
              <w:t>内容中标注为“▲”关键技术要求参数的响应情况。每有1项不符合招标要求（或缺漏）的扣20分，扣完为止。</w:t>
            </w:r>
          </w:p>
          <w:p>
            <w:pPr>
              <w:snapToGrid w:val="0"/>
              <w:rPr>
                <w:rFonts w:ascii="宋体" w:hAnsi="宋体" w:cs="宋体"/>
                <w:b/>
                <w:szCs w:val="21"/>
              </w:rPr>
            </w:pPr>
            <w:r>
              <w:rPr>
                <w:rFonts w:ascii="宋体" w:hAnsi="宋体" w:cs="宋体" w:hint="eastAsia"/>
                <w:b/>
                <w:szCs w:val="21"/>
              </w:rPr>
              <w:t>（二）评审依据：</w:t>
            </w:r>
          </w:p>
          <w:p>
            <w:pPr>
              <w:pStyle w:val="a0"/>
              <w:spacing w:line="240" w:lineRule="auto"/>
              <w:rPr>
                <w:rFonts w:ascii="宋体" w:hAnsi="宋体" w:cs="宋体"/>
                <w:szCs w:val="21"/>
              </w:rPr>
            </w:pPr>
            <w:r>
              <w:rPr>
                <w:rFonts w:ascii="宋体" w:hAnsi="宋体" w:cs="宋体" w:hint="eastAsia"/>
                <w:szCs w:val="21"/>
              </w:rPr>
              <w:t>以投标文件</w:t>
            </w:r>
            <w:r>
              <w:rPr>
                <w:rFonts w:ascii="宋体" w:hAnsi="宋体" w:cs="宋体" w:hint="eastAsia"/>
                <w:b/>
                <w:bCs w:val="0"/>
                <w:szCs w:val="21"/>
              </w:rPr>
              <w:t>《技术要求偏离表》</w:t>
            </w:r>
            <w:r>
              <w:rPr>
                <w:rFonts w:ascii="宋体" w:hAnsi="宋体" w:cs="宋体" w:hint="eastAsia"/>
                <w:szCs w:val="21"/>
              </w:rPr>
              <w:t>为评审依据，完全符合招标文件要求的，得100分。对“技术标准”内容中的技术要求进行响应。</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7</w:t>
            </w:r>
          </w:p>
        </w:tc>
        <w:tc>
          <w:tcPr>
            <w:tcW w:w="2713" w:type="dxa"/>
            <w:tcBorders>
              <w:top w:val="single" w:sz="8" w:space="0" w:color="000000"/>
              <w:left w:val="single" w:sz="8" w:space="0" w:color="000000"/>
              <w:bottom w:val="single" w:sz="8" w:space="0" w:color="000000"/>
              <w:right w:val="single" w:sz="8" w:space="0" w:color="000000"/>
            </w:tcBorders>
            <w:vAlign w:val="center"/>
          </w:tcPr>
          <w:p>
            <w:pPr>
              <w:spacing w:line="320" w:lineRule="exact"/>
              <w:jc w:val="center"/>
              <w:rPr>
                <w:rFonts w:ascii="宋体" w:hAnsi="宋体" w:cs="宋体"/>
                <w:szCs w:val="21"/>
              </w:rPr>
            </w:pPr>
            <w:r>
              <w:rPr>
                <w:rFonts w:ascii="宋体" w:hAnsi="宋体" w:hint="eastAsia"/>
                <w:szCs w:val="21"/>
              </w:rPr>
              <w:t>非“▲”关键技术要求参数评分</w:t>
            </w:r>
          </w:p>
        </w:tc>
        <w:tc>
          <w:tcPr>
            <w:tcW w:w="652" w:type="dxa"/>
            <w:tcBorders>
              <w:top w:val="single" w:sz="8" w:space="0" w:color="000000"/>
              <w:left w:val="single" w:sz="8" w:space="0" w:color="000000"/>
              <w:bottom w:val="single" w:sz="8" w:space="0" w:color="000000"/>
              <w:right w:val="single" w:sz="8" w:space="0" w:color="000000"/>
            </w:tcBorders>
            <w:vAlign w:val="center"/>
          </w:tcPr>
          <w:p>
            <w:pPr>
              <w:spacing w:line="320" w:lineRule="exact"/>
              <w:jc w:val="center"/>
              <w:rPr>
                <w:rFonts w:ascii="宋体" w:hAnsi="宋体" w:cs="宋体"/>
                <w:szCs w:val="21"/>
              </w:rPr>
            </w:pPr>
            <w:r>
              <w:rPr>
                <w:rFonts w:ascii="宋体" w:hAnsi="宋体" w:cs="宋体" w:hint="eastAsia"/>
                <w:szCs w:val="21"/>
              </w:rPr>
              <w:t>2</w:t>
            </w:r>
          </w:p>
        </w:tc>
        <w:tc>
          <w:tcPr>
            <w:tcW w:w="4347" w:type="dxa"/>
            <w:tcBorders>
              <w:top w:val="single" w:sz="8" w:space="0" w:color="000000"/>
              <w:left w:val="single" w:sz="8" w:space="0" w:color="000000"/>
              <w:bottom w:val="single" w:sz="8" w:space="0" w:color="000000"/>
              <w:right w:val="single" w:sz="8" w:space="0" w:color="000000"/>
            </w:tcBorders>
            <w:vAlign w:val="center"/>
          </w:tcPr>
          <w:p>
            <w:pPr>
              <w:widowControl/>
              <w:adjustRightInd w:val="0"/>
              <w:snapToGrid w:val="0"/>
              <w:jc w:val="left"/>
              <w:rPr>
                <w:rFonts w:ascii="仿宋_GB2312" w:eastAsia="仿宋_GB2312" w:hAnsi="华文仿宋"/>
                <w:b/>
                <w:bCs/>
                <w:kern w:val="0"/>
                <w:sz w:val="28"/>
                <w:szCs w:val="28"/>
              </w:rPr>
            </w:pPr>
            <w:r>
              <w:rPr>
                <w:rFonts w:ascii="宋体" w:hAnsi="宋体" w:cs="等线" w:hint="eastAsia"/>
                <w:b/>
                <w:szCs w:val="21"/>
              </w:rPr>
              <w:t>（一）评分内容：</w:t>
            </w:r>
          </w:p>
          <w:p>
            <w:pPr>
              <w:adjustRightInd w:val="0"/>
              <w:snapToGrid w:val="0"/>
              <w:ind w:left="105"/>
              <w:rPr>
                <w:rFonts w:ascii="等线" w:hAnsi="等线" w:cs="等线"/>
                <w:szCs w:val="21"/>
              </w:rPr>
            </w:pPr>
            <w:r>
              <w:rPr>
                <w:rFonts w:ascii="等线" w:hAnsi="等线" w:cs="等线" w:hint="eastAsia"/>
                <w:szCs w:val="21"/>
              </w:rPr>
              <w:t>考察投标人对招标文件</w:t>
            </w:r>
            <w:r>
              <w:rPr>
                <w:rFonts w:ascii="等线" w:hAnsi="等线" w:cs="等线" w:hint="eastAsia"/>
                <w:b/>
                <w:bCs/>
                <w:szCs w:val="21"/>
              </w:rPr>
              <w:t>《第一册专用条款第三章 用户需求书：2.服务内容、技术标准、工作质量要求》：</w:t>
            </w:r>
            <w:r>
              <w:rPr>
                <w:rFonts w:ascii="等线" w:hAnsi="等线" w:cs="等线" w:hint="eastAsia"/>
                <w:b/>
                <w:bCs/>
                <w:szCs w:val="21"/>
                <w:lang w:eastAsia="zh-CN"/>
              </w:rPr>
              <w:t>（</w:t>
            </w:r>
            <w:r>
              <w:rPr>
                <w:rFonts w:ascii="等线" w:hAnsi="等线" w:cs="等线" w:hint="eastAsia"/>
                <w:b/>
                <w:bCs/>
                <w:szCs w:val="21"/>
                <w:lang w:val="en-US" w:eastAsia="zh-CN"/>
              </w:rPr>
              <w:t>2</w:t>
            </w:r>
            <w:r>
              <w:rPr>
                <w:rFonts w:ascii="等线" w:hAnsi="等线" w:cs="等线" w:hint="eastAsia"/>
                <w:b/>
                <w:bCs/>
                <w:szCs w:val="21"/>
                <w:lang w:eastAsia="zh-CN"/>
              </w:rPr>
              <w:t>）</w:t>
            </w:r>
            <w:r>
              <w:rPr>
                <w:rFonts w:ascii="等线" w:hAnsi="等线" w:cs="等线" w:hint="eastAsia"/>
                <w:b/>
                <w:bCs/>
                <w:szCs w:val="21"/>
              </w:rPr>
              <w:t>技术标准</w:t>
            </w:r>
            <w:r>
              <w:rPr>
                <w:rFonts w:ascii="等线" w:hAnsi="等线" w:cs="等线" w:hint="eastAsia"/>
                <w:szCs w:val="21"/>
              </w:rPr>
              <w:t>内容中未标注“▲”的普通技术要求参数的响应情况。每有1项不符合招标要求（或缺漏）的扣6.</w:t>
            </w:r>
            <w:r>
              <w:rPr>
                <w:rFonts w:ascii="等线" w:hAnsi="等线" w:cs="等线" w:hint="eastAsia"/>
                <w:szCs w:val="21"/>
                <w:lang w:val="en-US" w:eastAsia="zh-CN"/>
              </w:rPr>
              <w:t>25</w:t>
            </w:r>
            <w:r>
              <w:rPr>
                <w:rFonts w:ascii="等线" w:hAnsi="等线" w:cs="等线" w:hint="eastAsia"/>
                <w:szCs w:val="21"/>
              </w:rPr>
              <w:t>分，扣完为止。</w:t>
            </w:r>
          </w:p>
          <w:p>
            <w:pPr>
              <w:snapToGrid w:val="0"/>
              <w:rPr>
                <w:rFonts w:ascii="宋体" w:hAnsi="宋体" w:cs="宋体"/>
                <w:b/>
                <w:szCs w:val="21"/>
              </w:rPr>
            </w:pPr>
            <w:r>
              <w:rPr>
                <w:rFonts w:ascii="宋体" w:hAnsi="宋体" w:cs="宋体" w:hint="eastAsia"/>
                <w:b/>
                <w:szCs w:val="21"/>
              </w:rPr>
              <w:t>（二）评审依据：</w:t>
            </w:r>
          </w:p>
          <w:p>
            <w:pPr>
              <w:widowControl/>
              <w:adjustRightInd w:val="0"/>
              <w:snapToGrid w:val="0"/>
              <w:jc w:val="left"/>
              <w:rPr>
                <w:rFonts w:ascii="宋体" w:hAnsi="宋体" w:cs="宋体"/>
                <w:szCs w:val="21"/>
              </w:rPr>
            </w:pPr>
            <w:r>
              <w:rPr>
                <w:rFonts w:ascii="宋体" w:hAnsi="宋体" w:cs="宋体" w:hint="eastAsia"/>
                <w:szCs w:val="21"/>
              </w:rPr>
              <w:t>以投标文件</w:t>
            </w:r>
            <w:r>
              <w:rPr>
                <w:rFonts w:ascii="宋体" w:hAnsi="宋体" w:cs="宋体" w:hint="eastAsia"/>
                <w:b/>
                <w:bCs/>
                <w:szCs w:val="21"/>
              </w:rPr>
              <w:t>《技术要求偏离表》</w:t>
            </w:r>
            <w:r>
              <w:rPr>
                <w:rFonts w:ascii="宋体" w:hAnsi="宋体" w:cs="宋体" w:hint="eastAsia"/>
                <w:szCs w:val="21"/>
              </w:rPr>
              <w:t>为评审依据，完全符合招标文件要求的，得100分。对“技术标准”内容中的技术要求进行响应。</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eastAsia="zh-CN"/>
              </w:rPr>
            </w:pPr>
          </w:p>
        </w:tc>
        <w:tc>
          <w:tcPr>
            <w:tcW w:w="271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p>
        </w:tc>
        <w:tc>
          <w:tcPr>
            <w:tcW w:w="652"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p>
        </w:tc>
        <w:tc>
          <w:tcPr>
            <w:tcW w:w="4347"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3</w:t>
            </w:r>
          </w:p>
        </w:tc>
        <w:tc>
          <w:tcPr>
            <w:tcW w:w="4045"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综合实力</w:t>
            </w:r>
          </w:p>
        </w:tc>
        <w:tc>
          <w:tcPr>
            <w:tcW w:w="4347"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ascii="宋体" w:hAnsi="宋体" w:cs="宋体" w:hint="eastAsia"/>
                <w:b/>
                <w:bCs/>
                <w:color w:val="0000FF"/>
                <w:sz w:val="24"/>
              </w:rPr>
              <w:t>30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71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5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3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w:t>
            </w:r>
          </w:p>
        </w:tc>
        <w:tc>
          <w:tcPr>
            <w:tcW w:w="271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项目经验情况</w:t>
            </w:r>
          </w:p>
        </w:tc>
        <w:tc>
          <w:tcPr>
            <w:tcW w:w="652"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3</w:t>
            </w:r>
          </w:p>
        </w:tc>
        <w:tc>
          <w:tcPr>
            <w:tcW w:w="4347"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szCs w:val="21"/>
              </w:rPr>
              <w:t>（一）评分内容：</w:t>
            </w:r>
          </w:p>
          <w:p>
            <w:pPr>
              <w:wordWrap w:val="0"/>
              <w:rPr>
                <w:rFonts w:ascii="宋体" w:hAnsi="宋体" w:cs="宋体"/>
                <w:szCs w:val="21"/>
              </w:rPr>
            </w:pPr>
            <w:r>
              <w:rPr>
                <w:rFonts w:ascii="宋体" w:hAnsi="宋体" w:cs="宋体" w:hint="eastAsia"/>
                <w:szCs w:val="21"/>
              </w:rPr>
              <w:t>自2021年1月1日至本项目投标截止日前（以合同签订时间为准）：</w:t>
            </w:r>
          </w:p>
          <w:p>
            <w:pPr>
              <w:wordWrap w:val="0"/>
              <w:rPr>
                <w:rFonts w:ascii="宋体" w:hAnsi="宋体" w:cs="宋体"/>
                <w:szCs w:val="21"/>
              </w:rPr>
            </w:pPr>
            <w:r>
              <w:rPr>
                <w:rFonts w:ascii="宋体" w:hAnsi="宋体" w:cs="宋体" w:hint="eastAsia"/>
                <w:szCs w:val="21"/>
              </w:rPr>
              <w:t>具有大数据相关案例的，每提供1个有效业绩得20分，最高得100分。</w:t>
            </w:r>
          </w:p>
          <w:p>
            <w:pPr>
              <w:wordWrap w:val="0"/>
              <w:rPr>
                <w:rFonts w:ascii="宋体" w:hAnsi="宋体" w:cs="宋体"/>
                <w:szCs w:val="21"/>
              </w:rPr>
            </w:pPr>
            <w:r>
              <w:rPr>
                <w:rFonts w:ascii="宋体" w:hAnsi="宋体" w:cs="宋体" w:hint="eastAsia"/>
                <w:szCs w:val="21"/>
              </w:rPr>
              <w:t>（二）评分标准：</w:t>
            </w:r>
          </w:p>
          <w:p>
            <w:pPr>
              <w:wordWrap w:val="0"/>
              <w:rPr>
                <w:rFonts w:ascii="宋体" w:hAnsi="宋体" w:cs="宋体"/>
                <w:szCs w:val="21"/>
              </w:rPr>
            </w:pPr>
            <w:r>
              <w:rPr>
                <w:rFonts w:ascii="宋体" w:hAnsi="宋体" w:cs="宋体" w:hint="eastAsia"/>
                <w:szCs w:val="21"/>
              </w:rPr>
              <w:t>1.需提供合同关键页（包括但不限于：合同甲乙双方名称页、合同签署日期盖章页、服务内容页等）；</w:t>
            </w:r>
          </w:p>
          <w:p>
            <w:pPr>
              <w:wordWrap w:val="0"/>
              <w:rPr>
                <w:rFonts w:ascii="宋体" w:hAnsi="宋体" w:cs="宋体"/>
                <w:szCs w:val="21"/>
              </w:rPr>
            </w:pPr>
            <w:r>
              <w:rPr>
                <w:rFonts w:ascii="宋体" w:hAnsi="宋体" w:cs="宋体" w:hint="eastAsia"/>
                <w:szCs w:val="21"/>
              </w:rPr>
              <w:t>2.通过合同关键信息无法判断是否得分的，还须同时提供能证明得分的其它证明资料，如合同验收报告或合同甲方出具的证明文件等；</w:t>
            </w:r>
          </w:p>
          <w:p>
            <w:pPr>
              <w:wordWrap w:val="0"/>
              <w:rPr>
                <w:rFonts w:ascii="宋体" w:hAnsi="宋体" w:cs="宋体"/>
                <w:szCs w:val="21"/>
              </w:rPr>
            </w:pPr>
            <w:r>
              <w:rPr>
                <w:rFonts w:ascii="宋体" w:hAnsi="宋体" w:cs="宋体" w:hint="eastAsia"/>
                <w:szCs w:val="21"/>
              </w:rPr>
              <w:t>3.未按要求提供相关证明材料（或相关证明材料无法判断是否符合评分要求）的不计得分，原件备查。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2</w:t>
            </w:r>
          </w:p>
        </w:tc>
        <w:tc>
          <w:tcPr>
            <w:tcW w:w="271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企业资质及认证情况</w:t>
            </w:r>
          </w:p>
        </w:tc>
        <w:tc>
          <w:tcPr>
            <w:tcW w:w="652"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7</w:t>
            </w:r>
          </w:p>
        </w:tc>
        <w:tc>
          <w:tcPr>
            <w:tcW w:w="4347"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szCs w:val="21"/>
              </w:rPr>
              <w:t>（一）评分内容：</w:t>
            </w:r>
          </w:p>
          <w:p>
            <w:pPr>
              <w:wordWrap w:val="0"/>
            </w:pPr>
            <w:r>
              <w:rPr>
                <w:rFonts w:ascii="宋体" w:hAnsi="宋体" w:cs="宋体" w:hint="eastAsia"/>
                <w:szCs w:val="21"/>
              </w:rPr>
              <w:t>1.投标人具有以下有效证书的：</w:t>
            </w:r>
          </w:p>
          <w:p>
            <w:pPr>
              <w:wordWrap w:val="0"/>
              <w:rPr>
                <w:rFonts w:ascii="宋体" w:hAnsi="宋体" w:cs="宋体"/>
                <w:szCs w:val="21"/>
              </w:rPr>
            </w:pPr>
            <w:r>
              <w:rPr>
                <w:rFonts w:ascii="宋体" w:hAnsi="宋体" w:cs="宋体" w:hint="eastAsia"/>
                <w:szCs w:val="21"/>
              </w:rPr>
              <w:t>（1）存储安全管理体系体系认证证书；</w:t>
            </w:r>
          </w:p>
          <w:p>
            <w:pPr>
              <w:wordWrap w:val="0"/>
              <w:rPr>
                <w:rFonts w:ascii="宋体" w:hAnsi="宋体" w:cs="宋体"/>
                <w:szCs w:val="21"/>
              </w:rPr>
            </w:pPr>
            <w:r>
              <w:rPr>
                <w:rFonts w:ascii="宋体" w:hAnsi="宋体" w:cs="宋体" w:hint="eastAsia"/>
                <w:szCs w:val="21"/>
              </w:rPr>
              <w:t>（2）</w:t>
            </w:r>
            <w:r>
              <w:rPr>
                <w:rFonts w:ascii="宋体" w:hAnsi="宋体" w:cs="宋体" w:hint="eastAsia"/>
                <w:szCs w:val="21"/>
                <w:lang w:eastAsia="zh-CN"/>
              </w:rPr>
              <w:t>供应链安全管理体系认证</w:t>
            </w:r>
            <w:r>
              <w:rPr>
                <w:rFonts w:ascii="宋体" w:hAnsi="宋体" w:cs="宋体" w:hint="eastAsia"/>
                <w:szCs w:val="21"/>
              </w:rPr>
              <w:t>证书。</w:t>
            </w:r>
          </w:p>
          <w:p>
            <w:pPr>
              <w:wordWrap w:val="0"/>
              <w:rPr>
                <w:rFonts w:ascii="宋体" w:hAnsi="宋体" w:cs="宋体"/>
                <w:szCs w:val="21"/>
              </w:rPr>
            </w:pPr>
            <w:r>
              <w:rPr>
                <w:rFonts w:ascii="宋体" w:hAnsi="宋体" w:cs="宋体" w:hint="eastAsia"/>
                <w:szCs w:val="21"/>
              </w:rPr>
              <w:t>每提供1项得50分，本小项最高得100分。</w:t>
            </w:r>
          </w:p>
          <w:p>
            <w:pPr>
              <w:wordWrap w:val="0"/>
              <w:rPr>
                <w:rFonts w:ascii="宋体" w:hAnsi="宋体" w:cs="宋体"/>
                <w:szCs w:val="21"/>
              </w:rPr>
            </w:pPr>
            <w:r>
              <w:rPr>
                <w:rFonts w:ascii="宋体" w:hAnsi="宋体" w:cs="宋体" w:hint="eastAsia"/>
                <w:szCs w:val="21"/>
              </w:rPr>
              <w:t>（二）评分标准：</w:t>
            </w:r>
          </w:p>
          <w:p>
            <w:pPr>
              <w:wordWrap w:val="0"/>
              <w:rPr>
                <w:rFonts w:ascii="宋体" w:hAnsi="宋体" w:cs="宋体" w:hint="eastAsia"/>
                <w:szCs w:val="21"/>
              </w:rPr>
            </w:pPr>
            <w:r>
              <w:rPr>
                <w:rFonts w:ascii="宋体" w:hAnsi="宋体" w:cs="宋体" w:hint="eastAsia"/>
                <w:szCs w:val="21"/>
                <w:lang w:eastAsia="zh-CN"/>
              </w:rPr>
              <w:t>1</w:t>
            </w:r>
            <w:r>
              <w:rPr>
                <w:rFonts w:ascii="宋体" w:hAnsi="宋体" w:cs="宋体" w:hint="eastAsia"/>
                <w:szCs w:val="21"/>
              </w:rPr>
              <w:t>.提供相关认证机构颁发的有效期内的认证证书扫描件及认证信息查询截图（截图需显示证书状态为有效）。说明：①证书与查询信息截图必须同时 提供，缺一不可，未同时提供的不得分，后果由投 标人自行承担；②投标人应确保认证证书在开标当天仍处于有效状态，并对所提供的证书及查询截图 的真实性负责，如出现与事实不符的情形，视同隐 瞒真实情况，提供虚假资料，将依法承担相应的法 律责任；③质疑投诉处理中对证书是否有效的认定，以国家认监委网站【全国认证认可信息公共服务平台（</w:t>
            </w:r>
            <w:r>
              <w:rPr>
                <w:rFonts w:ascii="宋体" w:hAnsi="宋体" w:cs="宋体" w:hint="eastAsia"/>
                <w:szCs w:val="21"/>
                <w:lang w:val="en-US" w:eastAsia="zh-CN"/>
              </w:rPr>
              <w:t>http：</w:t>
            </w:r>
            <w:r>
              <w:rPr>
                <w:rFonts w:ascii="宋体" w:hAnsi="宋体" w:cs="宋体" w:hint="eastAsia"/>
                <w:szCs w:val="21"/>
              </w:rPr>
              <w:t>//cx.cnca.cn）】查询结果为准。</w:t>
            </w:r>
          </w:p>
          <w:p>
            <w:pPr>
              <w:wordWrap w:val="0"/>
              <w:rPr>
                <w:rFonts w:ascii="宋体" w:hAnsi="宋体" w:cs="宋体"/>
                <w:szCs w:val="21"/>
              </w:rPr>
            </w:pPr>
            <w:r>
              <w:rPr>
                <w:rFonts w:ascii="宋体" w:hAnsi="宋体" w:cs="宋体" w:hint="eastAsia"/>
                <w:szCs w:val="21"/>
                <w:lang w:eastAsia="zh-CN"/>
              </w:rPr>
              <w:t>2</w:t>
            </w:r>
            <w:r>
              <w:rPr>
                <w:rFonts w:ascii="宋体" w:hAnsi="宋体" w:cs="宋体" w:hint="eastAsia"/>
                <w:szCs w:val="21"/>
              </w:rPr>
              <w:t>.未按要求提供相关证明材料（或相关证明材料无法判断是否符合评分要求）的不计得分，原件备查。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trHeight w:val="279"/>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3</w:t>
            </w:r>
          </w:p>
        </w:tc>
        <w:tc>
          <w:tcPr>
            <w:tcW w:w="271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投标人知识产权产品（创新、设计）情况</w:t>
            </w:r>
          </w:p>
        </w:tc>
        <w:tc>
          <w:tcPr>
            <w:tcW w:w="652"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10</w:t>
            </w:r>
          </w:p>
        </w:tc>
        <w:tc>
          <w:tcPr>
            <w:tcW w:w="4347"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szCs w:val="21"/>
              </w:rPr>
              <w:t>（一）评分内容：</w:t>
            </w:r>
          </w:p>
          <w:p>
            <w:pPr>
              <w:wordWrap w:val="0"/>
              <w:rPr>
                <w:rFonts w:ascii="宋体" w:hAnsi="宋体" w:cs="宋体"/>
                <w:szCs w:val="21"/>
              </w:rPr>
            </w:pPr>
            <w:r>
              <w:rPr>
                <w:rFonts w:ascii="宋体" w:hAnsi="宋体" w:cs="宋体" w:hint="eastAsia"/>
                <w:szCs w:val="21"/>
              </w:rPr>
              <w:t>1、投标人具有以下类别相关计算机软件著作权证书的，每提供一类得5分（提供多个同类型软著证书不累计得分），最高得50分：</w:t>
            </w:r>
          </w:p>
          <w:p>
            <w:pPr>
              <w:wordWrap w:val="0"/>
              <w:rPr>
                <w:rFonts w:ascii="宋体" w:hAnsi="宋体" w:cs="宋体"/>
                <w:szCs w:val="21"/>
              </w:rPr>
            </w:pPr>
            <w:r>
              <w:rPr>
                <w:rFonts w:ascii="宋体" w:hAnsi="宋体" w:cs="宋体" w:hint="eastAsia"/>
                <w:szCs w:val="21"/>
              </w:rPr>
              <w:t>（1）分布式数据库类</w:t>
            </w:r>
          </w:p>
          <w:p>
            <w:pPr>
              <w:wordWrap w:val="0"/>
              <w:rPr>
                <w:rFonts w:ascii="宋体" w:hAnsi="宋体" w:cs="宋体"/>
                <w:szCs w:val="21"/>
              </w:rPr>
            </w:pPr>
            <w:r>
              <w:rPr>
                <w:rFonts w:ascii="宋体" w:hAnsi="宋体" w:cs="宋体" w:hint="eastAsia"/>
                <w:szCs w:val="21"/>
              </w:rPr>
              <w:t>（2）数据库管理系统类</w:t>
            </w:r>
          </w:p>
          <w:p>
            <w:pPr>
              <w:wordWrap w:val="0"/>
              <w:rPr>
                <w:rFonts w:ascii="宋体" w:hAnsi="宋体" w:cs="宋体"/>
                <w:szCs w:val="21"/>
              </w:rPr>
            </w:pPr>
            <w:r>
              <w:rPr>
                <w:rFonts w:ascii="宋体" w:hAnsi="宋体" w:cs="宋体" w:hint="eastAsia"/>
                <w:szCs w:val="21"/>
              </w:rPr>
              <w:t>（3）大数据处理套件软件类</w:t>
            </w:r>
          </w:p>
          <w:p>
            <w:pPr>
              <w:wordWrap w:val="0"/>
              <w:rPr>
                <w:rFonts w:ascii="宋体" w:hAnsi="宋体" w:cs="宋体"/>
                <w:szCs w:val="21"/>
              </w:rPr>
            </w:pPr>
            <w:r>
              <w:rPr>
                <w:rFonts w:ascii="宋体" w:hAnsi="宋体" w:cs="宋体" w:hint="eastAsia"/>
                <w:szCs w:val="21"/>
              </w:rPr>
              <w:t>（4）数据库统一纳管平台类</w:t>
            </w:r>
          </w:p>
          <w:p>
            <w:pPr>
              <w:wordWrap w:val="0"/>
              <w:rPr>
                <w:rFonts w:ascii="宋体" w:hAnsi="宋体" w:cs="宋体"/>
                <w:szCs w:val="21"/>
              </w:rPr>
            </w:pPr>
            <w:r>
              <w:rPr>
                <w:rFonts w:ascii="宋体" w:hAnsi="宋体" w:cs="宋体" w:hint="eastAsia"/>
                <w:szCs w:val="21"/>
              </w:rPr>
              <w:t>（5）对象存储类</w:t>
            </w:r>
          </w:p>
          <w:p>
            <w:pPr>
              <w:wordWrap w:val="0"/>
              <w:rPr>
                <w:rFonts w:ascii="宋体" w:hAnsi="宋体" w:cs="宋体"/>
                <w:szCs w:val="21"/>
              </w:rPr>
            </w:pPr>
            <w:r>
              <w:rPr>
                <w:rFonts w:ascii="宋体" w:hAnsi="宋体" w:cs="宋体" w:hint="eastAsia"/>
                <w:szCs w:val="21"/>
              </w:rPr>
              <w:t>（6）多维实时检索</w:t>
            </w:r>
          </w:p>
          <w:p>
            <w:pPr>
              <w:wordWrap w:val="0"/>
              <w:rPr>
                <w:rFonts w:ascii="宋体" w:hAnsi="宋体" w:cs="宋体"/>
                <w:szCs w:val="21"/>
              </w:rPr>
            </w:pPr>
            <w:r>
              <w:rPr>
                <w:rFonts w:ascii="宋体" w:hAnsi="宋体" w:cs="宋体" w:hint="eastAsia"/>
                <w:szCs w:val="21"/>
              </w:rPr>
              <w:t>（7）政务大数据质量检测类；</w:t>
            </w:r>
          </w:p>
          <w:p>
            <w:pPr>
              <w:wordWrap w:val="0"/>
              <w:rPr>
                <w:rFonts w:ascii="宋体" w:hAnsi="宋体" w:cs="宋体"/>
                <w:szCs w:val="21"/>
              </w:rPr>
            </w:pPr>
            <w:r>
              <w:rPr>
                <w:rFonts w:ascii="宋体" w:hAnsi="宋体" w:cs="宋体" w:hint="eastAsia"/>
                <w:szCs w:val="21"/>
              </w:rPr>
              <w:t>（8）大数据权限管理类；</w:t>
            </w:r>
          </w:p>
          <w:p>
            <w:pPr>
              <w:wordWrap w:val="0"/>
              <w:rPr>
                <w:rFonts w:ascii="宋体" w:hAnsi="宋体" w:cs="宋体"/>
                <w:szCs w:val="21"/>
              </w:rPr>
            </w:pPr>
            <w:r>
              <w:rPr>
                <w:rFonts w:ascii="宋体" w:hAnsi="宋体" w:cs="宋体" w:hint="eastAsia"/>
                <w:szCs w:val="21"/>
              </w:rPr>
              <w:t>（9）数据库数据传输类；</w:t>
            </w:r>
          </w:p>
          <w:p>
            <w:pPr>
              <w:wordWrap w:val="0"/>
              <w:rPr>
                <w:rFonts w:ascii="宋体" w:hAnsi="宋体" w:cs="宋体"/>
                <w:szCs w:val="21"/>
              </w:rPr>
            </w:pPr>
            <w:r>
              <w:rPr>
                <w:rFonts w:ascii="宋体" w:hAnsi="宋体" w:cs="宋体" w:hint="eastAsia"/>
                <w:szCs w:val="21"/>
              </w:rPr>
              <w:t>（10）大数据开发治理类；</w:t>
            </w:r>
          </w:p>
          <w:p>
            <w:pPr>
              <w:wordWrap w:val="0"/>
              <w:rPr>
                <w:rFonts w:ascii="宋体" w:hAnsi="宋体" w:cs="宋体"/>
                <w:szCs w:val="21"/>
              </w:rPr>
            </w:pPr>
            <w:r>
              <w:rPr>
                <w:rFonts w:ascii="宋体" w:hAnsi="宋体" w:cs="宋体" w:hint="eastAsia"/>
                <w:szCs w:val="21"/>
              </w:rPr>
              <w:t>2、投标人应具备对应的专业能力，具有以下类别相关专利证书的，每提供一类得10分（提供多个同类型专利证书不累计得分），最高得50分：</w:t>
            </w:r>
          </w:p>
          <w:p>
            <w:pPr>
              <w:wordWrap w:val="0"/>
              <w:rPr>
                <w:rFonts w:ascii="宋体" w:hAnsi="宋体" w:cs="宋体"/>
                <w:szCs w:val="21"/>
              </w:rPr>
            </w:pPr>
            <w:r>
              <w:rPr>
                <w:rFonts w:ascii="宋体" w:hAnsi="宋体" w:cs="宋体" w:hint="eastAsia"/>
                <w:szCs w:val="21"/>
              </w:rPr>
              <w:t>（1）具有数据安全类；</w:t>
            </w:r>
          </w:p>
          <w:p>
            <w:pPr>
              <w:wordWrap w:val="0"/>
              <w:rPr>
                <w:rFonts w:ascii="宋体" w:hAnsi="宋体" w:cs="宋体"/>
                <w:szCs w:val="21"/>
              </w:rPr>
            </w:pPr>
            <w:r>
              <w:rPr>
                <w:rFonts w:ascii="宋体" w:hAnsi="宋体" w:cs="宋体" w:hint="eastAsia"/>
                <w:szCs w:val="21"/>
              </w:rPr>
              <w:t>（2）具有数据传输类；</w:t>
            </w:r>
          </w:p>
          <w:p>
            <w:pPr>
              <w:wordWrap w:val="0"/>
              <w:rPr>
                <w:rFonts w:ascii="宋体" w:hAnsi="宋体" w:cs="宋体"/>
                <w:szCs w:val="21"/>
              </w:rPr>
            </w:pPr>
            <w:r>
              <w:rPr>
                <w:rFonts w:ascii="宋体" w:hAnsi="宋体" w:cs="宋体" w:hint="eastAsia"/>
                <w:szCs w:val="21"/>
              </w:rPr>
              <w:t>（3）具有数据检测类；</w:t>
            </w:r>
          </w:p>
          <w:p>
            <w:pPr>
              <w:wordWrap w:val="0"/>
              <w:rPr>
                <w:rFonts w:ascii="宋体" w:hAnsi="宋体" w:cs="宋体"/>
                <w:szCs w:val="21"/>
              </w:rPr>
            </w:pPr>
            <w:r>
              <w:rPr>
                <w:rFonts w:ascii="宋体" w:hAnsi="宋体" w:cs="宋体" w:hint="eastAsia"/>
                <w:szCs w:val="21"/>
              </w:rPr>
              <w:t>（4）具有分布式数据库类；</w:t>
            </w:r>
          </w:p>
          <w:p>
            <w:pPr>
              <w:wordWrap w:val="0"/>
              <w:rPr>
                <w:rFonts w:ascii="宋体" w:hAnsi="宋体" w:cs="宋体"/>
                <w:szCs w:val="21"/>
              </w:rPr>
            </w:pPr>
            <w:r>
              <w:rPr>
                <w:rFonts w:ascii="宋体" w:hAnsi="宋体" w:cs="宋体" w:hint="eastAsia"/>
                <w:szCs w:val="21"/>
              </w:rPr>
              <w:t>（5）具有对象存储类。</w:t>
            </w:r>
          </w:p>
          <w:p>
            <w:pPr>
              <w:wordWrap w:val="0"/>
              <w:rPr>
                <w:rFonts w:ascii="宋体" w:hAnsi="宋体" w:cs="宋体"/>
                <w:szCs w:val="21"/>
              </w:rPr>
            </w:pPr>
            <w:r>
              <w:rPr>
                <w:rFonts w:ascii="宋体" w:hAnsi="宋体" w:cs="宋体" w:hint="eastAsia"/>
                <w:szCs w:val="21"/>
              </w:rPr>
              <w:t>（二）评分标准：</w:t>
            </w:r>
          </w:p>
          <w:p>
            <w:pPr>
              <w:jc w:val="left"/>
              <w:rPr>
                <w:rFonts w:ascii="Calibri" w:hAnsi="Calibri"/>
                <w:color w:val="auto"/>
                <w:szCs w:val="22"/>
                <w:highlight w:val="none"/>
              </w:rPr>
            </w:pPr>
            <w:r>
              <w:rPr>
                <w:rFonts w:ascii="Calibri" w:hAnsi="Calibri" w:hint="eastAsia"/>
                <w:color w:val="auto"/>
                <w:szCs w:val="22"/>
                <w:highlight w:val="none"/>
              </w:rPr>
              <w:t>1</w:t>
            </w:r>
            <w:r>
              <w:rPr>
                <w:rFonts w:ascii="Calibri" w:hAnsi="Calibri"/>
                <w:color w:val="auto"/>
                <w:szCs w:val="22"/>
                <w:highlight w:val="none"/>
              </w:rPr>
              <w:t>.</w:t>
            </w:r>
            <w:r>
              <w:rPr>
                <w:rFonts w:ascii="Calibri" w:hAnsi="Calibri" w:hint="eastAsia"/>
                <w:b/>
                <w:bCs/>
                <w:color w:val="auto"/>
                <w:szCs w:val="22"/>
                <w:highlight w:val="none"/>
              </w:rPr>
              <w:t>如为自有</w:t>
            </w:r>
            <w:r>
              <w:rPr>
                <w:rFonts w:ascii="Calibri" w:hAnsi="Calibri" w:hint="eastAsia"/>
                <w:color w:val="auto"/>
                <w:szCs w:val="22"/>
                <w:highlight w:val="none"/>
              </w:rPr>
              <w:t>：</w:t>
            </w:r>
            <w:r>
              <w:rPr>
                <w:rFonts w:ascii="Calibri" w:hAnsi="Calibri" w:hint="eastAsia"/>
                <w:b/>
                <w:bCs/>
                <w:color w:val="auto"/>
                <w:szCs w:val="22"/>
                <w:highlight w:val="none"/>
              </w:rPr>
              <w:t>第1项</w:t>
            </w:r>
            <w:r>
              <w:rPr>
                <w:rFonts w:ascii="Calibri" w:hAnsi="Calibri" w:hint="eastAsia"/>
                <w:color w:val="auto"/>
                <w:szCs w:val="22"/>
                <w:highlight w:val="none"/>
              </w:rPr>
              <w:t>提供国家版权局颁发的计算机软件著作权登记证书（需体现著作权人为投标人）；</w:t>
            </w:r>
            <w:r>
              <w:rPr>
                <w:rFonts w:ascii="Calibri" w:hAnsi="Calibri" w:hint="eastAsia"/>
                <w:b/>
                <w:bCs/>
                <w:color w:val="auto"/>
                <w:szCs w:val="22"/>
                <w:highlight w:val="none"/>
              </w:rPr>
              <w:t>第2项</w:t>
            </w:r>
            <w:r>
              <w:rPr>
                <w:rFonts w:ascii="Calibri" w:hAnsi="Calibri" w:hint="eastAsia"/>
                <w:color w:val="auto"/>
                <w:szCs w:val="22"/>
                <w:highlight w:val="none"/>
              </w:rPr>
              <w:t>提供国家知识产权局颁发的专利证书（需体现专利权人为投标人）。</w:t>
            </w:r>
          </w:p>
          <w:p>
            <w:pPr>
              <w:jc w:val="left"/>
              <w:rPr>
                <w:rFonts w:ascii="Calibri" w:hAnsi="Calibri"/>
                <w:color w:val="auto"/>
                <w:szCs w:val="22"/>
                <w:highlight w:val="none"/>
              </w:rPr>
            </w:pPr>
            <w:r>
              <w:rPr>
                <w:rFonts w:ascii="Calibri" w:hAnsi="Calibri" w:hint="eastAsia"/>
                <w:color w:val="auto"/>
                <w:szCs w:val="22"/>
                <w:highlight w:val="none"/>
              </w:rPr>
              <w:t>2</w:t>
            </w:r>
            <w:r>
              <w:rPr>
                <w:rFonts w:ascii="Calibri" w:hAnsi="Calibri"/>
                <w:color w:val="auto"/>
                <w:szCs w:val="22"/>
                <w:highlight w:val="none"/>
              </w:rPr>
              <w:t>.</w:t>
            </w:r>
            <w:r>
              <w:rPr>
                <w:rFonts w:ascii="Calibri" w:hAnsi="Calibri" w:hint="eastAsia"/>
                <w:b/>
                <w:bCs/>
                <w:color w:val="auto"/>
                <w:szCs w:val="22"/>
                <w:highlight w:val="none"/>
              </w:rPr>
              <w:t>如为租赁</w:t>
            </w:r>
            <w:r>
              <w:rPr>
                <w:rFonts w:ascii="Calibri" w:hAnsi="Calibri" w:hint="eastAsia"/>
                <w:color w:val="auto"/>
                <w:szCs w:val="22"/>
                <w:highlight w:val="none"/>
              </w:rPr>
              <w:t>：</w:t>
            </w:r>
            <w:r>
              <w:rPr>
                <w:rFonts w:ascii="Calibri" w:hAnsi="Calibri" w:hint="eastAsia"/>
                <w:b/>
                <w:bCs/>
                <w:color w:val="auto"/>
                <w:szCs w:val="22"/>
                <w:highlight w:val="none"/>
              </w:rPr>
              <w:t>第1项</w:t>
            </w:r>
            <w:r>
              <w:rPr>
                <w:rFonts w:ascii="Calibri" w:hAnsi="Calibri" w:hint="eastAsia"/>
                <w:color w:val="auto"/>
                <w:szCs w:val="22"/>
                <w:highlight w:val="none"/>
              </w:rPr>
              <w:t>同时提供：①国家版权局颁发的计算机软件著作权登记证书（需体现著作权人为出租方）②租赁合同（协议）扫描件；</w:t>
            </w:r>
            <w:r>
              <w:rPr>
                <w:rFonts w:ascii="Calibri" w:hAnsi="Calibri" w:hint="eastAsia"/>
                <w:b/>
                <w:bCs/>
                <w:color w:val="auto"/>
                <w:szCs w:val="22"/>
                <w:highlight w:val="none"/>
              </w:rPr>
              <w:t>第2项</w:t>
            </w:r>
            <w:r>
              <w:rPr>
                <w:rFonts w:ascii="Calibri" w:hAnsi="Calibri" w:hint="eastAsia"/>
                <w:color w:val="auto"/>
                <w:szCs w:val="22"/>
                <w:highlight w:val="none"/>
              </w:rPr>
              <w:t>同时提供：①国家知识产权局颁发的专利证书（需体现专利权人为出租方）②租赁合同（协议）扫描件</w:t>
            </w:r>
            <w:r>
              <w:rPr>
                <w:rFonts w:hint="eastAsia"/>
                <w:color w:val="auto"/>
                <w:szCs w:val="22"/>
                <w:highlight w:val="none"/>
              </w:rPr>
              <w:t>。</w:t>
            </w:r>
          </w:p>
          <w:p>
            <w:pPr>
              <w:jc w:val="left"/>
              <w:rPr>
                <w:rFonts w:ascii="Calibri" w:hAnsi="Calibri"/>
                <w:color w:val="auto"/>
                <w:szCs w:val="22"/>
                <w:highlight w:val="none"/>
              </w:rPr>
            </w:pPr>
            <w:r>
              <w:rPr>
                <w:rFonts w:ascii="Calibri" w:hAnsi="Calibri" w:hint="eastAsia"/>
                <w:color w:val="auto"/>
                <w:szCs w:val="22"/>
                <w:highlight w:val="none"/>
              </w:rPr>
              <w:t>3</w:t>
            </w:r>
            <w:r>
              <w:rPr>
                <w:rFonts w:ascii="Calibri" w:hAnsi="Calibri"/>
                <w:color w:val="auto"/>
                <w:szCs w:val="22"/>
                <w:highlight w:val="none"/>
              </w:rPr>
              <w:t>.</w:t>
            </w:r>
            <w:r>
              <w:rPr>
                <w:rFonts w:ascii="Calibri" w:hAnsi="Calibri" w:hint="eastAsia"/>
                <w:b/>
                <w:bCs/>
                <w:color w:val="auto"/>
                <w:szCs w:val="22"/>
                <w:highlight w:val="none"/>
              </w:rPr>
              <w:t>如为购买（或转让）</w:t>
            </w:r>
            <w:r>
              <w:rPr>
                <w:rFonts w:ascii="Calibri" w:hAnsi="Calibri" w:hint="eastAsia"/>
                <w:color w:val="auto"/>
                <w:szCs w:val="22"/>
                <w:highlight w:val="none"/>
              </w:rPr>
              <w:t>：</w:t>
            </w:r>
            <w:r>
              <w:rPr>
                <w:rFonts w:ascii="Calibri" w:hAnsi="Calibri" w:hint="eastAsia"/>
                <w:b/>
                <w:bCs/>
                <w:color w:val="auto"/>
                <w:szCs w:val="22"/>
                <w:highlight w:val="none"/>
              </w:rPr>
              <w:t>第1项</w:t>
            </w:r>
            <w:r>
              <w:rPr>
                <w:rFonts w:ascii="Calibri" w:hAnsi="Calibri" w:hint="eastAsia"/>
                <w:color w:val="auto"/>
                <w:szCs w:val="22"/>
                <w:highlight w:val="none"/>
              </w:rPr>
              <w:t>同时提供：①国家版权局颁发的计算机软件著作权登记证书（需体现著作权人为出售方或出让方）②购买（或转让）合同（协议）扫描件；</w:t>
            </w:r>
            <w:r>
              <w:rPr>
                <w:rFonts w:ascii="Calibri" w:hAnsi="Calibri" w:hint="eastAsia"/>
                <w:b/>
                <w:bCs/>
                <w:color w:val="auto"/>
                <w:szCs w:val="22"/>
                <w:highlight w:val="none"/>
              </w:rPr>
              <w:t>第2项</w:t>
            </w:r>
            <w:r>
              <w:rPr>
                <w:rFonts w:ascii="Calibri" w:hAnsi="Calibri" w:hint="eastAsia"/>
                <w:color w:val="auto"/>
                <w:szCs w:val="22"/>
                <w:highlight w:val="none"/>
              </w:rPr>
              <w:t>同时提供：①国家知识产权局颁发的专利证书（需体现专利权人为出售方或出让方）②购买（或转让）合同（协议）扫描件</w:t>
            </w:r>
            <w:r>
              <w:rPr>
                <w:rFonts w:hint="eastAsia"/>
                <w:color w:val="auto"/>
                <w:szCs w:val="22"/>
                <w:highlight w:val="none"/>
              </w:rPr>
              <w:t>。</w:t>
            </w:r>
          </w:p>
          <w:p>
            <w:pPr>
              <w:wordWrap w:val="0"/>
              <w:rPr>
                <w:rFonts w:ascii="宋体" w:hAnsi="宋体" w:cs="宋体"/>
                <w:szCs w:val="21"/>
              </w:rPr>
            </w:pPr>
            <w:r>
              <w:rPr>
                <w:rFonts w:ascii="Calibri" w:hAnsi="Calibri" w:hint="eastAsia"/>
                <w:color w:val="auto"/>
                <w:szCs w:val="22"/>
                <w:highlight w:val="none"/>
              </w:rPr>
              <w:t>4</w:t>
            </w:r>
            <w:r>
              <w:rPr>
                <w:rFonts w:ascii="Calibri" w:hAnsi="Calibri"/>
                <w:color w:val="auto"/>
                <w:szCs w:val="22"/>
                <w:highlight w:val="none"/>
              </w:rPr>
              <w:t>.</w:t>
            </w:r>
            <w:r>
              <w:rPr>
                <w:rFonts w:ascii="Calibri" w:hAnsi="Calibri" w:hint="eastAsia"/>
                <w:color w:val="auto"/>
                <w:szCs w:val="22"/>
                <w:highlight w:val="none"/>
              </w:rPr>
              <w:t>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4</w:t>
            </w:r>
          </w:p>
        </w:tc>
        <w:tc>
          <w:tcPr>
            <w:tcW w:w="271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kern w:val="0"/>
                <w:szCs w:val="21"/>
              </w:rPr>
              <w:t>投标人产品能力情况</w:t>
            </w:r>
          </w:p>
        </w:tc>
        <w:tc>
          <w:tcPr>
            <w:tcW w:w="652"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10</w:t>
            </w:r>
          </w:p>
        </w:tc>
        <w:tc>
          <w:tcPr>
            <w:tcW w:w="4347"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szCs w:val="21"/>
              </w:rPr>
              <w:t>（一）评分内容：</w:t>
            </w:r>
          </w:p>
          <w:p>
            <w:pPr>
              <w:wordWrap w:val="0"/>
              <w:rPr>
                <w:rFonts w:ascii="宋体" w:hAnsi="宋体" w:cs="宋体"/>
                <w:szCs w:val="21"/>
              </w:rPr>
            </w:pPr>
            <w:r>
              <w:rPr>
                <w:rFonts w:ascii="宋体" w:hAnsi="宋体" w:cs="宋体" w:hint="eastAsia"/>
                <w:szCs w:val="21"/>
              </w:rPr>
              <w:t>考察投标人产品能力情况，投标人获得以下能力证书，每提供一项得25分，最高得100分。</w:t>
            </w:r>
          </w:p>
          <w:p>
            <w:pPr>
              <w:wordWrap w:val="0"/>
              <w:rPr>
                <w:rFonts w:ascii="宋体" w:hAnsi="宋体" w:cs="宋体"/>
                <w:szCs w:val="21"/>
              </w:rPr>
            </w:pPr>
            <w:r>
              <w:rPr>
                <w:rFonts w:ascii="宋体" w:hAnsi="宋体" w:cs="宋体" w:hint="eastAsia"/>
                <w:szCs w:val="21"/>
              </w:rPr>
              <w:t>1.所投产品具有</w:t>
            </w:r>
            <w:r>
              <w:rPr>
                <w:rFonts w:ascii="宋体" w:hAnsi="宋体" w:cs="宋体" w:hint="eastAsia"/>
                <w:szCs w:val="21"/>
                <w:lang w:val="en-US" w:eastAsia="zh-CN"/>
              </w:rPr>
              <w:t>相关机构</w:t>
            </w:r>
            <w:r>
              <w:rPr>
                <w:rFonts w:ascii="宋体" w:hAnsi="宋体" w:cs="宋体" w:hint="eastAsia"/>
                <w:szCs w:val="21"/>
              </w:rPr>
              <w:t>颁发</w:t>
            </w:r>
            <w:r>
              <w:rPr>
                <w:rFonts w:ascii="宋体" w:hAnsi="宋体" w:cs="宋体" w:hint="eastAsia"/>
                <w:szCs w:val="21"/>
                <w:lang w:val="en-US" w:eastAsia="zh-CN"/>
              </w:rPr>
              <w:t>的</w:t>
            </w:r>
            <w:r>
              <w:rPr>
                <w:rFonts w:ascii="宋体" w:hAnsi="宋体" w:cs="宋体" w:hint="eastAsia"/>
                <w:szCs w:val="21"/>
              </w:rPr>
              <w:t>分布式事务型数据性能专项测评证书/证明。</w:t>
            </w:r>
          </w:p>
          <w:p>
            <w:pPr>
              <w:wordWrap w:val="0"/>
              <w:rPr>
                <w:rFonts w:ascii="宋体" w:hAnsi="宋体" w:cs="宋体"/>
                <w:szCs w:val="21"/>
              </w:rPr>
            </w:pPr>
            <w:r>
              <w:rPr>
                <w:rFonts w:ascii="宋体" w:hAnsi="宋体" w:cs="宋体" w:hint="eastAsia"/>
                <w:szCs w:val="21"/>
              </w:rPr>
              <w:t>2.所投产品具有</w:t>
            </w:r>
            <w:r>
              <w:rPr>
                <w:rFonts w:ascii="宋体" w:hAnsi="宋体" w:cs="宋体" w:hint="eastAsia"/>
                <w:szCs w:val="21"/>
                <w:lang w:val="en-US" w:eastAsia="zh-CN"/>
              </w:rPr>
              <w:t>相关机构</w:t>
            </w:r>
            <w:r>
              <w:rPr>
                <w:rFonts w:ascii="宋体" w:hAnsi="宋体" w:cs="宋体" w:hint="eastAsia"/>
                <w:szCs w:val="21"/>
              </w:rPr>
              <w:t>颁发</w:t>
            </w:r>
            <w:r>
              <w:rPr>
                <w:rFonts w:ascii="宋体" w:hAnsi="宋体" w:cs="宋体" w:hint="eastAsia"/>
                <w:szCs w:val="21"/>
                <w:lang w:val="en-US" w:eastAsia="zh-CN"/>
              </w:rPr>
              <w:t>的</w:t>
            </w:r>
            <w:r>
              <w:rPr>
                <w:rFonts w:ascii="宋体" w:hAnsi="宋体" w:cs="宋体" w:hint="eastAsia"/>
                <w:szCs w:val="21"/>
              </w:rPr>
              <w:t>数据库服务能力评估实施部署专项等级证书实施部署能力3级以上证书/证明。</w:t>
            </w:r>
          </w:p>
          <w:p>
            <w:pPr>
              <w:wordWrap w:val="0"/>
              <w:rPr>
                <w:rFonts w:ascii="宋体" w:hAnsi="宋体" w:cs="宋体"/>
                <w:szCs w:val="21"/>
              </w:rPr>
            </w:pPr>
            <w:r>
              <w:rPr>
                <w:rFonts w:ascii="宋体" w:hAnsi="宋体" w:cs="宋体" w:hint="eastAsia"/>
                <w:szCs w:val="21"/>
              </w:rPr>
              <w:t>3.所投产品具有</w:t>
            </w:r>
            <w:r>
              <w:rPr>
                <w:rFonts w:ascii="宋体" w:hAnsi="宋体" w:cs="宋体" w:hint="eastAsia"/>
                <w:szCs w:val="21"/>
                <w:lang w:val="en-US" w:eastAsia="zh-CN"/>
              </w:rPr>
              <w:t>相关机构</w:t>
            </w:r>
            <w:r>
              <w:rPr>
                <w:rFonts w:ascii="宋体" w:hAnsi="宋体" w:cs="宋体" w:hint="eastAsia"/>
                <w:szCs w:val="21"/>
              </w:rPr>
              <w:t>颁发</w:t>
            </w:r>
            <w:r>
              <w:rPr>
                <w:rFonts w:ascii="宋体" w:hAnsi="宋体" w:cs="宋体" w:hint="eastAsia"/>
                <w:szCs w:val="21"/>
                <w:lang w:val="en-US" w:eastAsia="zh-CN"/>
              </w:rPr>
              <w:t>的</w:t>
            </w:r>
            <w:r>
              <w:rPr>
                <w:rFonts w:ascii="宋体" w:hAnsi="宋体" w:cs="宋体" w:hint="eastAsia"/>
                <w:szCs w:val="21"/>
              </w:rPr>
              <w:t>分布式流处理平台基础能力专项检验证书/证明。</w:t>
            </w:r>
          </w:p>
          <w:p>
            <w:pPr>
              <w:wordWrap w:val="0"/>
              <w:rPr>
                <w:rFonts w:ascii="宋体" w:hAnsi="宋体" w:cs="宋体"/>
                <w:szCs w:val="21"/>
              </w:rPr>
            </w:pPr>
            <w:r>
              <w:rPr>
                <w:rFonts w:ascii="宋体" w:hAnsi="宋体" w:cs="宋体" w:hint="eastAsia"/>
                <w:szCs w:val="21"/>
              </w:rPr>
              <w:t>4.所投产品具有</w:t>
            </w:r>
            <w:r>
              <w:rPr>
                <w:rFonts w:ascii="宋体" w:hAnsi="宋体" w:cs="宋体" w:hint="eastAsia"/>
                <w:szCs w:val="21"/>
                <w:lang w:val="en-US" w:eastAsia="zh-CN"/>
              </w:rPr>
              <w:t>相关机构</w:t>
            </w:r>
            <w:r>
              <w:rPr>
                <w:rFonts w:ascii="宋体" w:hAnsi="宋体" w:cs="宋体" w:hint="eastAsia"/>
                <w:szCs w:val="21"/>
              </w:rPr>
              <w:t>颁发</w:t>
            </w:r>
            <w:r>
              <w:rPr>
                <w:rFonts w:ascii="宋体" w:hAnsi="宋体" w:cs="宋体" w:hint="eastAsia"/>
                <w:szCs w:val="21"/>
                <w:lang w:val="en-US" w:eastAsia="zh-CN"/>
              </w:rPr>
              <w:t>的</w:t>
            </w:r>
            <w:r>
              <w:rPr>
                <w:rFonts w:ascii="宋体" w:hAnsi="宋体" w:cs="宋体" w:hint="eastAsia"/>
                <w:szCs w:val="21"/>
              </w:rPr>
              <w:t>时序数据库性能专项测评证书/证明。</w:t>
            </w:r>
          </w:p>
          <w:p>
            <w:pPr>
              <w:wordWrap w:val="0"/>
              <w:rPr>
                <w:rFonts w:ascii="宋体" w:hAnsi="宋体" w:cs="宋体"/>
                <w:szCs w:val="21"/>
              </w:rPr>
            </w:pPr>
            <w:r>
              <w:rPr>
                <w:rFonts w:ascii="宋体" w:hAnsi="宋体" w:cs="宋体" w:hint="eastAsia"/>
                <w:szCs w:val="21"/>
              </w:rPr>
              <w:t>（二）评分依据：</w:t>
            </w:r>
          </w:p>
          <w:p>
            <w:pPr>
              <w:wordWrap w:val="0"/>
              <w:rPr>
                <w:rFonts w:ascii="宋体" w:hAnsi="宋体" w:cs="宋体"/>
                <w:szCs w:val="21"/>
              </w:rPr>
            </w:pPr>
            <w:r>
              <w:rPr>
                <w:rFonts w:ascii="宋体" w:hAnsi="宋体" w:cs="宋体" w:hint="eastAsia"/>
                <w:szCs w:val="21"/>
              </w:rPr>
              <w:t>1、提供有效证书扫描件，如证书颁发单位为相关行业协会（或学会）的，则需同时提供证书颁发单位在全国社会组织信用信息公示平台（https://xxgs.chinanpo.mca.gov.cn/gsxt/newList）的信息查询截图（截图需显示发证单位状态为“正常”）；</w:t>
            </w:r>
          </w:p>
          <w:p>
            <w:pPr>
              <w:wordWrap w:val="0"/>
              <w:rPr>
                <w:rFonts w:ascii="宋体" w:hAnsi="宋体" w:cs="宋体"/>
                <w:szCs w:val="21"/>
              </w:rPr>
            </w:pPr>
            <w:r>
              <w:rPr>
                <w:rFonts w:ascii="宋体" w:hAnsi="宋体" w:cs="宋体" w:hint="eastAsia"/>
                <w:szCs w:val="21"/>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4</w:t>
            </w:r>
          </w:p>
        </w:tc>
        <w:tc>
          <w:tcPr>
            <w:tcW w:w="4045"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诚信情况</w:t>
            </w:r>
          </w:p>
        </w:tc>
        <w:tc>
          <w:tcPr>
            <w:tcW w:w="4347"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71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5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3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2713"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5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szCs w:val="21"/>
              </w:rPr>
            </w:pPr>
            <w:r>
              <w:rPr>
                <w:rFonts w:hint="eastAsia"/>
              </w:rPr>
              <w:t>5</w:t>
            </w:r>
          </w:p>
        </w:tc>
        <w:tc>
          <w:tcPr>
            <w:tcW w:w="4347"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420" w:firstLineChars="200"/>
              <w:rPr>
                <w:rFonts w:ascii="宋体" w:hAnsi="宋体" w:cs="宋体"/>
                <w:szCs w:val="21"/>
              </w:rPr>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4</w:t>
      </w:r>
      <w:r>
        <w:rPr>
          <w:rFonts w:hint="eastAsia"/>
          <w:b/>
          <w:sz w:val="28"/>
          <w:szCs w:val="28"/>
        </w:rPr>
        <w:t>）</w:t>
      </w:r>
      <w:bookmarkEnd w:id="0"/>
    </w:p>
    <w:p>
      <w:pPr>
        <w:ind w:firstLine="420" w:firstLineChars="200"/>
        <w:rPr>
          <w:rFonts w:hint="eastAsia"/>
        </w:rPr>
      </w:pPr>
      <w:r>
        <w:rPr>
          <w:rFonts w:hint="eastAsia"/>
        </w:rPr>
        <w:br w:type="page"/>
      </w:r>
    </w:p>
    <w:p>
      <w:pPr>
        <w:pStyle w:val="Heading2"/>
        <w:ind w:firstLine="3360" w:firstLineChars="1600"/>
        <w:jc w:val="both"/>
        <w:rPr>
          <w:color w:val="FF0000"/>
          <w:szCs w:val="21"/>
        </w:rPr>
      </w:pPr>
      <w:r>
        <w:rPr>
          <w:rFonts w:hint="eastAsia"/>
          <w:b/>
          <w:bCs/>
          <w:color w:val="FF0000"/>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ascii="宋体" w:eastAsia="宋体" w:hAnsi="宋体" w:cs="宋体" w:hint="eastAsia"/>
          <w:b w:val="0"/>
          <w:bCs/>
          <w:color w:val="FF0000"/>
          <w:sz w:val="20"/>
          <w:szCs w:val="20"/>
          <w:lang w:val="en-US" w:eastAsia="zh-CN"/>
        </w:rPr>
      </w:pPr>
      <w:r>
        <w:rPr>
          <w:rFonts w:ascii="宋体" w:eastAsia="宋体" w:hAnsi="宋体" w:cs="宋体"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ascii="宋体" w:eastAsia="宋体" w:hAnsi="宋体" w:cs="宋体" w:hint="eastAsia"/>
          <w:b w:val="0"/>
          <w:bCs/>
          <w:color w:val="FF0000"/>
          <w:sz w:val="20"/>
          <w:szCs w:val="20"/>
          <w:lang w:val="en-US" w:eastAsia="zh-CN"/>
        </w:rPr>
      </w:pPr>
      <w:r>
        <w:rPr>
          <w:rFonts w:ascii="宋体" w:eastAsia="宋体" w:hAnsi="宋体" w:cs="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ascii="宋体" w:eastAsia="宋体" w:hAnsi="宋体" w:cs="宋体" w:hint="eastAsia"/>
          <w:b w:val="0"/>
          <w:bCs/>
          <w:color w:val="FF0000"/>
          <w:sz w:val="20"/>
          <w:szCs w:val="20"/>
          <w:lang w:val="en-US" w:eastAsia="zh-CN"/>
        </w:rPr>
      </w:pPr>
      <w:r>
        <w:rPr>
          <w:rFonts w:ascii="宋体" w:eastAsia="宋体" w:hAnsi="宋体" w:cs="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eastAsia="宋体" w:hAnsi="宋体" w:cs="宋体" w:hint="eastAsia"/>
          <w:color w:val="FF0000"/>
          <w:sz w:val="20"/>
          <w:szCs w:val="20"/>
        </w:rPr>
        <w:t>取消参与本市政府采购资格</w:t>
      </w:r>
      <w:r>
        <w:rPr>
          <w:rFonts w:ascii="宋体" w:eastAsia="宋体" w:hAnsi="宋体" w:cs="宋体" w:hint="eastAsia"/>
          <w:color w:val="FF0000"/>
          <w:sz w:val="20"/>
          <w:szCs w:val="20"/>
          <w:lang w:eastAsia="zh-CN"/>
        </w:rPr>
        <w:t>、</w:t>
      </w:r>
      <w:r>
        <w:rPr>
          <w:rFonts w:ascii="宋体" w:eastAsia="宋体" w:hAnsi="宋体" w:cs="宋体" w:hint="eastAsia"/>
          <w:color w:val="FF0000"/>
          <w:sz w:val="20"/>
          <w:szCs w:val="20"/>
        </w:rPr>
        <w:t>依法吊销其营业</w:t>
      </w:r>
      <w:r>
        <w:rPr>
          <w:rFonts w:ascii="宋体" w:eastAsia="宋体" w:hAnsi="宋体" w:cs="宋体" w:hint="eastAsia"/>
          <w:color w:val="FF0000"/>
          <w:sz w:val="20"/>
          <w:szCs w:val="20"/>
          <w:lang w:val="en-US" w:eastAsia="zh-CN"/>
        </w:rPr>
        <w:t>执照等行政处罚，</w:t>
      </w:r>
      <w:r>
        <w:rPr>
          <w:rFonts w:ascii="宋体" w:eastAsia="宋体" w:hAnsi="宋体" w:cs="宋体" w:hint="eastAsia"/>
          <w:color w:val="FF0000"/>
          <w:sz w:val="20"/>
          <w:szCs w:val="20"/>
        </w:rPr>
        <w:t>构成犯罪的，依法追究刑事责任</w:t>
      </w:r>
      <w:r>
        <w:rPr>
          <w:rFonts w:ascii="宋体" w:eastAsia="宋体" w:hAnsi="宋体" w:cs="宋体"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技术标投标文件格式"/>
      <w:bookmarkEnd w:id="2"/>
      <w:bookmarkStart w:id="3" w:name="bt开标一览表"/>
      <w:bookmarkEnd w:id="3"/>
      <w:bookmarkStart w:id="4" w:name="bt投标人须知"/>
      <w:bookmarkEnd w:id="4"/>
      <w:bookmarkStart w:id="5" w:name="bt合同格式"/>
      <w:bookmarkEnd w:id="5"/>
      <w:bookmarkStart w:id="6" w:name="合同格式"/>
      <w:bookmarkEnd w:id="6"/>
      <w:bookmarkStart w:id="7" w:name="bt合同条款"/>
      <w:bookmarkEnd w:id="7"/>
      <w:bookmarkStart w:id="8" w:name="bt项目管理班子配备情况"/>
      <w:bookmarkEnd w:id="8"/>
      <w:bookmarkStart w:id="9" w:name="bt商务标投标文件格式"/>
      <w:bookmarkEnd w:id="9"/>
      <w:bookmarkStart w:id="10" w:name="bt投标函"/>
      <w:bookmarkEnd w:id="10"/>
      <w:bookmarkStart w:id="11" w:name="bt投标人情况介绍"/>
      <w:bookmarkEnd w:id="11"/>
      <w:bookmarkStart w:id="12" w:name="bt本工程承诺书"/>
      <w:bookmarkEnd w:id="12"/>
      <w:bookmarkStart w:id="13" w:name="bt投标报价汇总表"/>
      <w:bookmarkEnd w:id="13"/>
      <w:bookmarkStart w:id="14" w:name="bt其他资料由投标人自定"/>
      <w:bookmarkEnd w:id="14"/>
      <w:bookmarkStart w:id="15" w:name="bt合同条款及格式"/>
      <w:bookmarkEnd w:id="15"/>
      <w:bookmarkStart w:id="16" w:name="bt投标文件签署授权委托书"/>
      <w:bookmarkEnd w:id="16"/>
      <w:bookmarkStart w:id="17" w:name="bt说明"/>
      <w:bookmarkEnd w:id="17"/>
      <w:bookmarkStart w:id="18" w:name="bt其他资料2"/>
      <w:bookmarkEnd w:id="18"/>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7</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b/>
                      <w:bCs/>
                      <w:kern w:val="0"/>
                      <w:szCs w:val="21"/>
                    </w:rPr>
                  </w:pPr>
                  <w:r>
                    <w:rPr>
                      <w:rFonts w:ascii="宋体" w:hAnsi="宋体" w:cs="宋体" w:hint="eastAsia"/>
                      <w:kern w:val="0"/>
                      <w:szCs w:val="21"/>
                      <w:lang w:val="en-US" w:eastAsia="zh-CN"/>
                    </w:rPr>
                    <w:t>8</w:t>
                  </w:r>
                  <w:r>
                    <w:rPr>
                      <w:rFonts w:ascii="宋体" w:hAnsi="宋体" w:cs="宋体" w:hint="eastAsia"/>
                      <w:kern w:val="0"/>
                      <w:szCs w:val="21"/>
                    </w:rPr>
                    <w:t>.本项目是（否）专门面向中小企业采购：否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19" w:name="_Toc73517639"/>
      <w:bookmarkStart w:id="20" w:name="_Toc100052364"/>
      <w:bookmarkStart w:id="21" w:name="_Toc60560625"/>
      <w:bookmarkStart w:id="22" w:name="_Toc73521635"/>
      <w:bookmarkStart w:id="23" w:name="_Toc73521547"/>
      <w:bookmarkStart w:id="24" w:name="_Toc101074876"/>
      <w:bookmarkStart w:id="25" w:name="_Toc73518117"/>
      <w:bookmarkStart w:id="26" w:name="_Toc60631620"/>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19"/>
            <w:bookmarkEnd w:id="20"/>
            <w:bookmarkEnd w:id="21"/>
            <w:bookmarkEnd w:id="22"/>
            <w:bookmarkEnd w:id="23"/>
            <w:bookmarkEnd w:id="24"/>
            <w:bookmarkEnd w:id="25"/>
            <w:bookmarkEnd w:id="26"/>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eastAsia="宋体" w:hAnsi="宋体" w:hint="default"/>
                <w:lang w:val="en-US" w:eastAsia="zh-CN"/>
              </w:rPr>
            </w:pPr>
            <w:r>
              <w:rPr>
                <w:rFonts w:ascii="宋体" w:hAnsi="宋体" w:cs="Arial" w:hint="eastAsia"/>
                <w:b/>
                <w:szCs w:val="21"/>
                <w:lang w:val="en-US" w:eastAsia="zh-CN"/>
              </w:rPr>
              <w:t>深圳市宝安区信息中心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highlight w:val="none"/>
                <w:lang w:val="en-US" w:eastAsia="zh-CN"/>
              </w:rPr>
              <w:t>详见第一章  招标公告  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7" w:name="_Hlk71664860"/>
            <w:r>
              <w:rPr>
                <w:rFonts w:ascii="宋体" w:hAnsi="宋体" w:hint="eastAsia"/>
              </w:rPr>
              <w:t>样品、现场演示、方案讲解</w:t>
            </w:r>
            <w:bookmarkEnd w:id="27"/>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8"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rPr>
                <w:rFonts w:eastAsia="宋体" w:hint="default"/>
                <w:lang w:val="en-US" w:eastAsia="zh-CN"/>
              </w:rPr>
            </w:pPr>
            <w:r>
              <w:rPr>
                <w:rFonts w:ascii="Wingdings" w:hAnsi="Wingdings" w:hint="eastAsia"/>
              </w:rPr>
              <w:t>þ</w:t>
            </w:r>
            <w:r>
              <w:rPr>
                <w:rFonts w:hint="eastAsia"/>
              </w:rPr>
              <w:t>综合评分法</w:t>
            </w:r>
          </w:p>
        </w:tc>
        <w:tc>
          <w:tcPr>
            <w:tcW w:w="2450" w:type="dxa"/>
          </w:tcPr>
          <w:p>
            <w:pPr>
              <w:jc w:val="center"/>
              <w:rPr>
                <w:rFonts w:hint="eastAsia"/>
              </w:rPr>
            </w:pPr>
            <w:r>
              <w:rPr>
                <w:rFonts w:ascii="Wingdings" w:eastAsia="宋体" w:hAnsi="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rPr>
                <w:rFonts w:eastAsia="宋体" w:hint="default"/>
                <w:lang w:val="en-US" w:eastAsia="zh-CN"/>
              </w:rPr>
            </w:pPr>
            <w:r>
              <w:rPr>
                <w:rFonts w:hint="eastAsia"/>
              </w:rPr>
              <w:t>1</w:t>
            </w:r>
          </w:p>
        </w:tc>
        <w:tc>
          <w:tcPr>
            <w:tcW w:w="2450" w:type="dxa"/>
          </w:tcPr>
          <w:p>
            <w:pPr>
              <w:jc w:val="center"/>
              <w:rPr>
                <w:rFonts w:eastAsia="宋体" w:hint="eastAsia"/>
                <w:lang w:eastAsia="zh-CN"/>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rPr>
                <w:rFonts w:hint="eastAsia"/>
              </w:rPr>
            </w:pPr>
            <w:r>
              <w:rPr>
                <w:rFonts w:hint="eastAsia"/>
              </w:rPr>
              <w:t>1</w:t>
            </w:r>
          </w:p>
        </w:tc>
      </w:tr>
    </w:tbl>
    <w:p>
      <w:pPr>
        <w:ind w:firstLine="420" w:firstLineChars="200"/>
        <w:rPr>
          <w:rFonts w:ascii="宋体" w:hAnsi="宋体"/>
          <w:b/>
        </w:rPr>
      </w:pPr>
    </w:p>
    <w:p>
      <w:pPr>
        <w:ind w:firstLine="420" w:firstLineChars="200"/>
        <w:rPr>
          <w:rFonts w:hint="eastAsia"/>
          <w:b/>
        </w:rPr>
      </w:pPr>
      <w:bookmarkEnd w:id="28"/>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eastAsia="宋体" w:hint="eastAsia"/>
          <w:color w:val="000000" w:themeColor="text1"/>
          <w:u w:val="none"/>
          <w:lang w:eastAsia="zh-CN"/>
          <w14:textFill>
            <w14:solidFill>
              <w14:schemeClr w14:val="tx1"/>
            </w14:solidFill>
          </w14:textFill>
        </w:rPr>
        <w:t>（</w:t>
      </w:r>
      <w:r>
        <w:rPr>
          <w:rFonts w:ascii="Times New Roman" w:eastAsia="宋体" w:hint="eastAsia"/>
          <w:color w:val="000000" w:themeColor="text1"/>
          <w:u w:val="none"/>
          <w:lang w:val="en-US" w:eastAsia="zh-CN"/>
          <w14:textFill>
            <w14:solidFill>
              <w14:schemeClr w14:val="tx1"/>
            </w14:solidFill>
          </w14:textFill>
        </w:rPr>
        <w:t>10%~20%</w:t>
      </w:r>
      <w:r>
        <w:rPr>
          <w:rFonts w:eastAsia="宋体" w:hint="eastAsia"/>
          <w:color w:val="000000" w:themeColor="text1"/>
          <w:u w:val="none"/>
          <w:lang w:eastAsia="zh-CN"/>
          <w14:textFill>
            <w14:solidFill>
              <w14:schemeClr w14:val="tx1"/>
            </w14:solidFill>
          </w14:textFill>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《中小企业声明函》中相关企业所属行业应当与采购标的所属行业相一致。</w:t>
      </w:r>
      <w:r>
        <w:rPr>
          <w:rFonts w:hint="eastAsia"/>
          <w:sz w:val="21"/>
          <w:szCs w:val="21"/>
        </w:rPr>
        <w:t>本项目采购标的（</w:t>
      </w:r>
      <w:r>
        <w:rPr>
          <w:rFonts w:ascii="Times New Roman" w:eastAsia="宋体" w:hint="eastAsia"/>
          <w:sz w:val="21"/>
          <w:szCs w:val="21"/>
          <w:lang w:val="en-US" w:eastAsia="zh-CN"/>
        </w:rPr>
        <w:t>服务需求</w:t>
      </w:r>
      <w:r>
        <w:rPr>
          <w:rFonts w:hint="eastAsia"/>
          <w:sz w:val="21"/>
          <w:szCs w:val="21"/>
        </w:rPr>
        <w:t>）对应的中小企业划分标准所属行业为</w:t>
      </w:r>
      <w:r>
        <w:rPr>
          <w:rFonts w:hint="eastAsia"/>
          <w:color w:val="FF0000"/>
          <w:sz w:val="21"/>
          <w:szCs w:val="21"/>
          <w:u w:val="single"/>
        </w:rPr>
        <w:t>软件和信息技术服务</w:t>
      </w:r>
      <w:r>
        <w:rPr>
          <w:rFonts w:hint="eastAsia"/>
          <w:sz w:val="21"/>
          <w:szCs w:val="21"/>
        </w:rPr>
        <w:t>业。</w:t>
      </w:r>
    </w:p>
    <w:p>
      <w:pPr>
        <w:numPr>
          <w:ilvl w:val="0"/>
          <w:numId w:val="7"/>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29"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4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478"/>
        <w:gridCol w:w="2764"/>
        <w:gridCol w:w="2782"/>
      </w:tblGrid>
      <w:tr>
        <w:tblPrEx>
          <w:tblW w:w="84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2782" w:type="dxa"/>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r>
      <w:tr>
        <w:tblPrEx>
          <w:tblW w:w="8437" w:type="dxa"/>
          <w:tblInd w:w="0" w:type="dxa"/>
          <w:tblLayout w:type="fixed"/>
          <w:tblCellMar>
            <w:top w:w="0" w:type="dxa"/>
            <w:left w:w="108" w:type="dxa"/>
            <w:bottom w:w="0" w:type="dxa"/>
            <w:right w:w="108" w:type="dxa"/>
          </w:tblCellMar>
        </w:tblPrEx>
        <w:trPr>
          <w:trHeight w:val="290"/>
        </w:trPr>
        <w:tc>
          <w:tcPr>
            <w:tcW w:w="413" w:type="dxa"/>
            <w:vAlign w:val="center"/>
          </w:tcPr>
          <w:p>
            <w:pPr>
              <w:jc w:val="center"/>
              <w:rPr>
                <w:rFonts w:ascii="宋体" w:eastAsia="宋体" w:hAnsi="宋体" w:cs="宋体" w:hint="eastAsia"/>
                <w:bCs/>
                <w:color w:val="FF0000"/>
                <w:sz w:val="21"/>
                <w:szCs w:val="21"/>
              </w:rPr>
            </w:pPr>
            <w:r>
              <w:rPr>
                <w:rFonts w:ascii="宋体" w:eastAsia="宋体" w:hAnsi="宋体" w:cs="宋体" w:hint="eastAsia"/>
                <w:bCs/>
                <w:color w:val="FF0000"/>
                <w:sz w:val="21"/>
                <w:szCs w:val="21"/>
              </w:rPr>
              <w:t>1</w:t>
            </w:r>
          </w:p>
        </w:tc>
        <w:tc>
          <w:tcPr>
            <w:tcW w:w="2478" w:type="dxa"/>
            <w:vAlign w:val="center"/>
          </w:tcPr>
          <w:p>
            <w:pPr>
              <w:jc w:val="center"/>
              <w:rPr>
                <w:rFonts w:ascii="宋体" w:eastAsia="宋体" w:hAnsi="宋体" w:cs="宋体" w:hint="eastAsia"/>
                <w:bCs/>
                <w:color w:val="FF0000"/>
                <w:sz w:val="21"/>
                <w:szCs w:val="21"/>
              </w:rPr>
            </w:pPr>
            <w:r>
              <w:rPr>
                <w:rFonts w:ascii="宋体" w:hAnsi="宋体" w:cs="宋体" w:hint="eastAsia"/>
                <w:bCs/>
                <w:color w:val="FF0000"/>
                <w:szCs w:val="21"/>
              </w:rPr>
              <w:t>PLAN-2024-440306000-127002-14063</w:t>
            </w:r>
          </w:p>
        </w:tc>
        <w:tc>
          <w:tcPr>
            <w:tcW w:w="2764" w:type="dxa"/>
            <w:vAlign w:val="center"/>
          </w:tcPr>
          <w:p>
            <w:pPr>
              <w:jc w:val="center"/>
              <w:rPr>
                <w:rFonts w:ascii="宋体" w:eastAsia="宋体" w:hAnsi="宋体" w:cs="宋体" w:hint="eastAsia"/>
                <w:b/>
                <w:bCs/>
                <w:color w:val="FF0000"/>
                <w:sz w:val="21"/>
                <w:szCs w:val="21"/>
                <w:lang w:eastAsia="zh-CN"/>
              </w:rPr>
            </w:pPr>
            <w:r>
              <w:rPr>
                <w:rFonts w:ascii="宋体" w:hAnsi="宋体" w:cs="宋体" w:hint="eastAsia"/>
                <w:szCs w:val="21"/>
                <w:highlight w:val="none"/>
              </w:rPr>
              <w:t>深圳市宝安区信息中心智慧宝安大数据资源平台完善工程项目（A包）</w:t>
            </w:r>
          </w:p>
        </w:tc>
        <w:tc>
          <w:tcPr>
            <w:tcW w:w="2782" w:type="dxa"/>
            <w:vAlign w:val="center"/>
          </w:tcPr>
          <w:p>
            <w:pPr>
              <w:jc w:val="center"/>
              <w:rPr>
                <w:rFonts w:ascii="宋体" w:eastAsia="宋体" w:hAnsi="宋体" w:cs="宋体" w:hint="eastAsia"/>
                <w:bCs/>
                <w:color w:val="FF0000"/>
                <w:sz w:val="21"/>
                <w:szCs w:val="21"/>
                <w:lang w:val="en-US" w:eastAsia="zh-CN"/>
              </w:rPr>
            </w:pPr>
            <w:r>
              <w:rPr>
                <w:rFonts w:ascii="宋体" w:eastAsia="宋体" w:hAnsi="宋体" w:cs="宋体" w:hint="eastAsia"/>
                <w:bCs/>
                <w:color w:val="FF0000"/>
                <w:sz w:val="21"/>
                <w:szCs w:val="21"/>
                <w:lang w:val="en-US" w:eastAsia="zh-CN"/>
              </w:rPr>
              <w:t>6239900</w:t>
            </w:r>
          </w:p>
        </w:tc>
      </w:tr>
      <w:tr>
        <w:tblPrEx>
          <w:tblW w:w="8437" w:type="dxa"/>
          <w:tblInd w:w="0" w:type="dxa"/>
          <w:tblLayout w:type="fixed"/>
          <w:tblCellMar>
            <w:top w:w="0" w:type="dxa"/>
            <w:left w:w="108" w:type="dxa"/>
            <w:bottom w:w="0" w:type="dxa"/>
            <w:right w:w="108" w:type="dxa"/>
          </w:tblCellMar>
        </w:tblPrEx>
        <w:trPr>
          <w:trHeight w:val="290"/>
        </w:trPr>
        <w:tc>
          <w:tcPr>
            <w:tcW w:w="5655" w:type="dxa"/>
            <w:gridSpan w:val="3"/>
            <w:shd w:val="clear" w:color="auto" w:fill="auto"/>
            <w:vAlign w:val="center"/>
          </w:tcPr>
          <w:p>
            <w:pPr>
              <w:jc w:val="center"/>
              <w:rPr>
                <w:rFonts w:ascii="Times New Roman" w:eastAsia="宋体" w:hAnsi="Times New Roman" w:cs="Times New Roman"/>
                <w:b/>
                <w:bCs/>
                <w:color w:val="FF0000"/>
                <w:kern w:val="2"/>
                <w:sz w:val="21"/>
                <w:szCs w:val="21"/>
                <w:lang w:val="en-US" w:eastAsia="zh-CN" w:bidi="ar-SA"/>
              </w:rPr>
            </w:pPr>
            <w:r>
              <w:rPr>
                <w:b/>
                <w:bCs/>
                <w:color w:val="FF0000"/>
                <w:szCs w:val="21"/>
              </w:rPr>
              <w:t>合计</w:t>
            </w:r>
          </w:p>
        </w:tc>
        <w:tc>
          <w:tcPr>
            <w:tcW w:w="2782" w:type="dxa"/>
            <w:shd w:val="clear" w:color="auto" w:fill="auto"/>
            <w:vAlign w:val="center"/>
          </w:tcPr>
          <w:p>
            <w:pPr>
              <w:jc w:val="center"/>
              <w:rPr>
                <w:rFonts w:ascii="Times New Roman" w:eastAsia="宋体" w:hAnsi="Times New Roman" w:cs="Times New Roman"/>
                <w:bCs/>
                <w:color w:val="FF0000"/>
                <w:kern w:val="2"/>
                <w:sz w:val="21"/>
                <w:szCs w:val="21"/>
                <w:lang w:val="en-US" w:eastAsia="zh-CN" w:bidi="ar-SA"/>
              </w:rPr>
            </w:pPr>
            <w:r>
              <w:rPr>
                <w:rFonts w:hint="eastAsia"/>
                <w:bCs/>
                <w:color w:val="FF0000"/>
                <w:szCs w:val="21"/>
                <w:lang w:val="en-US" w:eastAsia="zh-CN"/>
              </w:rPr>
              <w:t>6239900</w:t>
            </w:r>
          </w:p>
        </w:tc>
      </w:tr>
    </w:tbl>
    <w:p>
      <w:pPr>
        <w:pStyle w:val="Heading2"/>
        <w:spacing w:before="120" w:beforeLines="50" w:after="120" w:afterLines="50"/>
        <w:rPr>
          <w:szCs w:val="24"/>
        </w:rPr>
      </w:pPr>
      <w:r>
        <w:rPr>
          <w:rFonts w:hint="eastAsia"/>
          <w:szCs w:val="24"/>
        </w:rPr>
        <w:t>二、项目概况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（1）项目背景</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深圳市政府高度重视政务信息资源一体化的建设，《深圳市数字政府和智慧城市“十四五”发展规划》中提到，需充分发挥标准规范引领作用，构建包含政务服务、数据资源、业务接口、数据共享、数据安全等在内的统一标准规范体系；建设全要素、多层次的安全防护体系，打造自主可控、安全高效的技术路线；推进跨层级、跨地域、跨系统、跨部门、跨业务协同治理。构建高质量公共数据资源体系，强化公共数据治理，建立内部数据评价机制，提升数据质量。</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宝安区政府积极推进大数据资源中心的升级优化建设，按照《宝安区“数字政府”建设“十四五”规划（2021—2025年）》要求，聚焦“数智赋能”的基础底座构建、“跨界融合”的数字经济跃升、“高效协同”的数字治理变革，“以人为本”的数字生活体验，提出全面构建“一区通办、一证通行、一链证信、一触可视、一库通晓、一图多融、一网统管、一端畅联”具体工作目标及打造数字政府创新发展高地的总体目标。</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目前宝安区已建成全区统一的大数据资源平台，将各委办局数据统一同步汇聚到平台，支撑适应跨网络、跨网闸等复杂网络环境，实现实时多源异构数据一站式汇聚，推进政府数据共享开放工作。随着汇聚融合的数据量及数据类型的海量新增以及对数据处理和应用需求的不同，为了满足未来三年的规划，满足城市发展、政务业务发展、企业及群众需求，本项目站在城市级角度，建设完善智慧宝安大数据资源平台。</w:t>
      </w:r>
    </w:p>
    <w:p>
      <w:pPr>
        <w:pStyle w:val="Heading2"/>
        <w:spacing w:before="120" w:beforeLines="50" w:after="120" w:afterLines="50"/>
        <w:rPr>
          <w:szCs w:val="24"/>
        </w:rPr>
      </w:pPr>
      <w:r>
        <w:rPr>
          <w:rFonts w:hint="eastAsia"/>
          <w:szCs w:val="24"/>
        </w:rPr>
        <w:t>三、</w:t>
      </w:r>
      <w:bookmarkStart w:id="30" w:name="_Hlk72073432"/>
      <w:r>
        <w:rPr>
          <w:rFonts w:hint="eastAsia"/>
          <w:szCs w:val="24"/>
        </w:rPr>
        <w:t>服务需求明细</w:t>
      </w:r>
      <w:bookmarkEnd w:id="30"/>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9"/>
        <w:gridCol w:w="1194"/>
        <w:gridCol w:w="3742"/>
        <w:gridCol w:w="816"/>
        <w:gridCol w:w="2038"/>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739" w:type="dxa"/>
            <w:vAlign w:val="center"/>
          </w:tcPr>
          <w:p>
            <w:pPr>
              <w:jc w:val="center"/>
              <w:rPr>
                <w:bCs/>
                <w:szCs w:val="21"/>
              </w:rPr>
            </w:pPr>
            <w:r>
              <w:rPr>
                <w:rFonts w:hint="eastAsia"/>
                <w:bCs/>
                <w:szCs w:val="21"/>
              </w:rPr>
              <w:t>序号</w:t>
            </w:r>
          </w:p>
        </w:tc>
        <w:tc>
          <w:tcPr>
            <w:tcW w:w="1194" w:type="dxa"/>
            <w:vAlign w:val="center"/>
          </w:tcPr>
          <w:p>
            <w:pPr>
              <w:jc w:val="center"/>
              <w:rPr>
                <w:bCs/>
                <w:szCs w:val="21"/>
              </w:rPr>
            </w:pPr>
            <w:r>
              <w:rPr>
                <w:rFonts w:hint="eastAsia"/>
                <w:szCs w:val="21"/>
              </w:rPr>
              <w:t>采购计划编号</w:t>
            </w:r>
          </w:p>
        </w:tc>
        <w:tc>
          <w:tcPr>
            <w:tcW w:w="3742" w:type="dxa"/>
            <w:vAlign w:val="center"/>
          </w:tcPr>
          <w:p>
            <w:pPr>
              <w:jc w:val="center"/>
              <w:rPr>
                <w:bCs/>
                <w:szCs w:val="21"/>
              </w:rPr>
            </w:pPr>
            <w:r>
              <w:rPr>
                <w:rFonts w:hint="eastAsia"/>
                <w:bCs/>
                <w:szCs w:val="21"/>
              </w:rPr>
              <w:t>服务需求名称（标的名称）</w:t>
            </w:r>
          </w:p>
        </w:tc>
        <w:tc>
          <w:tcPr>
            <w:tcW w:w="816" w:type="dxa"/>
            <w:vAlign w:val="center"/>
          </w:tcPr>
          <w:p>
            <w:pPr>
              <w:jc w:val="center"/>
              <w:rPr>
                <w:bCs/>
                <w:szCs w:val="21"/>
              </w:rPr>
            </w:pPr>
            <w:r>
              <w:rPr>
                <w:rFonts w:hint="eastAsia"/>
                <w:bCs/>
                <w:szCs w:val="21"/>
              </w:rPr>
              <w:t>数量</w:t>
            </w:r>
          </w:p>
        </w:tc>
        <w:tc>
          <w:tcPr>
            <w:tcW w:w="2038" w:type="dxa"/>
            <w:vAlign w:val="center"/>
          </w:tcPr>
          <w:p>
            <w:pPr>
              <w:jc w:val="center"/>
              <w:rPr>
                <w:bCs/>
                <w:szCs w:val="21"/>
              </w:rPr>
            </w:pPr>
            <w:r>
              <w:rPr>
                <w:rFonts w:hint="eastAsia"/>
                <w:bCs/>
                <w:szCs w:val="21"/>
              </w:rPr>
              <w:t>单位</w:t>
            </w:r>
          </w:p>
        </w:tc>
      </w:tr>
      <w:tr>
        <w:tblPrEx>
          <w:tblW w:w="8529" w:type="dxa"/>
          <w:tblInd w:w="0" w:type="dxa"/>
          <w:tblLayout w:type="fixed"/>
          <w:tblCellMar>
            <w:top w:w="0" w:type="dxa"/>
            <w:left w:w="108" w:type="dxa"/>
            <w:bottom w:w="0" w:type="dxa"/>
            <w:right w:w="108" w:type="dxa"/>
          </w:tblCellMar>
        </w:tblPrEx>
        <w:trPr>
          <w:trHeight w:val="224"/>
        </w:trPr>
        <w:tc>
          <w:tcPr>
            <w:tcW w:w="739" w:type="dxa"/>
            <w:vAlign w:val="center"/>
          </w:tcPr>
          <w:p>
            <w:pPr>
              <w:jc w:val="center"/>
              <w:rPr>
                <w:bCs/>
                <w:szCs w:val="21"/>
              </w:rPr>
            </w:pPr>
            <w:r>
              <w:rPr>
                <w:rFonts w:hint="eastAsia"/>
                <w:bCs/>
                <w:szCs w:val="21"/>
              </w:rPr>
              <w:t>1</w:t>
            </w:r>
          </w:p>
        </w:tc>
        <w:tc>
          <w:tcPr>
            <w:tcW w:w="1194" w:type="dxa"/>
            <w:vAlign w:val="center"/>
          </w:tcPr>
          <w:p>
            <w:pPr>
              <w:jc w:val="center"/>
              <w:rPr>
                <w:bCs/>
                <w:szCs w:val="21"/>
              </w:rPr>
            </w:pPr>
            <w:r>
              <w:rPr>
                <w:rFonts w:hint="eastAsia"/>
                <w:bCs/>
                <w:szCs w:val="21"/>
              </w:rPr>
              <w:t>PLAN-2024-440306000-127002-14063</w:t>
            </w:r>
          </w:p>
        </w:tc>
        <w:tc>
          <w:tcPr>
            <w:tcW w:w="3742" w:type="dxa"/>
            <w:vAlign w:val="center"/>
          </w:tcPr>
          <w:p>
            <w:pPr>
              <w:jc w:val="center"/>
              <w:rPr>
                <w:rFonts w:eastAsia="宋体" w:hint="eastAsia"/>
                <w:bCs/>
                <w:szCs w:val="21"/>
                <w:lang w:eastAsia="zh-CN"/>
              </w:rPr>
            </w:pPr>
            <w:r>
              <w:rPr>
                <w:rFonts w:hint="eastAsia"/>
                <w:bCs/>
                <w:szCs w:val="21"/>
              </w:rPr>
              <w:t>深圳市宝安区信息中心智慧宝安大数据资源平台完善工程项目（A包）</w:t>
            </w:r>
          </w:p>
        </w:tc>
        <w:tc>
          <w:tcPr>
            <w:tcW w:w="816" w:type="dxa"/>
            <w:vAlign w:val="center"/>
          </w:tcPr>
          <w:p>
            <w:pPr>
              <w:jc w:val="center"/>
              <w:rPr>
                <w:rFonts w:eastAsia="宋体" w:hint="eastAsia"/>
                <w:bCs/>
                <w:szCs w:val="21"/>
                <w:lang w:eastAsia="zh-CN"/>
              </w:rPr>
            </w:pPr>
            <w:r>
              <w:rPr>
                <w:rFonts w:hint="eastAsia"/>
                <w:lang w:val="en-US" w:eastAsia="zh-CN"/>
              </w:rPr>
              <w:t>1</w:t>
            </w:r>
          </w:p>
        </w:tc>
        <w:tc>
          <w:tcPr>
            <w:tcW w:w="2038" w:type="dxa"/>
            <w:vAlign w:val="center"/>
          </w:tcPr>
          <w:p>
            <w:pPr>
              <w:jc w:val="center"/>
              <w:rPr>
                <w:rFonts w:eastAsia="宋体" w:hint="eastAsia"/>
                <w:bCs/>
                <w:szCs w:val="21"/>
                <w:lang w:val="en-US" w:eastAsia="zh-CN"/>
              </w:rPr>
            </w:pPr>
            <w:r>
              <w:rPr>
                <w:rFonts w:hint="eastAsia"/>
                <w:bCs/>
                <w:szCs w:val="21"/>
                <w:lang w:val="en-US" w:eastAsia="zh-CN"/>
              </w:rPr>
              <w:t>项</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29"/>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szCs w:val="24"/>
        </w:rPr>
        <w:t>五、技术要求</w:t>
      </w:r>
    </w:p>
    <w:p>
      <w:pPr>
        <w:rPr>
          <w:b/>
          <w:sz w:val="24"/>
        </w:rPr>
      </w:pPr>
    </w:p>
    <w:p>
      <w:pPr>
        <w:ind w:firstLine="420" w:firstLineChars="200"/>
        <w:rPr>
          <w:rFonts w:ascii="宋体" w:hAnsi="宋体" w:cs="宋体"/>
          <w:b/>
          <w:bCs/>
          <w:szCs w:val="21"/>
        </w:rPr>
      </w:pPr>
      <w:r>
        <w:rPr>
          <w:rFonts w:ascii="宋体" w:hAnsi="宋体" w:cs="宋体" w:hint="eastAsia"/>
          <w:b/>
          <w:bCs/>
          <w:szCs w:val="21"/>
        </w:rPr>
        <w:t>1.项目简介</w:t>
      </w:r>
    </w:p>
    <w:p>
      <w:pPr>
        <w:ind w:firstLine="420" w:firstLineChars="200"/>
        <w:rPr>
          <w:rFonts w:ascii="宋体" w:hAnsi="宋体" w:cs="宋体"/>
          <w:szCs w:val="21"/>
        </w:rPr>
      </w:pPr>
      <w:r>
        <w:rPr>
          <w:rFonts w:hAnsi="宋体" w:eastAsiaTheme="minorEastAsia" w:hint="eastAsia"/>
          <w:color w:val="FF0000"/>
          <w:kern w:val="0"/>
          <w:szCs w:val="21"/>
        </w:rPr>
        <w:t>★</w:t>
      </w:r>
      <w:r>
        <w:rPr>
          <w:rFonts w:ascii="宋体" w:hAnsi="宋体" w:cs="宋体" w:hint="eastAsia"/>
          <w:szCs w:val="21"/>
        </w:rPr>
        <w:t>（1）项目背景</w:t>
      </w:r>
    </w:p>
    <w:p>
      <w:pPr>
        <w:ind w:firstLine="420" w:firstLineChars="200"/>
        <w:rPr>
          <w:rFonts w:ascii="宋体" w:hAnsi="宋体" w:cs="宋体"/>
          <w:szCs w:val="21"/>
        </w:rPr>
      </w:pPr>
      <w:r>
        <w:rPr>
          <w:rFonts w:ascii="宋体" w:hAnsi="宋体" w:cs="宋体" w:hint="eastAsia"/>
          <w:szCs w:val="21"/>
        </w:rPr>
        <w:t>深圳市政府高度重视政务信息资源一体化的建设，《深圳市数字政府和智慧城市“十四五”发展规划》中提到，需充分发挥标准规范引领作用，构建包含政务服务、数据资源、业务接口、数据共享、数据安全等在内的统一标准规范体系；建设全要素、多层次的安全防护体系，打造自主可控、安全高效的技术路线；推进跨层级、跨地域、跨系统、跨部门、跨业务协同治理。构建高质量公共数据资源体系，强化公共数据治理，建立内部数据评价机制，提升数据质量。</w:t>
      </w:r>
    </w:p>
    <w:p>
      <w:pPr>
        <w:ind w:firstLine="420" w:firstLineChars="200"/>
        <w:rPr>
          <w:rFonts w:ascii="宋体" w:hAnsi="宋体" w:cs="宋体"/>
          <w:szCs w:val="21"/>
        </w:rPr>
      </w:pPr>
      <w:r>
        <w:rPr>
          <w:rFonts w:ascii="宋体" w:hAnsi="宋体" w:cs="宋体" w:hint="eastAsia"/>
          <w:szCs w:val="21"/>
        </w:rPr>
        <w:t>宝安区政府积极推进大数据资源中心的升级优化建设，按照《宝安区“数字政府”建设“十四五”规划（2021—2025年）》要求，聚焦“数智赋能”的基础底座构建、“跨界融合”的数字经济跃升、“高效协同”的数字治理变革，“以人为本”的数字生活体验，提出全面构建“一区通办、一证通行、一链证信、一触可视、一库通晓、一图多融、一网统管、一端畅联”具体工作目标及打造数字政府创新发展高地的总体目标。</w:t>
      </w:r>
    </w:p>
    <w:p>
      <w:pPr>
        <w:ind w:firstLine="420" w:firstLineChars="200"/>
        <w:rPr>
          <w:rFonts w:ascii="宋体" w:hAnsi="宋体" w:cs="宋体"/>
          <w:szCs w:val="21"/>
        </w:rPr>
      </w:pPr>
      <w:r>
        <w:rPr>
          <w:rFonts w:ascii="宋体" w:hAnsi="宋体" w:cs="宋体" w:hint="eastAsia"/>
          <w:szCs w:val="21"/>
        </w:rPr>
        <w:t>目前宝安区已建成全区统一的大数据资源平台，将各委办局数据统一同步汇聚到平台，支撑适应跨网络、跨网闸等复杂网络环境，实现实时多源异构数据一站式汇聚，推进政府数据共享开放工作。随着汇聚融合的数据量及数据类型的海量新增以及对数据处理和应用需求的不同，为了满足未来三年的规划，满足城市发展、政务业务发展、企业及群众需求，本项目站在城市级角度，建设完善智慧宝安大数据资源平台。</w:t>
      </w:r>
    </w:p>
    <w:p>
      <w:pPr>
        <w:ind w:firstLine="420" w:firstLineChars="200"/>
        <w:rPr>
          <w:rFonts w:ascii="宋体" w:hAnsi="宋体" w:cs="宋体"/>
          <w:szCs w:val="21"/>
        </w:rPr>
      </w:pPr>
      <w:r>
        <w:rPr>
          <w:rFonts w:hAnsi="宋体" w:eastAsiaTheme="minorEastAsia" w:hint="eastAsia"/>
          <w:color w:val="FF0000"/>
          <w:kern w:val="0"/>
          <w:szCs w:val="21"/>
        </w:rPr>
        <w:t>★</w:t>
      </w:r>
      <w:r>
        <w:rPr>
          <w:rFonts w:ascii="宋体" w:hAnsi="宋体" w:cs="宋体" w:hint="eastAsia"/>
          <w:szCs w:val="21"/>
        </w:rPr>
        <w:t>（2）项目目标</w:t>
      </w:r>
    </w:p>
    <w:p>
      <w:pPr>
        <w:ind w:firstLine="420" w:firstLineChars="200"/>
        <w:rPr>
          <w:rFonts w:ascii="宋体" w:hAnsi="宋体" w:cs="宋体"/>
          <w:szCs w:val="21"/>
        </w:rPr>
      </w:pPr>
      <w:r>
        <w:rPr>
          <w:rFonts w:ascii="宋体" w:hAnsi="宋体" w:cs="宋体" w:hint="eastAsia"/>
          <w:szCs w:val="21"/>
        </w:rPr>
        <w:t>根据《宝安区“数字政府”建设“十四五”规划》《宝安数字未来城建设总体规划（2021-2025年）》等文件要求及相关工作部署，为完善宝安区数据治理体系，全面汇聚宝安区新型智慧城市建设所必需的数据资源，盘活区域数据资源，完善平台大数据底座能力，持续数据资源沉淀共享，建立持续运营管理支撑体系，全面构建大数据体系，充分发挥大数据在提升政府履职能力、支撑数字政府建设中的重要作用。促进数据全量汇聚，实现数据资源“按需归集、应归尽归”，升级大数据引擎，新增分布数据库、时序数据库、对象存储和实时计算软件。</w:t>
      </w:r>
    </w:p>
    <w:p>
      <w:pPr>
        <w:ind w:firstLine="420" w:firstLineChars="200"/>
        <w:rPr>
          <w:rFonts w:ascii="宋体" w:hAnsi="宋体" w:cs="宋体"/>
          <w:szCs w:val="21"/>
        </w:rPr>
      </w:pPr>
      <w:r>
        <w:rPr>
          <w:rFonts w:ascii="宋体" w:hAnsi="宋体" w:cs="宋体" w:hint="eastAsia"/>
          <w:szCs w:val="21"/>
        </w:rPr>
        <w:t>（3）服务范围</w:t>
      </w:r>
    </w:p>
    <w:p>
      <w:pPr>
        <w:ind w:firstLine="420" w:firstLineChars="200"/>
        <w:rPr>
          <w:rFonts w:hAnsi="宋体" w:eastAsiaTheme="minorEastAsia" w:hint="eastAsia"/>
          <w:color w:val="FF0000"/>
          <w:kern w:val="0"/>
          <w:szCs w:val="21"/>
        </w:rPr>
      </w:pPr>
      <w:r>
        <w:rPr>
          <w:rFonts w:hint="eastAsia"/>
        </w:rPr>
        <w:t>智慧宝安大数据资源平台完善工程项目A包是为宝安区大数据资源平台提供配套支撑服务，主要采购商用成品软件采购实施及运维服务，包括大数据引擎升级、分布式数据库、时序数据库、对象存储、实时计算软件等</w:t>
      </w:r>
    </w:p>
    <w:p>
      <w:pPr>
        <w:ind w:firstLine="420" w:firstLineChars="200"/>
        <w:rPr>
          <w:rFonts w:ascii="宋体" w:hAnsi="宋体" w:cs="宋体"/>
          <w:b/>
          <w:bCs/>
          <w:szCs w:val="21"/>
        </w:rPr>
      </w:pPr>
      <w:r>
        <w:rPr>
          <w:rFonts w:hAnsi="宋体" w:eastAsiaTheme="minorEastAsia" w:hint="eastAsia"/>
          <w:color w:val="FF0000"/>
          <w:kern w:val="0"/>
          <w:szCs w:val="21"/>
        </w:rPr>
        <w:t>★</w:t>
      </w:r>
      <w:r>
        <w:rPr>
          <w:rFonts w:ascii="宋体" w:hAnsi="宋体" w:cs="宋体" w:hint="eastAsia"/>
          <w:b/>
          <w:bCs/>
          <w:szCs w:val="21"/>
        </w:rPr>
        <w:t>1.软件采购实施及运维服务内容</w:t>
      </w:r>
    </w:p>
    <w:p>
      <w:pPr>
        <w:numPr>
          <w:ilvl w:val="0"/>
          <w:numId w:val="8"/>
        </w:numPr>
        <w:ind w:firstLine="420" w:firstLineChars="200"/>
        <w:rPr>
          <w:rFonts w:ascii="宋体" w:hAnsi="宋体" w:cs="宋体"/>
          <w:szCs w:val="21"/>
        </w:rPr>
      </w:pPr>
      <w:r>
        <w:rPr>
          <w:rFonts w:ascii="宋体" w:hAnsi="宋体" w:cs="宋体" w:hint="eastAsia"/>
          <w:szCs w:val="21"/>
        </w:rPr>
        <w:t>提供19个大数据引擎节点软件授权许可及服务，以支撑大数据引擎升级的目标：具体能力包括数据湖加速引擎、数据缓存加速组件，HBase引擎计算插件、计算引擎及交互查询引擎，整体提升查询与离线数据计算能力。项目</w:t>
      </w:r>
      <w:r>
        <w:rPr>
          <w:rFonts w:ascii="宋体" w:hAnsi="宋体" w:cs="宋体" w:hint="eastAsia"/>
          <w:szCs w:val="21"/>
        </w:rPr>
        <w:t>验收后提供2年维保服务，内容包括：热线受理，远程问题处理，缺陷修复支持，巡检支持，应急响应，更新与升级授权。</w:t>
      </w:r>
    </w:p>
    <w:p>
      <w:pPr>
        <w:numPr>
          <w:ilvl w:val="0"/>
          <w:numId w:val="8"/>
        </w:numPr>
        <w:ind w:firstLine="420" w:firstLineChars="200"/>
        <w:rPr>
          <w:rFonts w:ascii="宋体" w:hAnsi="宋体" w:cs="宋体"/>
          <w:szCs w:val="21"/>
        </w:rPr>
      </w:pPr>
      <w:r>
        <w:rPr>
          <w:rFonts w:ascii="宋体" w:hAnsi="宋体" w:cs="宋体" w:hint="eastAsia"/>
          <w:szCs w:val="21"/>
        </w:rPr>
        <w:t>提供12个分布式数据库数据节点软件授权许可及服务，以支撑分布式数据库建设的目标：具体能力包括实时高并发事务系统、海量存储计算能力、数据高可用，可实现数据归集库、共享库、应用库的国产化替代。项目</w:t>
      </w:r>
      <w:r>
        <w:rPr>
          <w:rFonts w:ascii="宋体" w:hAnsi="宋体" w:cs="宋体" w:hint="eastAsia"/>
          <w:szCs w:val="21"/>
        </w:rPr>
        <w:t>验收后提供2年维保服务，内容包括：热线受理，远程问题处理，缺陷修复支持，巡检支持，应急响应，更新与升级授权。</w:t>
      </w:r>
    </w:p>
    <w:p>
      <w:pPr>
        <w:numPr>
          <w:ilvl w:val="0"/>
          <w:numId w:val="8"/>
        </w:numPr>
        <w:ind w:firstLine="420" w:firstLineChars="200"/>
        <w:rPr>
          <w:rFonts w:ascii="宋体" w:hAnsi="宋体" w:cs="宋体"/>
          <w:szCs w:val="21"/>
        </w:rPr>
      </w:pPr>
      <w:r>
        <w:rPr>
          <w:rFonts w:ascii="宋体" w:hAnsi="宋体" w:cs="宋体" w:hint="eastAsia"/>
          <w:szCs w:val="21"/>
        </w:rPr>
        <w:t>提供6个时序数据库节点软件授权许可及服务，以支撑时序数据库建设的目标：具体能力包括打造一个专为时间序列数据设计的数据库服务，能够高效地存储和检索时间标记数据，提供快速的数据写入和查询能力，以及数据压缩和时间范围查询等特性。项目</w:t>
      </w:r>
      <w:r>
        <w:rPr>
          <w:rFonts w:ascii="宋体" w:hAnsi="宋体" w:cs="宋体" w:hint="eastAsia"/>
          <w:szCs w:val="21"/>
        </w:rPr>
        <w:t>验收后提供2年维保服务，内容包括：热线受理，远程问题处理，缺陷修复支持，巡检支持，应急响应，更新与升级授权。</w:t>
      </w:r>
    </w:p>
    <w:p>
      <w:pPr>
        <w:numPr>
          <w:ilvl w:val="0"/>
          <w:numId w:val="8"/>
        </w:numPr>
        <w:ind w:firstLine="420" w:firstLineChars="200"/>
        <w:rPr>
          <w:rFonts w:ascii="宋体" w:hAnsi="宋体" w:cs="宋体"/>
          <w:szCs w:val="21"/>
        </w:rPr>
      </w:pPr>
      <w:r>
        <w:rPr>
          <w:rFonts w:ascii="宋体" w:hAnsi="宋体" w:cs="宋体" w:hint="eastAsia"/>
          <w:szCs w:val="21"/>
        </w:rPr>
        <w:t>提供8个对象存储节点软件授权许可及服务，以支撑对象存储建设的目标：具体能力包括为非结构化文件设计的分布式存储，满足各种数据存储需求，支持图片、视频、文本、音频等多种类型数据的存储与管理，具备高性能、高可用性和高扩展性。项目</w:t>
      </w:r>
      <w:r>
        <w:rPr>
          <w:rFonts w:ascii="宋体" w:hAnsi="宋体" w:cs="宋体" w:hint="eastAsia"/>
          <w:szCs w:val="21"/>
        </w:rPr>
        <w:t>验收后提供2年维保服务，内容包括：热线受理，远程问题处理，缺陷修复支持，巡检支持，应急响应，更新与升级授权。</w:t>
      </w:r>
    </w:p>
    <w:p>
      <w:pPr>
        <w:numPr>
          <w:ilvl w:val="0"/>
          <w:numId w:val="8"/>
        </w:numPr>
        <w:ind w:firstLine="420" w:firstLineChars="200"/>
        <w:rPr>
          <w:rFonts w:ascii="宋体" w:hAnsi="宋体" w:cs="宋体"/>
          <w:szCs w:val="21"/>
        </w:rPr>
      </w:pPr>
      <w:r>
        <w:rPr>
          <w:rFonts w:ascii="宋体" w:hAnsi="宋体" w:cs="宋体" w:hint="eastAsia"/>
          <w:szCs w:val="21"/>
        </w:rPr>
        <w:t>提供1套实时计算成品软件及服务，以支撑实时计算软件建设的目标：具体能力包括满足实时产生数据并即刻进行计算的场景需求，通过实时采集数据，消息队列对采集的数据进行缓存，再应用流式计算引擎实施计算，最后将计算的结果存储在高速的查询引擎中，以便后续高效地使用这些数据支持报表开发、多维分析或者数据挖掘等。项目</w:t>
      </w:r>
      <w:r>
        <w:rPr>
          <w:rFonts w:ascii="宋体" w:hAnsi="宋体" w:cs="宋体" w:hint="eastAsia"/>
          <w:szCs w:val="21"/>
        </w:rPr>
        <w:t>验收后提供2年维保服务，内容包括：热线受理，远程问题处理，缺陷修复支持，巡检支持，应急响应，更新与升级授权。</w:t>
      </w:r>
    </w:p>
    <w:p>
      <w:pPr>
        <w:ind w:firstLine="420" w:firstLineChars="200"/>
        <w:jc w:val="left"/>
        <w:rPr>
          <w:rFonts w:ascii="宋体" w:hAnsi="宋体" w:cs="宋体"/>
          <w:b/>
          <w:bCs/>
          <w:szCs w:val="21"/>
        </w:rPr>
      </w:pPr>
      <w:r>
        <w:rPr>
          <w:rFonts w:ascii="宋体" w:hAnsi="宋体" w:cs="宋体" w:hint="eastAsia"/>
          <w:b/>
          <w:bCs/>
          <w:szCs w:val="21"/>
        </w:rPr>
        <w:t>2.服务内容、技术标准、工作质量要求</w:t>
      </w:r>
    </w:p>
    <w:p>
      <w:pPr>
        <w:ind w:firstLine="420" w:firstLineChars="200"/>
        <w:rPr>
          <w:rFonts w:ascii="宋体" w:hAnsi="宋体" w:cs="宋体"/>
          <w:szCs w:val="21"/>
        </w:rPr>
      </w:pPr>
      <w:r>
        <w:rPr>
          <w:rFonts w:ascii="宋体" w:hAnsi="宋体" w:cs="宋体" w:hint="eastAsia"/>
          <w:szCs w:val="21"/>
        </w:rPr>
        <w:t>（1）软件授权及服务具体要求</w:t>
      </w:r>
    </w:p>
    <w:p>
      <w:pPr>
        <w:ind w:firstLine="420" w:firstLineChars="200"/>
        <w:rPr>
          <w:rFonts w:ascii="宋体" w:hAnsi="宋体" w:cs="宋体"/>
          <w:szCs w:val="21"/>
        </w:rPr>
      </w:pPr>
      <w:r>
        <w:rPr>
          <w:rFonts w:ascii="宋体" w:hAnsi="宋体" w:cs="宋体" w:hint="eastAsia"/>
          <w:szCs w:val="21"/>
        </w:rPr>
        <w:t>本项目围绕宝安区现有大数据资源平台进行升级建设，包括大数据引擎升级、分布式数据库、时序数据库、对象存储、实时计算软件授权及服务建设。</w:t>
      </w:r>
    </w:p>
    <w:p>
      <w:pPr>
        <w:ind w:firstLine="420" w:firstLineChars="200"/>
        <w:rPr>
          <w:rFonts w:ascii="宋体" w:hAnsi="宋体" w:cs="宋体"/>
          <w:szCs w:val="21"/>
        </w:rPr>
      </w:pPr>
      <w:r>
        <w:rPr>
          <w:rFonts w:hint="eastAsia"/>
        </w:rPr>
        <w:t>本项目A包为成品软件采购实施及运维服务，包括大数据引擎升级、分布式数据库、时序数据库、对象存储、实时计算软件等。</w:t>
      </w:r>
    </w:p>
    <w:p>
      <w:pPr>
        <w:widowControl/>
        <w:numPr>
          <w:ilvl w:val="0"/>
          <w:numId w:val="9"/>
        </w:numPr>
        <w:ind w:left="0" w:firstLine="420" w:firstLineChars="200"/>
        <w:rPr>
          <w:rFonts w:ascii="宋体" w:hAnsi="宋体" w:cs="宋体"/>
          <w:szCs w:val="21"/>
        </w:rPr>
      </w:pPr>
      <w:r>
        <w:rPr>
          <w:rFonts w:hAnsi="宋体" w:eastAsiaTheme="minorEastAsia" w:hint="eastAsia"/>
          <w:color w:val="FF0000"/>
          <w:kern w:val="0"/>
          <w:szCs w:val="21"/>
        </w:rPr>
        <w:t>★</w:t>
      </w:r>
      <w:r>
        <w:rPr>
          <w:rFonts w:ascii="宋体" w:hAnsi="宋体" w:cs="宋体" w:hint="eastAsia"/>
          <w:szCs w:val="21"/>
        </w:rPr>
        <w:t>19个裸金属环境下的大数据引擎节点的软件授权许可及服务</w:t>
      </w:r>
    </w:p>
    <w:p>
      <w:pPr>
        <w:ind w:firstLine="420" w:firstLineChars="200"/>
        <w:rPr>
          <w:rFonts w:ascii="宋体" w:hAnsi="宋体" w:cs="宋体"/>
          <w:szCs w:val="21"/>
        </w:rPr>
      </w:pPr>
      <w:r>
        <w:rPr>
          <w:rFonts w:ascii="宋体" w:hAnsi="宋体" w:cs="宋体" w:hint="eastAsia"/>
          <w:szCs w:val="21"/>
        </w:rPr>
        <w:t>具体能力包括数据湖加速引擎、数据缓存加速组件，HBase引擎计算插件、计算引擎及交互查询引擎，整体提升查询与离线数据计算能力。</w:t>
      </w:r>
    </w:p>
    <w:p>
      <w:pPr>
        <w:ind w:firstLine="420" w:firstLineChars="200"/>
        <w:jc w:val="left"/>
        <w:rPr>
          <w:rFonts w:ascii="宋体" w:hAnsi="宋体" w:cs="宋体"/>
          <w:szCs w:val="21"/>
        </w:rPr>
      </w:pPr>
      <w:r>
        <w:rPr>
          <w:rFonts w:ascii="宋体" w:hAnsi="宋体" w:cs="宋体" w:hint="eastAsia"/>
          <w:szCs w:val="21"/>
        </w:rPr>
        <w:t>1）新增大数据引擎节点与容量，新增数据湖存储引擎，新增HBase引擎计算插件、计算引擎，交互查询引擎等提升查询与离线数据计算能力，提升海量数据在OLAP应用场景的数据处理能力。</w:t>
      </w:r>
    </w:p>
    <w:p>
      <w:pPr>
        <w:ind w:firstLine="420" w:firstLineChars="200"/>
        <w:jc w:val="left"/>
        <w:rPr>
          <w:rFonts w:ascii="宋体" w:hAnsi="宋体" w:cs="宋体"/>
          <w:szCs w:val="21"/>
        </w:rPr>
      </w:pPr>
      <w:r>
        <w:rPr>
          <w:rFonts w:ascii="宋体" w:hAnsi="宋体" w:cs="宋体" w:hint="eastAsia"/>
          <w:szCs w:val="21"/>
        </w:rPr>
        <w:t>2）通过在大数据平台上增加Iceberg数据湖存储引擎，提供统一数据湖引擎能力，通过数据虚拟化实现湖内外统一访问、系统分析。Iceberg具备高性能查询、事务支持、灵活的Schema演化、高效的数据管理、广泛的兼容性和简化的数据操作等优势特性，是大规模数据湖管理和查询的理想选择。它的优势能够助力本项目更高效地管理和利用数据，从而实现数据驱动业务。</w:t>
      </w:r>
    </w:p>
    <w:p>
      <w:pPr>
        <w:ind w:firstLine="420" w:firstLineChars="200"/>
        <w:rPr>
          <w:rFonts w:ascii="宋体" w:hAnsi="宋体" w:cs="宋体"/>
          <w:szCs w:val="21"/>
        </w:rPr>
      </w:pPr>
      <w:r>
        <w:rPr>
          <w:rFonts w:ascii="宋体" w:hAnsi="宋体" w:cs="宋体" w:hint="eastAsia"/>
          <w:szCs w:val="21"/>
        </w:rPr>
        <w:t>3）新增加Tez计算引擎，在MapReduce基础上将多个有依赖的作业转换为一个作业。Tez组件提供高效的执行引擎、灵活的编程模型、高性能和可扩展性、容错和可靠性以及丰富的监控和可视化工具，能够为本项目更高效地处理和分析大规模数据。该引擎为MapReduce和Spark引擎之间平衡计算性能和内存消耗的一种引擎，比MapReduce更快速，比Spark更节约内存消耗。</w:t>
      </w:r>
    </w:p>
    <w:p>
      <w:pPr>
        <w:ind w:firstLine="420" w:firstLineChars="200"/>
        <w:rPr>
          <w:rFonts w:ascii="宋体" w:hAnsi="宋体" w:cs="宋体"/>
          <w:szCs w:val="21"/>
        </w:rPr>
      </w:pPr>
      <w:r>
        <w:rPr>
          <w:rFonts w:ascii="宋体" w:hAnsi="宋体" w:cs="宋体" w:hint="eastAsia"/>
          <w:szCs w:val="21"/>
        </w:rPr>
        <w:t>4）增加Trino组件，Trino （原名Presto）以其高性能、灵活性和易用性著称，能够在多个数据源上执行交互式查询，具备很好的灵活性和扩展性、易于集成、高可用性和容错性以及强大的安全性。而通过增加Trino(Presto)引擎，可以实现对OLAP场景查询支撑，提升平台大数据量查询性能，满足在线数据分析的需要。</w:t>
      </w:r>
    </w:p>
    <w:p>
      <w:pPr>
        <w:ind w:firstLine="420" w:firstLineChars="200"/>
        <w:rPr>
          <w:rFonts w:ascii="宋体" w:hAnsi="宋体" w:cs="宋体"/>
          <w:szCs w:val="21"/>
        </w:rPr>
      </w:pPr>
      <w:r>
        <w:rPr>
          <w:rFonts w:ascii="宋体" w:hAnsi="宋体" w:cs="宋体" w:hint="eastAsia"/>
          <w:szCs w:val="21"/>
        </w:rPr>
        <w:t>5）需要对大数据平台进行满足国产化信创要求的改造。</w:t>
      </w:r>
    </w:p>
    <w:p>
      <w:pPr>
        <w:ind w:firstLine="420" w:firstLineChars="200"/>
        <w:rPr>
          <w:rFonts w:ascii="宋体" w:hAnsi="宋体" w:cs="宋体"/>
          <w:szCs w:val="21"/>
        </w:rPr>
      </w:pPr>
      <w:r>
        <w:rPr>
          <w:rFonts w:ascii="宋体" w:hAnsi="宋体" w:cs="宋体" w:hint="eastAsia"/>
          <w:szCs w:val="21"/>
        </w:rPr>
        <w:t>6）</w:t>
      </w:r>
      <w:r>
        <w:rPr>
          <w:rFonts w:ascii="宋体" w:hAnsi="宋体" w:cs="宋体" w:hint="eastAsia"/>
          <w:szCs w:val="21"/>
        </w:rPr>
        <w:t>项目</w:t>
      </w:r>
      <w:r>
        <w:rPr>
          <w:rFonts w:ascii="宋体" w:hAnsi="宋体" w:cs="宋体" w:hint="eastAsia"/>
          <w:szCs w:val="21"/>
        </w:rPr>
        <w:t>验收后提供2年维保服务，内容包括：热线受理，远程问题处理，缺陷修复支持，巡检支持，应急响应，更新与升级授权。</w:t>
      </w:r>
    </w:p>
    <w:p>
      <w:pPr>
        <w:ind w:firstLine="420" w:firstLineChars="200"/>
        <w:rPr>
          <w:rFonts w:ascii="宋体" w:hAnsi="宋体" w:cs="宋体"/>
          <w:szCs w:val="21"/>
        </w:rPr>
      </w:pPr>
      <w:r>
        <w:rPr>
          <w:rFonts w:ascii="宋体" w:hAnsi="宋体" w:cs="宋体" w:hint="eastAsia"/>
          <w:szCs w:val="21"/>
        </w:rPr>
        <w:t>宝安区大数据底座根据需求部署需求采用裸金属，总计计算节点许可为 19 个节点。</w:t>
      </w:r>
    </w:p>
    <w:p>
      <w:pPr>
        <w:widowControl/>
        <w:numPr>
          <w:ilvl w:val="0"/>
          <w:numId w:val="9"/>
        </w:numPr>
        <w:ind w:left="0" w:firstLine="420" w:firstLineChars="200"/>
        <w:rPr>
          <w:rFonts w:ascii="宋体" w:hAnsi="宋体" w:cs="宋体"/>
          <w:szCs w:val="21"/>
        </w:rPr>
      </w:pPr>
      <w:r>
        <w:rPr>
          <w:rFonts w:hAnsi="宋体" w:eastAsiaTheme="minorEastAsia" w:hint="eastAsia"/>
          <w:color w:val="FF0000"/>
          <w:kern w:val="0"/>
          <w:szCs w:val="21"/>
        </w:rPr>
        <w:t>★</w:t>
      </w:r>
      <w:r>
        <w:rPr>
          <w:rFonts w:ascii="宋体" w:hAnsi="宋体" w:cs="宋体" w:hint="eastAsia"/>
          <w:szCs w:val="21"/>
        </w:rPr>
        <w:t>12个裸金属环境下的分布式数据库数据节点的软件授权许可及服务</w:t>
      </w:r>
    </w:p>
    <w:p>
      <w:pPr>
        <w:ind w:firstLine="420" w:firstLineChars="200"/>
        <w:rPr>
          <w:rFonts w:ascii="宋体" w:hAnsi="宋体" w:cs="宋体"/>
          <w:szCs w:val="21"/>
        </w:rPr>
      </w:pPr>
      <w:r>
        <w:rPr>
          <w:rFonts w:ascii="宋体" w:hAnsi="宋体" w:cs="宋体" w:hint="eastAsia"/>
          <w:szCs w:val="21"/>
        </w:rPr>
        <w:t>具体能力包括具备实时高并发事务系统、海量存储计算能力、数据高可用，可实现数据归集库、共享库、应用库的国产化替代。</w:t>
      </w:r>
    </w:p>
    <w:p>
      <w:pPr>
        <w:ind w:firstLine="420" w:firstLineChars="200"/>
        <w:rPr>
          <w:rFonts w:ascii="宋体" w:hAnsi="宋体" w:cs="宋体"/>
          <w:szCs w:val="21"/>
        </w:rPr>
      </w:pPr>
      <w:r>
        <w:rPr>
          <w:rFonts w:ascii="宋体" w:hAnsi="宋体" w:cs="宋体" w:hint="eastAsia"/>
          <w:szCs w:val="21"/>
        </w:rPr>
        <w:t>1）分布式关系数据库通过创新的分布式架构，实现了OLTP与OLAP的完美融合，适用于需要同时处理大量事务和分析查询的复杂应用场景。不仅提供了高性能的数据处理能力，还确保了数据的高可用性和安全性，是业务进行数字化转型的理想选择。从应用场景来看，分布式关系数据库能够满足实时高并发事务系统、海量存储计算需求，在功能上，它通过强一致性的分布式事务处理、多级安全策略、高效的运维管理系统支持，为用户提供了全面而强大的数据库服务。此外，在兼容性方面表现出色，它还兼容大部分商业数据库语法与函数，为业务从传统数据库向分布式数据库实施提供了便利。</w:t>
      </w:r>
    </w:p>
    <w:p>
      <w:pPr>
        <w:ind w:firstLine="420" w:firstLineChars="200"/>
        <w:rPr>
          <w:rFonts w:ascii="宋体" w:hAnsi="宋体" w:cs="宋体"/>
          <w:szCs w:val="21"/>
        </w:rPr>
      </w:pPr>
      <w:r>
        <w:rPr>
          <w:rFonts w:ascii="宋体" w:hAnsi="宋体" w:cs="宋体" w:hint="eastAsia"/>
          <w:szCs w:val="21"/>
        </w:rPr>
        <w:t>2）</w:t>
      </w:r>
      <w:r>
        <w:rPr>
          <w:rFonts w:ascii="宋体" w:hAnsi="宋体" w:cs="宋体" w:hint="eastAsia"/>
          <w:szCs w:val="21"/>
        </w:rPr>
        <w:t>项目</w:t>
      </w:r>
      <w:r>
        <w:rPr>
          <w:rFonts w:ascii="宋体" w:hAnsi="宋体" w:cs="宋体" w:hint="eastAsia"/>
          <w:szCs w:val="21"/>
        </w:rPr>
        <w:t>验收后提供2年维保服务，内容包括：热线受理，远程问题处理，缺陷修复支持，巡检支持，应急响应，更新与升级授权。</w:t>
      </w:r>
    </w:p>
    <w:p>
      <w:pPr>
        <w:ind w:firstLine="420" w:firstLineChars="200"/>
        <w:rPr>
          <w:rFonts w:ascii="宋体" w:hAnsi="宋体" w:cs="宋体"/>
          <w:szCs w:val="21"/>
        </w:rPr>
      </w:pPr>
      <w:r>
        <w:rPr>
          <w:rFonts w:ascii="宋体" w:hAnsi="宋体" w:cs="宋体" w:hint="eastAsia"/>
          <w:szCs w:val="21"/>
        </w:rPr>
        <w:t>分布式关系数据库根据需求部署需求采用裸金属，总计数据节点许可为 12 个节点。</w:t>
      </w:r>
    </w:p>
    <w:p>
      <w:pPr>
        <w:widowControl/>
        <w:numPr>
          <w:ilvl w:val="0"/>
          <w:numId w:val="9"/>
        </w:numPr>
        <w:ind w:left="0" w:firstLine="420" w:firstLineChars="200"/>
        <w:rPr>
          <w:rFonts w:ascii="宋体" w:hAnsi="宋体" w:cs="宋体"/>
          <w:szCs w:val="21"/>
        </w:rPr>
      </w:pPr>
      <w:r>
        <w:rPr>
          <w:rFonts w:hAnsi="宋体" w:eastAsiaTheme="minorEastAsia" w:hint="eastAsia"/>
          <w:color w:val="FF0000"/>
          <w:kern w:val="0"/>
          <w:szCs w:val="21"/>
        </w:rPr>
        <w:t>★</w:t>
      </w:r>
      <w:r>
        <w:rPr>
          <w:rFonts w:ascii="宋体" w:hAnsi="宋体" w:cs="宋体" w:hint="eastAsia"/>
          <w:szCs w:val="21"/>
        </w:rPr>
        <w:t>6个裸金属环境下的时序数据库节点的软件授权许可及服务</w:t>
      </w:r>
    </w:p>
    <w:p>
      <w:pPr>
        <w:ind w:firstLine="420" w:firstLineChars="200"/>
        <w:rPr>
          <w:rFonts w:ascii="宋体" w:hAnsi="宋体" w:cs="宋体"/>
          <w:szCs w:val="21"/>
        </w:rPr>
      </w:pPr>
      <w:r>
        <w:rPr>
          <w:rFonts w:ascii="宋体" w:hAnsi="宋体" w:cs="宋体" w:hint="eastAsia"/>
          <w:szCs w:val="21"/>
        </w:rPr>
        <w:t>具体能力包括一个专为时间序列数据设计的数据库服务，能够高效地存储和检索时间标记数据，提供快速的数据写入和查询能力，以及数据压缩和时间范围查询等特性。</w:t>
      </w:r>
    </w:p>
    <w:p>
      <w:pPr>
        <w:ind w:firstLine="420" w:firstLineChars="200"/>
        <w:rPr>
          <w:rFonts w:ascii="宋体" w:hAnsi="宋体" w:cs="宋体"/>
          <w:szCs w:val="21"/>
        </w:rPr>
      </w:pPr>
      <w:r>
        <w:rPr>
          <w:rFonts w:ascii="宋体" w:hAnsi="宋体" w:cs="宋体" w:hint="eastAsia"/>
          <w:szCs w:val="21"/>
        </w:rPr>
        <w:t>1）时序数据库能够高效地存储和检索时间标记数据，提供快速的数据写入和查询能力，以及数据压缩和时间范围查询等特性。在功能上，时序数据库支持自动数据分片、多副本存储以确保数据的高可用性和持久性，同时还提供了灵活的监控和告警机制以及故障运维能力。同时支持API 协议的形式进行数据查询与写入操作，特别适合处理大规模的时间序列数据存储和分析需求。</w:t>
      </w:r>
    </w:p>
    <w:p>
      <w:pPr>
        <w:ind w:firstLine="420" w:firstLineChars="200"/>
        <w:rPr>
          <w:rFonts w:ascii="宋体" w:hAnsi="宋体" w:cs="宋体"/>
          <w:szCs w:val="21"/>
        </w:rPr>
      </w:pPr>
      <w:r>
        <w:rPr>
          <w:rFonts w:ascii="宋体" w:hAnsi="宋体" w:cs="宋体" w:hint="eastAsia"/>
          <w:szCs w:val="21"/>
        </w:rPr>
        <w:t>2）</w:t>
      </w:r>
      <w:r>
        <w:rPr>
          <w:rFonts w:ascii="宋体" w:hAnsi="宋体" w:cs="宋体" w:hint="eastAsia"/>
          <w:szCs w:val="21"/>
        </w:rPr>
        <w:t>项目</w:t>
      </w:r>
      <w:r>
        <w:rPr>
          <w:rFonts w:ascii="宋体" w:hAnsi="宋体" w:cs="宋体" w:hint="eastAsia"/>
          <w:szCs w:val="21"/>
        </w:rPr>
        <w:t>验收后提供2年维保服务，内容包括：热线受理，远程问题处理，缺陷修复支持，巡检支持，应急响应，更新与升级授权。</w:t>
      </w:r>
    </w:p>
    <w:p>
      <w:pPr>
        <w:ind w:firstLine="420" w:firstLineChars="200"/>
        <w:rPr>
          <w:rFonts w:ascii="宋体" w:hAnsi="宋体" w:cs="宋体"/>
          <w:szCs w:val="21"/>
        </w:rPr>
      </w:pPr>
      <w:r>
        <w:rPr>
          <w:rFonts w:ascii="宋体" w:hAnsi="宋体" w:cs="宋体" w:hint="eastAsia"/>
          <w:szCs w:val="21"/>
        </w:rPr>
        <w:t>时序数据库根据需求部署需求采用裸金属，总计数据节点授权许可为 6个节点。</w:t>
      </w:r>
    </w:p>
    <w:p>
      <w:pPr>
        <w:widowControl/>
        <w:numPr>
          <w:ilvl w:val="0"/>
          <w:numId w:val="9"/>
        </w:numPr>
        <w:ind w:left="0" w:firstLine="420" w:firstLineChars="200"/>
        <w:rPr>
          <w:rFonts w:ascii="宋体" w:hAnsi="宋体" w:cs="宋体"/>
          <w:szCs w:val="21"/>
        </w:rPr>
      </w:pPr>
      <w:r>
        <w:rPr>
          <w:rFonts w:hAnsi="宋体" w:eastAsiaTheme="minorEastAsia" w:hint="eastAsia"/>
          <w:color w:val="FF0000"/>
          <w:kern w:val="0"/>
          <w:szCs w:val="21"/>
        </w:rPr>
        <w:t>★</w:t>
      </w:r>
      <w:r>
        <w:rPr>
          <w:rFonts w:ascii="宋体" w:hAnsi="宋体" w:cs="宋体" w:hint="eastAsia"/>
          <w:szCs w:val="21"/>
        </w:rPr>
        <w:t>8个裸金属环境下的对象存储节点的软件授权许可及服务</w:t>
      </w:r>
    </w:p>
    <w:p>
      <w:pPr>
        <w:ind w:firstLine="420" w:firstLineChars="200"/>
        <w:rPr>
          <w:rFonts w:ascii="宋体" w:hAnsi="宋体" w:cs="宋体"/>
          <w:szCs w:val="21"/>
        </w:rPr>
      </w:pPr>
      <w:r>
        <w:rPr>
          <w:rFonts w:ascii="宋体" w:hAnsi="宋体" w:cs="宋体" w:hint="eastAsia"/>
          <w:szCs w:val="21"/>
        </w:rPr>
        <w:t>具体能力包括为非结构化文件设计的分布式存储，满足各种数据存储需求，支持图片、视频、文本、音频等多种类型数据的存储与管理，具备高性能、高可用性和高扩展性。</w:t>
      </w:r>
    </w:p>
    <w:p>
      <w:pPr>
        <w:ind w:firstLine="420" w:firstLineChars="200"/>
        <w:rPr>
          <w:rFonts w:ascii="宋体" w:hAnsi="宋体" w:cs="宋体"/>
          <w:szCs w:val="21"/>
        </w:rPr>
      </w:pPr>
      <w:r>
        <w:rPr>
          <w:rFonts w:ascii="宋体" w:hAnsi="宋体" w:cs="宋体" w:hint="eastAsia"/>
          <w:szCs w:val="21"/>
        </w:rPr>
        <w:t>1）对象存储在功能方面，支持图片、视频、文本、音频等多种类型数据的存储与管理，具备高性能、高可用性和高扩展性。此外，它还提供了丰富的API接口，方便用户实现自动化数据管理，同时支持多语言SDK，降低开发难度，为政务业务提供一站式的云服务体验。支持多种行业标准和协议，确保与其他系统和应用的顺畅对接。</w:t>
      </w:r>
    </w:p>
    <w:p>
      <w:pPr>
        <w:ind w:firstLine="420" w:firstLineChars="200"/>
        <w:rPr>
          <w:rFonts w:ascii="宋体" w:hAnsi="宋体" w:cs="宋体"/>
          <w:szCs w:val="21"/>
        </w:rPr>
      </w:pPr>
      <w:r>
        <w:rPr>
          <w:rFonts w:ascii="宋体" w:hAnsi="宋体" w:cs="宋体" w:hint="eastAsia"/>
          <w:szCs w:val="21"/>
        </w:rPr>
        <w:t>2）对象存储支撑海量非结构化的文档、图片、视频内容，有效支撑多模态大模型对于非机构化语料的管理与应用。</w:t>
      </w:r>
    </w:p>
    <w:p>
      <w:pPr>
        <w:ind w:firstLine="420" w:firstLineChars="200"/>
        <w:rPr>
          <w:rFonts w:ascii="宋体" w:hAnsi="宋体" w:cs="宋体"/>
          <w:szCs w:val="21"/>
        </w:rPr>
      </w:pPr>
      <w:r>
        <w:rPr>
          <w:rFonts w:ascii="宋体" w:hAnsi="宋体" w:cs="宋体" w:hint="eastAsia"/>
          <w:szCs w:val="21"/>
        </w:rPr>
        <w:t>3）</w:t>
      </w:r>
      <w:r>
        <w:rPr>
          <w:rFonts w:ascii="宋体" w:hAnsi="宋体" w:cs="宋体" w:hint="eastAsia"/>
          <w:szCs w:val="21"/>
        </w:rPr>
        <w:t>项目</w:t>
      </w:r>
      <w:r>
        <w:rPr>
          <w:rFonts w:ascii="宋体" w:hAnsi="宋体" w:cs="宋体" w:hint="eastAsia"/>
          <w:szCs w:val="21"/>
        </w:rPr>
        <w:t>验收后提供2年维保服务，内容包括：热线受理，远程问题处理，缺陷修复支持，巡检支持，应急响应，更新与升级授权。</w:t>
      </w:r>
    </w:p>
    <w:p>
      <w:pPr>
        <w:ind w:firstLine="420" w:firstLineChars="200"/>
        <w:rPr>
          <w:rFonts w:ascii="宋体" w:hAnsi="宋体" w:cs="宋体"/>
          <w:szCs w:val="21"/>
        </w:rPr>
      </w:pPr>
      <w:r>
        <w:rPr>
          <w:rFonts w:ascii="宋体" w:hAnsi="宋体" w:cs="宋体" w:hint="eastAsia"/>
          <w:szCs w:val="21"/>
        </w:rPr>
        <w:t>对象存储根据需求部署需求采用裸金属，总计数据节点授权许可为 8个节点。</w:t>
      </w:r>
    </w:p>
    <w:p>
      <w:pPr>
        <w:widowControl/>
        <w:numPr>
          <w:ilvl w:val="0"/>
          <w:numId w:val="9"/>
        </w:numPr>
        <w:ind w:left="0" w:firstLine="420" w:firstLineChars="200"/>
        <w:rPr>
          <w:rFonts w:ascii="宋体" w:hAnsi="宋体" w:cs="宋体"/>
          <w:szCs w:val="21"/>
        </w:rPr>
      </w:pPr>
      <w:r>
        <w:rPr>
          <w:rFonts w:hAnsi="宋体" w:eastAsiaTheme="minorEastAsia" w:hint="eastAsia"/>
          <w:color w:val="FF0000"/>
          <w:kern w:val="0"/>
          <w:szCs w:val="21"/>
        </w:rPr>
        <w:t>★</w:t>
      </w:r>
      <w:r>
        <w:rPr>
          <w:rFonts w:ascii="宋体" w:hAnsi="宋体" w:cs="宋体" w:hint="eastAsia"/>
          <w:szCs w:val="21"/>
        </w:rPr>
        <w:t>1套裸金属环境下的实时计算软件买断及服务</w:t>
      </w:r>
    </w:p>
    <w:p>
      <w:pPr>
        <w:ind w:firstLine="420" w:firstLineChars="200"/>
        <w:rPr>
          <w:rFonts w:ascii="宋体" w:hAnsi="宋体" w:cs="宋体"/>
          <w:szCs w:val="21"/>
        </w:rPr>
      </w:pPr>
      <w:r>
        <w:rPr>
          <w:rFonts w:ascii="宋体" w:hAnsi="宋体" w:cs="宋体" w:hint="eastAsia"/>
          <w:szCs w:val="21"/>
        </w:rPr>
        <w:t>具体能力包括满足实时产生数据并即刻进行计算的场景需求，通过实时采集数据，消息队列对采集的数据进行缓存，再应用流式计算引擎实施计算，最后将计算的结果存储在高速的查询引擎中，以便后续高效地使用这些数据支持报表开发、多维分析或者数据挖掘等。</w:t>
      </w:r>
    </w:p>
    <w:p>
      <w:pPr>
        <w:ind w:firstLine="420" w:firstLineChars="200"/>
        <w:rPr>
          <w:rFonts w:ascii="宋体" w:hAnsi="宋体" w:cs="宋体"/>
          <w:szCs w:val="21"/>
        </w:rPr>
      </w:pPr>
      <w:r>
        <w:rPr>
          <w:rFonts w:ascii="宋体" w:hAnsi="宋体" w:cs="宋体" w:hint="eastAsia"/>
          <w:szCs w:val="21"/>
        </w:rPr>
        <w:t>1）通过实时采集数据，其次通过消息队列对采集的数据进行缓存，再应用流式计算引擎实施计算，最后将计算的结果存储在高速的查询引擎中，以便后续高效地使用这些数据支持报表开发、多维分析或者数据挖掘等。包括作业概览、作业开发、库表管理、变量管理、运维监控等功能。</w:t>
      </w:r>
    </w:p>
    <w:p>
      <w:pPr>
        <w:ind w:firstLine="420" w:firstLineChars="200"/>
        <w:rPr>
          <w:rFonts w:ascii="宋体" w:hAnsi="宋体" w:cs="宋体"/>
          <w:szCs w:val="21"/>
        </w:rPr>
      </w:pPr>
      <w:r>
        <w:rPr>
          <w:rFonts w:ascii="宋体" w:hAnsi="宋体" w:cs="宋体" w:hint="eastAsia"/>
          <w:szCs w:val="21"/>
        </w:rPr>
        <w:t>2）</w:t>
      </w:r>
      <w:r>
        <w:rPr>
          <w:rFonts w:ascii="宋体" w:hAnsi="宋体" w:cs="宋体" w:hint="eastAsia"/>
          <w:szCs w:val="21"/>
        </w:rPr>
        <w:t>项目</w:t>
      </w:r>
      <w:r>
        <w:rPr>
          <w:rFonts w:ascii="宋体" w:hAnsi="宋体" w:cs="宋体" w:hint="eastAsia"/>
          <w:szCs w:val="21"/>
        </w:rPr>
        <w:t>验收后提供2年维保服务，内容包括：热线受理，远程问题处理，缺陷修复支持，巡检支持，应急响应，更新与升级授权。</w:t>
      </w:r>
    </w:p>
    <w:p>
      <w:pPr>
        <w:ind w:firstLine="420" w:firstLineChars="200"/>
        <w:rPr>
          <w:rFonts w:ascii="宋体" w:hAnsi="宋体" w:cs="宋体"/>
          <w:szCs w:val="21"/>
        </w:rPr>
      </w:pPr>
      <w:r>
        <w:rPr>
          <w:rFonts w:ascii="宋体" w:hAnsi="宋体" w:cs="宋体" w:hint="eastAsia"/>
          <w:szCs w:val="21"/>
        </w:rPr>
        <w:t>实时计算根据需求部署需求采用裸金属，部署按照套授权，不限制部署规模与节点数，可根据业务使用需求进行扩容节点规模数。</w:t>
      </w:r>
    </w:p>
    <w:p>
      <w:pPr>
        <w:ind w:left="-2" w:firstLine="420" w:leftChars="-1" w:firstLineChars="200"/>
        <w:jc w:val="left"/>
        <w:rPr>
          <w:rFonts w:ascii="宋体" w:hAnsi="宋体" w:cs="宋体"/>
          <w:b/>
          <w:bCs/>
          <w:szCs w:val="21"/>
        </w:rPr>
      </w:pPr>
      <w:r>
        <w:rPr>
          <w:rFonts w:ascii="宋体" w:hAnsi="宋体" w:cs="宋体" w:hint="eastAsia"/>
          <w:b/>
          <w:bCs/>
          <w:szCs w:val="21"/>
        </w:rPr>
        <w:t>具体需求清单</w:t>
      </w:r>
    </w:p>
    <w:p>
      <w:pPr>
        <w:rPr>
          <w:rFonts w:ascii="宋体" w:hAnsi="宋体" w:cs="宋体"/>
          <w:i/>
          <w:iCs/>
          <w:szCs w:val="21"/>
        </w:rPr>
      </w:pPr>
      <w:r>
        <w:rPr>
          <w:rFonts w:ascii="宋体" w:hAnsi="宋体" w:cs="宋体" w:hint="eastAsia"/>
          <w:szCs w:val="21"/>
        </w:rPr>
        <w:tab/>
      </w:r>
      <w:r>
        <w:rPr>
          <w:rFonts w:ascii="宋体" w:hAnsi="宋体" w:cs="宋体" w:hint="eastAsia"/>
          <w:b/>
          <w:bCs/>
          <w:szCs w:val="21"/>
        </w:rPr>
        <w:t>（1）</w:t>
      </w:r>
      <w:r>
        <w:rPr>
          <w:rFonts w:hAnsi="宋体" w:eastAsiaTheme="minorEastAsia" w:hint="eastAsia"/>
          <w:color w:val="FF0000"/>
          <w:kern w:val="0"/>
          <w:szCs w:val="21"/>
        </w:rPr>
        <w:t>★</w:t>
      </w:r>
      <w:r>
        <w:rPr>
          <w:rFonts w:ascii="宋体" w:hAnsi="宋体" w:cs="宋体" w:hint="eastAsia"/>
          <w:b/>
          <w:bCs/>
          <w:szCs w:val="21"/>
        </w:rPr>
        <w:t>项目软件授权服务功能点清单表</w:t>
      </w:r>
    </w:p>
    <w:p>
      <w:pPr>
        <w:widowControl/>
        <w:numPr>
          <w:ilvl w:val="0"/>
          <w:numId w:val="10"/>
        </w:numPr>
        <w:jc w:val="left"/>
        <w:rPr>
          <w:rFonts w:ascii="宋体" w:hAnsi="宋体" w:cs="宋体"/>
          <w:szCs w:val="21"/>
        </w:rPr>
      </w:pPr>
      <w:r>
        <w:rPr>
          <w:rFonts w:ascii="宋体" w:hAnsi="宋体" w:cs="宋体" w:hint="eastAsia"/>
          <w:szCs w:val="21"/>
        </w:rPr>
        <w:t>大数据引擎升级功能点清单表</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45"/>
        <w:gridCol w:w="2053"/>
        <w:gridCol w:w="5331"/>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45" w:type="dxa"/>
            <w:vMerge w:val="restart"/>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大数据引擎升级</w:t>
            </w:r>
          </w:p>
        </w:tc>
        <w:tc>
          <w:tcPr>
            <w:tcW w:w="2053"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数据湖存储引擎</w:t>
            </w:r>
          </w:p>
        </w:tc>
        <w:tc>
          <w:tcPr>
            <w:tcW w:w="533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1、支持数据湖表格管理、数据版本控制、数据快照、数据压缩、安全管理、元数据管理功能；</w:t>
            </w:r>
          </w:p>
          <w:p>
            <w:pPr>
              <w:rPr>
                <w:rFonts w:ascii="宋体" w:hAnsi="宋体" w:cs="宋体"/>
                <w:szCs w:val="21"/>
              </w:rPr>
            </w:pPr>
            <w:r>
              <w:rPr>
                <w:rFonts w:ascii="宋体" w:hAnsi="宋体" w:cs="宋体" w:hint="eastAsia"/>
                <w:szCs w:val="21"/>
              </w:rPr>
              <w:t>2、支持事务操作确保数据的完整性</w:t>
            </w:r>
          </w:p>
          <w:p>
            <w:pPr>
              <w:rPr>
                <w:rFonts w:ascii="宋体" w:hAnsi="宋体" w:cs="宋体"/>
                <w:szCs w:val="21"/>
              </w:rPr>
            </w:pPr>
            <w:r>
              <w:rPr>
                <w:rFonts w:ascii="宋体" w:hAnsi="宋体" w:cs="宋体" w:hint="eastAsia"/>
                <w:szCs w:val="21"/>
              </w:rPr>
              <w:t>3、支持将多个表格合并成一个，便于数据集成和分析。</w:t>
            </w:r>
          </w:p>
        </w:tc>
      </w:tr>
      <w:tr>
        <w:tblPrEx>
          <w:tblW w:w="5000" w:type="pct"/>
          <w:jc w:val="center"/>
          <w:tblCellMar>
            <w:top w:w="0" w:type="dxa"/>
            <w:left w:w="108" w:type="dxa"/>
            <w:bottom w:w="0" w:type="dxa"/>
            <w:right w:w="108" w:type="dxa"/>
          </w:tblCellMar>
        </w:tblPrEx>
        <w:trPr>
          <w:jc w:val="center"/>
        </w:trPr>
        <w:tc>
          <w:tcPr>
            <w:tcW w:w="1145"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3"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HBASE引擎计算插件</w:t>
            </w:r>
          </w:p>
        </w:tc>
        <w:tc>
          <w:tcPr>
            <w:tcW w:w="533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1、支持将数据存储在分布式文件系统上，通过水平扩展来支持大规模数据集和高吞吐量的读写操作；</w:t>
            </w:r>
          </w:p>
          <w:p>
            <w:pPr>
              <w:rPr>
                <w:rFonts w:ascii="宋体" w:hAnsi="宋体" w:cs="宋体"/>
                <w:szCs w:val="21"/>
              </w:rPr>
            </w:pPr>
            <w:r>
              <w:rPr>
                <w:rFonts w:ascii="宋体" w:hAnsi="宋体" w:cs="宋体" w:hint="eastAsia"/>
                <w:szCs w:val="21"/>
              </w:rPr>
              <w:t>2、支持以列式存储的方式组织数据；</w:t>
            </w:r>
          </w:p>
          <w:p>
            <w:pPr>
              <w:rPr>
                <w:rFonts w:ascii="宋体" w:hAnsi="宋体" w:cs="宋体"/>
                <w:szCs w:val="21"/>
              </w:rPr>
            </w:pPr>
            <w:r>
              <w:rPr>
                <w:rFonts w:ascii="宋体" w:hAnsi="宋体" w:cs="宋体" w:hint="eastAsia"/>
                <w:szCs w:val="21"/>
              </w:rPr>
              <w:t>3、格式管理：支持半结构化数据，每个表格可以具有不同的列，并且列可以动态增加；</w:t>
            </w:r>
          </w:p>
          <w:p>
            <w:pPr>
              <w:rPr>
                <w:rFonts w:ascii="宋体" w:hAnsi="宋体" w:cs="宋体"/>
                <w:szCs w:val="21"/>
              </w:rPr>
            </w:pPr>
            <w:r>
              <w:rPr>
                <w:rFonts w:ascii="宋体" w:hAnsi="宋体" w:cs="宋体" w:hint="eastAsia"/>
                <w:szCs w:val="21"/>
              </w:rPr>
              <w:t>4、自动分区：支持自动将数据分区存储在多个节点上；</w:t>
            </w:r>
          </w:p>
          <w:p>
            <w:pPr>
              <w:rPr>
                <w:rFonts w:ascii="宋体" w:hAnsi="宋体" w:cs="宋体"/>
                <w:szCs w:val="21"/>
              </w:rPr>
            </w:pPr>
            <w:r>
              <w:rPr>
                <w:rFonts w:ascii="宋体" w:hAnsi="宋体" w:cs="宋体" w:hint="eastAsia"/>
                <w:szCs w:val="21"/>
              </w:rPr>
              <w:t>5、数据分析：支持其他数据处理框架集成，为复杂的数据分析提供强有力的支持。</w:t>
            </w:r>
          </w:p>
        </w:tc>
      </w:tr>
      <w:tr>
        <w:tblPrEx>
          <w:tblW w:w="5000" w:type="pct"/>
          <w:jc w:val="center"/>
          <w:tblCellMar>
            <w:top w:w="0" w:type="dxa"/>
            <w:left w:w="108" w:type="dxa"/>
            <w:bottom w:w="0" w:type="dxa"/>
            <w:right w:w="108" w:type="dxa"/>
          </w:tblCellMar>
        </w:tblPrEx>
        <w:trPr>
          <w:jc w:val="center"/>
        </w:trPr>
        <w:tc>
          <w:tcPr>
            <w:tcW w:w="1145"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3"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计算引擎</w:t>
            </w:r>
          </w:p>
        </w:tc>
        <w:tc>
          <w:tcPr>
            <w:tcW w:w="533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1、任务调度：支持其他数据处理框架集成，为复杂的数据分析提供强有力的支持；</w:t>
            </w:r>
          </w:p>
          <w:p>
            <w:pPr>
              <w:rPr>
                <w:rFonts w:ascii="宋体" w:hAnsi="宋体" w:cs="宋体"/>
                <w:szCs w:val="21"/>
              </w:rPr>
            </w:pPr>
            <w:r>
              <w:rPr>
                <w:rFonts w:ascii="宋体" w:hAnsi="宋体" w:cs="宋体" w:hint="eastAsia"/>
                <w:szCs w:val="21"/>
              </w:rPr>
              <w:t>2、支持数据优化、资源管理、可视化监控和性能分析、容错机制管理功能；</w:t>
            </w:r>
          </w:p>
          <w:p>
            <w:pPr>
              <w:rPr>
                <w:rFonts w:ascii="宋体" w:hAnsi="宋体" w:cs="宋体"/>
                <w:szCs w:val="21"/>
              </w:rPr>
            </w:pPr>
            <w:r>
              <w:rPr>
                <w:rFonts w:ascii="宋体" w:hAnsi="宋体" w:cs="宋体" w:hint="eastAsia"/>
                <w:szCs w:val="21"/>
              </w:rPr>
              <w:t>3、支持在任务执行过程中动态调整任务规划，根据实际数据情况和集群资源状况，实现任务的自适应调度。</w:t>
            </w:r>
          </w:p>
        </w:tc>
      </w:tr>
      <w:tr>
        <w:tblPrEx>
          <w:tblW w:w="5000" w:type="pct"/>
          <w:jc w:val="center"/>
          <w:tblCellMar>
            <w:top w:w="0" w:type="dxa"/>
            <w:left w:w="108" w:type="dxa"/>
            <w:bottom w:w="0" w:type="dxa"/>
            <w:right w:w="108" w:type="dxa"/>
          </w:tblCellMar>
        </w:tblPrEx>
        <w:trPr>
          <w:jc w:val="center"/>
        </w:trPr>
        <w:tc>
          <w:tcPr>
            <w:tcW w:w="1145"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3"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交互查询引擎</w:t>
            </w:r>
          </w:p>
        </w:tc>
        <w:tc>
          <w:tcPr>
            <w:tcW w:w="533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1、支持在分布式集群上进行查询；</w:t>
            </w:r>
          </w:p>
          <w:p>
            <w:pPr>
              <w:rPr>
                <w:rFonts w:ascii="宋体" w:hAnsi="宋体" w:cs="宋体"/>
                <w:szCs w:val="21"/>
              </w:rPr>
            </w:pPr>
            <w:r>
              <w:rPr>
                <w:rFonts w:ascii="宋体" w:hAnsi="宋体" w:cs="宋体" w:hint="eastAsia"/>
                <w:szCs w:val="21"/>
              </w:rPr>
              <w:t>2、支持实时查询需求，具备低延迟的特性；</w:t>
            </w:r>
          </w:p>
          <w:p>
            <w:pPr>
              <w:rPr>
                <w:rFonts w:ascii="宋体" w:hAnsi="宋体" w:cs="宋体"/>
                <w:szCs w:val="21"/>
              </w:rPr>
            </w:pPr>
            <w:r>
              <w:rPr>
                <w:rFonts w:ascii="宋体" w:hAnsi="宋体" w:cs="宋体" w:hint="eastAsia"/>
                <w:szCs w:val="21"/>
              </w:rPr>
              <w:t>3、支持各种数据源，无缝访问不同数据源的数据；</w:t>
            </w:r>
          </w:p>
          <w:p>
            <w:pPr>
              <w:rPr>
                <w:rFonts w:ascii="宋体" w:hAnsi="宋体" w:cs="宋体"/>
                <w:szCs w:val="21"/>
              </w:rPr>
            </w:pPr>
            <w:r>
              <w:rPr>
                <w:rFonts w:ascii="宋体" w:hAnsi="宋体" w:cs="宋体" w:hint="eastAsia"/>
                <w:szCs w:val="21"/>
              </w:rPr>
              <w:t>4、支持与资源管理器无缝集成；</w:t>
            </w:r>
          </w:p>
          <w:p>
            <w:pPr>
              <w:rPr>
                <w:rFonts w:ascii="宋体" w:hAnsi="宋体" w:cs="宋体"/>
                <w:szCs w:val="21"/>
              </w:rPr>
            </w:pPr>
            <w:r>
              <w:rPr>
                <w:rFonts w:ascii="宋体" w:hAnsi="宋体" w:cs="宋体" w:hint="eastAsia"/>
                <w:szCs w:val="21"/>
              </w:rPr>
              <w:t>5、支持多租户模式。</w:t>
            </w:r>
          </w:p>
        </w:tc>
      </w:tr>
    </w:tbl>
    <w:p>
      <w:pPr>
        <w:widowControl/>
        <w:numPr>
          <w:ilvl w:val="0"/>
          <w:numId w:val="10"/>
        </w:numPr>
        <w:jc w:val="left"/>
        <w:rPr>
          <w:rFonts w:ascii="宋体" w:hAnsi="宋体" w:cs="宋体"/>
          <w:szCs w:val="21"/>
        </w:rPr>
      </w:pPr>
      <w:r>
        <w:rPr>
          <w:rFonts w:ascii="宋体" w:hAnsi="宋体" w:cs="宋体" w:hint="eastAsia"/>
          <w:szCs w:val="21"/>
        </w:rPr>
        <w:t>分布式数据库功能点清单表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32"/>
        <w:gridCol w:w="2056"/>
        <w:gridCol w:w="53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132" w:type="dxa"/>
            <w:vMerge w:val="restar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分布式数据库</w:t>
            </w: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函数管理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提供常规的分析函数及自定义函数功能。</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查询分析</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提供基础数据分析功能，并支持使用复杂查询分析工具来快速定位Query所在CN节点问题、定位错误ID所在DN节点问题。</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数据类型管理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数据表支持数据类型，支持数字、字符串，时间类型。</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列存管理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1、支持列存储表，列存与行存表一样支持事务、索引等能力；</w:t>
            </w:r>
          </w:p>
          <w:p>
            <w:pPr>
              <w:rPr>
                <w:rFonts w:ascii="宋体" w:hAnsi="宋体" w:cs="宋体"/>
                <w:szCs w:val="21"/>
              </w:rPr>
            </w:pPr>
            <w:r>
              <w:rPr>
                <w:rFonts w:ascii="宋体" w:hAnsi="宋体" w:cs="宋体" w:hint="eastAsia"/>
                <w:szCs w:val="21"/>
              </w:rPr>
              <w:t>2、支持列存局簇索引，提高数据压缩比；</w:t>
            </w:r>
          </w:p>
          <w:p>
            <w:pPr>
              <w:rPr>
                <w:rFonts w:ascii="宋体" w:hAnsi="宋体" w:cs="宋体"/>
                <w:szCs w:val="21"/>
              </w:rPr>
            </w:pP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处理组件</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1、提供SQL变量绑功能；</w:t>
            </w:r>
          </w:p>
          <w:p>
            <w:pPr>
              <w:rPr>
                <w:rFonts w:ascii="宋体" w:hAnsi="宋体" w:cs="宋体"/>
                <w:szCs w:val="21"/>
              </w:rPr>
            </w:pPr>
            <w:r>
              <w:rPr>
                <w:rFonts w:ascii="宋体" w:hAnsi="宋体" w:cs="宋体" w:hint="eastAsia"/>
                <w:szCs w:val="21"/>
              </w:rPr>
              <w:t>2、提供多分区类型配置功能；</w:t>
            </w:r>
          </w:p>
          <w:p>
            <w:pPr>
              <w:rPr>
                <w:rFonts w:ascii="宋体" w:hAnsi="宋体" w:cs="宋体"/>
                <w:szCs w:val="21"/>
              </w:rPr>
            </w:pPr>
            <w:r>
              <w:rPr>
                <w:rFonts w:ascii="宋体" w:hAnsi="宋体" w:cs="宋体" w:hint="eastAsia"/>
                <w:szCs w:val="21"/>
              </w:rPr>
              <w:t>3、包含常用数据库对象，包括支持视图，序列，同义词，大对象；</w:t>
            </w:r>
          </w:p>
          <w:p>
            <w:pPr>
              <w:rPr>
                <w:rFonts w:ascii="宋体" w:hAnsi="宋体" w:cs="宋体"/>
                <w:szCs w:val="21"/>
              </w:rPr>
            </w:pPr>
            <w:r>
              <w:rPr>
                <w:rFonts w:ascii="宋体" w:hAnsi="宋体" w:cs="宋体" w:hint="eastAsia"/>
                <w:szCs w:val="21"/>
              </w:rPr>
              <w:t>4、兼容 C/Python等大多数语言的API；</w:t>
            </w:r>
          </w:p>
          <w:p>
            <w:pPr>
              <w:rPr>
                <w:rFonts w:ascii="宋体" w:hAnsi="宋体" w:cs="宋体"/>
                <w:szCs w:val="21"/>
              </w:rPr>
            </w:pPr>
            <w:r>
              <w:rPr>
                <w:rFonts w:ascii="宋体" w:hAnsi="宋体" w:cs="宋体" w:hint="eastAsia"/>
                <w:szCs w:val="21"/>
              </w:rPr>
              <w:t>；</w:t>
            </w:r>
          </w:p>
          <w:p>
            <w:pPr>
              <w:rPr>
                <w:rFonts w:ascii="宋体" w:hAnsi="宋体" w:cs="宋体"/>
                <w:szCs w:val="21"/>
              </w:rPr>
            </w:pPr>
            <w:r>
              <w:rPr>
                <w:rFonts w:ascii="宋体" w:hAnsi="宋体" w:cs="宋体" w:hint="eastAsia"/>
                <w:szCs w:val="21"/>
              </w:rPr>
              <w:t>5、支持存储过程的创建、更新、删除以及执行；</w:t>
            </w:r>
          </w:p>
          <w:p>
            <w:pPr>
              <w:rPr>
                <w:rFonts w:ascii="宋体" w:hAnsi="宋体" w:cs="宋体"/>
                <w:szCs w:val="21"/>
              </w:rPr>
            </w:pPr>
            <w:r>
              <w:rPr>
                <w:rFonts w:ascii="宋体" w:hAnsi="宋体" w:cs="宋体" w:hint="eastAsia"/>
                <w:szCs w:val="21"/>
              </w:rPr>
              <w:t>6、支持对数据表进行监控，当发生上述行为时执行相应的触发器动作；</w:t>
            </w:r>
          </w:p>
          <w:p>
            <w:pPr>
              <w:rPr>
                <w:rFonts w:ascii="宋体" w:hAnsi="宋体" w:cs="宋体"/>
                <w:szCs w:val="21"/>
              </w:rPr>
            </w:pPr>
            <w:r>
              <w:rPr>
                <w:rFonts w:ascii="宋体" w:hAnsi="宋体" w:cs="宋体" w:hint="eastAsia"/>
                <w:szCs w:val="21"/>
              </w:rPr>
              <w:t>7、支持创建在线索引。</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扩容管理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1、、提供单节点加备机功能；</w:t>
            </w:r>
          </w:p>
          <w:p>
            <w:pPr>
              <w:rPr>
                <w:rFonts w:ascii="宋体" w:hAnsi="宋体" w:cs="宋体"/>
                <w:szCs w:val="21"/>
              </w:rPr>
            </w:pPr>
            <w:r>
              <w:rPr>
                <w:rFonts w:ascii="宋体" w:hAnsi="宋体" w:cs="宋体" w:hint="eastAsia"/>
                <w:szCs w:val="21"/>
              </w:rPr>
              <w:t>2、提供自动扩缩容功能；</w:t>
            </w:r>
          </w:p>
          <w:p>
            <w:pPr>
              <w:rPr>
                <w:rFonts w:ascii="宋体" w:hAnsi="宋体" w:cs="宋体"/>
                <w:szCs w:val="21"/>
              </w:rPr>
            </w:pPr>
            <w:r>
              <w:rPr>
                <w:rFonts w:ascii="宋体" w:hAnsi="宋体" w:cs="宋体" w:hint="eastAsia"/>
                <w:szCs w:val="21"/>
              </w:rPr>
              <w:t>3、支持页面化在线扩/缩容一组节点；</w:t>
            </w:r>
          </w:p>
          <w:p>
            <w:pPr>
              <w:rPr>
                <w:rFonts w:ascii="宋体" w:hAnsi="宋体" w:cs="宋体"/>
                <w:szCs w:val="21"/>
              </w:rPr>
            </w:pPr>
            <w:r>
              <w:rPr>
                <w:rFonts w:ascii="宋体" w:hAnsi="宋体" w:cs="宋体" w:hint="eastAsia"/>
                <w:szCs w:val="21"/>
              </w:rPr>
              <w:t>4、支持调整节点配置</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集群管理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1、提供节点管理功能；</w:t>
            </w:r>
          </w:p>
          <w:p>
            <w:pPr>
              <w:rPr>
                <w:rFonts w:ascii="宋体" w:hAnsi="宋体" w:cs="宋体"/>
                <w:szCs w:val="21"/>
              </w:rPr>
            </w:pP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全局分析</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支持分析查询性能，提供算子级别详细查询耗时分析。</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部署管理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1、提供软件包管理功能；</w:t>
            </w:r>
          </w:p>
          <w:p>
            <w:pPr>
              <w:rPr>
                <w:rFonts w:ascii="宋体" w:hAnsi="宋体" w:cs="宋体"/>
                <w:szCs w:val="21"/>
              </w:rPr>
            </w:pPr>
            <w:r>
              <w:rPr>
                <w:rFonts w:ascii="宋体" w:hAnsi="宋体" w:cs="宋体" w:hint="eastAsia"/>
                <w:szCs w:val="21"/>
              </w:rPr>
              <w:t>2、提供租户管理功能；</w:t>
            </w:r>
          </w:p>
          <w:p>
            <w:pPr>
              <w:rPr>
                <w:rFonts w:ascii="宋体" w:hAnsi="宋体" w:cs="宋体"/>
                <w:szCs w:val="21"/>
              </w:rPr>
            </w:pPr>
            <w:r>
              <w:rPr>
                <w:rFonts w:ascii="宋体" w:hAnsi="宋体" w:cs="宋体" w:hint="eastAsia"/>
                <w:szCs w:val="21"/>
              </w:rPr>
              <w:t>3、提供资源管理功能；</w:t>
            </w:r>
          </w:p>
          <w:p>
            <w:pPr>
              <w:rPr>
                <w:rFonts w:ascii="宋体" w:hAnsi="宋体" w:cs="宋体"/>
                <w:szCs w:val="21"/>
              </w:rPr>
            </w:pPr>
            <w:r>
              <w:rPr>
                <w:rFonts w:ascii="宋体" w:hAnsi="宋体" w:cs="宋体" w:hint="eastAsia"/>
                <w:szCs w:val="21"/>
              </w:rPr>
              <w:t>4、提供配置管理功能；</w:t>
            </w:r>
          </w:p>
          <w:p>
            <w:pPr>
              <w:rPr>
                <w:rFonts w:ascii="宋体" w:hAnsi="宋体" w:cs="宋体"/>
                <w:szCs w:val="21"/>
              </w:rPr>
            </w:pPr>
            <w:r>
              <w:rPr>
                <w:rFonts w:ascii="宋体" w:hAnsi="宋体" w:cs="宋体" w:hint="eastAsia"/>
                <w:szCs w:val="21"/>
              </w:rPr>
              <w:t>5、提供日志管理功能；</w:t>
            </w:r>
          </w:p>
          <w:p>
            <w:pPr>
              <w:rPr>
                <w:rFonts w:ascii="宋体" w:hAnsi="宋体" w:cs="宋体"/>
                <w:szCs w:val="21"/>
              </w:rPr>
            </w:pPr>
            <w:r>
              <w:rPr>
                <w:rFonts w:ascii="宋体" w:hAnsi="宋体" w:cs="宋体" w:hint="eastAsia"/>
                <w:szCs w:val="21"/>
              </w:rPr>
              <w:t>6、支持系统信息管理功能；</w:t>
            </w:r>
          </w:p>
          <w:p>
            <w:pPr>
              <w:rPr>
                <w:rFonts w:ascii="宋体" w:hAnsi="宋体" w:cs="宋体"/>
                <w:szCs w:val="21"/>
              </w:rPr>
            </w:pPr>
            <w:r>
              <w:rPr>
                <w:rFonts w:ascii="宋体" w:hAnsi="宋体" w:cs="宋体" w:hint="eastAsia"/>
                <w:szCs w:val="21"/>
              </w:rPr>
              <w:t>7、支持证书信息管理功能。</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备份及恢复管理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提供数据备份、数据恢复</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分布式策略管理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1、支持多种数据分布策略制定；</w:t>
            </w:r>
          </w:p>
          <w:p>
            <w:pPr>
              <w:rPr>
                <w:rFonts w:ascii="宋体" w:hAnsi="宋体" w:cs="宋体"/>
                <w:szCs w:val="21"/>
              </w:rPr>
            </w:pPr>
            <w:r>
              <w:rPr>
                <w:rFonts w:ascii="宋体" w:hAnsi="宋体" w:cs="宋体" w:hint="eastAsia"/>
                <w:szCs w:val="21"/>
              </w:rPr>
              <w:t>2、支持分布式容错功能；</w:t>
            </w:r>
          </w:p>
          <w:p>
            <w:pPr>
              <w:rPr>
                <w:rFonts w:ascii="宋体" w:hAnsi="宋体" w:cs="宋体"/>
                <w:szCs w:val="21"/>
              </w:rPr>
            </w:pP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事务管理</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支持事务处理功能、复杂查询高并发能力。</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运维监控</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支持实例创建、实例监控、集群管理、一键诊断、节点管理、账号管理、扩容管理、配置管理、备份管理、日志管理、数据同步、会话管理、健康检查、性能评估、告警管理功能。</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安全控制</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支持多账号角色、数据库审计、对称非对称加密、脱敏、加密算法、ssl加密连接、行级访问控制功能。</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高性能弹性扩展能力</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需要具有良好的弹性和水平扩展能力。</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安全能力</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支持表空间加密（透明加密）和字段级加密，支持SSL加密（默认基于TLS1.2以上版本）。</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兼容与适配能力</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在SQL语法上需要兼容数据类型、函数、系统视图、内置包、PL/SQL。</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数据库迁移工具</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支持 Oracle异构数据库迁移至信创数据库迁移。</w:t>
            </w:r>
          </w:p>
        </w:tc>
      </w:tr>
      <w:tr>
        <w:tblPrEx>
          <w:tblW w:w="0" w:type="auto"/>
          <w:tblInd w:w="0" w:type="dxa"/>
          <w:tblCellMar>
            <w:top w:w="0" w:type="dxa"/>
            <w:left w:w="108" w:type="dxa"/>
            <w:bottom w:w="0" w:type="dxa"/>
            <w:right w:w="108" w:type="dxa"/>
          </w:tblCellMar>
        </w:tblPrEx>
        <w:tc>
          <w:tcPr>
            <w:tcW w:w="1132"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p>
        </w:tc>
        <w:tc>
          <w:tcPr>
            <w:tcW w:w="2056"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数据库配套服务</w:t>
            </w:r>
          </w:p>
        </w:tc>
        <w:tc>
          <w:tcPr>
            <w:tcW w:w="5341"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Cs w:val="21"/>
              </w:rPr>
            </w:pPr>
            <w:r>
              <w:rPr>
                <w:rFonts w:ascii="宋体" w:hAnsi="宋体" w:cs="宋体" w:hint="eastAsia"/>
                <w:szCs w:val="21"/>
              </w:rPr>
              <w:t>提供基础技术支持、运维保障、系统适配改咨询、数据库安全支持、数据库培训服务。</w:t>
            </w:r>
          </w:p>
        </w:tc>
      </w:tr>
    </w:tbl>
    <w:p>
      <w:pPr>
        <w:widowControl/>
        <w:numPr>
          <w:ilvl w:val="0"/>
          <w:numId w:val="10"/>
        </w:numPr>
        <w:jc w:val="left"/>
        <w:rPr>
          <w:rFonts w:ascii="宋体" w:hAnsi="宋体" w:cs="宋体"/>
          <w:szCs w:val="21"/>
        </w:rPr>
      </w:pPr>
      <w:r>
        <w:rPr>
          <w:rFonts w:ascii="宋体" w:hAnsi="宋体" w:cs="宋体" w:hint="eastAsia"/>
          <w:szCs w:val="21"/>
        </w:rPr>
        <w:t>时序数据库功能点清单表</w:t>
      </w:r>
    </w:p>
    <w:tbl>
      <w:tblPr>
        <w:tblStyle w:val="TableNormal"/>
        <w:tblW w:w="87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45"/>
        <w:gridCol w:w="2110"/>
        <w:gridCol w:w="5460"/>
      </w:tblGrid>
      <w:tr>
        <w:tblPrEx>
          <w:tblW w:w="87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145" w:type="dxa"/>
            <w:vMerge w:val="restart"/>
            <w:tcBorders>
              <w:top w:val="single" w:sz="6" w:space="0" w:color="000000"/>
              <w:left w:val="single" w:sz="6" w:space="0" w:color="000000"/>
              <w:bottom w:val="single" w:sz="6" w:space="0" w:color="000000"/>
              <w:right w:val="single" w:sz="6" w:space="0" w:color="000000"/>
            </w:tcBorders>
            <w:vAlign w:val="center"/>
          </w:tcPr>
          <w:p>
            <w:pPr>
              <w:jc w:val="center"/>
              <w:rPr>
                <w:rFonts w:ascii="宋体" w:hAnsi="宋体" w:cs="宋体"/>
                <w:szCs w:val="21"/>
              </w:rPr>
            </w:pPr>
            <w:r>
              <w:rPr>
                <w:rFonts w:ascii="宋体" w:hAnsi="宋体" w:cs="宋体" w:hint="eastAsia"/>
                <w:szCs w:val="21"/>
              </w:rPr>
              <w:t>时序数据库</w:t>
            </w: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数据写入</w:t>
            </w:r>
          </w:p>
        </w:tc>
        <w:tc>
          <w:tcPr>
            <w:tcW w:w="546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1、批量数据写入；</w:t>
            </w:r>
          </w:p>
          <w:p>
            <w:pPr>
              <w:rPr>
                <w:rFonts w:ascii="宋体" w:hAnsi="宋体" w:cs="宋体"/>
                <w:szCs w:val="21"/>
              </w:rPr>
            </w:pPr>
            <w:r>
              <w:rPr>
                <w:rFonts w:ascii="宋体" w:hAnsi="宋体" w:cs="宋体" w:hint="eastAsia"/>
                <w:szCs w:val="21"/>
              </w:rPr>
              <w:t>2、数据写入接口；</w:t>
            </w:r>
          </w:p>
          <w:p>
            <w:pPr>
              <w:rPr>
                <w:rFonts w:ascii="宋体" w:hAnsi="宋体" w:cs="宋体"/>
                <w:szCs w:val="21"/>
              </w:rPr>
            </w:pP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同步复制</w:t>
            </w:r>
          </w:p>
          <w:p>
            <w:pPr>
              <w:rPr>
                <w:rFonts w:ascii="宋体" w:hAnsi="宋体" w:cs="宋体"/>
                <w:szCs w:val="21"/>
              </w:rPr>
            </w:pPr>
            <w:r>
              <w:rPr>
                <w:rFonts w:ascii="宋体" w:hAnsi="宋体" w:cs="宋体" w:hint="eastAsia"/>
                <w:szCs w:val="21"/>
              </w:rPr>
              <w:t> </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在应用层发起请求时，当副本分片返回信息成功后，主分片所在节点才向应用层应答请求成功，确保主从节点数据完全一致。</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故障转移与恢复</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支持自动故障转移与恢复功能。</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弹性扩展</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支持集群弹性扩展能力</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查询和聚合</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1、过滤查询；</w:t>
            </w:r>
          </w:p>
          <w:p>
            <w:pPr>
              <w:rPr>
                <w:rFonts w:ascii="宋体" w:hAnsi="宋体" w:cs="宋体"/>
                <w:szCs w:val="21"/>
              </w:rPr>
            </w:pPr>
            <w:r>
              <w:rPr>
                <w:rFonts w:ascii="宋体" w:hAnsi="宋体" w:cs="宋体" w:hint="eastAsia"/>
                <w:szCs w:val="21"/>
              </w:rPr>
              <w:t>2、预加载；</w:t>
            </w:r>
          </w:p>
          <w:p>
            <w:pPr>
              <w:rPr>
                <w:rFonts w:ascii="宋体" w:hAnsi="宋体" w:cs="宋体"/>
                <w:szCs w:val="21"/>
              </w:rPr>
            </w:pPr>
            <w:r>
              <w:rPr>
                <w:rFonts w:ascii="宋体" w:hAnsi="宋体" w:cs="宋体" w:hint="eastAsia"/>
                <w:szCs w:val="21"/>
              </w:rPr>
              <w:t>3、普通聚合；</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全文索引</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1、支持将文本文档等非结构化数据进行分析、分词，建立索引；</w:t>
            </w:r>
          </w:p>
          <w:p>
            <w:pPr>
              <w:rPr>
                <w:rFonts w:ascii="宋体" w:hAnsi="宋体" w:cs="宋体"/>
                <w:szCs w:val="21"/>
              </w:rPr>
            </w:pPr>
            <w:r>
              <w:rPr>
                <w:rFonts w:ascii="宋体" w:hAnsi="宋体" w:cs="宋体" w:hint="eastAsia"/>
                <w:szCs w:val="21"/>
              </w:rPr>
              <w:t>2、支持倒排索引技术，支持海量数据的搜索场景。</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数据存储</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支持集群数据列式存储方式，支持压缩算法。</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监控告警</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支持对数据库进行监控告警，支持监控指标，实时监控集群的运行状态。</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安全管控</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1、帐号和权限管理功能；</w:t>
            </w:r>
          </w:p>
          <w:p>
            <w:pPr>
              <w:rPr>
                <w:rFonts w:ascii="宋体" w:hAnsi="宋体" w:cs="宋体"/>
                <w:szCs w:val="21"/>
              </w:rPr>
            </w:pPr>
            <w:r>
              <w:rPr>
                <w:rFonts w:ascii="宋体" w:hAnsi="宋体" w:cs="宋体" w:hint="eastAsia"/>
                <w:szCs w:val="21"/>
              </w:rPr>
              <w:t>2、数据访问权限管理；</w:t>
            </w:r>
          </w:p>
          <w:p>
            <w:pPr>
              <w:rPr>
                <w:rFonts w:ascii="宋体" w:hAnsi="宋体" w:cs="宋体"/>
                <w:szCs w:val="21"/>
              </w:rPr>
            </w:pPr>
            <w:r>
              <w:rPr>
                <w:rFonts w:ascii="宋体" w:hAnsi="宋体" w:cs="宋体" w:hint="eastAsia"/>
                <w:szCs w:val="21"/>
              </w:rPr>
              <w:t>3、管理权限控制。</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运维管理</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1、运营管理；</w:t>
            </w:r>
          </w:p>
          <w:p>
            <w:pPr>
              <w:rPr>
                <w:rFonts w:ascii="宋体" w:hAnsi="宋体" w:cs="宋体"/>
                <w:szCs w:val="21"/>
              </w:rPr>
            </w:pPr>
            <w:r>
              <w:rPr>
                <w:rFonts w:ascii="宋体" w:hAnsi="宋体" w:cs="宋体" w:hint="eastAsia"/>
                <w:szCs w:val="21"/>
              </w:rPr>
              <w:t>2、实例管理；</w:t>
            </w:r>
          </w:p>
          <w:p>
            <w:pPr>
              <w:rPr>
                <w:rFonts w:ascii="宋体" w:hAnsi="宋体" w:cs="宋体"/>
                <w:szCs w:val="21"/>
              </w:rPr>
            </w:pPr>
            <w:r>
              <w:rPr>
                <w:rFonts w:ascii="宋体" w:hAnsi="宋体" w:cs="宋体" w:hint="eastAsia"/>
                <w:szCs w:val="21"/>
              </w:rPr>
              <w:t>3、监控告警。</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高性能弹性扩展能力</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基于分布式架构，具有良好的弹性扩容，支持单集群 PB 级数据规模。</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安全能力</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1、拥有完善帐号和权限管理等方面的功能；</w:t>
            </w:r>
          </w:p>
          <w:p>
            <w:pPr>
              <w:rPr>
                <w:rFonts w:ascii="宋体" w:hAnsi="宋体" w:cs="宋体"/>
                <w:szCs w:val="21"/>
              </w:rPr>
            </w:pPr>
            <w:r>
              <w:rPr>
                <w:rFonts w:ascii="宋体" w:hAnsi="宋体" w:cs="宋体" w:hint="eastAsia"/>
                <w:szCs w:val="21"/>
              </w:rPr>
              <w:t>2、支持数据访问权限管理；</w:t>
            </w:r>
          </w:p>
          <w:p>
            <w:pPr>
              <w:rPr>
                <w:rFonts w:ascii="宋体" w:hAnsi="宋体" w:cs="宋体"/>
                <w:szCs w:val="21"/>
              </w:rPr>
            </w:pPr>
            <w:r>
              <w:rPr>
                <w:rFonts w:ascii="宋体" w:hAnsi="宋体" w:cs="宋体" w:hint="eastAsia"/>
                <w:szCs w:val="21"/>
              </w:rPr>
              <w:t>3、支持管理权限控制。</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生态兼容与适配能力</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支持近实时数据搜索与分析</w:t>
            </w:r>
          </w:p>
        </w:tc>
      </w:tr>
    </w:tbl>
    <w:p>
      <w:pPr>
        <w:widowControl/>
        <w:numPr>
          <w:ilvl w:val="0"/>
          <w:numId w:val="10"/>
        </w:numPr>
        <w:jc w:val="left"/>
        <w:rPr>
          <w:rFonts w:ascii="宋体" w:hAnsi="宋体" w:cs="宋体"/>
          <w:szCs w:val="21"/>
        </w:rPr>
      </w:pPr>
      <w:r>
        <w:rPr>
          <w:rFonts w:ascii="宋体" w:hAnsi="宋体" w:cs="宋体" w:hint="eastAsia"/>
          <w:szCs w:val="21"/>
        </w:rPr>
        <w:t>对象存储功能点清单表</w:t>
      </w:r>
    </w:p>
    <w:tbl>
      <w:tblPr>
        <w:tblStyle w:val="TableNormal"/>
        <w:tblW w:w="87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32"/>
        <w:gridCol w:w="2123"/>
        <w:gridCol w:w="5460"/>
      </w:tblGrid>
      <w:tr>
        <w:tblPrEx>
          <w:tblW w:w="87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132" w:type="dxa"/>
            <w:vMerge w:val="restart"/>
            <w:vAlign w:val="center"/>
          </w:tcPr>
          <w:p>
            <w:pPr>
              <w:jc w:val="center"/>
              <w:rPr>
                <w:rFonts w:ascii="宋体" w:hAnsi="宋体" w:cs="宋体"/>
                <w:szCs w:val="21"/>
              </w:rPr>
            </w:pPr>
            <w:r>
              <w:rPr>
                <w:rFonts w:ascii="宋体" w:hAnsi="宋体" w:cs="宋体" w:hint="eastAsia"/>
                <w:szCs w:val="21"/>
              </w:rPr>
              <w:t>对象存储</w:t>
            </w:r>
          </w:p>
        </w:tc>
        <w:tc>
          <w:tcPr>
            <w:tcW w:w="2123" w:type="dxa"/>
          </w:tcPr>
          <w:p>
            <w:pPr>
              <w:rPr>
                <w:rFonts w:ascii="宋体" w:hAnsi="宋体" w:cs="宋体"/>
                <w:szCs w:val="21"/>
              </w:rPr>
            </w:pPr>
            <w:r>
              <w:rPr>
                <w:rFonts w:ascii="宋体" w:hAnsi="宋体" w:cs="宋体" w:hint="eastAsia"/>
                <w:szCs w:val="21"/>
              </w:rPr>
              <w:t>对象上传/下载/删除</w:t>
            </w:r>
          </w:p>
        </w:tc>
        <w:tc>
          <w:tcPr>
            <w:tcW w:w="5460" w:type="dxa"/>
          </w:tcPr>
          <w:p>
            <w:pPr>
              <w:rPr>
                <w:rFonts w:ascii="宋体" w:hAnsi="宋体" w:cs="宋体"/>
                <w:szCs w:val="21"/>
              </w:rPr>
            </w:pPr>
            <w:r>
              <w:rPr>
                <w:rFonts w:ascii="宋体" w:hAnsi="宋体" w:cs="宋体" w:hint="eastAsia"/>
                <w:szCs w:val="21"/>
              </w:rPr>
              <w:t>支持对象的写入、读取、删除操作。</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对象生命周期管理</w:t>
            </w:r>
          </w:p>
        </w:tc>
        <w:tc>
          <w:tcPr>
            <w:tcW w:w="5460" w:type="dxa"/>
          </w:tcPr>
          <w:p>
            <w:pPr>
              <w:rPr>
                <w:rFonts w:ascii="宋体" w:hAnsi="宋体" w:cs="宋体"/>
                <w:szCs w:val="21"/>
              </w:rPr>
            </w:pPr>
            <w:r>
              <w:rPr>
                <w:rFonts w:ascii="宋体" w:hAnsi="宋体" w:cs="宋体" w:hint="eastAsia"/>
                <w:szCs w:val="21"/>
              </w:rPr>
              <w:t>支持以桶为单位，为此桶中的对象定义各种生命周期规则。</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对象多版本控制</w:t>
            </w:r>
          </w:p>
        </w:tc>
        <w:tc>
          <w:tcPr>
            <w:tcW w:w="5460" w:type="dxa"/>
          </w:tcPr>
          <w:p>
            <w:pPr>
              <w:rPr>
                <w:rFonts w:ascii="宋体" w:hAnsi="宋体" w:cs="宋体"/>
                <w:szCs w:val="21"/>
              </w:rPr>
            </w:pPr>
            <w:r>
              <w:rPr>
                <w:rFonts w:ascii="宋体" w:hAnsi="宋体" w:cs="宋体" w:hint="eastAsia"/>
                <w:szCs w:val="21"/>
              </w:rPr>
              <w:t>支持配置桶对象的多版本控制。</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对象元数据管理</w:t>
            </w:r>
          </w:p>
        </w:tc>
        <w:tc>
          <w:tcPr>
            <w:tcW w:w="5460" w:type="dxa"/>
          </w:tcPr>
          <w:p>
            <w:pPr>
              <w:rPr>
                <w:rFonts w:ascii="宋体" w:hAnsi="宋体" w:cs="宋体"/>
                <w:szCs w:val="21"/>
              </w:rPr>
            </w:pPr>
            <w:r>
              <w:rPr>
                <w:rFonts w:ascii="宋体" w:hAnsi="宋体" w:cs="宋体" w:hint="eastAsia"/>
                <w:szCs w:val="21"/>
              </w:rPr>
              <w:t>支持添加、修改或删除桶中已上传对象的元数据。</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配额管理</w:t>
            </w:r>
          </w:p>
        </w:tc>
        <w:tc>
          <w:tcPr>
            <w:tcW w:w="5460" w:type="dxa"/>
          </w:tcPr>
          <w:p>
            <w:pPr>
              <w:spacing w:before="163" w:after="163"/>
              <w:rPr>
                <w:rFonts w:ascii="宋体" w:hAnsi="宋体" w:cs="宋体"/>
                <w:szCs w:val="21"/>
              </w:rPr>
            </w:pPr>
            <w:r>
              <w:rPr>
                <w:rFonts w:ascii="宋体" w:hAnsi="宋体" w:cs="宋体" w:hint="eastAsia"/>
                <w:szCs w:val="21"/>
              </w:rPr>
              <w:t>支持用户和存储桶两个维度的配额管理。</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负载均衡能力</w:t>
            </w:r>
          </w:p>
        </w:tc>
        <w:tc>
          <w:tcPr>
            <w:tcW w:w="5460" w:type="dxa"/>
          </w:tcPr>
          <w:p>
            <w:pPr>
              <w:rPr>
                <w:rFonts w:ascii="宋体" w:hAnsi="宋体" w:cs="宋体"/>
                <w:szCs w:val="21"/>
              </w:rPr>
            </w:pPr>
            <w:r>
              <w:rPr>
                <w:rFonts w:ascii="宋体" w:hAnsi="宋体" w:cs="宋体" w:hint="eastAsia"/>
                <w:szCs w:val="21"/>
              </w:rPr>
              <w:t>支持LVS负载均衡，负载均衡server支持HA VIP，实现接入的高可靠。</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文件管控控制台</w:t>
            </w:r>
          </w:p>
        </w:tc>
        <w:tc>
          <w:tcPr>
            <w:tcW w:w="5460" w:type="dxa"/>
          </w:tcPr>
          <w:p>
            <w:pPr>
              <w:rPr>
                <w:rFonts w:ascii="宋体" w:hAnsi="宋体" w:cs="宋体"/>
                <w:szCs w:val="21"/>
              </w:rPr>
            </w:pPr>
            <w:r>
              <w:rPr>
                <w:rFonts w:ascii="宋体" w:hAnsi="宋体" w:cs="宋体" w:hint="eastAsia"/>
                <w:szCs w:val="21"/>
              </w:rPr>
              <w:t>提供友好的Web UI控制台，支持集群的概览信息查看和运维操作。</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协议兼容性</w:t>
            </w:r>
          </w:p>
        </w:tc>
        <w:tc>
          <w:tcPr>
            <w:tcW w:w="5460" w:type="dxa"/>
          </w:tcPr>
          <w:p>
            <w:pPr>
              <w:rPr>
                <w:rFonts w:ascii="宋体" w:hAnsi="宋体" w:cs="宋体"/>
                <w:szCs w:val="21"/>
              </w:rPr>
            </w:pPr>
            <w:r>
              <w:rPr>
                <w:rFonts w:ascii="宋体" w:hAnsi="宋体" w:cs="宋体" w:hint="eastAsia"/>
                <w:szCs w:val="21"/>
              </w:rPr>
              <w:t>支持对象存储接口，业务可以快速接入，兼容对象存储接口。</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硬件兼容性</w:t>
            </w:r>
          </w:p>
        </w:tc>
        <w:tc>
          <w:tcPr>
            <w:tcW w:w="5460" w:type="dxa"/>
          </w:tcPr>
          <w:p>
            <w:pPr>
              <w:rPr>
                <w:rFonts w:ascii="宋体" w:hAnsi="宋体" w:cs="宋体"/>
                <w:szCs w:val="21"/>
              </w:rPr>
            </w:pPr>
            <w:r>
              <w:rPr>
                <w:rFonts w:ascii="宋体" w:hAnsi="宋体" w:cs="宋体" w:hint="eastAsia"/>
                <w:szCs w:val="21"/>
              </w:rPr>
              <w:t>支持多种存储硬件，提供更多的性能、容量、成本选择。</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高可用可扩展能力</w:t>
            </w:r>
          </w:p>
        </w:tc>
        <w:tc>
          <w:tcPr>
            <w:tcW w:w="5460" w:type="dxa"/>
          </w:tcPr>
          <w:p>
            <w:pPr>
              <w:rPr>
                <w:rFonts w:ascii="宋体" w:hAnsi="宋体" w:cs="宋体"/>
                <w:szCs w:val="21"/>
              </w:rPr>
            </w:pPr>
            <w:r>
              <w:rPr>
                <w:rFonts w:ascii="宋体" w:hAnsi="宋体" w:cs="宋体" w:hint="eastAsia"/>
                <w:szCs w:val="21"/>
              </w:rPr>
              <w:t>支持水平拓展，避免单点故障，可以提供EB级别的存储能力。</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数据安全设计</w:t>
            </w:r>
          </w:p>
        </w:tc>
        <w:tc>
          <w:tcPr>
            <w:tcW w:w="5460" w:type="dxa"/>
          </w:tcPr>
          <w:p>
            <w:pPr>
              <w:rPr>
                <w:rFonts w:ascii="宋体" w:hAnsi="宋体" w:cs="宋体"/>
                <w:szCs w:val="21"/>
              </w:rPr>
            </w:pPr>
            <w:r>
              <w:rPr>
                <w:rFonts w:ascii="宋体" w:hAnsi="宋体" w:cs="宋体" w:hint="eastAsia"/>
                <w:szCs w:val="21"/>
              </w:rPr>
              <w:t>1、系统支持多种副本策略；</w:t>
            </w:r>
          </w:p>
          <w:p>
            <w:pPr>
              <w:spacing w:before="163" w:after="163"/>
              <w:rPr>
                <w:rFonts w:ascii="宋体" w:hAnsi="宋体" w:cs="宋体"/>
                <w:szCs w:val="21"/>
              </w:rPr>
            </w:pPr>
            <w:r>
              <w:rPr>
                <w:rFonts w:ascii="宋体" w:hAnsi="宋体" w:cs="宋体" w:hint="eastAsia"/>
                <w:szCs w:val="21"/>
              </w:rPr>
              <w:t>2、在数据访问安全上支持的数据加密访问方式，存储桶配置防盗。</w:t>
            </w:r>
          </w:p>
        </w:tc>
      </w:tr>
      <w:tr>
        <w:tblPrEx>
          <w:tblW w:w="8715" w:type="dxa"/>
          <w:tblInd w:w="0" w:type="dxa"/>
          <w:tblLayout w:type="fixed"/>
          <w:tblCellMar>
            <w:top w:w="0" w:type="dxa"/>
            <w:left w:w="108" w:type="dxa"/>
            <w:bottom w:w="0" w:type="dxa"/>
            <w:right w:w="108" w:type="dxa"/>
          </w:tblCellMar>
        </w:tblPrEx>
        <w:tc>
          <w:tcPr>
            <w:tcW w:w="1132" w:type="dxa"/>
            <w:vMerge/>
          </w:tcPr>
          <w:p>
            <w:pPr>
              <w:rPr>
                <w:rFonts w:ascii="宋体" w:hAnsi="宋体" w:cs="宋体"/>
                <w:szCs w:val="21"/>
              </w:rPr>
            </w:pPr>
          </w:p>
        </w:tc>
        <w:tc>
          <w:tcPr>
            <w:tcW w:w="2123" w:type="dxa"/>
          </w:tcPr>
          <w:p>
            <w:pPr>
              <w:rPr>
                <w:rFonts w:ascii="宋体" w:hAnsi="宋体" w:cs="宋体"/>
                <w:szCs w:val="21"/>
              </w:rPr>
            </w:pPr>
            <w:r>
              <w:rPr>
                <w:rFonts w:ascii="宋体" w:hAnsi="宋体" w:cs="宋体" w:hint="eastAsia"/>
                <w:szCs w:val="21"/>
              </w:rPr>
              <w:t>读写缓存加速支持</w:t>
            </w:r>
          </w:p>
        </w:tc>
        <w:tc>
          <w:tcPr>
            <w:tcW w:w="5460" w:type="dxa"/>
          </w:tcPr>
          <w:p>
            <w:pPr>
              <w:rPr>
                <w:rFonts w:ascii="宋体" w:hAnsi="宋体" w:cs="宋体"/>
                <w:szCs w:val="21"/>
              </w:rPr>
            </w:pPr>
            <w:r>
              <w:rPr>
                <w:rFonts w:ascii="宋体" w:hAnsi="宋体" w:cs="宋体" w:hint="eastAsia"/>
                <w:szCs w:val="21"/>
              </w:rPr>
              <w:t>支持使用高性能的磁盘用做加速，在创建存储池时可以会自动也可以手动去设置磁盘的用做加速。</w:t>
            </w:r>
          </w:p>
        </w:tc>
      </w:tr>
    </w:tbl>
    <w:p>
      <w:pPr>
        <w:widowControl/>
        <w:jc w:val="left"/>
        <w:rPr>
          <w:rFonts w:ascii="宋体" w:hAnsi="宋体" w:cs="宋体"/>
          <w:szCs w:val="21"/>
        </w:rPr>
      </w:pPr>
      <w:r>
        <w:rPr>
          <w:rFonts w:ascii="宋体" w:hAnsi="宋体" w:cs="宋体" w:hint="eastAsia"/>
          <w:szCs w:val="21"/>
        </w:rPr>
        <w:t xml:space="preserve"> </w:t>
      </w:r>
    </w:p>
    <w:p>
      <w:pPr>
        <w:widowControl/>
        <w:numPr>
          <w:ilvl w:val="0"/>
          <w:numId w:val="10"/>
        </w:numPr>
        <w:jc w:val="left"/>
        <w:rPr>
          <w:rFonts w:ascii="宋体" w:hAnsi="宋体" w:cs="宋体"/>
          <w:szCs w:val="21"/>
        </w:rPr>
      </w:pPr>
      <w:r>
        <w:rPr>
          <w:rFonts w:ascii="宋体" w:hAnsi="宋体" w:cs="宋体" w:hint="eastAsia"/>
          <w:szCs w:val="21"/>
        </w:rPr>
        <w:t>实时计算软件功能点清单表</w:t>
      </w:r>
    </w:p>
    <w:tbl>
      <w:tblPr>
        <w:tblStyle w:val="TableNormal"/>
        <w:tblW w:w="87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45"/>
        <w:gridCol w:w="2110"/>
        <w:gridCol w:w="5460"/>
      </w:tblGrid>
      <w:tr>
        <w:tblPrEx>
          <w:tblW w:w="87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145" w:type="dxa"/>
            <w:vMerge w:val="restart"/>
            <w:tcBorders>
              <w:top w:val="single" w:sz="6" w:space="0" w:color="000000"/>
              <w:left w:val="single" w:sz="6" w:space="0" w:color="000000"/>
              <w:bottom w:val="single" w:sz="6" w:space="0" w:color="000000"/>
              <w:right w:val="single" w:sz="6" w:space="0" w:color="000000"/>
            </w:tcBorders>
            <w:vAlign w:val="center"/>
          </w:tcPr>
          <w:p>
            <w:pPr>
              <w:jc w:val="center"/>
              <w:rPr>
                <w:rFonts w:ascii="宋体" w:hAnsi="宋体" w:cs="宋体"/>
                <w:szCs w:val="21"/>
              </w:rPr>
            </w:pPr>
            <w:r>
              <w:rPr>
                <w:rFonts w:ascii="宋体" w:hAnsi="宋体" w:cs="宋体" w:hint="eastAsia"/>
                <w:szCs w:val="21"/>
              </w:rPr>
              <w:t>实时计算</w:t>
            </w: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实时作业管理</w:t>
            </w:r>
          </w:p>
        </w:tc>
        <w:tc>
          <w:tcPr>
            <w:tcW w:w="546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包含作业基本信息展示、作业管理以及作业监控等功能。</w:t>
            </w:r>
          </w:p>
          <w:p>
            <w:pPr>
              <w:rPr>
                <w:rFonts w:ascii="宋体" w:hAnsi="宋体" w:cs="宋体"/>
                <w:szCs w:val="21"/>
              </w:rPr>
            </w:pP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实时数据流接入</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支持实时数据流管理、实时数据流的处理，实现数据流的统一接入管理。</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实时数据流开发</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支持多种实时数据流开发，包括SQL、Python等多语言开发编辑环境。</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实时作业调试</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支持实时作业运行调试，包含对开发的作业功能进行语法检查、逻辑检查、运行结果展示等能力。</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作业版本管理</w:t>
            </w:r>
          </w:p>
        </w:tc>
        <w:tc>
          <w:tcPr>
            <w:tcW w:w="5460" w:type="dxa"/>
            <w:tcBorders>
              <w:top w:val="single" w:sz="6" w:space="0" w:color="CBCDD1"/>
              <w:left w:val="nil"/>
              <w:bottom w:val="single" w:sz="6" w:space="0" w:color="000000"/>
              <w:right w:val="single" w:sz="6" w:space="0" w:color="000000"/>
            </w:tcBorders>
          </w:tcPr>
          <w:p>
            <w:pPr>
              <w:spacing w:before="163" w:after="163"/>
              <w:rPr>
                <w:rFonts w:ascii="宋体" w:hAnsi="宋体" w:cs="宋体"/>
                <w:szCs w:val="21"/>
              </w:rPr>
            </w:pPr>
            <w:r>
              <w:rPr>
                <w:rFonts w:ascii="宋体" w:hAnsi="宋体" w:cs="宋体" w:hint="eastAsia"/>
                <w:szCs w:val="21"/>
              </w:rPr>
              <w:t>支持作业版本管理，实现对作业开发历史版本的管理。</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全局变量管理</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对开发作业中使用的变量进行统一管理，支持变量替换，支持SQL作业中的库表管理使用变量。</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运维监控管理</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包括作业监控、指标监控、异常监控、资源监控等。</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作业日志管理</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包括作业信息、运行时间、操作人员等信息。</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程序包管理</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包含历史版本信息查看、版本调取等功能。</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开发上下游支持</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对实时计算开发提供上/下游数据源的支持。</w:t>
            </w:r>
          </w:p>
        </w:tc>
      </w:tr>
      <w:tr>
        <w:tblPrEx>
          <w:tblW w:w="8715" w:type="dxa"/>
          <w:tblInd w:w="0" w:type="dxa"/>
          <w:tblLayout w:type="fixed"/>
          <w:tblCellMar>
            <w:top w:w="0" w:type="dxa"/>
            <w:left w:w="108" w:type="dxa"/>
            <w:bottom w:w="0" w:type="dxa"/>
            <w:right w:w="108" w:type="dxa"/>
          </w:tblCellMar>
        </w:tblPrEx>
        <w:tc>
          <w:tcPr>
            <w:tcW w:w="1145" w:type="dxa"/>
            <w:vMerge/>
            <w:tcBorders>
              <w:top w:val="single" w:sz="6" w:space="0" w:color="000000"/>
              <w:left w:val="single" w:sz="6" w:space="0" w:color="000000"/>
              <w:bottom w:val="single" w:sz="6" w:space="0" w:color="000000"/>
              <w:right w:val="single" w:sz="6" w:space="0" w:color="000000"/>
            </w:tcBorders>
          </w:tcPr>
          <w:p>
            <w:pPr>
              <w:rPr>
                <w:rFonts w:ascii="宋体" w:hAnsi="宋体" w:cs="宋体"/>
                <w:szCs w:val="21"/>
              </w:rPr>
            </w:pPr>
          </w:p>
        </w:tc>
        <w:tc>
          <w:tcPr>
            <w:tcW w:w="2110"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开发函数支持</w:t>
            </w:r>
          </w:p>
        </w:tc>
        <w:tc>
          <w:tcPr>
            <w:tcW w:w="5460"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对实时计算开发提供实时计算的维表类型支持、函数支持。</w:t>
            </w:r>
          </w:p>
        </w:tc>
      </w:tr>
    </w:tbl>
    <w:p>
      <w:pPr>
        <w:widowControl/>
        <w:jc w:val="left"/>
        <w:rPr>
          <w:rFonts w:ascii="宋体" w:hAnsi="宋体" w:cs="宋体"/>
          <w:szCs w:val="21"/>
        </w:rPr>
      </w:pPr>
      <w:r>
        <w:rPr>
          <w:rFonts w:ascii="宋体" w:hAnsi="宋体" w:cs="宋体" w:hint="eastAsia"/>
          <w:szCs w:val="21"/>
        </w:rPr>
        <w:t xml:space="preserve"> </w:t>
      </w:r>
    </w:p>
    <w:p>
      <w:pPr>
        <w:rPr>
          <w:rFonts w:ascii="宋体" w:hAnsi="宋体" w:cs="宋体"/>
          <w:szCs w:val="21"/>
        </w:rPr>
      </w:pPr>
      <w:r>
        <w:rPr>
          <w:rFonts w:ascii="宋体" w:hAnsi="宋体" w:cs="宋体" w:hint="eastAsia"/>
          <w:szCs w:val="21"/>
        </w:rPr>
        <w:t xml:space="preserve"> </w:t>
      </w:r>
    </w:p>
    <w:p>
      <w:pPr>
        <w:rPr>
          <w:rFonts w:ascii="宋体" w:hAnsi="宋体" w:cs="宋体"/>
          <w:b/>
          <w:bCs/>
          <w:szCs w:val="21"/>
        </w:rPr>
      </w:pPr>
      <w:r>
        <w:rPr>
          <w:rFonts w:ascii="宋体" w:hAnsi="宋体" w:cs="宋体" w:hint="eastAsia"/>
          <w:szCs w:val="21"/>
        </w:rPr>
        <w:t xml:space="preserve"> </w:t>
      </w:r>
      <w:r>
        <w:rPr>
          <w:rFonts w:ascii="宋体" w:hAnsi="宋体" w:cs="宋体" w:hint="eastAsia"/>
          <w:b/>
          <w:bCs/>
          <w:szCs w:val="21"/>
        </w:rPr>
        <w:t>（2）技术标准</w:t>
      </w:r>
    </w:p>
    <w:p>
      <w:pPr>
        <w:widowControl/>
        <w:numPr>
          <w:ilvl w:val="0"/>
          <w:numId w:val="11"/>
        </w:numPr>
        <w:jc w:val="left"/>
        <w:rPr>
          <w:rFonts w:ascii="宋体" w:hAnsi="宋体" w:cs="宋体"/>
          <w:szCs w:val="21"/>
        </w:rPr>
      </w:pPr>
      <w:r>
        <w:rPr>
          <w:rFonts w:ascii="宋体" w:hAnsi="宋体" w:cs="宋体" w:hint="eastAsia"/>
          <w:szCs w:val="21"/>
        </w:rPr>
        <w:t>关键技术-分布式数据库技术</w:t>
      </w:r>
    </w:p>
    <w:tbl>
      <w:tblPr>
        <w:tblStyle w:val="TableNormal"/>
        <w:tblW w:w="88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93"/>
        <w:gridCol w:w="6319"/>
        <w:gridCol w:w="818"/>
      </w:tblGrid>
      <w:tr>
        <w:tblPrEx>
          <w:tblW w:w="88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6"/>
        </w:trPr>
        <w:tc>
          <w:tcPr>
            <w:tcW w:w="1693" w:type="dxa"/>
            <w:tcBorders>
              <w:top w:val="single" w:sz="6" w:space="0" w:color="000000"/>
              <w:left w:val="single" w:sz="6" w:space="0" w:color="000000"/>
              <w:bottom w:val="single" w:sz="6" w:space="0" w:color="000000"/>
              <w:right w:val="single" w:sz="6" w:space="0" w:color="000000"/>
            </w:tcBorders>
          </w:tcPr>
          <w:p>
            <w:pPr>
              <w:jc w:val="center"/>
              <w:rPr>
                <w:rFonts w:ascii="宋体" w:hAnsi="宋体" w:cs="宋体"/>
                <w:szCs w:val="21"/>
              </w:rPr>
            </w:pPr>
            <w:r>
              <w:rPr>
                <w:rFonts w:ascii="宋体" w:hAnsi="宋体" w:cs="宋体" w:hint="eastAsia"/>
                <w:b/>
                <w:szCs w:val="21"/>
              </w:rPr>
              <w:t>功能名称</w:t>
            </w:r>
          </w:p>
        </w:tc>
        <w:tc>
          <w:tcPr>
            <w:tcW w:w="6319" w:type="dxa"/>
            <w:tcBorders>
              <w:top w:val="single" w:sz="6" w:space="0" w:color="000000"/>
              <w:left w:val="nil"/>
              <w:bottom w:val="single" w:sz="6" w:space="0" w:color="000000"/>
              <w:right w:val="single" w:sz="6" w:space="0" w:color="000000"/>
            </w:tcBorders>
          </w:tcPr>
          <w:p>
            <w:pPr>
              <w:jc w:val="center"/>
              <w:rPr>
                <w:rFonts w:ascii="宋体" w:hAnsi="宋体" w:cs="宋体"/>
                <w:szCs w:val="21"/>
              </w:rPr>
            </w:pPr>
            <w:r>
              <w:rPr>
                <w:rFonts w:ascii="宋体" w:hAnsi="宋体" w:cs="宋体" w:hint="eastAsia"/>
                <w:b/>
                <w:szCs w:val="21"/>
              </w:rPr>
              <w:t>技术要求</w:t>
            </w:r>
          </w:p>
        </w:tc>
        <w:tc>
          <w:tcPr>
            <w:tcW w:w="818" w:type="dxa"/>
            <w:tcBorders>
              <w:top w:val="single" w:sz="6" w:space="0" w:color="000000"/>
              <w:left w:val="nil"/>
              <w:bottom w:val="single" w:sz="6" w:space="0" w:color="000000"/>
              <w:right w:val="single" w:sz="6" w:space="0" w:color="000000"/>
            </w:tcBorders>
          </w:tcPr>
          <w:p>
            <w:pPr>
              <w:jc w:val="center"/>
              <w:rPr>
                <w:rFonts w:ascii="宋体" w:hAnsi="宋体" w:cs="宋体"/>
                <w:szCs w:val="21"/>
              </w:rPr>
            </w:pPr>
            <w:r>
              <w:rPr>
                <w:rFonts w:ascii="宋体" w:hAnsi="宋体" w:cs="宋体" w:hint="eastAsia"/>
                <w:b/>
                <w:szCs w:val="21"/>
              </w:rPr>
              <w:t>备注</w:t>
            </w:r>
          </w:p>
        </w:tc>
      </w:tr>
      <w:tr>
        <w:tblPrEx>
          <w:tblW w:w="8830" w:type="dxa"/>
          <w:tblInd w:w="0" w:type="dxa"/>
          <w:tblLayout w:type="fixed"/>
          <w:tblCellMar>
            <w:top w:w="0" w:type="dxa"/>
            <w:left w:w="108" w:type="dxa"/>
            <w:bottom w:w="0" w:type="dxa"/>
            <w:right w:w="108" w:type="dxa"/>
          </w:tblCellMar>
        </w:tblPrEx>
        <w:trPr>
          <w:trHeight w:val="454"/>
        </w:trPr>
        <w:tc>
          <w:tcPr>
            <w:tcW w:w="1693" w:type="dxa"/>
            <w:vMerge w:val="restart"/>
            <w:tcBorders>
              <w:top w:val="nil"/>
              <w:left w:val="single" w:sz="6" w:space="0" w:color="000000"/>
              <w:bottom w:val="single" w:sz="6" w:space="0" w:color="000000"/>
              <w:right w:val="single" w:sz="6" w:space="0" w:color="000000"/>
            </w:tcBorders>
            <w:vAlign w:val="center"/>
          </w:tcPr>
          <w:p>
            <w:pPr>
              <w:jc w:val="center"/>
              <w:rPr>
                <w:rFonts w:ascii="宋体" w:hAnsi="宋体" w:cs="宋体"/>
                <w:szCs w:val="21"/>
              </w:rPr>
            </w:pPr>
            <w:r>
              <w:rPr>
                <w:rFonts w:ascii="宋体" w:hAnsi="宋体" w:cs="宋体" w:hint="eastAsia"/>
                <w:szCs w:val="21"/>
              </w:rPr>
              <w:t>分布式数据库</w:t>
            </w:r>
          </w:p>
        </w:tc>
        <w:tc>
          <w:tcPr>
            <w:tcW w:w="6319"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仿宋_GB2312" w:eastAsia="仿宋_GB2312" w:hAnsi="仿宋_GB2312" w:hint="eastAsia"/>
                <w:sz w:val="24"/>
              </w:rPr>
              <w:t>▲（</w:t>
            </w:r>
            <w:r>
              <w:rPr>
                <w:rFonts w:ascii="宋体" w:hAnsi="宋体" w:cs="宋体" w:hint="eastAsia"/>
                <w:szCs w:val="21"/>
              </w:rPr>
              <w:t>1）支持分布式架构，数据库以分布式架构进行设计，由多个不同的（物理或虚拟的）节点共同组成一个逻辑上统一的分布式数据库实例。</w:t>
            </w:r>
          </w:p>
        </w:tc>
        <w:tc>
          <w:tcPr>
            <w:tcW w:w="818" w:type="dxa"/>
            <w:tcBorders>
              <w:top w:val="single" w:sz="6" w:space="0" w:color="CBCDD1"/>
              <w:left w:val="nil"/>
              <w:bottom w:val="single" w:sz="6" w:space="0" w:color="000000"/>
              <w:right w:val="single" w:sz="6" w:space="0" w:color="000000"/>
            </w:tcBorders>
          </w:tcPr>
          <w:p>
            <w:pPr>
              <w:rPr>
                <w:rFonts w:ascii="宋体" w:hAnsi="宋体" w:cs="宋体"/>
                <w:szCs w:val="21"/>
              </w:rPr>
            </w:pPr>
          </w:p>
        </w:tc>
      </w:tr>
      <w:tr>
        <w:tblPrEx>
          <w:tblW w:w="8830" w:type="dxa"/>
          <w:tblInd w:w="0" w:type="dxa"/>
          <w:tblLayout w:type="fixed"/>
          <w:tblCellMar>
            <w:top w:w="0" w:type="dxa"/>
            <w:left w:w="108" w:type="dxa"/>
            <w:bottom w:w="0" w:type="dxa"/>
            <w:right w:w="108" w:type="dxa"/>
          </w:tblCellMar>
        </w:tblPrEx>
        <w:trPr>
          <w:trHeight w:val="454"/>
        </w:trPr>
        <w:tc>
          <w:tcPr>
            <w:tcW w:w="1693" w:type="dxa"/>
            <w:vMerge/>
            <w:tcBorders>
              <w:top w:val="nil"/>
              <w:left w:val="single" w:sz="6" w:space="0" w:color="000000"/>
              <w:bottom w:val="single" w:sz="6" w:space="0" w:color="000000"/>
              <w:right w:val="single" w:sz="6" w:space="0" w:color="000000"/>
            </w:tcBorders>
            <w:vAlign w:val="center"/>
          </w:tcPr>
          <w:p>
            <w:pPr>
              <w:jc w:val="center"/>
              <w:rPr>
                <w:rFonts w:ascii="宋体" w:hAnsi="宋体" w:cs="宋体"/>
                <w:szCs w:val="21"/>
              </w:rPr>
            </w:pPr>
          </w:p>
        </w:tc>
        <w:tc>
          <w:tcPr>
            <w:tcW w:w="6319"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仿宋_GB2312" w:eastAsia="仿宋_GB2312" w:hAnsi="仿宋_GB2312" w:hint="eastAsia"/>
                <w:sz w:val="24"/>
              </w:rPr>
              <w:t>（</w:t>
            </w:r>
            <w:r>
              <w:rPr>
                <w:rFonts w:ascii="宋体" w:hAnsi="宋体" w:cs="宋体" w:hint="eastAsia"/>
                <w:szCs w:val="21"/>
              </w:rPr>
              <w:t>2）具备数据多副本及容错性，支持全组件高可用容灾能力，不仅是数据库本身，数据库集群的任意模块都可做到高可用。</w:t>
            </w:r>
          </w:p>
        </w:tc>
        <w:tc>
          <w:tcPr>
            <w:tcW w:w="818" w:type="dxa"/>
            <w:tcBorders>
              <w:top w:val="single" w:sz="6" w:space="0" w:color="CBCDD1"/>
              <w:left w:val="nil"/>
              <w:bottom w:val="single" w:sz="6" w:space="0" w:color="000000"/>
              <w:right w:val="single" w:sz="6" w:space="0" w:color="000000"/>
            </w:tcBorders>
          </w:tcPr>
          <w:p>
            <w:pPr>
              <w:rPr>
                <w:rFonts w:ascii="宋体" w:hAnsi="宋体" w:cs="宋体"/>
                <w:szCs w:val="21"/>
              </w:rPr>
            </w:pPr>
          </w:p>
        </w:tc>
      </w:tr>
      <w:tr>
        <w:tblPrEx>
          <w:tblW w:w="8830" w:type="dxa"/>
          <w:tblInd w:w="0" w:type="dxa"/>
          <w:tblLayout w:type="fixed"/>
          <w:tblCellMar>
            <w:top w:w="0" w:type="dxa"/>
            <w:left w:w="108" w:type="dxa"/>
            <w:bottom w:w="0" w:type="dxa"/>
            <w:right w:w="108" w:type="dxa"/>
          </w:tblCellMar>
        </w:tblPrEx>
        <w:trPr>
          <w:trHeight w:val="454"/>
        </w:trPr>
        <w:tc>
          <w:tcPr>
            <w:tcW w:w="1693" w:type="dxa"/>
            <w:vMerge/>
            <w:tcBorders>
              <w:top w:val="nil"/>
              <w:left w:val="single" w:sz="6" w:space="0" w:color="000000"/>
              <w:bottom w:val="single" w:sz="6" w:space="0" w:color="000000"/>
              <w:right w:val="single" w:sz="6" w:space="0" w:color="000000"/>
            </w:tcBorders>
            <w:vAlign w:val="center"/>
          </w:tcPr>
          <w:p>
            <w:pPr>
              <w:jc w:val="center"/>
              <w:rPr>
                <w:rFonts w:ascii="宋体" w:hAnsi="宋体" w:cs="宋体"/>
                <w:szCs w:val="21"/>
              </w:rPr>
            </w:pPr>
          </w:p>
        </w:tc>
        <w:tc>
          <w:tcPr>
            <w:tcW w:w="6319"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仿宋_GB2312" w:eastAsia="仿宋_GB2312" w:hAnsi="仿宋_GB2312" w:hint="eastAsia"/>
                <w:sz w:val="24"/>
              </w:rPr>
              <w:t>▲（</w:t>
            </w:r>
            <w:r>
              <w:rPr>
                <w:rFonts w:ascii="宋体" w:hAnsi="宋体" w:cs="宋体" w:hint="eastAsia"/>
                <w:szCs w:val="21"/>
              </w:rPr>
              <w:t>3）支持分布式事务能力，满足事务的ACID特性。支持事务的异常处理和自动回退，即使发生硬件故障也能保证数据的一致性；</w:t>
            </w:r>
          </w:p>
        </w:tc>
        <w:tc>
          <w:tcPr>
            <w:tcW w:w="818" w:type="dxa"/>
            <w:tcBorders>
              <w:top w:val="single" w:sz="6" w:space="0" w:color="CBCDD1"/>
              <w:left w:val="nil"/>
              <w:bottom w:val="single" w:sz="6" w:space="0" w:color="000000"/>
              <w:right w:val="single" w:sz="6" w:space="0" w:color="000000"/>
            </w:tcBorders>
          </w:tcPr>
          <w:p>
            <w:pPr>
              <w:rPr>
                <w:rFonts w:ascii="宋体" w:hAnsi="宋体" w:cs="宋体"/>
                <w:szCs w:val="21"/>
              </w:rPr>
            </w:pPr>
          </w:p>
        </w:tc>
      </w:tr>
      <w:tr>
        <w:tblPrEx>
          <w:tblW w:w="8830" w:type="dxa"/>
          <w:tblInd w:w="0" w:type="dxa"/>
          <w:tblLayout w:type="fixed"/>
          <w:tblCellMar>
            <w:top w:w="0" w:type="dxa"/>
            <w:left w:w="108" w:type="dxa"/>
            <w:bottom w:w="0" w:type="dxa"/>
            <w:right w:w="108" w:type="dxa"/>
          </w:tblCellMar>
        </w:tblPrEx>
        <w:trPr>
          <w:trHeight w:val="454"/>
        </w:trPr>
        <w:tc>
          <w:tcPr>
            <w:tcW w:w="1693" w:type="dxa"/>
            <w:vMerge/>
            <w:tcBorders>
              <w:top w:val="nil"/>
              <w:left w:val="single" w:sz="6" w:space="0" w:color="000000"/>
              <w:bottom w:val="single" w:sz="6" w:space="0" w:color="000000"/>
              <w:right w:val="single" w:sz="6" w:space="0" w:color="000000"/>
            </w:tcBorders>
            <w:vAlign w:val="center"/>
          </w:tcPr>
          <w:p>
            <w:pPr>
              <w:jc w:val="center"/>
              <w:rPr>
                <w:rFonts w:ascii="宋体" w:hAnsi="宋体" w:cs="宋体"/>
                <w:szCs w:val="21"/>
              </w:rPr>
            </w:pPr>
          </w:p>
        </w:tc>
        <w:tc>
          <w:tcPr>
            <w:tcW w:w="6319" w:type="dxa"/>
            <w:tcBorders>
              <w:top w:val="single" w:sz="6" w:space="0" w:color="CBCDD1"/>
              <w:left w:val="nil"/>
              <w:bottom w:val="single" w:sz="6" w:space="0" w:color="000000"/>
              <w:right w:val="single" w:sz="6" w:space="0" w:color="000000"/>
            </w:tcBorders>
          </w:tcPr>
          <w:p>
            <w:pPr>
              <w:rPr>
                <w:rFonts w:ascii="宋体" w:hAnsi="宋体" w:cs="宋体"/>
                <w:szCs w:val="21"/>
              </w:rPr>
            </w:pPr>
            <w:r>
              <w:rPr>
                <w:rFonts w:ascii="宋体" w:hAnsi="宋体" w:cs="宋体" w:hint="eastAsia"/>
                <w:szCs w:val="21"/>
              </w:rPr>
              <w:t>（4）支持跨节点的查询和索引加速，提升查询速度。</w:t>
            </w:r>
          </w:p>
        </w:tc>
        <w:tc>
          <w:tcPr>
            <w:tcW w:w="818" w:type="dxa"/>
            <w:tcBorders>
              <w:top w:val="single" w:sz="6" w:space="0" w:color="CBCDD1"/>
              <w:left w:val="nil"/>
              <w:bottom w:val="single" w:sz="6" w:space="0" w:color="000000"/>
              <w:right w:val="single" w:sz="6" w:space="0" w:color="000000"/>
            </w:tcBorders>
          </w:tcPr>
          <w:p>
            <w:pPr>
              <w:rPr>
                <w:rFonts w:ascii="宋体" w:hAnsi="宋体" w:cs="宋体"/>
                <w:szCs w:val="21"/>
              </w:rPr>
            </w:pPr>
          </w:p>
        </w:tc>
      </w:tr>
      <w:tr>
        <w:tblPrEx>
          <w:tblW w:w="8830" w:type="dxa"/>
          <w:tblInd w:w="0" w:type="dxa"/>
          <w:tblLayout w:type="fixed"/>
          <w:tblCellMar>
            <w:top w:w="0" w:type="dxa"/>
            <w:left w:w="108" w:type="dxa"/>
            <w:bottom w:w="0" w:type="dxa"/>
            <w:right w:w="108" w:type="dxa"/>
          </w:tblCellMar>
        </w:tblPrEx>
        <w:trPr>
          <w:trHeight w:val="504"/>
        </w:trPr>
        <w:tc>
          <w:tcPr>
            <w:tcW w:w="1693" w:type="dxa"/>
            <w:vMerge/>
            <w:tcBorders>
              <w:top w:val="nil"/>
              <w:left w:val="single" w:sz="6" w:space="0" w:color="000000"/>
              <w:bottom w:val="single" w:sz="6" w:space="0" w:color="000000"/>
              <w:right w:val="single" w:sz="6" w:space="0" w:color="000000"/>
            </w:tcBorders>
          </w:tcPr>
          <w:p>
            <w:pPr>
              <w:rPr>
                <w:rFonts w:ascii="宋体" w:hAnsi="宋体" w:cs="宋体"/>
                <w:szCs w:val="21"/>
              </w:rPr>
            </w:pPr>
          </w:p>
        </w:tc>
        <w:tc>
          <w:tcPr>
            <w:tcW w:w="6319"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仿宋_GB2312" w:eastAsia="仿宋_GB2312" w:hAnsi="仿宋_GB2312" w:hint="eastAsia"/>
                <w:sz w:val="24"/>
              </w:rPr>
              <w:t>（</w:t>
            </w:r>
            <w:r>
              <w:rPr>
                <w:rFonts w:ascii="宋体" w:hAnsi="宋体" w:cs="宋体" w:hint="eastAsia"/>
                <w:szCs w:val="21"/>
              </w:rPr>
              <w:t>5）支持负载均衡和容错处理，支持故障自动负载均衡和自动检测能力。</w:t>
            </w:r>
          </w:p>
        </w:tc>
        <w:tc>
          <w:tcPr>
            <w:tcW w:w="818" w:type="dxa"/>
            <w:tcBorders>
              <w:top w:val="single" w:sz="6" w:space="0" w:color="CBCDD1"/>
              <w:left w:val="nil"/>
              <w:bottom w:val="single" w:sz="6" w:space="0" w:color="000000"/>
              <w:right w:val="single" w:sz="6" w:space="0" w:color="000000"/>
            </w:tcBorders>
          </w:tcPr>
          <w:p>
            <w:pPr>
              <w:rPr>
                <w:rFonts w:ascii="宋体" w:hAnsi="宋体" w:cs="宋体"/>
                <w:szCs w:val="21"/>
              </w:rPr>
            </w:pPr>
          </w:p>
        </w:tc>
      </w:tr>
      <w:tr>
        <w:tblPrEx>
          <w:tblW w:w="8830" w:type="dxa"/>
          <w:tblInd w:w="0" w:type="dxa"/>
          <w:tblLayout w:type="fixed"/>
          <w:tblCellMar>
            <w:top w:w="0" w:type="dxa"/>
            <w:left w:w="108" w:type="dxa"/>
            <w:bottom w:w="0" w:type="dxa"/>
            <w:right w:w="108" w:type="dxa"/>
          </w:tblCellMar>
        </w:tblPrEx>
        <w:trPr>
          <w:trHeight w:val="495"/>
        </w:trPr>
        <w:tc>
          <w:tcPr>
            <w:tcW w:w="1693" w:type="dxa"/>
            <w:vMerge/>
            <w:tcBorders>
              <w:top w:val="nil"/>
              <w:left w:val="single" w:sz="6" w:space="0" w:color="000000"/>
              <w:bottom w:val="single" w:sz="6" w:space="0" w:color="000000"/>
              <w:right w:val="single" w:sz="6" w:space="0" w:color="000000"/>
            </w:tcBorders>
          </w:tcPr>
          <w:p>
            <w:pPr>
              <w:rPr>
                <w:rFonts w:ascii="宋体" w:hAnsi="宋体" w:cs="宋体"/>
                <w:szCs w:val="21"/>
              </w:rPr>
            </w:pPr>
          </w:p>
        </w:tc>
        <w:tc>
          <w:tcPr>
            <w:tcW w:w="6319"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仿宋_GB2312" w:eastAsia="仿宋_GB2312" w:hAnsi="仿宋_GB2312" w:hint="eastAsia"/>
                <w:sz w:val="24"/>
              </w:rPr>
              <w:t>（</w:t>
            </w:r>
            <w:r>
              <w:rPr>
                <w:rFonts w:ascii="宋体" w:hAnsi="宋体" w:cs="宋体" w:hint="eastAsia"/>
                <w:szCs w:val="21"/>
              </w:rPr>
              <w:t>6）支持分布式锁、分布式事务和 MVCC 等技术，提高并发访问和控制</w:t>
            </w:r>
          </w:p>
        </w:tc>
        <w:tc>
          <w:tcPr>
            <w:tcW w:w="818" w:type="dxa"/>
            <w:tcBorders>
              <w:top w:val="single" w:sz="6" w:space="0" w:color="CBCDD1"/>
              <w:left w:val="nil"/>
              <w:bottom w:val="single" w:sz="6" w:space="0" w:color="000000"/>
              <w:right w:val="single" w:sz="6" w:space="0" w:color="000000"/>
            </w:tcBorders>
          </w:tcPr>
          <w:p>
            <w:pPr>
              <w:rPr>
                <w:rFonts w:ascii="宋体" w:hAnsi="宋体" w:cs="宋体"/>
                <w:szCs w:val="21"/>
              </w:rPr>
            </w:pPr>
          </w:p>
        </w:tc>
      </w:tr>
      <w:tr>
        <w:tblPrEx>
          <w:tblW w:w="8830" w:type="dxa"/>
          <w:tblInd w:w="0" w:type="dxa"/>
          <w:tblLayout w:type="fixed"/>
          <w:tblCellMar>
            <w:top w:w="0" w:type="dxa"/>
            <w:left w:w="108" w:type="dxa"/>
            <w:bottom w:w="0" w:type="dxa"/>
            <w:right w:w="108" w:type="dxa"/>
          </w:tblCellMar>
        </w:tblPrEx>
        <w:trPr>
          <w:trHeight w:val="604"/>
        </w:trPr>
        <w:tc>
          <w:tcPr>
            <w:tcW w:w="1693" w:type="dxa"/>
            <w:vMerge/>
            <w:tcBorders>
              <w:top w:val="nil"/>
              <w:left w:val="single" w:sz="6" w:space="0" w:color="000000"/>
              <w:bottom w:val="single" w:sz="6" w:space="0" w:color="000000"/>
              <w:right w:val="single" w:sz="6" w:space="0" w:color="000000"/>
            </w:tcBorders>
          </w:tcPr>
          <w:p>
            <w:pPr>
              <w:rPr>
                <w:rFonts w:ascii="宋体" w:hAnsi="宋体" w:cs="宋体"/>
                <w:szCs w:val="21"/>
              </w:rPr>
            </w:pPr>
          </w:p>
        </w:tc>
        <w:tc>
          <w:tcPr>
            <w:tcW w:w="6319" w:type="dxa"/>
            <w:tcBorders>
              <w:top w:val="single" w:sz="6" w:space="0" w:color="000000"/>
              <w:left w:val="nil"/>
              <w:bottom w:val="single" w:sz="6" w:space="0" w:color="000000"/>
              <w:right w:val="single" w:sz="6" w:space="0" w:color="000000"/>
            </w:tcBorders>
          </w:tcPr>
          <w:p>
            <w:pPr>
              <w:rPr>
                <w:rFonts w:ascii="宋体" w:hAnsi="宋体" w:cs="宋体"/>
                <w:szCs w:val="21"/>
              </w:rPr>
            </w:pPr>
            <w:r>
              <w:rPr>
                <w:rFonts w:ascii="仿宋_GB2312" w:eastAsia="仿宋_GB2312" w:hAnsi="仿宋_GB2312" w:hint="eastAsia"/>
                <w:sz w:val="24"/>
              </w:rPr>
              <w:t>（</w:t>
            </w:r>
            <w:r>
              <w:rPr>
                <w:rFonts w:ascii="宋体" w:hAnsi="宋体" w:cs="宋体" w:hint="eastAsia"/>
                <w:szCs w:val="21"/>
              </w:rPr>
              <w:t>7）</w:t>
            </w:r>
            <w:r>
              <w:rPr>
                <w:rFonts w:ascii="宋体" w:hAnsi="宋体" w:cs="宋体" w:hint="eastAsia"/>
                <w:szCs w:val="21"/>
              </w:rPr>
              <w:t>支持数据的备份和恢复功能，以应对数据丢失、硬件故障或灾难性事件等情况</w:t>
            </w:r>
          </w:p>
        </w:tc>
        <w:tc>
          <w:tcPr>
            <w:tcW w:w="818" w:type="dxa"/>
            <w:tcBorders>
              <w:top w:val="single" w:sz="6" w:space="0" w:color="CBCDD1"/>
              <w:left w:val="nil"/>
              <w:bottom w:val="single" w:sz="6" w:space="0" w:color="000000"/>
              <w:right w:val="single" w:sz="6" w:space="0" w:color="000000"/>
            </w:tcBorders>
          </w:tcPr>
          <w:p>
            <w:pPr>
              <w:rPr>
                <w:rFonts w:ascii="宋体" w:hAnsi="宋体" w:cs="宋体"/>
                <w:szCs w:val="21"/>
              </w:rPr>
            </w:pPr>
          </w:p>
        </w:tc>
      </w:tr>
    </w:tbl>
    <w:p>
      <w:pPr>
        <w:widowControl/>
        <w:jc w:val="left"/>
        <w:rPr>
          <w:rFonts w:ascii="宋体" w:hAnsi="宋体" w:cs="宋体"/>
          <w:szCs w:val="21"/>
        </w:rPr>
      </w:pPr>
    </w:p>
    <w:p>
      <w:pPr>
        <w:widowControl/>
        <w:numPr>
          <w:ilvl w:val="0"/>
          <w:numId w:val="11"/>
        </w:numPr>
        <w:jc w:val="left"/>
        <w:rPr>
          <w:rFonts w:ascii="宋体" w:hAnsi="宋体" w:cs="宋体"/>
          <w:szCs w:val="21"/>
        </w:rPr>
      </w:pPr>
      <w:r>
        <w:rPr>
          <w:rFonts w:ascii="宋体" w:hAnsi="宋体" w:cs="宋体" w:hint="eastAsia"/>
          <w:szCs w:val="21"/>
        </w:rPr>
        <w:t>关键技术</w:t>
      </w:r>
      <w:r>
        <w:rPr>
          <w:rFonts w:ascii="宋体" w:hAnsi="宋体" w:cs="宋体"/>
          <w:szCs w:val="21"/>
        </w:rPr>
        <w:t>-</w:t>
      </w:r>
      <w:r>
        <w:rPr>
          <w:rFonts w:ascii="宋体" w:hAnsi="宋体" w:cs="宋体" w:hint="eastAsia"/>
          <w:szCs w:val="21"/>
        </w:rPr>
        <w:t>大数据引擎升级技术</w:t>
      </w:r>
    </w:p>
    <w:p>
      <w:pPr>
        <w:rPr>
          <w:rFonts w:ascii="宋体" w:hAnsi="宋体" w:cs="宋体"/>
          <w:szCs w:val="21"/>
          <w:shd w:val="clear" w:color="auto" w:fill="C3EAD5"/>
        </w:rPr>
      </w:pPr>
    </w:p>
    <w:tbl>
      <w:tblPr>
        <w:tblStyle w:val="TableNormal"/>
        <w:tblW w:w="8926" w:type="dxa"/>
        <w:tblInd w:w="0" w:type="dxa"/>
        <w:tblCellMar>
          <w:top w:w="0" w:type="dxa"/>
          <w:left w:w="108" w:type="dxa"/>
          <w:bottom w:w="0" w:type="dxa"/>
          <w:right w:w="108" w:type="dxa"/>
        </w:tblCellMar>
      </w:tblPr>
      <w:tblGrid>
        <w:gridCol w:w="1696"/>
        <w:gridCol w:w="6379"/>
        <w:gridCol w:w="851"/>
      </w:tblGrid>
      <w:tr>
        <w:tblPrEx>
          <w:tblW w:w="8926" w:type="dxa"/>
          <w:tblInd w:w="0" w:type="dxa"/>
          <w:tblCellMar>
            <w:top w:w="0" w:type="dxa"/>
            <w:left w:w="108" w:type="dxa"/>
            <w:bottom w:w="0" w:type="dxa"/>
            <w:right w:w="108" w:type="dxa"/>
          </w:tblCellMar>
        </w:tblPrEx>
        <w:trPr>
          <w:trHeight w:val="3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b/>
                <w:bCs/>
                <w:color w:val="000000"/>
                <w:kern w:val="0"/>
                <w:szCs w:val="21"/>
              </w:rPr>
            </w:pPr>
            <w:r>
              <w:rPr>
                <w:rFonts w:ascii="宋体" w:hAnsi="宋体" w:cs="宋体" w:hint="eastAsia"/>
                <w:b/>
                <w:bCs/>
                <w:color w:val="000000"/>
                <w:kern w:val="0"/>
                <w:szCs w:val="21"/>
              </w:rPr>
              <w:t xml:space="preserve">功能名称 </w:t>
            </w:r>
          </w:p>
        </w:tc>
        <w:tc>
          <w:tcPr>
            <w:tcW w:w="6379" w:type="dxa"/>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b/>
                <w:bCs/>
                <w:color w:val="000000"/>
                <w:kern w:val="0"/>
                <w:szCs w:val="21"/>
              </w:rPr>
            </w:pPr>
            <w:r>
              <w:rPr>
                <w:rFonts w:ascii="宋体" w:hAnsi="宋体" w:cs="宋体" w:hint="eastAsia"/>
                <w:b/>
                <w:bCs/>
                <w:color w:val="000000"/>
                <w:kern w:val="0"/>
                <w:szCs w:val="21"/>
              </w:rPr>
              <w:t>技术要求</w:t>
            </w:r>
          </w:p>
        </w:tc>
        <w:tc>
          <w:tcPr>
            <w:tcW w:w="851" w:type="dxa"/>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b/>
                <w:bCs/>
                <w:color w:val="000000"/>
                <w:kern w:val="0"/>
                <w:szCs w:val="21"/>
              </w:rPr>
            </w:pPr>
            <w:r>
              <w:rPr>
                <w:rFonts w:ascii="宋体" w:hAnsi="宋体" w:cs="宋体" w:hint="eastAsia"/>
                <w:b/>
                <w:bCs/>
                <w:color w:val="000000"/>
                <w:kern w:val="0"/>
                <w:szCs w:val="21"/>
              </w:rPr>
              <w:t>备注</w:t>
            </w:r>
          </w:p>
        </w:tc>
      </w:tr>
      <w:tr>
        <w:tblPrEx>
          <w:tblW w:w="8926" w:type="dxa"/>
          <w:tblInd w:w="0" w:type="dxa"/>
          <w:tblCellMar>
            <w:top w:w="0" w:type="dxa"/>
            <w:left w:w="108" w:type="dxa"/>
            <w:bottom w:w="0" w:type="dxa"/>
            <w:right w:w="108" w:type="dxa"/>
          </w:tblCellMar>
        </w:tblPrEx>
        <w:trPr>
          <w:trHeight w:val="840"/>
        </w:trPr>
        <w:tc>
          <w:tcPr>
            <w:tcW w:w="169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color w:val="000000"/>
                <w:kern w:val="0"/>
                <w:szCs w:val="21"/>
              </w:rPr>
            </w:pPr>
            <w:r>
              <w:rPr>
                <w:rFonts w:ascii="宋体" w:hAnsi="宋体" w:cs="宋体" w:hint="eastAsia"/>
                <w:color w:val="000000"/>
                <w:kern w:val="0"/>
                <w:szCs w:val="21"/>
              </w:rPr>
              <w:t>分布式消息引擎</w:t>
            </w: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（8） 支持可扩展、高吞吐、低延迟、高可靠、分布式的消息分发服务，支持集群横向扩容</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115"/>
        </w:trPr>
        <w:tc>
          <w:tcPr>
            <w:tcW w:w="169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（9） 支持同步落盘与多副本冗余，确保数据高可靠</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233"/>
        </w:trPr>
        <w:tc>
          <w:tcPr>
            <w:tcW w:w="169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（10） 支持消息过滤，根据消息标签对可消费的消息进行过滤</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（11） 支持事务消息，保证消息生产者本地事务处理成功与消息发送成功的最终一致</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color w:val="000000"/>
                <w:kern w:val="0"/>
                <w:szCs w:val="21"/>
              </w:rPr>
            </w:pPr>
            <w:r>
              <w:rPr>
                <w:rFonts w:ascii="宋体" w:hAnsi="宋体" w:cs="宋体" w:hint="eastAsia"/>
                <w:color w:val="000000"/>
                <w:kern w:val="0"/>
                <w:szCs w:val="21"/>
              </w:rPr>
              <w:t>实时计算引擎</w:t>
            </w: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仿宋_GB2312" w:eastAsia="仿宋_GB2312" w:hAnsi="仿宋_GB2312" w:hint="eastAsia"/>
                <w:sz w:val="24"/>
              </w:rPr>
              <w:t>▲</w:t>
            </w:r>
            <w:r>
              <w:rPr>
                <w:rFonts w:ascii="宋体" w:hAnsi="宋体" w:cs="宋体" w:hint="eastAsia"/>
                <w:color w:val="000000"/>
                <w:kern w:val="0"/>
                <w:szCs w:val="21"/>
              </w:rPr>
              <w:t>（12） 实时计算组件支持与多种外部数据源集成，至少包括：Kafka、Flink、HDFS、HBase、Redis或JDBC/RDBMS服务，便于实现涉及多种数据源的业务。</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（13） 支持日志处理数据流、各类企业消息总线等分布式消息系统。</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（14） 支持低延时和高吞吐量的服务要求</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color w:val="000000"/>
                <w:kern w:val="0"/>
                <w:szCs w:val="21"/>
              </w:rPr>
            </w:pPr>
            <w:r>
              <w:rPr>
                <w:rFonts w:ascii="宋体" w:hAnsi="宋体" w:cs="宋体" w:hint="eastAsia"/>
                <w:color w:val="000000"/>
                <w:kern w:val="0"/>
                <w:szCs w:val="21"/>
              </w:rPr>
              <w:t>HBASE引擎计算引擎</w:t>
            </w: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（15）页面上展示HBase表列表，每个表可查看MemSotre大小、StoreFile大小、Region分布情况。</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（16）支持Region分析，可查看Region的读/写QPS</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val="restart"/>
            <w:tcBorders>
              <w:top w:val="nil"/>
              <w:left w:val="single" w:sz="4" w:space="0" w:color="auto"/>
              <w:bottom w:val="single" w:sz="4" w:space="0" w:color="000000"/>
              <w:right w:val="single" w:sz="4" w:space="0" w:color="auto"/>
            </w:tcBorders>
            <w:shd w:val="clear" w:color="auto" w:fill="auto"/>
            <w:vAlign w:val="center"/>
          </w:tcPr>
          <w:p>
            <w:pPr>
              <w:widowControl/>
              <w:jc w:val="center"/>
              <w:rPr>
                <w:rFonts w:ascii="宋体" w:hAnsi="宋体" w:cs="宋体"/>
                <w:color w:val="000000"/>
                <w:kern w:val="0"/>
                <w:szCs w:val="21"/>
              </w:rPr>
            </w:pPr>
            <w:r>
              <w:rPr>
                <w:rFonts w:ascii="宋体" w:hAnsi="宋体" w:cs="宋体" w:hint="eastAsia"/>
                <w:color w:val="000000"/>
                <w:kern w:val="0"/>
                <w:szCs w:val="21"/>
              </w:rPr>
              <w:t>数据湖存储引擎</w:t>
            </w: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（17）支持orc、parquet和avro三种数据存储格式</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83"/>
        </w:trPr>
        <w:tc>
          <w:tcPr>
            <w:tcW w:w="1696" w:type="dxa"/>
            <w:vMerge/>
            <w:tcBorders>
              <w:top w:val="nil"/>
              <w:left w:val="single" w:sz="4" w:space="0" w:color="auto"/>
              <w:bottom w:val="single" w:sz="4" w:space="0" w:color="000000"/>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（18）支持通过Flink CDC增量/全量读取湖中数据，数据入湖</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249"/>
        </w:trPr>
        <w:tc>
          <w:tcPr>
            <w:tcW w:w="1696" w:type="dxa"/>
            <w:vMerge/>
            <w:tcBorders>
              <w:top w:val="nil"/>
              <w:left w:val="single" w:sz="4" w:space="0" w:color="auto"/>
              <w:bottom w:val="single" w:sz="4" w:space="0" w:color="000000"/>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仿宋_GB2312" w:eastAsia="仿宋_GB2312" w:hAnsi="仿宋_GB2312" w:hint="eastAsia"/>
                <w:sz w:val="24"/>
              </w:rPr>
              <w:t>▲</w:t>
            </w:r>
            <w:r>
              <w:rPr>
                <w:rFonts w:ascii="宋体" w:hAnsi="宋体" w:cs="宋体" w:hint="eastAsia"/>
                <w:color w:val="000000"/>
                <w:kern w:val="0"/>
                <w:szCs w:val="21"/>
              </w:rPr>
              <w:t>（19）支持基于快照和时间戳查询历史数据，支持查询历史版本并回滚到任一版本</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557"/>
        </w:trPr>
        <w:tc>
          <w:tcPr>
            <w:tcW w:w="1696" w:type="dxa"/>
            <w:vMerge/>
            <w:tcBorders>
              <w:top w:val="nil"/>
              <w:left w:val="single" w:sz="4" w:space="0" w:color="auto"/>
              <w:bottom w:val="single" w:sz="4" w:space="0" w:color="000000"/>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仿宋_GB2312" w:eastAsia="仿宋_GB2312" w:hAnsi="仿宋_GB2312" w:hint="eastAsia"/>
                <w:sz w:val="24"/>
              </w:rPr>
              <w:t>▲</w:t>
            </w:r>
            <w:r>
              <w:rPr>
                <w:rFonts w:ascii="宋体" w:hAnsi="宋体" w:cs="宋体" w:hint="eastAsia"/>
                <w:color w:val="000000"/>
                <w:kern w:val="0"/>
                <w:szCs w:val="21"/>
              </w:rPr>
              <w:t>（20）支持通过sql方式创建湖表、对表结构进行变更，含分区字段和普通字段的增加、减少。支持隐式分区能力，插入数据不指定分区，查询时显式指定分区，可正确查询</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r>
        <w:tblPrEx>
          <w:tblW w:w="8926" w:type="dxa"/>
          <w:tblInd w:w="0" w:type="dxa"/>
          <w:tblCellMar>
            <w:top w:w="0" w:type="dxa"/>
            <w:left w:w="108" w:type="dxa"/>
            <w:bottom w:w="0" w:type="dxa"/>
            <w:right w:w="108" w:type="dxa"/>
          </w:tblCellMar>
        </w:tblPrEx>
        <w:trPr>
          <w:trHeight w:val="93"/>
        </w:trPr>
        <w:tc>
          <w:tcPr>
            <w:tcW w:w="1696" w:type="dxa"/>
            <w:vMerge/>
            <w:tcBorders>
              <w:top w:val="nil"/>
              <w:left w:val="single" w:sz="4" w:space="0" w:color="auto"/>
              <w:bottom w:val="single" w:sz="4" w:space="0" w:color="000000"/>
              <w:right w:val="single" w:sz="4" w:space="0" w:color="auto"/>
            </w:tcBorders>
            <w:vAlign w:val="center"/>
          </w:tcPr>
          <w:p>
            <w:pPr>
              <w:widowControl/>
              <w:jc w:val="left"/>
              <w:rPr>
                <w:rFonts w:ascii="宋体" w:hAnsi="宋体" w:cs="宋体"/>
                <w:color w:val="000000"/>
                <w:kern w:val="0"/>
                <w:szCs w:val="21"/>
              </w:rPr>
            </w:pPr>
          </w:p>
        </w:tc>
        <w:tc>
          <w:tcPr>
            <w:tcW w:w="6379"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（21）支持创建Catalog，支持hadoop和hive metasotre作为元存储引擎</w:t>
            </w:r>
          </w:p>
        </w:tc>
        <w:tc>
          <w:tcPr>
            <w:tcW w:w="851"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color w:val="000000"/>
                <w:kern w:val="0"/>
                <w:szCs w:val="21"/>
              </w:rPr>
            </w:pPr>
            <w:r>
              <w:rPr>
                <w:rFonts w:ascii="宋体" w:hAnsi="宋体" w:cs="宋体" w:hint="eastAsia"/>
                <w:color w:val="000000"/>
                <w:kern w:val="0"/>
                <w:szCs w:val="21"/>
              </w:rPr>
              <w:t>　</w:t>
            </w:r>
          </w:p>
        </w:tc>
      </w:tr>
    </w:tbl>
    <w:p>
      <w:pPr>
        <w:rPr>
          <w:rFonts w:ascii="宋体" w:hAnsi="宋体" w:cs="宋体"/>
          <w:szCs w:val="21"/>
          <w:shd w:val="clear" w:color="auto" w:fill="C3EAD5"/>
        </w:rPr>
      </w:pPr>
    </w:p>
    <w:p>
      <w:pPr>
        <w:ind w:firstLine="420" w:firstLineChars="200"/>
        <w:jc w:val="left"/>
        <w:rPr>
          <w:rFonts w:ascii="宋体" w:hAnsi="宋体" w:cs="宋体"/>
          <w:b/>
          <w:bCs/>
          <w:szCs w:val="21"/>
        </w:rPr>
      </w:pPr>
      <w:r>
        <w:rPr>
          <w:rFonts w:hAnsi="宋体" w:eastAsiaTheme="minorEastAsia" w:hint="eastAsia"/>
          <w:color w:val="FF0000"/>
          <w:kern w:val="0"/>
          <w:szCs w:val="21"/>
        </w:rPr>
        <w:t>★</w:t>
      </w:r>
      <w:r>
        <w:rPr>
          <w:rFonts w:ascii="宋体" w:hAnsi="宋体" w:cs="宋体" w:hint="eastAsia"/>
          <w:b/>
          <w:bCs/>
          <w:szCs w:val="21"/>
        </w:rPr>
        <w:t>3、人员要求</w:t>
      </w:r>
    </w:p>
    <w:p>
      <w:pPr>
        <w:pStyle w:val="1"/>
        <w:ind w:left="0" w:firstLine="420" w:leftChars="0" w:firstLineChars="200"/>
        <w:rPr>
          <w:rFonts w:ascii="宋体" w:hAnsi="宋体" w:cs="宋体"/>
          <w:szCs w:val="21"/>
        </w:rPr>
      </w:pPr>
      <w:r>
        <w:rPr>
          <w:rFonts w:ascii="宋体" w:hAnsi="宋体" w:cs="宋体" w:hint="eastAsia"/>
          <w:szCs w:val="21"/>
        </w:rPr>
        <w:t>根据项目的规模及特点，本项目实施期间团队核心成员须不少于5人，其中项目统筹人1名，项目团队成员包含产品支持人员、实施交付人员、培训工程师等角色，具体安排如下：</w:t>
      </w:r>
    </w:p>
    <w:p>
      <w:pPr>
        <w:pStyle w:val="1"/>
        <w:ind w:left="0" w:firstLine="420" w:leftChars="0" w:firstLineChars="200"/>
        <w:rPr>
          <w:rFonts w:ascii="宋体" w:hAnsi="宋体" w:cs="宋体"/>
          <w:szCs w:val="21"/>
        </w:rPr>
      </w:pPr>
      <w:r>
        <w:rPr>
          <w:rFonts w:ascii="宋体" w:hAnsi="宋体" w:cs="宋体" w:hint="eastAsia"/>
          <w:szCs w:val="21"/>
        </w:rPr>
        <w:t>（1）指派1名项目统筹人，负责整体项目的质量、进度、任务分派等统筹工作，在项目计划、组织、协调中做好领导工作，项目负责人是项目的总统筹总负责人。具有本科（或以上）学历；具备信息化专业知识，具备沟通技巧，了解团队人员的构成，能对团队进行合理分工。</w:t>
      </w:r>
    </w:p>
    <w:p>
      <w:pPr>
        <w:pStyle w:val="1"/>
        <w:ind w:left="0" w:firstLine="420" w:leftChars="0" w:firstLineChars="200"/>
        <w:rPr>
          <w:rFonts w:ascii="宋体" w:hAnsi="宋体" w:cs="宋体"/>
          <w:szCs w:val="21"/>
        </w:rPr>
      </w:pPr>
      <w:r>
        <w:rPr>
          <w:rFonts w:ascii="宋体" w:hAnsi="宋体" w:cs="宋体" w:hint="eastAsia"/>
          <w:szCs w:val="21"/>
        </w:rPr>
        <w:t>（2）指派1名产品支持人员，负责软件的交付支撑。</w:t>
      </w:r>
    </w:p>
    <w:p>
      <w:pPr>
        <w:pStyle w:val="1"/>
        <w:ind w:left="0" w:firstLine="420" w:leftChars="0" w:firstLineChars="200"/>
        <w:rPr>
          <w:rFonts w:ascii="宋体" w:hAnsi="宋体" w:cs="宋体"/>
          <w:szCs w:val="21"/>
        </w:rPr>
      </w:pPr>
      <w:r>
        <w:rPr>
          <w:rFonts w:ascii="宋体" w:hAnsi="宋体" w:cs="宋体" w:hint="eastAsia"/>
          <w:szCs w:val="21"/>
        </w:rPr>
        <w:t>（3）指派3名实施交付人员，负责软件部署测试等工作，协助解决项目实施过程中的关键问题和技术难题。</w:t>
      </w:r>
    </w:p>
    <w:p>
      <w:pPr>
        <w:pStyle w:val="1"/>
        <w:ind w:left="0" w:firstLine="420" w:leftChars="0" w:firstLineChars="200"/>
        <w:rPr>
          <w:rFonts w:ascii="宋体" w:hAnsi="宋体" w:cs="宋体"/>
          <w:szCs w:val="21"/>
        </w:rPr>
      </w:pPr>
      <w:r>
        <w:rPr>
          <w:rFonts w:ascii="宋体" w:hAnsi="宋体" w:cs="宋体" w:hint="eastAsia"/>
          <w:szCs w:val="21"/>
        </w:rPr>
        <w:t>（4）指派1名培训工程师，负责对相关技术人员和管理专家进行全面的培训，使用户人员在各个层次上掌握系统的操作、系统配置、运营、故障处理及日常测试维护。</w:t>
      </w:r>
    </w:p>
    <w:p>
      <w:pPr>
        <w:pStyle w:val="1"/>
        <w:ind w:left="0" w:firstLine="420" w:leftChars="0" w:firstLineChars="200"/>
        <w:rPr>
          <w:rFonts w:ascii="宋体" w:hAnsi="宋体" w:cs="宋体"/>
          <w:szCs w:val="21"/>
        </w:rPr>
      </w:pPr>
      <w:r>
        <w:rPr>
          <w:rFonts w:ascii="宋体" w:hAnsi="宋体" w:cs="宋体" w:hint="eastAsia"/>
          <w:szCs w:val="21"/>
        </w:rPr>
        <w:t>（5）项目中途未经采购方书面同意不更换项目主要负责人员。如果投标人确因无法抗拒的原因更换项目人员时，将向采购方提交书面申请，经同意后，提供一名具有同等或更高资历、熟悉相关业务的人员替换该职位。</w:t>
      </w:r>
    </w:p>
    <w:p>
      <w:pPr>
        <w:pStyle w:val="1"/>
        <w:ind w:left="0" w:firstLine="420" w:leftChars="0" w:firstLineChars="200"/>
        <w:rPr>
          <w:rFonts w:ascii="宋体" w:hAnsi="宋体" w:cs="宋体"/>
          <w:b/>
          <w:bCs/>
          <w:szCs w:val="21"/>
        </w:rPr>
      </w:pPr>
      <w:r>
        <w:rPr>
          <w:rFonts w:hAnsi="宋体" w:eastAsiaTheme="minorEastAsia" w:hint="eastAsia"/>
          <w:color w:val="FF0000"/>
          <w:kern w:val="0"/>
          <w:szCs w:val="21"/>
        </w:rPr>
        <w:t>★</w:t>
      </w:r>
      <w:r>
        <w:rPr>
          <w:rFonts w:ascii="宋体" w:hAnsi="宋体" w:cs="宋体" w:hint="eastAsia"/>
          <w:b/>
          <w:bCs/>
          <w:szCs w:val="21"/>
        </w:rPr>
        <w:t>4、工作质量要求</w:t>
      </w:r>
    </w:p>
    <w:p>
      <w:pPr>
        <w:pStyle w:val="1"/>
        <w:ind w:left="0" w:firstLine="420" w:leftChars="0" w:firstLineChars="200"/>
        <w:rPr>
          <w:rFonts w:ascii="宋体" w:hAnsi="宋体" w:cs="宋体"/>
          <w:szCs w:val="21"/>
        </w:rPr>
      </w:pPr>
      <w:r>
        <w:rPr>
          <w:rFonts w:ascii="宋体" w:hAnsi="宋体" w:cs="宋体" w:hint="eastAsia"/>
          <w:szCs w:val="21"/>
        </w:rPr>
        <w:t>（1）项目的成果质量必须符合国家、深圳市相关规定和本合同约定的质量相关要求。</w:t>
      </w:r>
    </w:p>
    <w:p>
      <w:pPr>
        <w:pStyle w:val="1"/>
        <w:ind w:left="0" w:firstLine="420" w:leftChars="0" w:firstLineChars="200"/>
        <w:rPr>
          <w:rFonts w:ascii="宋体" w:hAnsi="宋体" w:cs="宋体"/>
          <w:szCs w:val="21"/>
        </w:rPr>
      </w:pPr>
      <w:r>
        <w:rPr>
          <w:rFonts w:ascii="宋体" w:hAnsi="宋体" w:cs="宋体" w:hint="eastAsia"/>
          <w:szCs w:val="21"/>
        </w:rPr>
        <w:t>（2）与本项目有关的法律法规、国家强制性标准、行业标准及相关规定中的标准及要求发生变化更新的，以最新要求为准；相关法律法规标准存在冲突的，以较高标准为准。</w:t>
      </w:r>
    </w:p>
    <w:p>
      <w:pPr>
        <w:pStyle w:val="1"/>
        <w:ind w:left="0" w:firstLine="420" w:leftChars="0" w:firstLineChars="200"/>
        <w:rPr>
          <w:rFonts w:ascii="宋体" w:hAnsi="宋体" w:cs="宋体"/>
          <w:szCs w:val="21"/>
        </w:rPr>
      </w:pPr>
      <w:r>
        <w:rPr>
          <w:rFonts w:ascii="宋体" w:hAnsi="宋体" w:cs="宋体" w:hint="eastAsia"/>
          <w:szCs w:val="21"/>
        </w:rPr>
        <w:t>（3）在合同履行过程中，采购方可以依据相关要求，对最终成果的质量标准进行调整。采购方如需中标方增加提高成果的质量，应与中标方协商一致后进行相应质量标准的变更。</w:t>
      </w:r>
    </w:p>
    <w:p>
      <w:pPr>
        <w:pStyle w:val="1"/>
        <w:rPr>
          <w:rFonts w:hint="eastAsia"/>
        </w:rPr>
      </w:pPr>
    </w:p>
    <w:p>
      <w:pPr>
        <w:pStyle w:val="Heading2"/>
        <w:spacing w:before="120" w:beforeLines="50" w:after="120" w:afterLines="50"/>
        <w:rPr>
          <w:szCs w:val="24"/>
        </w:rPr>
      </w:pPr>
      <w:r>
        <w:rPr>
          <w:rFonts w:hint="eastAsia"/>
          <w:b/>
          <w:color w:val="FF0000"/>
          <w:szCs w:val="21"/>
        </w:rPr>
        <w:t>★</w:t>
      </w:r>
      <w:r>
        <w:rPr>
          <w:rFonts w:hint="eastAsia"/>
          <w:szCs w:val="24"/>
        </w:rPr>
        <w:t>六、商务要求</w:t>
      </w:r>
    </w:p>
    <w:p>
      <w:pPr>
        <w:ind w:firstLine="420" w:firstLineChars="200"/>
        <w:rPr>
          <w:rFonts w:hint="eastAsia"/>
          <w:b/>
          <w:color w:val="FF0000"/>
          <w:szCs w:val="21"/>
        </w:rPr>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1.服务期限及基本要求</w:t>
      </w:r>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（1）服务期限：自合同签订之日起服务期满</w:t>
      </w:r>
      <w:r>
        <w:rPr>
          <w:rFonts w:asciiTheme="minorEastAsia" w:eastAsiaTheme="minorEastAsia" w:hAnsiTheme="minorEastAsia" w:cstheme="minorEastAsia"/>
          <w:szCs w:val="21"/>
        </w:rPr>
        <w:t>24</w:t>
      </w:r>
      <w:r>
        <w:rPr>
          <w:rFonts w:asciiTheme="minorEastAsia" w:eastAsiaTheme="minorEastAsia" w:hAnsiTheme="minorEastAsia" w:cstheme="minorEastAsia" w:hint="eastAsia"/>
          <w:szCs w:val="21"/>
        </w:rPr>
        <w:t>个月。</w:t>
      </w:r>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（2）服务基本要求</w:t>
      </w:r>
    </w:p>
    <w:p>
      <w:pPr>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授权服务包括大数据引擎、分布式数据库、时序数据库、对象存储、实时计算软件，要求供应商应在合同签订之日起3个月内完成软件部署上线提供基础服务，并通过系统功能和性能自测。并在项目验收后提供2年维保服务，主要服务内容包括：热线受理，远程问题处理，缺陷修复支持，巡检支持，应急响应，更新与升级授权等，除去首期款之外，支付对应款项时开展履约考核评价，按照考核评分支付款项或相应扣款</w:t>
      </w:r>
      <w:r>
        <w:rPr>
          <w:rFonts w:asciiTheme="minorEastAsia" w:eastAsiaTheme="minorEastAsia" w:hAnsiTheme="minorEastAsia" w:cstheme="minorEastAsia" w:hint="eastAsia"/>
          <w:szCs w:val="21"/>
          <w:lang w:eastAsia="zh-CN"/>
        </w:rPr>
        <w:t>。</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2、考核办法/验收方式</w:t>
      </w:r>
    </w:p>
    <w:p>
      <w:pPr>
        <w:pStyle w:val="1"/>
        <w:ind w:left="0" w:firstLine="420" w:leftChars="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（1）中标人完成约定的对应服务工作，提交规定的阶段性服务成果后，由采购方组织开展项目阶段性验收工作。</w:t>
      </w:r>
    </w:p>
    <w:p>
      <w:pPr>
        <w:pStyle w:val="1"/>
        <w:ind w:left="0" w:firstLine="420" w:leftChars="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（2）中标人在完成约定服务的内容后，经采购方验收确认后，视为验收通过并签署验收报告。</w:t>
      </w:r>
    </w:p>
    <w:p>
      <w:pPr>
        <w:pStyle w:val="1"/>
        <w:ind w:left="0" w:firstLine="420" w:leftChars="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（3）提交的服务成果包括项目服务的软件授权，以及配套的需求文档、技术说明文档、操作手册等在内的完备项目文档资料。</w:t>
      </w:r>
    </w:p>
    <w:p>
      <w:pPr>
        <w:pStyle w:val="1"/>
        <w:ind w:left="0" w:firstLine="420" w:leftChars="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（4）其它交付成果参见成果技术标准。</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3、报价要求</w:t>
      </w:r>
    </w:p>
    <w:p>
      <w:pPr>
        <w:pStyle w:val="1"/>
        <w:ind w:left="0" w:firstLine="420" w:leftChars="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（1）项目报价不得超过最高限额。</w:t>
      </w:r>
    </w:p>
    <w:p>
      <w:pPr>
        <w:pStyle w:val="1"/>
        <w:ind w:left="0" w:firstLine="420" w:leftChars="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项目报价采用包干价格形式，各分项报价不得超过对应项的预算总额和各专业单价。投标报价中应包含本项目所有服务以及国家规定的各项税费等所有项目相关费用。项目执行过程中中标方不得增加费用，因中标商考虑不周而造成费用增加，由中标商承担该部分费用</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4、付款方式</w:t>
      </w:r>
    </w:p>
    <w:p>
      <w:pPr>
        <w:pStyle w:val="1"/>
        <w:ind w:left="0" w:firstLine="420" w:leftChars="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项目按照合同相关规定分期付款，相关要求、时限以合同文本的约定和财政部门的规定为准。</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5、服务成果要求</w:t>
      </w:r>
    </w:p>
    <w:p>
      <w:pPr>
        <w:pStyle w:val="Heading2"/>
        <w:tabs>
          <w:tab w:val="left" w:pos="1440"/>
        </w:tabs>
        <w:ind w:firstLine="420" w:firstLineChars="200"/>
        <w:jc w:val="left"/>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（一）未经采购人同意，中标人不能以采购人的名义或易引起他人误以为是甲方的方式从事与本项目无关的活动。</w:t>
      </w:r>
    </w:p>
    <w:p>
      <w:pPr>
        <w:pStyle w:val="Heading2"/>
        <w:tabs>
          <w:tab w:val="left" w:pos="1440"/>
        </w:tabs>
        <w:ind w:firstLine="420" w:firstLineChars="200"/>
        <w:jc w:val="left"/>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（二）非双方约定或未经对方书面同意，非知识产权所有方不得以任何方式向第三方披露、转让或许可使用本项目有关的软件成果、专利技术、技术秘密等。</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6、供应商履约评价</w:t>
      </w:r>
    </w:p>
    <w:p>
      <w:pPr>
        <w:widowControl/>
        <w:ind w:firstLine="420" w:firstLineChars="200"/>
        <w:jc w:val="left"/>
        <w:textAlignment w:val="center"/>
        <w:rPr>
          <w:rFonts w:asciiTheme="minorEastAsia" w:eastAsiaTheme="minorEastAsia" w:hAnsiTheme="minorEastAsia" w:cstheme="minorEastAsia"/>
          <w:bCs/>
          <w:szCs w:val="21"/>
        </w:rPr>
      </w:pPr>
      <w:r>
        <w:rPr>
          <w:rFonts w:asciiTheme="minorEastAsia" w:eastAsiaTheme="minorEastAsia" w:hAnsiTheme="minorEastAsia" w:cstheme="minorEastAsia" w:hint="eastAsia"/>
          <w:bCs/>
          <w:szCs w:val="21"/>
        </w:rPr>
        <w:t>履约评价表参照附件样表设置，具体以实际情况为准。满分设置为100分，“评价标准”、“评价指标”以及“分值”项目负责人可根据项目要求自行设定。评价共分为4各级别，评分为90分（含）以上为“优”；评分为80（含）至90分之间的，评价为“良”；评分为60（含）至80分之间的为“中”；评分为60分以下的为“差”。项目单位每年对服务单位进行履约评价，服务单位履约评价为“差”的项目单位对该阶段款项不予支付，且项目单位有权终止合同，因服务单位行为给项目单位造成损失的服务单位应当承担赔偿责任。</w:t>
      </w:r>
    </w:p>
    <w:p>
      <w:pPr>
        <w:widowControl/>
        <w:ind w:firstLine="420" w:firstLineChars="200"/>
        <w:jc w:val="left"/>
        <w:textAlignment w:val="center"/>
        <w:rPr>
          <w:rFonts w:asciiTheme="minorEastAsia" w:eastAsiaTheme="minorEastAsia" w:hAnsiTheme="minorEastAsia" w:cstheme="minorEastAsia"/>
          <w:bCs/>
          <w:szCs w:val="21"/>
        </w:rPr>
      </w:pPr>
      <w:r>
        <w:rPr>
          <w:rFonts w:asciiTheme="minorEastAsia" w:eastAsiaTheme="minorEastAsia" w:hAnsiTheme="minorEastAsia" w:cstheme="minorEastAsia" w:hint="eastAsia"/>
          <w:bCs/>
          <w:szCs w:val="21"/>
        </w:rPr>
        <w:t>项目如涉及市对区考核情况，则评价标准中必须设定“市对区项目绩效履约考核情况”（分值不低于40分）：考核结果在全市各区排名前列（1-3位，含并列），得40分；考核结果在全市各区排名居中（4-8位，含并列），得20分；考核结果在全市各区排名靠后（9-11位，含并列），不得分。市排名未明确并列名次的（并列名次须注明排名不分前后），按照市考核公布文件各区位列顺序计算排名。</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7、用户满意度</w:t>
      </w:r>
    </w:p>
    <w:p>
      <w:pPr>
        <w:widowControl/>
        <w:ind w:firstLine="420" w:firstLineChars="200"/>
        <w:jc w:val="left"/>
        <w:textAlignment w:val="center"/>
        <w:rPr>
          <w:rFonts w:asciiTheme="minorEastAsia" w:eastAsiaTheme="minorEastAsia" w:hAnsiTheme="minorEastAsia" w:cstheme="minorEastAsia"/>
          <w:bCs/>
          <w:szCs w:val="21"/>
        </w:rPr>
      </w:pPr>
      <w:r>
        <w:rPr>
          <w:rFonts w:asciiTheme="minorEastAsia" w:eastAsiaTheme="minorEastAsia" w:hAnsiTheme="minorEastAsia" w:cstheme="minorEastAsia" w:hint="eastAsia"/>
          <w:bCs/>
          <w:szCs w:val="21"/>
        </w:rPr>
        <w:t>服务期满，针对项目服务对象开展满意度调查，用户平均满意度高于90%视为完成指标，对于用户满意度不达标的方面需及时进行优化改进。满意度调查结果将作为项目验收条件之一，若满意度不达标，项目尾款不予支付。</w:t>
      </w:r>
    </w:p>
    <w:p>
      <w:pPr>
        <w:ind w:firstLine="420" w:firstLineChars="20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8、其他需说明的事项</w:t>
      </w:r>
    </w:p>
    <w:p>
      <w:pPr>
        <w:widowControl/>
        <w:ind w:firstLine="420" w:firstLineChars="200"/>
        <w:jc w:val="left"/>
        <w:textAlignment w:val="center"/>
        <w:rPr>
          <w:rFonts w:asciiTheme="minorEastAsia" w:eastAsiaTheme="minorEastAsia" w:hAnsiTheme="minorEastAsia" w:cstheme="minorEastAsia"/>
          <w:bCs/>
          <w:szCs w:val="21"/>
        </w:rPr>
      </w:pPr>
      <w:r>
        <w:rPr>
          <w:rFonts w:asciiTheme="minorEastAsia" w:eastAsiaTheme="minorEastAsia" w:hAnsiTheme="minorEastAsia" w:cstheme="minorEastAsia" w:hint="eastAsia"/>
          <w:bCs/>
          <w:szCs w:val="21"/>
        </w:rPr>
        <w:t>投标人应对投标内容所涉及的一切专利等知识产权承担责任，并负有保护招标人的利益不受任何损害。一切由于文字、商标和技术专利等侵权引起的法律诉讼和裁决等均由投标人负责，与招标人无关。</w:t>
      </w:r>
    </w:p>
    <w:p>
      <w:pPr>
        <w:pStyle w:val="Heading2"/>
        <w:numPr>
          <w:ilvl w:val="0"/>
          <w:numId w:val="12"/>
        </w:numPr>
        <w:spacing w:before="120" w:beforeLines="50" w:after="120" w:afterLines="50"/>
        <w:rPr>
          <w:rFonts w:hint="eastAsia"/>
          <w:lang w:eastAsia="zh-CN"/>
        </w:rPr>
      </w:pPr>
      <w:r>
        <w:rPr>
          <w:rFonts w:hint="eastAsia"/>
          <w:szCs w:val="24"/>
          <w:lang w:val="en-US" w:eastAsia="zh-CN"/>
        </w:rPr>
        <w:t>演示要求</w:t>
      </w:r>
    </w:p>
    <w:p>
      <w:pPr>
        <w:ind w:firstLine="420" w:firstLineChars="200"/>
        <w:rPr>
          <w:rFonts w:ascii="宋体" w:hAnsi="宋体" w:cs="宋体"/>
          <w:szCs w:val="21"/>
        </w:rPr>
      </w:pPr>
      <w:r>
        <w:rPr>
          <w:rFonts w:ascii="宋体" w:hAnsi="宋体" w:cs="宋体" w:hint="eastAsia"/>
          <w:szCs w:val="21"/>
        </w:rPr>
        <w:t>（一）总体要求：</w:t>
      </w:r>
    </w:p>
    <w:p>
      <w:pPr>
        <w:ind w:firstLine="420" w:firstLineChars="200"/>
        <w:rPr>
          <w:rFonts w:ascii="宋体" w:hAnsi="宋体" w:cs="宋体"/>
          <w:szCs w:val="21"/>
        </w:rPr>
      </w:pPr>
      <w:r>
        <w:rPr>
          <w:rFonts w:ascii="宋体" w:hAnsi="宋体" w:cs="宋体" w:hint="eastAsia"/>
          <w:szCs w:val="21"/>
        </w:rPr>
        <w:t>1、投标（谈判）供应商授权委托人请于</w:t>
      </w:r>
      <w:r>
        <w:rPr>
          <w:rFonts w:ascii="宋体" w:hAnsi="宋体" w:cs="宋体" w:hint="eastAsia"/>
          <w:b/>
          <w:bCs/>
          <w:color w:val="FF0000"/>
          <w:szCs w:val="21"/>
        </w:rPr>
        <w:t>本项目开标时间起60分钟内到达深圳交易集团有限公司宝安分公司（深圳市宝安区2区湖滨东路40号）1楼服务大厅按现场工作人员指引填写《现场演示签到表》，迟到或缺席将会导致演示及答辩相关评分项得0分。</w:t>
      </w:r>
    </w:p>
    <w:p>
      <w:pPr>
        <w:ind w:firstLine="420" w:firstLineChars="200"/>
        <w:rPr>
          <w:rFonts w:ascii="宋体" w:hAnsi="宋体" w:cs="宋体"/>
          <w:szCs w:val="21"/>
        </w:rPr>
      </w:pPr>
      <w:r>
        <w:rPr>
          <w:rFonts w:ascii="宋体" w:hAnsi="宋体" w:cs="宋体" w:hint="eastAsia"/>
          <w:szCs w:val="21"/>
        </w:rPr>
        <w:t>2、现场演示（方案讲解）地点提供大屏幕投影设备，可外接笔记本电脑和投影机，外接设备由投标公司自备。由于场地有限，建议不携带过大设备。</w:t>
      </w:r>
    </w:p>
    <w:p>
      <w:pPr>
        <w:ind w:firstLine="420" w:firstLineChars="200"/>
        <w:rPr>
          <w:rFonts w:ascii="宋体" w:hAnsi="宋体" w:cs="宋体"/>
          <w:szCs w:val="21"/>
        </w:rPr>
      </w:pPr>
      <w:r>
        <w:rPr>
          <w:rFonts w:ascii="宋体" w:hAnsi="宋体" w:cs="宋体" w:hint="eastAsia"/>
          <w:szCs w:val="21"/>
        </w:rPr>
        <w:t>3、每个投标（谈判）供应商演示及答辩时间不超</w:t>
      </w:r>
      <w:r>
        <w:rPr>
          <w:rFonts w:ascii="宋体" w:hAnsi="宋体" w:cs="宋体" w:hint="eastAsia"/>
          <w:szCs w:val="21"/>
          <w:highlight w:val="none"/>
        </w:rPr>
        <w:t>过15分钟，其中演示时间不超过12分钟（期间评委可能会进行提问，并有权酌情延长时间）。现场演示人员一般不得超过</w:t>
      </w:r>
      <w:r>
        <w:rPr>
          <w:rFonts w:ascii="宋体" w:hAnsi="宋体" w:cs="宋体" w:hint="eastAsia"/>
          <w:b/>
          <w:bCs/>
          <w:szCs w:val="21"/>
        </w:rPr>
        <w:t>2</w:t>
      </w:r>
      <w:r>
        <w:rPr>
          <w:rFonts w:ascii="宋体" w:hAnsi="宋体" w:cs="宋体" w:hint="eastAsia"/>
          <w:szCs w:val="21"/>
        </w:rPr>
        <w:t>人。</w:t>
      </w:r>
    </w:p>
    <w:p>
      <w:pPr>
        <w:ind w:firstLine="420" w:firstLineChars="200"/>
        <w:rPr>
          <w:rFonts w:ascii="宋体" w:hAnsi="宋体" w:cs="宋体"/>
          <w:szCs w:val="21"/>
        </w:rPr>
      </w:pPr>
      <w:r>
        <w:rPr>
          <w:rFonts w:ascii="宋体" w:hAnsi="宋体" w:cs="宋体" w:hint="eastAsia"/>
          <w:szCs w:val="21"/>
        </w:rPr>
        <w:t>（二）具体程序：</w:t>
      </w:r>
    </w:p>
    <w:p>
      <w:pPr>
        <w:ind w:firstLine="420" w:firstLineChars="200"/>
        <w:rPr>
          <w:rFonts w:ascii="宋体" w:hAnsi="宋体" w:cs="宋体"/>
          <w:bCs/>
          <w:szCs w:val="21"/>
        </w:rPr>
      </w:pPr>
      <w:r>
        <w:rPr>
          <w:rFonts w:ascii="宋体" w:hAnsi="宋体" w:cs="宋体" w:hint="eastAsia"/>
          <w:szCs w:val="21"/>
        </w:rPr>
        <w:t>1、投标（谈判）供应商授权委托人</w:t>
      </w:r>
      <w:r>
        <w:rPr>
          <w:rFonts w:ascii="宋体" w:hAnsi="宋体" w:cs="宋体" w:hint="eastAsia"/>
          <w:bCs/>
          <w:szCs w:val="21"/>
        </w:rPr>
        <w:t>需在</w:t>
      </w:r>
      <w:r>
        <w:rPr>
          <w:rFonts w:ascii="宋体" w:hAnsi="宋体" w:cs="宋体" w:hint="eastAsia"/>
          <w:b/>
          <w:bCs/>
          <w:szCs w:val="21"/>
        </w:rPr>
        <w:t>现场演示签到截止时间前</w:t>
      </w:r>
      <w:r>
        <w:rPr>
          <w:rFonts w:ascii="宋体" w:hAnsi="宋体" w:cs="宋体" w:hint="eastAsia"/>
          <w:bCs/>
          <w:szCs w:val="21"/>
        </w:rPr>
        <w:t>，提供法定代表人（负责人）授权委托书（加盖公章）、授权委托人身份证（港澳台居民可提供来往通行证；非中国国籍管辖范围人员，可提供公安部门认可的身份证明材料，下同）原件，到</w:t>
      </w:r>
      <w:r>
        <w:rPr>
          <w:rFonts w:ascii="宋体" w:hAnsi="宋体" w:cs="宋体" w:hint="eastAsia"/>
          <w:b/>
          <w:szCs w:val="21"/>
        </w:rPr>
        <w:t>政府集中采购机构指定签到地点</w:t>
      </w:r>
      <w:r>
        <w:rPr>
          <w:rFonts w:ascii="宋体" w:hAnsi="宋体" w:cs="宋体" w:hint="eastAsia"/>
          <w:bCs/>
          <w:szCs w:val="21"/>
        </w:rPr>
        <w:t>按现场工作人员指引填写《</w:t>
      </w:r>
      <w:r>
        <w:rPr>
          <w:rFonts w:ascii="宋体" w:hAnsi="宋体" w:cs="宋体" w:hint="eastAsia"/>
          <w:szCs w:val="21"/>
        </w:rPr>
        <w:t>现场演示</w:t>
      </w:r>
      <w:r>
        <w:rPr>
          <w:rFonts w:ascii="宋体" w:hAnsi="宋体" w:cs="宋体" w:hint="eastAsia"/>
          <w:bCs/>
          <w:szCs w:val="21"/>
        </w:rPr>
        <w:t>签到表》。</w:t>
      </w:r>
    </w:p>
    <w:p>
      <w:pPr>
        <w:ind w:firstLine="420" w:firstLineChars="200"/>
        <w:rPr>
          <w:rFonts w:ascii="宋体" w:hAnsi="宋体" w:cs="宋体"/>
          <w:bCs/>
          <w:szCs w:val="21"/>
        </w:rPr>
      </w:pPr>
      <w:r>
        <w:rPr>
          <w:rFonts w:ascii="宋体" w:hAnsi="宋体" w:cs="宋体" w:hint="eastAsia"/>
          <w:bCs/>
          <w:szCs w:val="21"/>
        </w:rPr>
        <w:t>特别注意事项：（1）资料提供不齐全的，不予签到；（2）招标文件规定的演示时间后，不再受理签到；（3）未进行签到的人员，不能参与</w:t>
      </w:r>
      <w:r>
        <w:rPr>
          <w:rFonts w:ascii="宋体" w:hAnsi="宋体" w:cs="宋体" w:hint="eastAsia"/>
          <w:b/>
          <w:bCs/>
          <w:szCs w:val="21"/>
        </w:rPr>
        <w:t>现场演示</w:t>
      </w:r>
      <w:r>
        <w:rPr>
          <w:rFonts w:ascii="宋体" w:hAnsi="宋体" w:cs="宋体" w:hint="eastAsia"/>
          <w:bCs/>
          <w:szCs w:val="21"/>
        </w:rPr>
        <w:t>；</w:t>
      </w:r>
    </w:p>
    <w:p>
      <w:pPr>
        <w:ind w:firstLine="420" w:firstLineChars="200"/>
        <w:rPr>
          <w:rFonts w:ascii="宋体" w:hAnsi="宋体" w:cs="宋体"/>
          <w:kern w:val="0"/>
          <w:szCs w:val="21"/>
        </w:rPr>
      </w:pPr>
      <w:r>
        <w:rPr>
          <w:rFonts w:ascii="宋体" w:hAnsi="宋体" w:cs="宋体" w:hint="eastAsia"/>
          <w:szCs w:val="21"/>
        </w:rPr>
        <w:t>2、</w:t>
      </w:r>
      <w:r>
        <w:rPr>
          <w:rFonts w:ascii="宋体" w:hAnsi="宋体" w:cs="宋体" w:hint="eastAsia"/>
          <w:bCs/>
          <w:szCs w:val="21"/>
        </w:rPr>
        <w:t>签到截止时间</w:t>
      </w:r>
      <w:r>
        <w:rPr>
          <w:rFonts w:ascii="宋体" w:hAnsi="宋体" w:cs="宋体" w:hint="eastAsia"/>
          <w:kern w:val="0"/>
          <w:szCs w:val="21"/>
        </w:rPr>
        <w:t>后正式进行</w:t>
      </w:r>
      <w:r>
        <w:rPr>
          <w:rFonts w:ascii="宋体" w:hAnsi="宋体" w:cs="宋体" w:hint="eastAsia"/>
          <w:b/>
          <w:bCs/>
          <w:szCs w:val="21"/>
        </w:rPr>
        <w:t>现场演示</w:t>
      </w:r>
      <w:r>
        <w:rPr>
          <w:rFonts w:ascii="宋体" w:hAnsi="宋体" w:cs="宋体" w:hint="eastAsia"/>
          <w:kern w:val="0"/>
          <w:szCs w:val="21"/>
        </w:rPr>
        <w:t>。</w:t>
      </w:r>
      <w:r>
        <w:rPr>
          <w:rFonts w:ascii="宋体" w:hAnsi="宋体" w:cs="宋体" w:hint="eastAsia"/>
          <w:b/>
          <w:bCs/>
          <w:szCs w:val="21"/>
        </w:rPr>
        <w:t>现场演示</w:t>
      </w:r>
      <w:r>
        <w:rPr>
          <w:rFonts w:ascii="宋体" w:hAnsi="宋体" w:cs="宋体" w:hint="eastAsia"/>
          <w:kern w:val="0"/>
          <w:szCs w:val="21"/>
        </w:rPr>
        <w:t>正式开始前将进行身份核对；核对内容为</w:t>
      </w:r>
      <w:r>
        <w:rPr>
          <w:rFonts w:ascii="宋体" w:hAnsi="宋体" w:cs="宋体" w:hint="eastAsia"/>
          <w:b/>
          <w:bCs/>
          <w:szCs w:val="21"/>
        </w:rPr>
        <w:t>现场演示</w:t>
      </w:r>
      <w:r>
        <w:rPr>
          <w:rFonts w:ascii="宋体" w:hAnsi="宋体" w:cs="宋体" w:hint="eastAsia"/>
          <w:kern w:val="0"/>
          <w:szCs w:val="21"/>
        </w:rPr>
        <w:t>人员提供的“</w:t>
      </w:r>
      <w:r>
        <w:rPr>
          <w:rFonts w:ascii="宋体" w:hAnsi="宋体" w:cs="宋体" w:hint="eastAsia"/>
          <w:bCs/>
          <w:szCs w:val="21"/>
        </w:rPr>
        <w:t>法定代表人（负责人）授权委托书（加盖公章）、授权委托人身份证原件</w:t>
      </w:r>
      <w:r>
        <w:rPr>
          <w:rFonts w:ascii="宋体" w:hAnsi="宋体" w:cs="宋体" w:hint="eastAsia"/>
          <w:kern w:val="0"/>
          <w:szCs w:val="21"/>
        </w:rPr>
        <w:t>”。资料不齐全的人员，不得参与</w:t>
      </w:r>
      <w:r>
        <w:rPr>
          <w:rFonts w:ascii="宋体" w:hAnsi="宋体" w:cs="宋体" w:hint="eastAsia"/>
          <w:b/>
          <w:bCs/>
          <w:szCs w:val="21"/>
        </w:rPr>
        <w:t>现场演示</w:t>
      </w:r>
      <w:r>
        <w:rPr>
          <w:rFonts w:ascii="宋体" w:hAnsi="宋体" w:cs="宋体" w:hint="eastAsia"/>
          <w:kern w:val="0"/>
          <w:szCs w:val="21"/>
        </w:rPr>
        <w:t>。</w:t>
      </w:r>
    </w:p>
    <w:p>
      <w:pPr>
        <w:ind w:firstLine="420" w:firstLineChars="200"/>
        <w:rPr>
          <w:rFonts w:ascii="宋体" w:hAnsi="宋体" w:cs="宋体"/>
          <w:szCs w:val="21"/>
        </w:rPr>
      </w:pPr>
      <w:r>
        <w:rPr>
          <w:rFonts w:ascii="宋体" w:hAnsi="宋体" w:cs="宋体" w:hint="eastAsia"/>
          <w:szCs w:val="21"/>
        </w:rPr>
        <w:t>（三）其他现场演示规则：</w:t>
      </w:r>
    </w:p>
    <w:p>
      <w:pPr>
        <w:ind w:firstLine="393" w:firstLineChars="187"/>
        <w:rPr>
          <w:rFonts w:ascii="宋体" w:hAnsi="宋体" w:cs="宋体"/>
          <w:szCs w:val="21"/>
        </w:rPr>
      </w:pPr>
      <w:r>
        <w:rPr>
          <w:rFonts w:ascii="宋体" w:hAnsi="宋体" w:cs="宋体" w:hint="eastAsia"/>
          <w:szCs w:val="21"/>
        </w:rPr>
        <w:t>A.参加本次</w:t>
      </w:r>
      <w:r>
        <w:rPr>
          <w:rFonts w:ascii="宋体" w:hAnsi="宋体" w:cs="宋体" w:hint="eastAsia"/>
          <w:b/>
          <w:bCs/>
          <w:szCs w:val="21"/>
        </w:rPr>
        <w:t>现场演示</w:t>
      </w:r>
      <w:r>
        <w:rPr>
          <w:rFonts w:ascii="宋体" w:hAnsi="宋体" w:cs="宋体" w:hint="eastAsia"/>
          <w:szCs w:val="21"/>
        </w:rPr>
        <w:t>的各投标（谈判）供应商，均认为本次</w:t>
      </w:r>
      <w:r>
        <w:rPr>
          <w:rFonts w:ascii="宋体" w:hAnsi="宋体" w:cs="宋体" w:hint="eastAsia"/>
          <w:b/>
          <w:bCs/>
          <w:szCs w:val="21"/>
        </w:rPr>
        <w:t>现场演示</w:t>
      </w:r>
      <w:r>
        <w:rPr>
          <w:rFonts w:ascii="宋体" w:hAnsi="宋体" w:cs="宋体" w:hint="eastAsia"/>
          <w:szCs w:val="21"/>
        </w:rPr>
        <w:t>的程序和环境能够满足</w:t>
      </w:r>
      <w:r>
        <w:rPr>
          <w:rFonts w:ascii="宋体" w:hAnsi="宋体" w:cs="宋体" w:hint="eastAsia"/>
          <w:b/>
          <w:bCs/>
          <w:szCs w:val="21"/>
        </w:rPr>
        <w:t>现场演示</w:t>
      </w:r>
      <w:r>
        <w:rPr>
          <w:rFonts w:ascii="宋体" w:hAnsi="宋体" w:cs="宋体" w:hint="eastAsia"/>
          <w:szCs w:val="21"/>
        </w:rPr>
        <w:t>基本条件，并对本</w:t>
      </w:r>
      <w:r>
        <w:rPr>
          <w:rFonts w:ascii="宋体" w:hAnsi="宋体" w:cs="宋体" w:hint="eastAsia"/>
          <w:b/>
          <w:bCs/>
          <w:szCs w:val="21"/>
        </w:rPr>
        <w:t>现场演示</w:t>
      </w:r>
      <w:r>
        <w:rPr>
          <w:rFonts w:ascii="宋体" w:hAnsi="宋体" w:cs="宋体" w:hint="eastAsia"/>
          <w:szCs w:val="21"/>
        </w:rPr>
        <w:t>方案要求内的各项规定不做事后异议，且能够严格遵守相关规定。</w:t>
      </w:r>
    </w:p>
    <w:p>
      <w:pPr>
        <w:ind w:firstLine="393" w:firstLineChars="187"/>
        <w:rPr>
          <w:rFonts w:ascii="宋体" w:hAnsi="宋体" w:cs="宋体"/>
          <w:szCs w:val="21"/>
        </w:rPr>
      </w:pPr>
      <w:r>
        <w:rPr>
          <w:rFonts w:ascii="宋体" w:hAnsi="宋体" w:cs="宋体" w:hint="eastAsia"/>
          <w:szCs w:val="21"/>
        </w:rPr>
        <w:t>B.</w:t>
      </w:r>
      <w:r>
        <w:rPr>
          <w:rFonts w:ascii="宋体" w:hAnsi="宋体" w:cs="宋体" w:hint="eastAsia"/>
          <w:b/>
          <w:bCs/>
          <w:szCs w:val="21"/>
        </w:rPr>
        <w:t>现场演示可以</w:t>
      </w:r>
      <w:r>
        <w:rPr>
          <w:rFonts w:ascii="宋体" w:hAnsi="宋体" w:cs="宋体" w:hint="eastAsia"/>
          <w:szCs w:val="21"/>
        </w:rPr>
        <w:t>在评审前进行。</w:t>
      </w:r>
      <w:r>
        <w:rPr>
          <w:rFonts w:ascii="宋体" w:hAnsi="宋体" w:cs="宋体" w:hint="eastAsia"/>
          <w:b/>
          <w:bCs/>
          <w:szCs w:val="21"/>
        </w:rPr>
        <w:t>现场演示</w:t>
      </w:r>
      <w:r>
        <w:rPr>
          <w:rFonts w:ascii="宋体" w:hAnsi="宋体" w:cs="宋体" w:hint="eastAsia"/>
          <w:szCs w:val="21"/>
        </w:rPr>
        <w:t>原则上</w:t>
      </w:r>
      <w:r>
        <w:rPr>
          <w:rFonts w:ascii="宋体" w:hAnsi="宋体" w:cs="宋体" w:hint="eastAsia"/>
          <w:b/>
          <w:bCs/>
          <w:szCs w:val="21"/>
        </w:rPr>
        <w:t>按签到顺序</w:t>
      </w:r>
      <w:r>
        <w:rPr>
          <w:rFonts w:ascii="宋体" w:hAnsi="宋体" w:cs="宋体" w:hint="eastAsia"/>
          <w:szCs w:val="21"/>
        </w:rPr>
        <w:t>依次进行（经评委同意，可以酌情进行调整）。一个供应商一次性</w:t>
      </w:r>
      <w:r>
        <w:rPr>
          <w:rFonts w:ascii="宋体" w:hAnsi="宋体" w:cs="宋体" w:hint="eastAsia"/>
          <w:b/>
          <w:bCs/>
          <w:szCs w:val="21"/>
        </w:rPr>
        <w:t>现场演示</w:t>
      </w:r>
      <w:r>
        <w:rPr>
          <w:rFonts w:ascii="宋体" w:hAnsi="宋体" w:cs="宋体" w:hint="eastAsia"/>
          <w:szCs w:val="21"/>
        </w:rPr>
        <w:t>完毕。一个供应商在进行</w:t>
      </w:r>
      <w:r>
        <w:rPr>
          <w:rFonts w:ascii="宋体" w:hAnsi="宋体" w:cs="宋体" w:hint="eastAsia"/>
          <w:b/>
          <w:bCs/>
          <w:szCs w:val="21"/>
        </w:rPr>
        <w:t>现场演示</w:t>
      </w:r>
      <w:r>
        <w:rPr>
          <w:rFonts w:ascii="宋体" w:hAnsi="宋体" w:cs="宋体" w:hint="eastAsia"/>
          <w:szCs w:val="21"/>
        </w:rPr>
        <w:t>时，其他供应商不得进入现场。</w:t>
      </w:r>
      <w:r>
        <w:rPr>
          <w:rFonts w:ascii="宋体" w:hAnsi="宋体" w:cs="宋体" w:hint="eastAsia"/>
          <w:b/>
          <w:bCs/>
          <w:szCs w:val="21"/>
        </w:rPr>
        <w:t>现场演示</w:t>
      </w:r>
      <w:r>
        <w:rPr>
          <w:rFonts w:ascii="宋体" w:hAnsi="宋体" w:cs="宋体" w:hint="eastAsia"/>
          <w:szCs w:val="21"/>
        </w:rPr>
        <w:t>期间，评委可视情况对讲解人员进行提问。</w:t>
      </w:r>
    </w:p>
    <w:p>
      <w:pPr>
        <w:ind w:firstLine="393" w:firstLineChars="187"/>
        <w:rPr>
          <w:rFonts w:ascii="宋体" w:hAnsi="宋体" w:cs="宋体"/>
          <w:szCs w:val="21"/>
        </w:rPr>
      </w:pPr>
      <w:r>
        <w:rPr>
          <w:rFonts w:ascii="宋体" w:hAnsi="宋体" w:cs="宋体" w:hint="eastAsia"/>
          <w:szCs w:val="21"/>
        </w:rPr>
        <w:t>C.投标人对本次</w:t>
      </w:r>
      <w:r>
        <w:rPr>
          <w:rFonts w:ascii="宋体" w:hAnsi="宋体" w:cs="宋体" w:hint="eastAsia"/>
          <w:b/>
          <w:bCs/>
          <w:szCs w:val="21"/>
        </w:rPr>
        <w:t>现场演示</w:t>
      </w:r>
      <w:r>
        <w:rPr>
          <w:rFonts w:ascii="宋体" w:hAnsi="宋体" w:cs="宋体" w:hint="eastAsia"/>
          <w:szCs w:val="21"/>
        </w:rPr>
        <w:t>条件的不确定性疑虑应在开始前做书面表达，若所有疑虑不能完全消除，并认为</w:t>
      </w:r>
      <w:r>
        <w:rPr>
          <w:rFonts w:ascii="宋体" w:hAnsi="宋体" w:cs="宋体" w:hint="eastAsia"/>
          <w:b/>
          <w:bCs/>
          <w:szCs w:val="21"/>
        </w:rPr>
        <w:t>现场演示</w:t>
      </w:r>
      <w:r>
        <w:rPr>
          <w:rFonts w:ascii="宋体" w:hAnsi="宋体" w:cs="宋体" w:hint="eastAsia"/>
          <w:szCs w:val="21"/>
        </w:rPr>
        <w:t>结果仍会产生误判，则可以退出</w:t>
      </w:r>
      <w:r>
        <w:rPr>
          <w:rFonts w:ascii="宋体" w:hAnsi="宋体" w:cs="宋体" w:hint="eastAsia"/>
          <w:b/>
          <w:bCs/>
          <w:szCs w:val="21"/>
        </w:rPr>
        <w:t>现场演示</w:t>
      </w:r>
      <w:r>
        <w:rPr>
          <w:rFonts w:ascii="宋体" w:hAnsi="宋体" w:cs="宋体" w:hint="eastAsia"/>
          <w:szCs w:val="21"/>
        </w:rPr>
        <w:t>。</w:t>
      </w:r>
    </w:p>
    <w:p>
      <w:pPr>
        <w:ind w:firstLine="393" w:firstLineChars="187"/>
        <w:rPr>
          <w:rFonts w:ascii="宋体" w:hAnsi="宋体" w:cs="宋体"/>
          <w:szCs w:val="21"/>
        </w:rPr>
      </w:pPr>
      <w:r>
        <w:rPr>
          <w:rFonts w:ascii="宋体" w:hAnsi="宋体" w:cs="宋体" w:hint="eastAsia"/>
          <w:szCs w:val="21"/>
        </w:rPr>
        <w:t>D.由于</w:t>
      </w:r>
      <w:r>
        <w:rPr>
          <w:rFonts w:ascii="宋体" w:hAnsi="宋体" w:cs="宋体" w:hint="eastAsia"/>
          <w:b/>
          <w:bCs/>
          <w:szCs w:val="21"/>
        </w:rPr>
        <w:t>现场演示</w:t>
      </w:r>
      <w:r>
        <w:rPr>
          <w:rFonts w:ascii="宋体" w:hAnsi="宋体" w:cs="宋体" w:hint="eastAsia"/>
          <w:szCs w:val="21"/>
        </w:rPr>
        <w:t>时间有限，投标人同意承担其现场演示结果不确定性的风险，即同意专家以方案讲解情况的判定结论。</w:t>
      </w:r>
    </w:p>
    <w:p>
      <w:pPr>
        <w:ind w:firstLine="393" w:firstLineChars="187"/>
        <w:rPr>
          <w:rFonts w:ascii="宋体" w:hAnsi="宋体" w:cs="宋体"/>
          <w:szCs w:val="21"/>
        </w:rPr>
      </w:pPr>
      <w:r>
        <w:rPr>
          <w:rFonts w:ascii="宋体" w:hAnsi="宋体" w:cs="宋体" w:hint="eastAsia"/>
          <w:szCs w:val="21"/>
        </w:rPr>
        <w:t>E.本次</w:t>
      </w:r>
      <w:r>
        <w:rPr>
          <w:rFonts w:ascii="宋体" w:hAnsi="宋体" w:cs="宋体" w:hint="eastAsia"/>
          <w:b/>
          <w:bCs/>
          <w:szCs w:val="21"/>
        </w:rPr>
        <w:t>现场演示</w:t>
      </w:r>
      <w:r>
        <w:rPr>
          <w:rFonts w:ascii="宋体" w:hAnsi="宋体" w:cs="宋体" w:hint="eastAsia"/>
          <w:szCs w:val="21"/>
        </w:rPr>
        <w:t>的结果，仅对本项目评审委员会（谈判小组）负责，无义务向其余各方出具方案讲解结果。</w:t>
      </w:r>
    </w:p>
    <w:p>
      <w:pPr>
        <w:ind w:firstLine="420" w:firstLineChars="200"/>
        <w:rPr>
          <w:rFonts w:ascii="宋体" w:hAnsi="宋体" w:cs="宋体"/>
          <w:szCs w:val="21"/>
        </w:rPr>
      </w:pPr>
      <w:r>
        <w:rPr>
          <w:rFonts w:ascii="宋体" w:hAnsi="宋体" w:cs="宋体" w:hint="eastAsia"/>
          <w:szCs w:val="21"/>
        </w:rPr>
        <w:t>F.风险及费用说明：各项费用由供应商自理、风险自负。</w:t>
      </w:r>
    </w:p>
    <w:p>
      <w:pPr>
        <w:ind w:firstLine="420" w:firstLineChars="200"/>
        <w:rPr>
          <w:rFonts w:ascii="宋体" w:hAnsi="宋体" w:cs="宋体"/>
          <w:szCs w:val="21"/>
        </w:rPr>
      </w:pPr>
      <w:r>
        <w:rPr>
          <w:rFonts w:ascii="宋体" w:hAnsi="宋体" w:cs="宋体" w:hint="eastAsia"/>
          <w:szCs w:val="21"/>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vAlign w:val="center"/>
          </w:tcPr>
          <w:p>
            <w:pPr>
              <w:jc w:val="center"/>
              <w:rPr>
                <w:rFonts w:ascii="宋体" w:hAnsi="宋体" w:cs="宋体"/>
                <w:b/>
                <w:szCs w:val="21"/>
              </w:rPr>
            </w:pPr>
            <w:r>
              <w:rPr>
                <w:rFonts w:ascii="宋体" w:hAnsi="宋体" w:cs="宋体" w:hint="eastAsia"/>
                <w:b/>
                <w:szCs w:val="21"/>
              </w:rPr>
              <w:t>序号</w:t>
            </w:r>
          </w:p>
        </w:tc>
        <w:tc>
          <w:tcPr>
            <w:tcW w:w="2336" w:type="dxa"/>
            <w:vAlign w:val="center"/>
          </w:tcPr>
          <w:p>
            <w:pPr>
              <w:jc w:val="center"/>
              <w:rPr>
                <w:rFonts w:ascii="宋体" w:hAnsi="宋体" w:cs="宋体"/>
                <w:b/>
                <w:szCs w:val="21"/>
              </w:rPr>
            </w:pPr>
            <w:r>
              <w:rPr>
                <w:rFonts w:ascii="宋体" w:hAnsi="宋体" w:cs="宋体" w:hint="eastAsia"/>
                <w:b/>
                <w:szCs w:val="21"/>
              </w:rPr>
              <w:t>演示项目</w:t>
            </w:r>
          </w:p>
        </w:tc>
        <w:tc>
          <w:tcPr>
            <w:tcW w:w="2787" w:type="dxa"/>
            <w:vAlign w:val="center"/>
          </w:tcPr>
          <w:p>
            <w:pPr>
              <w:jc w:val="center"/>
              <w:rPr>
                <w:rFonts w:ascii="宋体" w:hAnsi="宋体" w:cs="宋体"/>
                <w:b/>
                <w:szCs w:val="21"/>
              </w:rPr>
            </w:pPr>
            <w:r>
              <w:rPr>
                <w:rFonts w:ascii="宋体" w:hAnsi="宋体" w:cs="宋体" w:hint="eastAsia"/>
                <w:b/>
                <w:szCs w:val="21"/>
              </w:rPr>
              <w:t>演示形式要求</w:t>
            </w:r>
          </w:p>
        </w:tc>
        <w:tc>
          <w:tcPr>
            <w:tcW w:w="2161" w:type="dxa"/>
            <w:vAlign w:val="center"/>
          </w:tcPr>
          <w:p>
            <w:pPr>
              <w:jc w:val="center"/>
              <w:rPr>
                <w:rFonts w:ascii="宋体" w:hAnsi="宋体" w:cs="宋体"/>
                <w:b/>
                <w:szCs w:val="21"/>
              </w:rPr>
            </w:pPr>
            <w:r>
              <w:rPr>
                <w:rFonts w:ascii="宋体" w:hAnsi="宋体" w:cs="宋体" w:hint="eastAsia"/>
                <w:b/>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jc w:val="center"/>
              <w:rPr>
                <w:rFonts w:ascii="宋体" w:hAnsi="宋体" w:cs="宋体"/>
                <w:szCs w:val="21"/>
              </w:rPr>
            </w:pPr>
            <w:r>
              <w:rPr>
                <w:rFonts w:ascii="宋体" w:hAnsi="宋体" w:cs="宋体" w:hint="eastAsia"/>
                <w:szCs w:val="21"/>
              </w:rPr>
              <w:t>1</w:t>
            </w:r>
          </w:p>
        </w:tc>
        <w:tc>
          <w:tcPr>
            <w:tcW w:w="2336"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c>
          <w:tcPr>
            <w:tcW w:w="2787" w:type="dxa"/>
            <w:vAlign w:val="center"/>
          </w:tcPr>
          <w:p>
            <w:pPr>
              <w:spacing w:line="280" w:lineRule="exact"/>
              <w:rPr>
                <w:rFonts w:ascii="宋体" w:hAnsi="宋体" w:cs="宋体"/>
                <w:szCs w:val="21"/>
              </w:rPr>
            </w:pPr>
            <w:r>
              <w:rPr>
                <w:rFonts w:ascii="宋体" w:hAnsi="宋体" w:cs="宋体" w:hint="eastAsia"/>
                <w:szCs w:val="21"/>
              </w:rPr>
              <w:t>1、以上演示内容，如投标人通过可运行演示系统进行现场演示，每一分项内容全部完整演示并符合要求的得25分，演示不齐全、不完整的不得分，最高得100分；</w:t>
            </w:r>
          </w:p>
          <w:p>
            <w:pPr>
              <w:spacing w:line="280" w:lineRule="exact"/>
              <w:rPr>
                <w:rFonts w:ascii="宋体" w:hAnsi="宋体" w:cs="宋体"/>
                <w:szCs w:val="21"/>
              </w:rPr>
            </w:pPr>
            <w:r>
              <w:rPr>
                <w:rFonts w:ascii="宋体" w:hAnsi="宋体" w:cs="宋体" w:hint="eastAsia"/>
                <w:szCs w:val="21"/>
              </w:rPr>
              <w:t>2、以上演示内容，如投标人使用PPT或Flash或视频等方式进行现场演示，每一分项内容全部完整演示并符合要求的得12.5分，演示不齐全、不完整的不得分，最高得50分；</w:t>
            </w:r>
          </w:p>
          <w:p>
            <w:pPr>
              <w:jc w:val="center"/>
              <w:rPr>
                <w:rFonts w:ascii="宋体" w:hAnsi="宋体" w:cs="宋体"/>
                <w:szCs w:val="21"/>
              </w:rPr>
            </w:pPr>
            <w:r>
              <w:rPr>
                <w:rFonts w:ascii="宋体" w:hAnsi="宋体" w:cs="宋体"/>
                <w:szCs w:val="21"/>
              </w:rPr>
              <w:t>3</w:t>
            </w:r>
            <w:r>
              <w:rPr>
                <w:rFonts w:ascii="宋体" w:hAnsi="宋体" w:cs="宋体" w:hint="eastAsia"/>
                <w:szCs w:val="21"/>
              </w:rPr>
              <w:t>、演示内容是否满足评分要求，由评审委员会判断，如现场判断意见不一致的，按照“少数服从多数”的原则确定评审委员会的统一意见。</w:t>
            </w:r>
          </w:p>
        </w:tc>
        <w:tc>
          <w:tcPr>
            <w:tcW w:w="2161"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r>
    </w:tbl>
    <w:p/>
    <w:p/>
    <w:p>
      <w:pPr>
        <w:pStyle w:val="Heading2"/>
        <w:spacing w:before="120" w:beforeLines="50" w:after="120" w:afterLines="50"/>
        <w:rPr>
          <w:szCs w:val="24"/>
        </w:rPr>
      </w:pPr>
      <w:r>
        <w:rPr>
          <w:rFonts w:hint="eastAsia"/>
          <w:szCs w:val="24"/>
          <w:lang w:val="en-US" w:eastAsia="zh-CN"/>
        </w:rPr>
        <w:t>八</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31" w:name="_Hlk72070784"/>
      <w:r>
        <w:rPr>
          <w:rFonts w:hint="eastAsia"/>
          <w:szCs w:val="21"/>
        </w:rPr>
        <w:t>投标函</w:t>
      </w:r>
      <w:bookmarkEnd w:id="31"/>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32" w:name="_Hlk72062521"/>
      <w:r>
        <w:rPr>
          <w:rFonts w:hint="eastAsia"/>
          <w:szCs w:val="21"/>
        </w:rPr>
        <w:t>政府采购投标及履约承诺函</w:t>
      </w:r>
      <w:bookmarkEnd w:id="32"/>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bookmarkStart w:id="33" w:name="_Hlk72257201"/>
      <w:r>
        <w:rPr>
          <w:rFonts w:hint="eastAsia"/>
          <w:szCs w:val="21"/>
        </w:rPr>
        <w:t>（</w:t>
      </w:r>
      <w:r>
        <w:rPr>
          <w:szCs w:val="21"/>
        </w:rPr>
        <w:t>4</w:t>
      </w:r>
      <w:r>
        <w:rPr>
          <w:rFonts w:hint="eastAsia"/>
          <w:szCs w:val="21"/>
        </w:rPr>
        <w:t>）</w:t>
      </w:r>
      <w:bookmarkEnd w:id="33"/>
      <w:r>
        <w:rPr>
          <w:rFonts w:hint="eastAsia"/>
          <w:szCs w:val="21"/>
        </w:rPr>
        <w:t>项目详细报价</w:t>
      </w:r>
      <w:r>
        <w:rPr>
          <w:rFonts w:hint="eastAsia"/>
          <w:szCs w:val="21"/>
          <w:lang w:eastAsia="zh-CN"/>
        </w:rPr>
        <w:t>；</w:t>
      </w:r>
    </w:p>
    <w:p>
      <w:pPr>
        <w:ind w:left="718" w:firstLine="1418" w:leftChars="342" w:firstLineChars="675"/>
        <w:rPr>
          <w:rFonts w:hint="eastAsia"/>
          <w:szCs w:val="21"/>
        </w:rPr>
      </w:pPr>
      <w:r>
        <w:rPr>
          <w:rFonts w:hint="eastAsia"/>
          <w:szCs w:val="21"/>
        </w:rPr>
        <w:t>（</w:t>
      </w:r>
      <w:r>
        <w:rPr>
          <w:rFonts w:hint="eastAsia"/>
          <w:szCs w:val="21"/>
          <w:lang w:val="en-US" w:eastAsia="zh-CN"/>
        </w:rPr>
        <w:t>5</w:t>
      </w:r>
      <w:r>
        <w:rPr>
          <w:rFonts w:hint="eastAsia"/>
          <w:szCs w:val="21"/>
        </w:rPr>
        <w:t>）项目经验情况</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6</w:t>
      </w:r>
      <w:r>
        <w:rPr>
          <w:rFonts w:hint="eastAsia"/>
          <w:szCs w:val="21"/>
          <w:lang w:eastAsia="zh-CN"/>
        </w:rPr>
        <w:t>）企业资质及认证情况</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7</w:t>
      </w:r>
      <w:r>
        <w:rPr>
          <w:rFonts w:hint="eastAsia"/>
          <w:szCs w:val="21"/>
          <w:lang w:eastAsia="zh-CN"/>
        </w:rPr>
        <w:t>）投标人自主知识产权产品（创新、设计）情况</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8</w:t>
      </w:r>
      <w:r>
        <w:rPr>
          <w:rFonts w:hint="eastAsia"/>
          <w:szCs w:val="21"/>
          <w:lang w:eastAsia="zh-CN"/>
        </w:rPr>
        <w:t>）投标人产品能力情况</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9</w:t>
      </w:r>
      <w:r>
        <w:rPr>
          <w:rFonts w:hint="eastAsia"/>
          <w:szCs w:val="21"/>
          <w:lang w:eastAsia="zh-CN"/>
        </w:rPr>
        <w:t>）</w:t>
      </w:r>
      <w:r>
        <w:rPr>
          <w:rFonts w:hint="eastAsia"/>
          <w:szCs w:val="21"/>
        </w:rPr>
        <w:t>投标人认为需要加以说明的其他内容</w:t>
      </w:r>
      <w:r>
        <w:rPr>
          <w:rFonts w:hint="eastAsia"/>
          <w:szCs w:val="21"/>
          <w:lang w:eastAsia="zh-CN"/>
        </w:rPr>
        <w:t>；</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（1）法定代表人（负责人）证明书</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rPr>
        <w:t>（3）</w:t>
      </w:r>
      <w:r>
        <w:rPr>
          <w:szCs w:val="21"/>
        </w:rPr>
        <w:t>实质性条款响应情况表</w:t>
      </w:r>
      <w:r>
        <w:rPr>
          <w:rFonts w:hint="eastAsia"/>
          <w:szCs w:val="21"/>
          <w:lang w:eastAsia="zh-CN"/>
        </w:rPr>
        <w:t>；</w:t>
      </w:r>
    </w:p>
    <w:p>
      <w:pPr>
        <w:ind w:left="718" w:firstLine="1418" w:leftChars="342" w:firstLineChars="675"/>
        <w:rPr>
          <w:rFonts w:hint="default"/>
          <w:szCs w:val="21"/>
          <w:lang w:val="en-US" w:eastAsia="zh-CN"/>
        </w:rPr>
      </w:pPr>
      <w:r>
        <w:rPr>
          <w:rFonts w:hint="eastAsia"/>
          <w:szCs w:val="21"/>
          <w:lang w:eastAsia="zh-CN"/>
        </w:rPr>
        <w:t>（</w:t>
      </w:r>
      <w:r>
        <w:rPr>
          <w:rFonts w:hint="eastAsia"/>
          <w:szCs w:val="21"/>
          <w:lang w:val="en-US" w:eastAsia="zh-CN"/>
        </w:rPr>
        <w:t>4</w:t>
      </w:r>
      <w:r>
        <w:rPr>
          <w:rFonts w:hint="eastAsia"/>
          <w:szCs w:val="21"/>
          <w:lang w:eastAsia="zh-CN"/>
        </w:rPr>
        <w:t>）</w:t>
      </w:r>
      <w:r>
        <w:rPr>
          <w:rFonts w:hint="eastAsia"/>
          <w:szCs w:val="21"/>
          <w:lang w:val="en-US" w:eastAsia="zh-CN"/>
        </w:rPr>
        <w:t>技术</w:t>
      </w:r>
      <w:r>
        <w:rPr>
          <w:rFonts w:hint="eastAsia"/>
          <w:szCs w:val="21"/>
        </w:rPr>
        <w:t>要求偏离表</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技术方案评价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6</w:t>
      </w:r>
      <w:r>
        <w:rPr>
          <w:rFonts w:hint="eastAsia"/>
          <w:szCs w:val="21"/>
        </w:rPr>
        <w:t>）质量保证评价</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7</w:t>
      </w:r>
      <w:r>
        <w:rPr>
          <w:rFonts w:hint="eastAsia"/>
          <w:szCs w:val="21"/>
          <w:lang w:eastAsia="zh-CN"/>
        </w:rPr>
        <w:t>）</w:t>
      </w:r>
      <w:r>
        <w:rPr>
          <w:rFonts w:hint="eastAsia"/>
          <w:szCs w:val="21"/>
        </w:rPr>
        <w:t>拟安排的项目负责人情况（仅限一人）</w:t>
      </w:r>
      <w:r>
        <w:rPr>
          <w:rFonts w:hint="eastAsia"/>
          <w:szCs w:val="21"/>
          <w:lang w:eastAsia="zh-CN"/>
        </w:rPr>
        <w:t>；</w:t>
      </w:r>
    </w:p>
    <w:p>
      <w:pPr>
        <w:ind w:left="718" w:firstLine="1418" w:leftChars="342" w:firstLineChars="675"/>
        <w:rPr>
          <w:rFonts w:hint="eastAsia"/>
          <w:szCs w:val="21"/>
          <w:highlight w:val="none"/>
          <w:lang w:eastAsia="zh-CN"/>
        </w:rPr>
      </w:pPr>
      <w:r>
        <w:rPr>
          <w:rFonts w:hint="eastAsia"/>
          <w:szCs w:val="21"/>
          <w:lang w:eastAsia="zh-CN"/>
        </w:rPr>
        <w:t>（</w:t>
      </w:r>
      <w:r>
        <w:rPr>
          <w:rFonts w:hint="eastAsia"/>
          <w:szCs w:val="21"/>
          <w:lang w:val="en-US" w:eastAsia="zh-CN"/>
        </w:rPr>
        <w:t>8</w:t>
      </w:r>
      <w:r>
        <w:rPr>
          <w:rFonts w:hint="eastAsia"/>
          <w:szCs w:val="21"/>
          <w:lang w:eastAsia="zh-CN"/>
        </w:rPr>
        <w:t>）</w:t>
      </w:r>
      <w:r>
        <w:rPr>
          <w:rFonts w:hint="eastAsia"/>
          <w:szCs w:val="21"/>
          <w:highlight w:val="none"/>
        </w:rPr>
        <w:t>拟安排的项目团队成员情况（项目负责人除外）</w:t>
      </w:r>
      <w:r>
        <w:rPr>
          <w:rFonts w:hint="eastAsia"/>
          <w:szCs w:val="21"/>
          <w:highlight w:val="none"/>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9</w:t>
      </w:r>
      <w:r>
        <w:rPr>
          <w:rFonts w:hint="eastAsia"/>
          <w:szCs w:val="21"/>
          <w:lang w:eastAsia="zh-CN"/>
        </w:rPr>
        <w:t>）</w:t>
      </w:r>
      <w:r>
        <w:rPr>
          <w:rFonts w:hint="eastAsia"/>
          <w:szCs w:val="21"/>
        </w:rPr>
        <w:t>投标人认为需要加以说明的其他内容</w:t>
      </w:r>
      <w:r>
        <w:rPr>
          <w:rFonts w:hint="eastAsia"/>
          <w:szCs w:val="21"/>
          <w:lang w:eastAsia="zh-CN"/>
        </w:rPr>
        <w:t>；</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34" w:name="_Hlk73818812"/>
      <w:r>
        <w:rPr>
          <w:rFonts w:hint="eastAsia"/>
          <w:szCs w:val="21"/>
        </w:rPr>
        <w:t>1、根据已收到贵单位的项目编号为</w:t>
      </w:r>
      <w:r>
        <w:rPr>
          <w:rFonts w:hint="eastAsia"/>
          <w:szCs w:val="21"/>
          <w:u w:val="thick"/>
        </w:rPr>
        <w:t xml:space="preserve">    </w:t>
      </w:r>
      <w:r>
        <w:rPr>
          <w:rFonts w:hint="eastAsia"/>
          <w:sz w:val="21"/>
          <w:szCs w:val="21"/>
          <w:u w:val="thick"/>
        </w:rPr>
        <w:t>xxx（项目编号）xxx</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xxx（项目名称）xxx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5" w:name="_Hlk72263588"/>
      <w:r>
        <w:rPr>
          <w:rFonts w:hint="eastAsia"/>
          <w:szCs w:val="21"/>
        </w:rPr>
        <w:t>愿意按照招标文件要求承包上述项目并修补其任何缺陷。</w:t>
      </w:r>
      <w:bookmarkEnd w:id="35"/>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34"/>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9"/>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9"/>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6"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36"/>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9"/>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w:t>
      </w:r>
      <w:r>
        <w:rPr>
          <w:rFonts w:ascii="黑体" w:eastAsia="黑体" w:hAnsi="宋体" w:hint="eastAsia"/>
          <w:bCs/>
          <w:color w:val="0000FF"/>
          <w:kern w:val="0"/>
          <w:szCs w:val="21"/>
        </w:rPr>
        <w:t>以招标文件第一册第三章用户需求书“服务需求明细”的“服务需求名称”一栏为准</w:t>
      </w:r>
      <w:r>
        <w:rPr>
          <w:rFonts w:ascii="黑体" w:eastAsia="黑体" w:hAnsi="宋体" w:hint="eastAsia"/>
          <w:bCs/>
          <w:color w:val="FF0000"/>
          <w:kern w:val="0"/>
          <w:szCs w:val="21"/>
        </w:rPr>
        <w:t>）；如果涉及多项服务（标的）为同一企业制造，“标的名称”下划线处可以如实填写多项服务；</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00FF"/>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pPr>
        <w:ind w:firstLine="420" w:firstLineChars="200"/>
        <w:outlineLvl w:val="9"/>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w:t>
      </w:r>
      <w:r>
        <w:rPr>
          <w:rFonts w:ascii="黑体" w:eastAsia="黑体" w:hAnsi="宋体" w:hint="eastAsia"/>
          <w:bCs/>
          <w:color w:val="FF0000"/>
          <w:kern w:val="0"/>
          <w:szCs w:val="21"/>
          <w:lang w:val="en-US" w:eastAsia="zh-CN"/>
        </w:rPr>
        <w:t>供应商</w:t>
      </w:r>
      <w:r>
        <w:rPr>
          <w:rFonts w:ascii="黑体" w:eastAsia="黑体" w:hAnsi="宋体" w:hint="eastAsia"/>
          <w:bCs/>
          <w:color w:val="FF0000"/>
          <w:kern w:val="0"/>
          <w:szCs w:val="21"/>
        </w:rPr>
        <w:t>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13"/>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37"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7"/>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注：</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Theme="minorEastAsia" w:eastAsiaTheme="minorEastAsia" w:hAnsiTheme="minorEastAsia" w:cstheme="minorEastAsia" w:hint="default"/>
          <w:b w:val="0"/>
          <w:bCs w:val="0"/>
          <w:color w:val="auto"/>
          <w:kern w:val="2"/>
          <w:sz w:val="20"/>
          <w:szCs w:val="20"/>
          <w:lang w:val="en-US" w:eastAsia="zh-CN" w:bidi="ar-SA"/>
        </w:rPr>
      </w:pPr>
      <w:r>
        <w:rPr>
          <w:rFonts w:asciiTheme="minorEastAsia" w:eastAsiaTheme="minorEastAsia" w:hAnsiTheme="minorEastAsia" w:cstheme="minorEastAsia"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38" w:name="_Hlk72073235"/>
      <w:r>
        <w:rPr>
          <w:rFonts w:hint="eastAsia"/>
          <w:b/>
          <w:sz w:val="24"/>
        </w:rPr>
        <w:t>投标人认为需要涉及的其他内容报价清单</w:t>
      </w:r>
      <w:bookmarkEnd w:id="38"/>
    </w:p>
    <w:p>
      <w:pPr>
        <w:rPr>
          <w:b/>
          <w:bCs/>
        </w:rPr>
      </w:pPr>
    </w:p>
    <w:p>
      <w:pPr>
        <w:tabs>
          <w:tab w:val="left" w:pos="720"/>
        </w:tabs>
        <w:jc w:val="center"/>
        <w:rPr>
          <w:rFonts w:hint="eastAsia"/>
          <w:b/>
          <w:sz w:val="24"/>
        </w:rPr>
      </w:pPr>
    </w:p>
    <w:p>
      <w:pPr>
        <w:tabs>
          <w:tab w:val="left" w:pos="720"/>
        </w:tabs>
        <w:ind w:left="0" w:firstLine="0" w:leftChars="0" w:firstLineChars="0"/>
        <w:jc w:val="center"/>
        <w:rPr>
          <w:rFonts w:hint="eastAsia"/>
          <w:b/>
          <w:sz w:val="24"/>
          <w:szCs w:val="24"/>
        </w:rPr>
      </w:pPr>
      <w:r>
        <w:rPr>
          <w:rFonts w:hint="eastAsia"/>
          <w:b/>
          <w:sz w:val="24"/>
          <w:szCs w:val="24"/>
          <w:lang w:val="en-US" w:eastAsia="zh-CN"/>
        </w:rPr>
        <w:t>五、</w:t>
      </w:r>
      <w:r>
        <w:rPr>
          <w:rFonts w:hint="eastAsia"/>
          <w:b/>
          <w:sz w:val="24"/>
          <w:szCs w:val="24"/>
        </w:rPr>
        <w:t>项目经验情况</w:t>
      </w:r>
    </w:p>
    <w:p>
      <w:pPr>
        <w:tabs>
          <w:tab w:val="left" w:pos="720"/>
        </w:tabs>
        <w:ind w:left="0" w:firstLine="0" w:leftChars="0" w:firstLineChars="0"/>
        <w:jc w:val="center"/>
        <w:rPr>
          <w:rFonts w:hint="eastAsia"/>
          <w:b/>
          <w:sz w:val="24"/>
          <w:szCs w:val="24"/>
          <w:lang w:eastAsia="zh-CN"/>
        </w:rPr>
      </w:pPr>
      <w:r>
        <w:rPr>
          <w:rFonts w:hint="eastAsia"/>
          <w:b/>
          <w:sz w:val="24"/>
          <w:szCs w:val="24"/>
          <w:lang w:val="en-US" w:eastAsia="zh-CN"/>
        </w:rPr>
        <w:t>六、</w:t>
      </w:r>
      <w:r>
        <w:rPr>
          <w:rFonts w:hint="eastAsia"/>
          <w:b/>
          <w:sz w:val="24"/>
          <w:szCs w:val="24"/>
          <w:lang w:eastAsia="zh-CN"/>
        </w:rPr>
        <w:t>企业资质及认证情况</w:t>
      </w:r>
    </w:p>
    <w:p>
      <w:pPr>
        <w:tabs>
          <w:tab w:val="left" w:pos="720"/>
        </w:tabs>
        <w:ind w:left="0" w:firstLine="0" w:leftChars="0" w:firstLineChars="0"/>
        <w:jc w:val="center"/>
        <w:rPr>
          <w:rFonts w:hint="eastAsia"/>
          <w:b/>
          <w:sz w:val="24"/>
          <w:szCs w:val="24"/>
          <w:lang w:eastAsia="zh-CN"/>
        </w:rPr>
      </w:pPr>
      <w:r>
        <w:rPr>
          <w:rFonts w:hint="eastAsia"/>
          <w:b/>
          <w:sz w:val="24"/>
          <w:szCs w:val="24"/>
          <w:lang w:val="en-US" w:eastAsia="zh-CN"/>
        </w:rPr>
        <w:t>七、</w:t>
      </w:r>
      <w:r>
        <w:rPr>
          <w:rFonts w:hint="eastAsia"/>
          <w:b/>
          <w:sz w:val="24"/>
          <w:szCs w:val="24"/>
          <w:lang w:eastAsia="zh-CN"/>
        </w:rPr>
        <w:t>投标人知识产权产品（创新、设计）情况</w:t>
      </w:r>
    </w:p>
    <w:p>
      <w:pPr>
        <w:tabs>
          <w:tab w:val="left" w:pos="720"/>
        </w:tabs>
        <w:ind w:left="0" w:firstLine="0" w:leftChars="0" w:firstLineChars="0"/>
        <w:jc w:val="center"/>
        <w:rPr>
          <w:rFonts w:hint="eastAsia"/>
          <w:b/>
          <w:sz w:val="24"/>
          <w:szCs w:val="24"/>
          <w:lang w:eastAsia="zh-CN"/>
        </w:rPr>
      </w:pPr>
      <w:r>
        <w:rPr>
          <w:rFonts w:hint="eastAsia"/>
          <w:b/>
          <w:sz w:val="24"/>
          <w:szCs w:val="24"/>
          <w:lang w:val="en-US" w:eastAsia="zh-CN"/>
        </w:rPr>
        <w:t>八、</w:t>
      </w:r>
      <w:r>
        <w:rPr>
          <w:rFonts w:hint="eastAsia"/>
          <w:b/>
          <w:sz w:val="24"/>
          <w:szCs w:val="24"/>
          <w:lang w:eastAsia="zh-CN"/>
        </w:rPr>
        <w:t>投标人产品能力情况</w:t>
      </w:r>
    </w:p>
    <w:p>
      <w:pPr>
        <w:tabs>
          <w:tab w:val="left" w:pos="720"/>
        </w:tabs>
        <w:ind w:left="0" w:firstLine="0" w:leftChars="0" w:firstLineChars="0"/>
        <w:jc w:val="center"/>
        <w:rPr>
          <w:rFonts w:eastAsia="宋体" w:hint="eastAsia"/>
          <w:b/>
          <w:sz w:val="24"/>
          <w:szCs w:val="24"/>
          <w:lang w:eastAsia="zh-CN"/>
        </w:rPr>
      </w:pPr>
      <w:r>
        <w:rPr>
          <w:rFonts w:hint="eastAsia"/>
          <w:b/>
          <w:sz w:val="24"/>
          <w:szCs w:val="24"/>
          <w:lang w:val="en-US" w:eastAsia="zh-CN"/>
        </w:rPr>
        <w:t>九、</w:t>
      </w:r>
      <w:r>
        <w:rPr>
          <w:rFonts w:hint="eastAsia"/>
          <w:b/>
          <w:sz w:val="24"/>
          <w:szCs w:val="24"/>
        </w:rPr>
        <w:t>投标人认为需要加以说明的其他内容</w:t>
      </w:r>
      <w:r>
        <w:rPr>
          <w:rFonts w:hint="eastAsia"/>
          <w:b/>
          <w:sz w:val="24"/>
          <w:szCs w:val="24"/>
          <w:lang w:eastAsia="zh-CN"/>
        </w:rPr>
        <w:t>；</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39" w:name="_Hlk72092499"/>
      <w:r>
        <w:rPr>
          <w:rFonts w:ascii="黑体" w:eastAsia="黑体" w:hint="eastAsia"/>
          <w:b w:val="0"/>
          <w:sz w:val="24"/>
        </w:rPr>
        <w:t>法定代表人（负责人）证明书</w:t>
      </w:r>
      <w:bookmarkEnd w:id="39"/>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4"/>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4"/>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4"/>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r>
              <w:rPr>
                <w:rFonts w:hint="eastAsia"/>
                <w:lang w:val="en-US" w:eastAsia="zh-CN"/>
              </w:rPr>
              <w:t xml:space="preserve"> </w:t>
            </w:r>
          </w:p>
          <w:p>
            <w:pPr>
              <w:pStyle w:val="BodyText2"/>
              <w:rPr>
                <w:rFonts w:hint="eastAsia"/>
                <w:lang w:val="en-US" w:eastAsia="zh-CN"/>
              </w:rPr>
            </w:pPr>
          </w:p>
          <w:p>
            <w:pPr>
              <w:pStyle w:val="BodyText2"/>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150"/>
        </w:trPr>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0" w:name="_Hlk72092634"/>
      <w:r>
        <w:rPr>
          <w:rFonts w:ascii="黑体" w:eastAsia="黑体" w:hint="eastAsia"/>
          <w:b w:val="0"/>
          <w:kern w:val="0"/>
          <w:sz w:val="24"/>
          <w:szCs w:val="24"/>
        </w:rPr>
        <w:t>实质性条款响应情况表</w:t>
      </w:r>
      <w:bookmarkEnd w:id="40"/>
    </w:p>
    <w:tbl>
      <w:tblPr>
        <w:tblStyle w:val="TableNormal"/>
        <w:tblW w:w="85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883"/>
        <w:gridCol w:w="1660"/>
        <w:gridCol w:w="1551"/>
        <w:gridCol w:w="1704"/>
      </w:tblGrid>
      <w:tr>
        <w:tblPrEx>
          <w:tblW w:w="85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1" w:name="_Hlk72092651"/>
            <w:r>
              <w:rPr>
                <w:rFonts w:ascii="宋体" w:hAnsi="宋体" w:hint="eastAsia"/>
                <w:kern w:val="0"/>
                <w:szCs w:val="21"/>
              </w:rPr>
              <w:t>序号</w:t>
            </w:r>
          </w:p>
        </w:tc>
        <w:tc>
          <w:tcPr>
            <w:tcW w:w="2883"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660"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551"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704"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503"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41"/>
            <w:r>
              <w:rPr>
                <w:rFonts w:ascii="宋体" w:hAnsi="宋体" w:hint="eastAsia"/>
                <w:kern w:val="0"/>
                <w:szCs w:val="21"/>
              </w:rPr>
              <w:t>1</w:t>
            </w:r>
          </w:p>
        </w:tc>
        <w:tc>
          <w:tcPr>
            <w:tcW w:w="2883" w:type="dxa"/>
            <w:vAlign w:val="center"/>
          </w:tcPr>
          <w:p>
            <w:pPr>
              <w:adjustRightInd w:val="0"/>
              <w:snapToGrid w:val="0"/>
              <w:spacing w:line="360" w:lineRule="auto"/>
              <w:jc w:val="center"/>
              <w:rPr>
                <w:rFonts w:hAnsi="宋体"/>
                <w:kern w:val="0"/>
                <w:szCs w:val="21"/>
              </w:rPr>
            </w:pPr>
            <w:r>
              <w:rPr>
                <w:rFonts w:ascii="宋体" w:eastAsia="宋体" w:hAnsi="宋体" w:hint="eastAsia"/>
                <w:color w:val="FF0000"/>
                <w:kern w:val="0"/>
                <w:szCs w:val="21"/>
              </w:rPr>
              <w:t>满足本项目标★的条款要求</w:t>
            </w:r>
          </w:p>
        </w:tc>
        <w:tc>
          <w:tcPr>
            <w:tcW w:w="1660" w:type="dxa"/>
          </w:tcPr>
          <w:p>
            <w:pPr>
              <w:adjustRightInd w:val="0"/>
              <w:snapToGrid w:val="0"/>
              <w:spacing w:line="360" w:lineRule="auto"/>
              <w:rPr>
                <w:rFonts w:ascii="宋体" w:hAnsi="宋体"/>
                <w:kern w:val="0"/>
                <w:szCs w:val="21"/>
              </w:rPr>
            </w:pPr>
          </w:p>
        </w:tc>
        <w:tc>
          <w:tcPr>
            <w:tcW w:w="1551" w:type="dxa"/>
          </w:tcPr>
          <w:p>
            <w:pPr>
              <w:adjustRightInd w:val="0"/>
              <w:snapToGrid w:val="0"/>
              <w:spacing w:line="360" w:lineRule="auto"/>
              <w:rPr>
                <w:rFonts w:ascii="宋体" w:hAnsi="宋体"/>
                <w:kern w:val="0"/>
                <w:szCs w:val="21"/>
              </w:rPr>
            </w:pPr>
          </w:p>
        </w:tc>
        <w:tc>
          <w:tcPr>
            <w:tcW w:w="1704"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keepNext/>
        <w:keepLines/>
        <w:pageBreakBefore/>
        <w:adjustRightInd w:val="0"/>
        <w:snapToGrid w:val="0"/>
        <w:spacing w:line="360" w:lineRule="auto"/>
        <w:jc w:val="center"/>
        <w:textAlignment w:val="baseline"/>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四、技术要求偏离表</w:t>
      </w:r>
    </w:p>
    <w:tbl>
      <w:tblPr>
        <w:tblStyle w:val="TableNormal"/>
        <w:tblW w:w="4998"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tblGrid>
        <w:gridCol w:w="546"/>
        <w:gridCol w:w="3538"/>
        <w:gridCol w:w="1972"/>
        <w:gridCol w:w="1571"/>
        <w:gridCol w:w="899"/>
      </w:tblGrid>
      <w:tr>
        <w:tblPrEx>
          <w:tblW w:w="4998"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Ex>
        <w:trPr>
          <w:jc w:val="center"/>
        </w:trPr>
        <w:tc>
          <w:tcPr>
            <w:tcW w:w="320" w:type="pct"/>
            <w:vAlign w:val="center"/>
          </w:tcPr>
          <w:p>
            <w:pPr>
              <w:jc w:val="center"/>
              <w:rPr>
                <w:rFonts w:asciiTheme="minorEastAsia" w:eastAsiaTheme="minorEastAsia" w:hAnsiTheme="minorEastAsia" w:cstheme="minorEastAsia" w:hint="eastAsia"/>
                <w:b/>
                <w:sz w:val="20"/>
                <w:szCs w:val="20"/>
              </w:rPr>
            </w:pPr>
            <w:r>
              <w:rPr>
                <w:rFonts w:asciiTheme="minorEastAsia" w:eastAsiaTheme="minorEastAsia" w:hAnsiTheme="minorEastAsia" w:cstheme="minorEastAsia" w:hint="eastAsia"/>
                <w:b/>
                <w:sz w:val="20"/>
                <w:szCs w:val="20"/>
              </w:rPr>
              <w:t>序号</w:t>
            </w:r>
          </w:p>
        </w:tc>
        <w:tc>
          <w:tcPr>
            <w:tcW w:w="2074" w:type="pct"/>
            <w:vAlign w:val="center"/>
          </w:tcPr>
          <w:p>
            <w:pPr>
              <w:jc w:val="center"/>
              <w:rPr>
                <w:rFonts w:asciiTheme="minorEastAsia" w:eastAsiaTheme="minorEastAsia" w:hAnsiTheme="minorEastAsia" w:cstheme="minorEastAsia" w:hint="eastAsia"/>
                <w:b/>
                <w:sz w:val="20"/>
                <w:szCs w:val="20"/>
              </w:rPr>
            </w:pPr>
            <w:r>
              <w:rPr>
                <w:rFonts w:asciiTheme="minorEastAsia" w:eastAsiaTheme="minorEastAsia" w:hAnsiTheme="minorEastAsia" w:cstheme="minorEastAsia" w:hint="eastAsia"/>
                <w:b/>
                <w:sz w:val="20"/>
                <w:szCs w:val="20"/>
              </w:rPr>
              <w:t>招标文件要求</w:t>
            </w:r>
          </w:p>
        </w:tc>
        <w:tc>
          <w:tcPr>
            <w:tcW w:w="1156" w:type="pct"/>
            <w:vAlign w:val="center"/>
          </w:tcPr>
          <w:p>
            <w:pPr>
              <w:jc w:val="center"/>
              <w:rPr>
                <w:rFonts w:asciiTheme="minorEastAsia" w:eastAsiaTheme="minorEastAsia" w:hAnsiTheme="minorEastAsia" w:cstheme="minorEastAsia" w:hint="eastAsia"/>
                <w:b/>
                <w:sz w:val="20"/>
                <w:szCs w:val="20"/>
              </w:rPr>
            </w:pPr>
            <w:r>
              <w:rPr>
                <w:rFonts w:asciiTheme="minorEastAsia" w:eastAsiaTheme="minorEastAsia" w:hAnsiTheme="minorEastAsia" w:cstheme="minorEastAsia" w:hint="eastAsia"/>
                <w:b/>
                <w:sz w:val="20"/>
                <w:szCs w:val="20"/>
              </w:rPr>
              <w:t>投标文件响应</w:t>
            </w:r>
          </w:p>
        </w:tc>
        <w:tc>
          <w:tcPr>
            <w:tcW w:w="921" w:type="pct"/>
          </w:tcPr>
          <w:p>
            <w:pPr>
              <w:spacing w:before="120" w:beforeLines="50"/>
              <w:jc w:val="center"/>
              <w:rPr>
                <w:rFonts w:asciiTheme="minorEastAsia" w:eastAsiaTheme="minorEastAsia" w:hAnsiTheme="minorEastAsia" w:cstheme="minorEastAsia" w:hint="eastAsia"/>
                <w:b/>
                <w:sz w:val="20"/>
                <w:szCs w:val="20"/>
              </w:rPr>
            </w:pPr>
            <w:r>
              <w:rPr>
                <w:rFonts w:asciiTheme="minorEastAsia" w:eastAsiaTheme="minorEastAsia" w:hAnsiTheme="minorEastAsia" w:cstheme="minorEastAsia" w:hint="eastAsia"/>
                <w:b/>
                <w:sz w:val="20"/>
                <w:szCs w:val="20"/>
              </w:rPr>
              <w:t>偏离情况</w:t>
            </w:r>
          </w:p>
        </w:tc>
        <w:tc>
          <w:tcPr>
            <w:tcW w:w="527" w:type="pct"/>
            <w:vAlign w:val="center"/>
          </w:tcPr>
          <w:p>
            <w:pPr>
              <w:jc w:val="center"/>
              <w:rPr>
                <w:rFonts w:asciiTheme="minorEastAsia" w:eastAsiaTheme="minorEastAsia" w:hAnsiTheme="minorEastAsia" w:cstheme="minorEastAsia" w:hint="eastAsia"/>
                <w:b/>
                <w:sz w:val="20"/>
                <w:szCs w:val="20"/>
              </w:rPr>
            </w:pPr>
            <w:r>
              <w:rPr>
                <w:rFonts w:asciiTheme="minorEastAsia" w:eastAsiaTheme="minorEastAsia" w:hAnsiTheme="minorEastAsia" w:cstheme="minorEastAsia" w:hint="eastAsia"/>
                <w:b/>
                <w:sz w:val="20"/>
                <w:szCs w:val="20"/>
              </w:rPr>
              <w:t>说明</w:t>
            </w:r>
          </w:p>
        </w:tc>
      </w:tr>
      <w:tr>
        <w:tblPrEx>
          <w:tblW w:w="4998" w:type="pct"/>
          <w:jc w:val="center"/>
          <w:tblCellMar>
            <w:top w:w="0" w:type="dxa"/>
            <w:left w:w="108" w:type="dxa"/>
            <w:bottom w:w="0" w:type="dxa"/>
            <w:right w:w="108" w:type="dxa"/>
          </w:tblCellMar>
        </w:tblPrEx>
        <w:trPr>
          <w:jc w:val="center"/>
        </w:trPr>
        <w:tc>
          <w:tcPr>
            <w:tcW w:w="320" w:type="pct"/>
            <w:vAlign w:val="center"/>
          </w:tcPr>
          <w:p>
            <w:pPr>
              <w:spacing w:line="300" w:lineRule="auto"/>
              <w:jc w:val="center"/>
              <w:rPr>
                <w:rFonts w:asciiTheme="minorEastAsia" w:eastAsiaTheme="minorEastAsia" w:hAnsiTheme="minorEastAsia" w:cstheme="minorEastAsia" w:hint="eastAsia"/>
                <w:sz w:val="20"/>
                <w:szCs w:val="20"/>
                <w:highlight w:val="none"/>
                <w:lang w:val="en-US" w:eastAsia="zh-CN"/>
              </w:rPr>
            </w:pPr>
            <w:r>
              <w:rPr>
                <w:rFonts w:asciiTheme="minorEastAsia" w:eastAsiaTheme="minorEastAsia" w:hAnsiTheme="minorEastAsia" w:cstheme="minorEastAsia" w:hint="eastAsia"/>
                <w:sz w:val="20"/>
                <w:szCs w:val="20"/>
                <w:highlight w:val="none"/>
                <w:lang w:val="en-US" w:eastAsia="zh-CN"/>
              </w:rPr>
              <w:t>1</w:t>
            </w:r>
          </w:p>
        </w:tc>
        <w:tc>
          <w:tcPr>
            <w:tcW w:w="2074" w:type="pct"/>
          </w:tcPr>
          <w:p>
            <w:pPr>
              <w:spacing w:line="300" w:lineRule="auto"/>
              <w:rPr>
                <w:rFonts w:asciiTheme="minorEastAsia" w:eastAsiaTheme="minorEastAsia" w:hAnsiTheme="minorEastAsia" w:cstheme="minorEastAsia" w:hint="eastAsia"/>
                <w:b/>
                <w:color w:val="FF0000"/>
                <w:kern w:val="0"/>
                <w:sz w:val="20"/>
                <w:szCs w:val="20"/>
                <w:highlight w:val="none"/>
              </w:rPr>
            </w:pPr>
            <w:r>
              <w:rPr>
                <w:rFonts w:ascii="等线" w:hAnsi="等线" w:cs="等线" w:hint="eastAsia"/>
                <w:b/>
                <w:bCs/>
                <w:szCs w:val="21"/>
              </w:rPr>
              <w:t>《第一册专用条款第三章 用户需求书：2.服务内容、技术标准、工作质量要求》：</w:t>
            </w:r>
            <w:r>
              <w:rPr>
                <w:rFonts w:ascii="等线" w:hAnsi="等线" w:cs="等线" w:hint="eastAsia"/>
                <w:b/>
                <w:bCs/>
                <w:szCs w:val="21"/>
                <w:lang w:eastAsia="zh-CN"/>
              </w:rPr>
              <w:t>（</w:t>
            </w:r>
            <w:r>
              <w:rPr>
                <w:rFonts w:ascii="等线" w:hAnsi="等线" w:cs="等线" w:hint="eastAsia"/>
                <w:b/>
                <w:bCs/>
                <w:szCs w:val="21"/>
                <w:lang w:val="en-US" w:eastAsia="zh-CN"/>
              </w:rPr>
              <w:t>2</w:t>
            </w:r>
            <w:r>
              <w:rPr>
                <w:rFonts w:ascii="等线" w:hAnsi="等线" w:cs="等线" w:hint="eastAsia"/>
                <w:b/>
                <w:bCs/>
                <w:szCs w:val="21"/>
                <w:lang w:eastAsia="zh-CN"/>
              </w:rPr>
              <w:t>）</w:t>
            </w:r>
            <w:r>
              <w:rPr>
                <w:rFonts w:ascii="等线" w:hAnsi="等线" w:cs="等线" w:hint="eastAsia"/>
                <w:b/>
                <w:bCs/>
                <w:szCs w:val="21"/>
              </w:rPr>
              <w:t>技术标准</w:t>
            </w:r>
            <w:r>
              <w:rPr>
                <w:rFonts w:ascii="等线" w:hAnsi="等线" w:cs="等线" w:hint="eastAsia"/>
                <w:szCs w:val="21"/>
              </w:rPr>
              <w:t>内容中标注“▲”的</w:t>
            </w:r>
            <w:r>
              <w:rPr>
                <w:rFonts w:ascii="等线" w:hAnsi="等线" w:cs="等线" w:hint="eastAsia"/>
                <w:szCs w:val="21"/>
                <w:lang w:val="en-US" w:eastAsia="zh-CN"/>
              </w:rPr>
              <w:t>关键</w:t>
            </w:r>
            <w:r>
              <w:rPr>
                <w:rFonts w:ascii="等线" w:hAnsi="等线" w:cs="等线" w:hint="eastAsia"/>
                <w:szCs w:val="21"/>
              </w:rPr>
              <w:t>技术要求参数的响应情况。</w:t>
            </w:r>
          </w:p>
        </w:tc>
        <w:tc>
          <w:tcPr>
            <w:tcW w:w="1156" w:type="pct"/>
            <w:vAlign w:val="center"/>
          </w:tcPr>
          <w:p>
            <w:pPr>
              <w:rPr>
                <w:rFonts w:asciiTheme="minorEastAsia" w:eastAsiaTheme="minorEastAsia" w:hAnsiTheme="minorEastAsia" w:cstheme="minorEastAsia" w:hint="eastAsia"/>
                <w:b/>
                <w:color w:val="0000FF"/>
                <w:sz w:val="20"/>
                <w:szCs w:val="20"/>
                <w:highlight w:val="none"/>
              </w:rPr>
            </w:pPr>
          </w:p>
        </w:tc>
        <w:tc>
          <w:tcPr>
            <w:tcW w:w="921" w:type="pct"/>
          </w:tcPr>
          <w:p>
            <w:pPr>
              <w:spacing w:before="120" w:beforeLines="50"/>
              <w:jc w:val="center"/>
              <w:rPr>
                <w:rFonts w:asciiTheme="minorEastAsia" w:eastAsiaTheme="minorEastAsia" w:hAnsiTheme="minorEastAsia" w:cstheme="minorEastAsia" w:hint="eastAsia"/>
                <w:sz w:val="20"/>
                <w:szCs w:val="20"/>
              </w:rPr>
            </w:pPr>
          </w:p>
        </w:tc>
        <w:tc>
          <w:tcPr>
            <w:tcW w:w="527" w:type="pct"/>
            <w:vAlign w:val="center"/>
          </w:tcPr>
          <w:p>
            <w:pPr>
              <w:jc w:val="center"/>
              <w:rPr>
                <w:rFonts w:asciiTheme="minorEastAsia" w:eastAsiaTheme="minorEastAsia" w:hAnsiTheme="minorEastAsia" w:cstheme="minorEastAsia" w:hint="eastAsia"/>
                <w:sz w:val="20"/>
                <w:szCs w:val="20"/>
              </w:rPr>
            </w:pPr>
          </w:p>
        </w:tc>
      </w:tr>
      <w:tr>
        <w:tblPrEx>
          <w:tblW w:w="4998" w:type="pct"/>
          <w:jc w:val="center"/>
          <w:tblCellMar>
            <w:top w:w="0" w:type="dxa"/>
            <w:left w:w="108" w:type="dxa"/>
            <w:bottom w:w="0" w:type="dxa"/>
            <w:right w:w="108" w:type="dxa"/>
          </w:tblCellMar>
        </w:tblPrEx>
        <w:trPr>
          <w:jc w:val="center"/>
        </w:trPr>
        <w:tc>
          <w:tcPr>
            <w:tcW w:w="320" w:type="pct"/>
            <w:vAlign w:val="center"/>
          </w:tcPr>
          <w:p>
            <w:pPr>
              <w:spacing w:line="300" w:lineRule="auto"/>
              <w:jc w:val="center"/>
              <w:rPr>
                <w:rFonts w:asciiTheme="minorEastAsia" w:eastAsiaTheme="minorEastAsia" w:hAnsiTheme="minorEastAsia" w:cstheme="minorEastAsia" w:hint="default"/>
                <w:b/>
                <w:color w:val="FF0000"/>
                <w:kern w:val="0"/>
                <w:sz w:val="20"/>
                <w:szCs w:val="20"/>
                <w:highlight w:val="none"/>
                <w:lang w:val="en-US" w:eastAsia="zh-CN"/>
              </w:rPr>
            </w:pPr>
            <w:r>
              <w:rPr>
                <w:rFonts w:asciiTheme="minorEastAsia" w:eastAsiaTheme="minorEastAsia" w:hAnsiTheme="minorEastAsia" w:cstheme="minorEastAsia" w:hint="eastAsia"/>
                <w:b/>
                <w:color w:val="FF0000"/>
                <w:kern w:val="0"/>
                <w:sz w:val="20"/>
                <w:szCs w:val="20"/>
                <w:highlight w:val="none"/>
                <w:lang w:val="en-US" w:eastAsia="zh-CN"/>
              </w:rPr>
              <w:t>2</w:t>
            </w:r>
          </w:p>
        </w:tc>
        <w:tc>
          <w:tcPr>
            <w:tcW w:w="2074" w:type="pct"/>
          </w:tcPr>
          <w:p>
            <w:pPr>
              <w:spacing w:line="300" w:lineRule="auto"/>
              <w:rPr>
                <w:rFonts w:asciiTheme="minorEastAsia" w:eastAsiaTheme="minorEastAsia" w:hAnsiTheme="minorEastAsia" w:cstheme="minorEastAsia" w:hint="eastAsia"/>
                <w:b/>
                <w:color w:val="FF0000"/>
                <w:kern w:val="0"/>
                <w:sz w:val="20"/>
                <w:szCs w:val="20"/>
                <w:highlight w:val="none"/>
              </w:rPr>
            </w:pPr>
            <w:r>
              <w:rPr>
                <w:rFonts w:ascii="等线" w:hAnsi="等线" w:cs="等线" w:hint="eastAsia"/>
                <w:b/>
                <w:bCs/>
                <w:szCs w:val="21"/>
              </w:rPr>
              <w:t>《第一册专用条款第三章 用户需求书：2.服务内容、技术标准、工作质量要求》：</w:t>
            </w:r>
            <w:r>
              <w:rPr>
                <w:rFonts w:ascii="等线" w:hAnsi="等线" w:cs="等线" w:hint="eastAsia"/>
                <w:b/>
                <w:bCs/>
                <w:szCs w:val="21"/>
                <w:lang w:eastAsia="zh-CN"/>
              </w:rPr>
              <w:t>（</w:t>
            </w:r>
            <w:r>
              <w:rPr>
                <w:rFonts w:ascii="等线" w:hAnsi="等线" w:cs="等线" w:hint="eastAsia"/>
                <w:b/>
                <w:bCs/>
                <w:szCs w:val="21"/>
                <w:lang w:val="en-US" w:eastAsia="zh-CN"/>
              </w:rPr>
              <w:t>2</w:t>
            </w:r>
            <w:r>
              <w:rPr>
                <w:rFonts w:ascii="等线" w:hAnsi="等线" w:cs="等线" w:hint="eastAsia"/>
                <w:b/>
                <w:bCs/>
                <w:szCs w:val="21"/>
                <w:lang w:eastAsia="zh-CN"/>
              </w:rPr>
              <w:t>）</w:t>
            </w:r>
            <w:bookmarkStart w:id="42" w:name="_GoBack"/>
            <w:bookmarkEnd w:id="42"/>
            <w:r>
              <w:rPr>
                <w:rFonts w:ascii="等线" w:hAnsi="等线" w:cs="等线" w:hint="eastAsia"/>
                <w:b/>
                <w:bCs/>
                <w:szCs w:val="21"/>
              </w:rPr>
              <w:t>技术标准</w:t>
            </w:r>
            <w:r>
              <w:rPr>
                <w:rFonts w:ascii="等线" w:hAnsi="等线" w:cs="等线" w:hint="eastAsia"/>
                <w:szCs w:val="21"/>
              </w:rPr>
              <w:t>内容中未标注“▲”的普通技术要求参数的响应情况。</w:t>
            </w:r>
          </w:p>
        </w:tc>
        <w:tc>
          <w:tcPr>
            <w:tcW w:w="1156" w:type="pct"/>
            <w:vAlign w:val="center"/>
          </w:tcPr>
          <w:p>
            <w:pPr>
              <w:rPr>
                <w:rFonts w:asciiTheme="minorEastAsia" w:eastAsiaTheme="minorEastAsia" w:hAnsiTheme="minorEastAsia" w:cstheme="minorEastAsia" w:hint="eastAsia"/>
                <w:b/>
                <w:color w:val="0000FF"/>
                <w:sz w:val="20"/>
                <w:szCs w:val="20"/>
                <w:highlight w:val="none"/>
              </w:rPr>
            </w:pPr>
          </w:p>
        </w:tc>
        <w:tc>
          <w:tcPr>
            <w:tcW w:w="921" w:type="pct"/>
          </w:tcPr>
          <w:p>
            <w:pPr>
              <w:spacing w:before="120" w:beforeLines="50"/>
              <w:jc w:val="center"/>
              <w:rPr>
                <w:rFonts w:asciiTheme="minorEastAsia" w:eastAsiaTheme="minorEastAsia" w:hAnsiTheme="minorEastAsia" w:cstheme="minorEastAsia" w:hint="eastAsia"/>
                <w:b/>
                <w:color w:val="0000FF"/>
                <w:sz w:val="20"/>
                <w:szCs w:val="20"/>
                <w:highlight w:val="green"/>
              </w:rPr>
            </w:pPr>
          </w:p>
        </w:tc>
        <w:tc>
          <w:tcPr>
            <w:tcW w:w="527" w:type="pct"/>
            <w:vAlign w:val="center"/>
          </w:tcPr>
          <w:p>
            <w:pPr>
              <w:jc w:val="center"/>
              <w:rPr>
                <w:rFonts w:asciiTheme="minorEastAsia" w:eastAsiaTheme="minorEastAsia" w:hAnsiTheme="minorEastAsia" w:cstheme="minorEastAsia" w:hint="eastAsia"/>
                <w:b/>
                <w:color w:val="0000FF"/>
                <w:sz w:val="20"/>
                <w:szCs w:val="20"/>
                <w:highlight w:val="green"/>
              </w:rPr>
            </w:pPr>
          </w:p>
        </w:tc>
      </w:tr>
    </w:tbl>
    <w:p>
      <w:pPr>
        <w:snapToGrid w:val="0"/>
        <w:rPr>
          <w:rFonts w:hint="eastAsia"/>
        </w:rPr>
      </w:pPr>
      <w:r>
        <w:rPr>
          <w:rFonts w:hint="eastAsia"/>
        </w:rPr>
        <w:t>填写说明：</w:t>
      </w:r>
    </w:p>
    <w:p>
      <w:pPr>
        <w:numPr>
          <w:ilvl w:val="0"/>
          <w:numId w:val="0"/>
        </w:numPr>
        <w:snapToGrid w:val="0"/>
        <w:spacing w:after="60" w:afterLines="25" w:line="300" w:lineRule="auto"/>
        <w:ind w:leftChars="0"/>
        <w:rPr>
          <w:rFonts w:asciiTheme="minorEastAsia" w:eastAsiaTheme="minorEastAsia" w:hAnsiTheme="minorEastAsia" w:cstheme="minorEastAsia" w:hint="eastAsia"/>
          <w:sz w:val="20"/>
          <w:szCs w:val="20"/>
        </w:rPr>
      </w:pPr>
      <w:r>
        <w:rPr>
          <w:rFonts w:asciiTheme="minorEastAsia" w:eastAsiaTheme="minorEastAsia" w:hAnsiTheme="minorEastAsia" w:cstheme="minorEastAsia" w:hint="eastAsia"/>
          <w:sz w:val="20"/>
          <w:szCs w:val="20"/>
          <w:lang w:val="en-US" w:eastAsia="zh-CN"/>
        </w:rPr>
        <w:t>1、</w:t>
      </w:r>
      <w:r>
        <w:rPr>
          <w:rFonts w:asciiTheme="minorEastAsia" w:eastAsiaTheme="minorEastAsia" w:hAnsiTheme="minorEastAsia" w:cstheme="minorEastAsia" w:hint="eastAsia"/>
          <w:sz w:val="20"/>
          <w:szCs w:val="20"/>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0"/>
        </w:numPr>
        <w:snapToGrid w:val="0"/>
        <w:spacing w:after="60" w:afterLines="25" w:line="300" w:lineRule="auto"/>
        <w:ind w:leftChars="0"/>
        <w:rPr>
          <w:rFonts w:asciiTheme="minorEastAsia" w:eastAsiaTheme="minorEastAsia" w:hAnsiTheme="minorEastAsia" w:cstheme="minorEastAsia" w:hint="eastAsia"/>
          <w:sz w:val="20"/>
          <w:szCs w:val="20"/>
        </w:rPr>
      </w:pPr>
      <w:r>
        <w:rPr>
          <w:rFonts w:asciiTheme="minorEastAsia" w:eastAsiaTheme="minorEastAsia" w:hAnsiTheme="minorEastAsia" w:cstheme="minorEastAsia" w:hint="eastAsia"/>
          <w:sz w:val="20"/>
          <w:szCs w:val="20"/>
          <w:lang w:val="en-US" w:eastAsia="zh-CN"/>
        </w:rPr>
        <w:t>2、【偏离情况】一栏填写如实填写“正偏离”、“负偏离”或“无偏离”，其中：“正偏离”表示“投标响应优于招标商务要求”，“负偏离”表示“投标响应不满足招标商务要求”，“无偏离”表示“投标响应与招标商务要求一致”。</w:t>
      </w:r>
    </w:p>
    <w:p>
      <w:pPr>
        <w:numPr>
          <w:ilvl w:val="0"/>
          <w:numId w:val="0"/>
        </w:numPr>
        <w:snapToGrid w:val="0"/>
        <w:spacing w:after="60" w:afterLines="25" w:line="300" w:lineRule="auto"/>
        <w:ind w:leftChars="0"/>
        <w:rPr>
          <w:rFonts w:asciiTheme="majorEastAsia" w:eastAsiaTheme="majorEastAsia" w:hAnsiTheme="majorEastAsia" w:cs="Times New Roman"/>
          <w:sz w:val="24"/>
          <w:szCs w:val="24"/>
        </w:rPr>
      </w:pPr>
      <w:r>
        <w:rPr>
          <w:rFonts w:asciiTheme="minorEastAsia" w:eastAsiaTheme="minorEastAsia" w:hAnsiTheme="minorEastAsia" w:cstheme="minorEastAsia" w:hint="eastAsia"/>
          <w:sz w:val="20"/>
          <w:szCs w:val="20"/>
          <w:lang w:val="en-US" w:eastAsia="zh-CN"/>
        </w:rPr>
        <w:t>3、</w:t>
      </w:r>
      <w:r>
        <w:rPr>
          <w:rFonts w:asciiTheme="minorEastAsia" w:eastAsiaTheme="minorEastAsia" w:hAnsiTheme="minorEastAsia" w:cstheme="minorEastAsia" w:hint="eastAsia"/>
          <w:sz w:val="20"/>
          <w:szCs w:val="20"/>
        </w:rPr>
        <w:t>如投标人响应情况优于或低于招标要求的，应在【投标文件响应】或【说明】栏中作详细说明，如完全满足或符合招标文件要求的则无需说明，参照第1条填写内容即可。评标委员会将根据具体投标响应情况给予是否偏离的认定，并以此认定标准为最终评判标准；</w:t>
      </w:r>
    </w:p>
    <w:p>
      <w:pPr>
        <w:jc w:val="center"/>
        <w:rPr>
          <w:rFonts w:ascii="黑体" w:eastAsia="黑体" w:hAnsi="宋体" w:hint="eastAsia"/>
          <w:sz w:val="24"/>
          <w:szCs w:val="20"/>
        </w:rPr>
      </w:pPr>
      <w:r>
        <w:rPr>
          <w:rFonts w:ascii="黑体" w:eastAsia="黑体" w:hAnsi="宋体" w:hint="eastAsia"/>
          <w:sz w:val="24"/>
          <w:szCs w:val="20"/>
          <w:lang w:val="en-US" w:eastAsia="zh-CN"/>
        </w:rPr>
        <w:t>五、</w:t>
      </w:r>
      <w:r>
        <w:rPr>
          <w:rFonts w:ascii="黑体" w:eastAsia="黑体" w:hAnsi="宋体" w:hint="eastAsia"/>
          <w:sz w:val="24"/>
          <w:szCs w:val="20"/>
        </w:rPr>
        <w:t>技术方案评价；</w:t>
      </w:r>
    </w:p>
    <w:p>
      <w:pPr>
        <w:jc w:val="center"/>
        <w:rPr>
          <w:rFonts w:ascii="黑体" w:eastAsia="黑体" w:hAnsi="宋体" w:hint="eastAsia"/>
          <w:sz w:val="24"/>
          <w:szCs w:val="20"/>
        </w:rPr>
      </w:pPr>
      <w:r>
        <w:rPr>
          <w:rFonts w:ascii="黑体" w:eastAsia="黑体" w:hAnsi="宋体" w:hint="eastAsia"/>
          <w:sz w:val="24"/>
          <w:szCs w:val="20"/>
          <w:lang w:val="en-US" w:eastAsia="zh-CN"/>
        </w:rPr>
        <w:t>六、</w:t>
      </w:r>
      <w:r>
        <w:rPr>
          <w:rFonts w:ascii="黑体" w:eastAsia="黑体" w:hAnsi="宋体" w:hint="eastAsia"/>
          <w:sz w:val="24"/>
          <w:szCs w:val="20"/>
        </w:rPr>
        <w:t>质量保证评价；</w:t>
      </w:r>
    </w:p>
    <w:p>
      <w:pPr>
        <w:jc w:val="center"/>
        <w:rPr>
          <w:rFonts w:ascii="黑体" w:eastAsia="黑体" w:hAnsi="宋体" w:hint="eastAsia"/>
          <w:sz w:val="24"/>
          <w:szCs w:val="20"/>
        </w:rPr>
      </w:pPr>
      <w:r>
        <w:rPr>
          <w:rFonts w:ascii="黑体" w:eastAsia="黑体" w:hAnsi="宋体" w:hint="eastAsia"/>
          <w:sz w:val="24"/>
          <w:szCs w:val="20"/>
          <w:lang w:val="en-US" w:eastAsia="zh-CN"/>
        </w:rPr>
        <w:t>七、</w:t>
      </w:r>
      <w:r>
        <w:rPr>
          <w:rFonts w:ascii="黑体" w:eastAsia="黑体" w:hAnsi="宋体" w:hint="eastAsia"/>
          <w:sz w:val="24"/>
          <w:szCs w:val="20"/>
        </w:rPr>
        <w:t>拟安排的项目负责人情况（仅限一人）；</w:t>
      </w:r>
    </w:p>
    <w:p>
      <w:pPr>
        <w:jc w:val="center"/>
        <w:rPr>
          <w:rFonts w:ascii="黑体" w:eastAsia="黑体" w:hAnsi="宋体" w:hint="eastAsia"/>
          <w:sz w:val="24"/>
          <w:szCs w:val="20"/>
        </w:rPr>
      </w:pPr>
      <w:r>
        <w:rPr>
          <w:rFonts w:ascii="黑体" w:eastAsia="黑体" w:hAnsi="宋体" w:hint="eastAsia"/>
          <w:sz w:val="24"/>
          <w:szCs w:val="20"/>
          <w:lang w:val="en-US" w:eastAsia="zh-CN"/>
        </w:rPr>
        <w:t>八、</w:t>
      </w:r>
      <w:r>
        <w:rPr>
          <w:rFonts w:ascii="黑体" w:eastAsia="黑体" w:hAnsi="宋体" w:hint="eastAsia"/>
          <w:sz w:val="24"/>
          <w:szCs w:val="20"/>
        </w:rPr>
        <w:t>拟安排的项目团队成员情况（项目负责人除外）；</w:t>
      </w:r>
    </w:p>
    <w:p>
      <w:pPr>
        <w:pStyle w:val="Heading3"/>
        <w:jc w:val="center"/>
        <w:rPr>
          <w:rFonts w:ascii="黑体" w:eastAsia="黑体"/>
          <w:b w:val="0"/>
          <w:bCs w:val="0"/>
          <w:sz w:val="24"/>
          <w:szCs w:val="20"/>
        </w:rPr>
      </w:pPr>
      <w:r>
        <w:rPr>
          <w:rFonts w:ascii="黑体" w:eastAsia="黑体" w:hint="eastAsia"/>
          <w:sz w:val="24"/>
          <w:szCs w:val="20"/>
          <w:lang w:val="en-US" w:eastAsia="zh-CN"/>
        </w:rPr>
        <w:t>九</w:t>
      </w:r>
      <w:r>
        <w:rPr>
          <w:rFonts w:ascii="黑体" w:eastAsia="黑体" w:hAnsi="宋体" w:hint="eastAsia"/>
          <w:sz w:val="24"/>
          <w:szCs w:val="20"/>
          <w:lang w:val="en-US" w:eastAsia="zh-CN"/>
        </w:rPr>
        <w:t>、</w:t>
      </w:r>
      <w:bookmarkStart w:id="43" w:name="_Hlk72062872"/>
      <w:r>
        <w:rPr>
          <w:rFonts w:ascii="黑体" w:eastAsia="黑体" w:hint="eastAsia"/>
          <w:b w:val="0"/>
          <w:bCs w:val="0"/>
          <w:sz w:val="24"/>
          <w:szCs w:val="20"/>
        </w:rPr>
        <w:t>投标人认为需要加以说明的其他内容</w:t>
      </w:r>
      <w:bookmarkEnd w:id="43"/>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5"/>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w:t>
      </w:r>
      <w:r>
        <w:rPr>
          <w:rFonts w:ascii="宋体" w:hAnsi="宋体" w:hint="eastAsia"/>
          <w:szCs w:val="21"/>
          <w:lang w:eastAsia="zh-CN"/>
        </w:rPr>
        <w:t>深圳交易集团有限公司宝安分公司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5"/>
        </w:numPr>
        <w:spacing w:before="120" w:beforeLines="50" w:after="120" w:afterLines="50"/>
        <w:ind w:left="562" w:hanging="562"/>
        <w:rPr>
          <w:sz w:val="28"/>
          <w:szCs w:val="28"/>
        </w:rPr>
      </w:pPr>
      <w:bookmarkStart w:id="44" w:name="_Hlk72399513"/>
      <w:r>
        <w:rPr>
          <w:rFonts w:hint="eastAsia"/>
          <w:sz w:val="28"/>
          <w:szCs w:val="28"/>
        </w:rPr>
        <w:t>总则</w:t>
      </w:r>
    </w:p>
    <w:p>
      <w:pPr>
        <w:rPr>
          <w:rFonts w:ascii="黑体" w:eastAsia="黑体" w:hAnsi="宋体"/>
          <w:sz w:val="24"/>
        </w:rPr>
      </w:pPr>
      <w:bookmarkEnd w:id="44"/>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5" w:name="_Hlk72399729"/>
      <w:r>
        <w:rPr>
          <w:rFonts w:ascii="宋体" w:hAnsi="宋体" w:hint="eastAsia"/>
          <w:szCs w:val="21"/>
        </w:rPr>
        <w:t>如有需要，政府集中采购机构可以对通用条款的内容进行补充。</w:t>
      </w:r>
      <w:bookmarkEnd w:id="4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6" w:name="_Hlk72398581"/>
      <w:r>
        <w:rPr>
          <w:rFonts w:ascii="宋体" w:hAnsi="宋体" w:hint="eastAsia"/>
          <w:szCs w:val="21"/>
        </w:rPr>
        <w:t>；</w:t>
      </w:r>
      <w:bookmarkEnd w:id="46"/>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7"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8"/>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47"/>
    </w:p>
    <w:p>
      <w:pPr>
        <w:pStyle w:val="Heading2"/>
        <w:numPr>
          <w:ilvl w:val="0"/>
          <w:numId w:val="15"/>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9"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9"/>
    </w:p>
    <w:p>
      <w:pPr>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0"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0"/>
      <w:r>
        <w:rPr>
          <w:rFonts w:ascii="黑体" w:eastAsia="黑体" w:hAnsi="宋体" w:hint="eastAsia"/>
          <w:sz w:val="24"/>
        </w:rPr>
        <w:t>15．</w:t>
      </w:r>
      <w:bookmarkStart w:id="51"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1"/>
      <w:r>
        <w:rPr>
          <w:rFonts w:ascii="黑体" w:eastAsia="黑体" w:hAnsi="宋体" w:hint="eastAsia"/>
          <w:sz w:val="24"/>
        </w:rPr>
        <w:t>18．</w:t>
      </w:r>
      <w:bookmarkStart w:id="5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2"/>
      <w:r>
        <w:rPr>
          <w:rFonts w:ascii="黑体" w:eastAsia="黑体" w:hAnsi="宋体" w:hint="eastAsia"/>
          <w:sz w:val="24"/>
        </w:rPr>
        <w:t>19．</w:t>
      </w:r>
      <w:bookmarkStart w:id="53"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4"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54"/>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3"/>
      <w:bookmarkStart w:id="55"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5"/>
      <w:r>
        <w:rPr>
          <w:rFonts w:ascii="黑体" w:eastAsia="黑体" w:hAnsi="宋体" w:hint="eastAsia"/>
          <w:sz w:val="24"/>
        </w:rPr>
        <w:t>21．</w:t>
      </w:r>
      <w:bookmarkStart w:id="56"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56"/>
      <w:r>
        <w:rPr>
          <w:rFonts w:ascii="黑体" w:eastAsia="黑体" w:hAnsi="宋体" w:hint="eastAsia"/>
          <w:sz w:val="24"/>
        </w:rPr>
        <w:t>23．</w:t>
      </w:r>
      <w:bookmarkStart w:id="5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7"/>
    </w:p>
    <w:p>
      <w:pPr>
        <w:ind w:firstLine="412" w:firstLineChars="196"/>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58"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58"/>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5"/>
        </w:numPr>
        <w:spacing w:before="120" w:beforeLines="50" w:after="120" w:afterLines="50"/>
        <w:ind w:left="562" w:hanging="562"/>
        <w:rPr>
          <w:sz w:val="28"/>
          <w:szCs w:val="28"/>
        </w:rPr>
      </w:pPr>
      <w:bookmarkEnd w:id="59"/>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6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1"/>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2" w:name="_Toc73521669"/>
      <w:bookmarkStart w:id="63" w:name="_Toc73517673"/>
      <w:bookmarkStart w:id="64" w:name="_Toc100052400"/>
      <w:bookmarkStart w:id="65" w:name="_Toc73521581"/>
      <w:bookmarkStart w:id="66" w:name="_Toc73518151"/>
      <w:r>
        <w:rPr>
          <w:rFonts w:ascii="黑体" w:eastAsia="黑体" w:hAnsi="宋体" w:hint="eastAsia"/>
          <w:sz w:val="24"/>
        </w:rPr>
        <w:t>34．错误的修正</w:t>
      </w:r>
      <w:bookmarkEnd w:id="62"/>
      <w:bookmarkEnd w:id="63"/>
      <w:bookmarkEnd w:id="64"/>
      <w:bookmarkEnd w:id="65"/>
      <w:bookmarkEnd w:id="66"/>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7"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7"/>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5"/>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8"/>
      <w:bookmarkEnd w:id="6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0"/>
      <w:bookmarkStart w:id="7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1"/>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3"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3"/>
    </w:p>
    <w:p>
      <w:pPr>
        <w:pStyle w:val="Heading2"/>
        <w:numPr>
          <w:ilvl w:val="0"/>
          <w:numId w:val="15"/>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5"/>
        </w:numPr>
        <w:spacing w:before="120" w:beforeLines="50" w:after="120" w:afterLines="50"/>
        <w:ind w:left="562" w:hanging="562"/>
        <w:rPr>
          <w:sz w:val="28"/>
          <w:szCs w:val="28"/>
        </w:rPr>
      </w:pPr>
      <w:bookmarkStart w:id="74" w:name="_Hlk72439043"/>
      <w:r>
        <w:rPr>
          <w:rFonts w:hint="eastAsia"/>
          <w:sz w:val="28"/>
          <w:szCs w:val="28"/>
        </w:rPr>
        <w:t>合同的授予与备案</w:t>
      </w:r>
      <w:bookmarkEnd w:id="74"/>
    </w:p>
    <w:p>
      <w:pPr>
        <w:rPr>
          <w:rFonts w:ascii="黑体" w:eastAsia="黑体" w:hAnsi="宋体"/>
          <w:sz w:val="24"/>
        </w:rPr>
      </w:pPr>
      <w:bookmarkStart w:id="75" w:name="_Toc73518157"/>
      <w:bookmarkStart w:id="76" w:name="_Toc73521586"/>
      <w:bookmarkStart w:id="77" w:name="_Toc100052408"/>
      <w:bookmarkStart w:id="78" w:name="_Toc73517679"/>
      <w:bookmarkStart w:id="79" w:name="_Toc73521674"/>
      <w:bookmarkStart w:id="80" w:name="_Hlk72439088"/>
      <w:r>
        <w:rPr>
          <w:rFonts w:ascii="黑体" w:eastAsia="黑体" w:hAnsi="宋体" w:hint="eastAsia"/>
          <w:sz w:val="24"/>
        </w:rPr>
        <w:t>43．合同授予标准</w:t>
      </w:r>
      <w:bookmarkEnd w:id="75"/>
      <w:bookmarkEnd w:id="76"/>
      <w:bookmarkEnd w:id="77"/>
      <w:bookmarkEnd w:id="78"/>
      <w:bookmarkEnd w:id="7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1" w:name="_Toc73521587"/>
      <w:bookmarkStart w:id="82" w:name="_Toc73517680"/>
      <w:bookmarkStart w:id="83" w:name="_Toc73518158"/>
      <w:bookmarkStart w:id="84" w:name="_Toc73521675"/>
      <w:bookmarkStart w:id="85" w:name="_Toc100052409"/>
      <w:r>
        <w:rPr>
          <w:rFonts w:ascii="黑体" w:eastAsia="黑体" w:hAnsi="宋体" w:hint="eastAsia"/>
          <w:sz w:val="24"/>
        </w:rPr>
        <w:t>44．</w:t>
      </w:r>
      <w:bookmarkEnd w:id="81"/>
      <w:bookmarkEnd w:id="82"/>
      <w:bookmarkEnd w:id="83"/>
      <w:bookmarkEnd w:id="84"/>
      <w:bookmarkEnd w:id="8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6" w:name="_Toc73517682"/>
      <w:bookmarkStart w:id="87" w:name="_Toc73518160"/>
      <w:bookmarkStart w:id="88" w:name="_Toc100052410"/>
      <w:bookmarkStart w:id="89" w:name="_Toc73521589"/>
      <w:bookmarkStart w:id="90" w:name="_Toc73521677"/>
      <w:r>
        <w:rPr>
          <w:rFonts w:ascii="黑体" w:eastAsia="黑体" w:hAnsi="宋体" w:hint="eastAsia"/>
          <w:sz w:val="24"/>
        </w:rPr>
        <w:t>45．合同的签订</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1" w:name="_Toc73517683"/>
      <w:bookmarkStart w:id="92" w:name="_Toc73521590"/>
      <w:bookmarkStart w:id="93" w:name="_Toc73521678"/>
      <w:bookmarkStart w:id="94" w:name="_Toc73518161"/>
      <w:bookmarkStart w:id="95" w:name="_Toc100052411"/>
      <w:r>
        <w:rPr>
          <w:rFonts w:ascii="黑体" w:eastAsia="黑体" w:hAnsi="宋体" w:hint="eastAsia"/>
          <w:sz w:val="24"/>
        </w:rPr>
        <w:t>46．履约担保</w:t>
      </w:r>
      <w:bookmarkEnd w:id="91"/>
      <w:bookmarkEnd w:id="92"/>
      <w:bookmarkEnd w:id="93"/>
      <w:bookmarkEnd w:id="94"/>
      <w:bookmarkEnd w:id="9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6" w:name="_Hlk72440769"/>
      <w:r>
        <w:rPr>
          <w:rFonts w:ascii="宋体" w:hAnsi="宋体" w:hint="eastAsia"/>
          <w:szCs w:val="21"/>
        </w:rPr>
        <w:t>政府集中采购机构或采购人不予退还其交纳的谈判保证金，情节严重的，并由主管部门</w:t>
      </w:r>
      <w:bookmarkEnd w:id="9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5"/>
        </w:numPr>
        <w:spacing w:before="120" w:beforeLines="50" w:after="120" w:afterLines="50"/>
        <w:ind w:left="562" w:hanging="562"/>
        <w:rPr>
          <w:sz w:val="28"/>
          <w:szCs w:val="28"/>
        </w:rPr>
      </w:pPr>
      <w:bookmarkEnd w:id="80"/>
      <w:r>
        <w:rPr>
          <w:rFonts w:hint="eastAsia"/>
          <w:sz w:val="28"/>
          <w:szCs w:val="28"/>
        </w:rPr>
        <w:t>质疑处理</w:t>
      </w:r>
    </w:p>
    <w:p>
      <w:pPr>
        <w:rPr>
          <w:rFonts w:ascii="黑体" w:eastAsia="黑体" w:hAnsi="宋体"/>
          <w:sz w:val="24"/>
        </w:rPr>
      </w:pPr>
      <w:bookmarkStart w:id="9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97"/>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BDEF6334"/>
    <w:multiLevelType w:val="singleLevel"/>
    <w:tmpl w:val="BDEF6334"/>
    <w:lvl w:ilvl="0">
      <w:start w:val="7"/>
      <w:numFmt w:val="chineseCounting"/>
      <w:suff w:val="nothing"/>
      <w:lvlText w:val="%1、"/>
      <w:lvlJc w:val="left"/>
      <w:rPr>
        <w:rFonts w:hint="eastAsia"/>
      </w:rPr>
    </w:lvl>
  </w:abstractNum>
  <w:abstractNum w:abstractNumId="4">
    <w:nsid w:val="E0018F06"/>
    <w:multiLevelType w:val="multilevel"/>
    <w:tmpl w:val="E0018F06"/>
    <w:lvl w:ilvl="0">
      <w:start w:val="1"/>
      <w:numFmt w:val="decimalEnclosedCircle"/>
      <w:lvlText w:val="%1"/>
      <w:lvlJc w:val="left"/>
      <w:pPr>
        <w:ind w:left="920" w:hanging="360"/>
      </w:pPr>
      <w:rPr>
        <w:rFonts w:ascii="宋体" w:eastAsia="宋体" w:hAnsi="宋体" w:cs="宋体" w:hint="eastAsia"/>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5">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6">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7">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0">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nsid w:val="33551E99"/>
    <w:multiLevelType w:val="singleLevel"/>
    <w:tmpl w:val="33551E99"/>
    <w:lvl w:ilvl="0">
      <w:start w:val="1"/>
      <w:numFmt w:val="decimalEnclosedCircleChinese"/>
      <w:suff w:val="nothing"/>
      <w:lvlText w:val="%1　"/>
      <w:lvlJc w:val="left"/>
      <w:pPr>
        <w:ind w:left="0" w:firstLine="400"/>
      </w:pPr>
      <w:rPr>
        <w:rFonts w:hint="eastAsia"/>
      </w:rPr>
    </w:lvl>
  </w:abstractNum>
  <w:abstractNum w:abstractNumId="12">
    <w:nsid w:val="3AEECF58"/>
    <w:multiLevelType w:val="multilevel"/>
    <w:tmpl w:val="3AEECF58"/>
    <w:lvl w:ilvl="0">
      <w:start w:val="1"/>
      <w:numFmt w:val="decimalEnclosedCircle"/>
      <w:lvlText w:val="%1"/>
      <w:lvlJc w:val="left"/>
      <w:pPr>
        <w:ind w:left="920" w:hanging="360"/>
      </w:pPr>
      <w:rPr>
        <w:rFonts w:ascii="宋体" w:eastAsia="宋体" w:hAnsi="宋体" w:cs="宋体" w:hint="eastAsia"/>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13">
    <w:nsid w:val="4C1D4415"/>
    <w:multiLevelType w:val="multilevel"/>
    <w:tmpl w:val="4C1D4415"/>
    <w:lvl w:ilvl="0">
      <w:start w:val="1"/>
      <w:numFmt w:val="decimalEnclosedCircle"/>
      <w:lvlText w:val="%1"/>
      <w:lvlJc w:val="left"/>
      <w:pPr>
        <w:ind w:left="920" w:hanging="360"/>
      </w:pPr>
      <w:rPr>
        <w:rFonts w:ascii="宋体" w:eastAsia="宋体" w:hAnsi="宋体" w:cs="宋体" w:hint="eastAsia"/>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14">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6"/>
  </w:num>
  <w:num w:numId="2">
    <w:abstractNumId w:val="5"/>
  </w:num>
  <w:num w:numId="3">
    <w:abstractNumId w:val="9"/>
  </w:num>
  <w:num w:numId="4">
    <w:abstractNumId w:val="8"/>
  </w:num>
  <w:num w:numId="5">
    <w:abstractNumId w:val="14"/>
  </w:num>
  <w:num w:numId="6">
    <w:abstractNumId w:val="10"/>
  </w:num>
  <w:num w:numId="7">
    <w:abstractNumId w:val="1"/>
  </w:num>
  <w:num w:numId="8">
    <w:abstractNumId w:val="11"/>
  </w:num>
  <w:num w:numId="9">
    <w:abstractNumId w:val="4"/>
  </w:num>
  <w:num w:numId="10">
    <w:abstractNumId w:val="13"/>
  </w:num>
  <w:num w:numId="11">
    <w:abstractNumId w:val="12"/>
  </w:num>
  <w:num w:numId="12">
    <w:abstractNumId w:val="3"/>
  </w:num>
  <w:num w:numId="13">
    <w:abstractNumId w:val="0"/>
  </w:num>
  <w:num w:numId="14">
    <w:abstractNumId w:val="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2"/>
  <w:bordersDoNotSurroundHeader/>
  <w:bordersDoNotSurroundFooter/>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lhYjJlMDczNTg1YzZlZTZmMzQyYTZjNjJiZDQ2YjYifQ=="/>
    <w:docVar w:name="KSO_WPS_MARK_KEY" w:val="08257588-3521-4ae5-b389-87a07c867f78"/>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NormalInden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paragraph" w:customStyle="1" w:styleId="1">
    <w:name w:val="引文目录1"/>
    <w:basedOn w:val="Normal"/>
    <w:next w:val="Normal"/>
    <w:qFormat/>
    <w:pPr>
      <w:ind w:left="420" w:leftChars="200"/>
    </w:pPr>
    <w:rPr>
      <w:rFonts w:cs="黑体"/>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5">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49</Pages>
  <Words>16822</Words>
  <Characters>17728</Characters>
  <Application>Microsoft Office Word</Application>
  <DocSecurity>0</DocSecurity>
  <Lines>332</Lines>
  <Paragraphs>93</Paragraphs>
  <ScaleCrop>false</ScaleCrop>
  <Company>Microsoft</Company>
  <LinksUpToDate>false</LinksUpToDate>
  <CharactersWithSpaces>17826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李鑫</cp:lastModifiedBy>
  <cp:revision>83</cp:revision>
  <cp:lastPrinted>2024-12-04T08:49:00Z</cp:lastPrinted>
  <dcterms:created xsi:type="dcterms:W3CDTF">2021-04-19T08:29:00Z</dcterms:created>
  <dcterms:modified xsi:type="dcterms:W3CDTF">2024-12-05T10:32:50Z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43718A5444D342A2B21C8EC813E051B4_13</vt:lpwstr>
  </property>
  <property fmtid="{D5CDD505-2E9C-101B-9397-08002B2CF9AE}" pid="3" name="KSOProductBuildVer">
    <vt:lpwstr>2052-12.1.0.19302</vt:lpwstr>
  </property>
</Properties>
</file>