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BACG2025000031</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深圳市宝安区信息中心智慧宝安大数据资源平台完善工程项目（B包）</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rFonts w:eastAsia="宋体" w:hint="eastAsia"/>
                <w:sz w:val="30"/>
                <w:szCs w:val="30"/>
                <w:lang w:eastAsia="zh-CN"/>
              </w:rPr>
            </w:pPr>
            <w:r>
              <w:rPr>
                <w:rFonts w:ascii="宋体" w:hAnsi="宋体" w:cs="宋体" w:hint="eastAsia"/>
                <w:kern w:val="0"/>
                <w:sz w:val="30"/>
                <w:szCs w:val="30"/>
                <w:lang w:val="en-US" w:eastAsia="zh-CN"/>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rPr>
          <w:rFonts w:ascii="黑体" w:eastAsia="黑体" w:hAnsi="黑体"/>
          <w:sz w:val="40"/>
          <w:szCs w:val="40"/>
        </w:rPr>
      </w:pPr>
    </w:p>
    <w:p>
      <w:pPr>
        <w:pStyle w:val="NormalWeb"/>
        <w:jc w:val="center"/>
        <w:outlineLvl w:val="1"/>
        <w:rPr>
          <w:rFonts w:ascii="黑体" w:eastAsia="黑体" w:hAnsi="黑体"/>
          <w:sz w:val="40"/>
          <w:szCs w:val="40"/>
        </w:r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不得将一个包的内容拆开投标；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对同一项目投标时，不得提供两套以上的投标方案（招标文件另有规定的除外）；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分项报价或投标总价不得高于相应预算金额（或设定的预算金额下的最高限价）；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采购标的/服务清单/报价等任意一类有缺漏项或响应不全，或者对招标文件规定的项目需求内容或者需求数量进行修改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投标文件电子文档不得带病毒；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不同投标供应商投标文件“文件制作机器码”一致；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不同投标供应商投标文件“文件创建标识码”一致；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r>
              <w:rPr>
                <w:rFonts w:hint="eastAsia"/>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rPr>
          <w:rFonts w:ascii="黑体" w:eastAsia="黑体" w:hAnsi="黑体"/>
          <w:sz w:val="40"/>
          <w:szCs w:val="40"/>
        </w:rPr>
      </w:pPr>
    </w:p>
    <w:p>
      <w:pPr>
        <w:pStyle w:val="NormalWeb"/>
        <w:jc w:val="center"/>
        <w:outlineLvl w:val="1"/>
        <w:rPr>
          <w:rFonts w:ascii="黑体" w:eastAsia="黑体" w:hAnsi="黑体"/>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ind w:firstLine="420"/>
              <w:rPr>
                <w:szCs w:val="21"/>
              </w:rPr>
            </w:pPr>
            <w:r>
              <w:rPr>
                <w:szCs w:val="21"/>
              </w:rPr>
              <w:t>综合评分法，是指投标文件满足招标文件全部实质性要求，且按照评审因素的量化指标评审得分最高的投标人为中标候选人的评标方法。</w:t>
            </w:r>
          </w:p>
          <w:p>
            <w:pPr>
              <w:ind w:firstLine="420"/>
              <w:rPr>
                <w:szCs w:val="21"/>
              </w:rPr>
            </w:pPr>
            <w:r>
              <w:rPr>
                <w:szCs w:val="21"/>
              </w:rPr>
              <w:t>价格分计算方法：</w:t>
            </w:r>
          </w:p>
          <w:p>
            <w:pPr>
              <w:widowControl/>
              <w:ind w:left="420"/>
              <w:jc w:val="left"/>
              <w:rPr>
                <w:szCs w:val="21"/>
              </w:rPr>
            </w:pPr>
            <w:r>
              <w:rPr>
                <w:szCs w:val="21"/>
              </w:rPr>
              <w:t xml:space="preserve">采用低价优先法计算，即满足招标文件要求且投标价格最低的投标报价为评标基准价，其价格分为满分。其他投标人的价格分统一按照下列公式计算： </w:t>
            </w:r>
            <w:r>
              <w:rPr>
                <w:szCs w:val="21"/>
              </w:rPr>
              <w:br/>
            </w:r>
            <w:r>
              <w:rPr>
                <w:szCs w:val="21"/>
              </w:rPr>
              <w:t xml:space="preserve">投标报价得分=(评标基准价／投标报价)×100 </w:t>
            </w:r>
            <w:r>
              <w:rPr>
                <w:szCs w:val="21"/>
              </w:rPr>
              <w:br/>
            </w:r>
            <w:r>
              <w:rPr>
                <w:szCs w:val="21"/>
              </w:rPr>
              <w:t xml:space="preserve">评标总得分＝F1×A1＋F2×A2＋……＋Fn×An </w:t>
            </w:r>
            <w:r>
              <w:rPr>
                <w:szCs w:val="21"/>
              </w:rPr>
              <w:br/>
            </w:r>
            <w:r>
              <w:rPr>
                <w:szCs w:val="21"/>
              </w:rPr>
              <w:t xml:space="preserve">F1、F2……Fn分别为各项评审因素的得分； </w:t>
            </w:r>
            <w:r>
              <w:rPr>
                <w:szCs w:val="21"/>
              </w:rPr>
              <w:br/>
            </w:r>
            <w:r>
              <w:rPr>
                <w:szCs w:val="21"/>
              </w:rPr>
              <w:t xml:space="preserve">A1、A2、……An 分别为各项评审因素所占的权重(A1＋A2＋……＋An＝1)。 </w:t>
            </w:r>
            <w:r>
              <w:rPr>
                <w:szCs w:val="21"/>
              </w:rPr>
              <w:br/>
            </w:r>
            <w:r>
              <w:rPr>
                <w:szCs w:val="21"/>
              </w:rPr>
              <w:t>评标过程中，不得去掉报价中的最高报价和最低报价。</w:t>
            </w:r>
          </w:p>
          <w:p>
            <w:pPr>
              <w:widowControl/>
              <w:ind w:left="420"/>
              <w:jc w:val="left"/>
              <w:rPr>
                <w:szCs w:val="21"/>
              </w:rPr>
            </w:pPr>
            <w:r>
              <w:rPr>
                <w:rFonts w:hint="eastAsia"/>
                <w:szCs w:val="21"/>
              </w:rPr>
              <w:t>因落实政府采购政策进行价格调整的，以调整后的价格计算评标基准价和投标报价。</w:t>
            </w:r>
          </w:p>
          <w:p>
            <w:pPr>
              <w:ind w:firstLine="420" w:firstLineChars="200"/>
              <w:rPr>
                <w:kern w:val="0"/>
                <w:sz w:val="24"/>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1</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价格</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10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2</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eastAsia"/>
                <w:b/>
                <w:bCs/>
                <w:color w:val="0000FF"/>
                <w:sz w:val="24"/>
                <w:lang w:eastAsia="zh-CN"/>
              </w:rPr>
            </w:pPr>
            <w:r>
              <w:rPr>
                <w:rFonts w:hint="eastAsia"/>
                <w:b/>
                <w:bCs/>
                <w:color w:val="0000FF"/>
              </w:rPr>
              <w:t>6</w:t>
            </w:r>
            <w:r>
              <w:rPr>
                <w:rFonts w:hint="eastAsia"/>
                <w:b/>
                <w:bCs/>
                <w:color w:val="0000FF"/>
                <w:lang w:val="en-US" w:eastAsia="zh-CN"/>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rPr>
            </w:pPr>
            <w:r>
              <w:rPr>
                <w:rFonts w:asciiTheme="minorEastAsia" w:hAnsiTheme="minorEastAsia" w:hint="eastAsia"/>
                <w:szCs w:val="21"/>
              </w:rPr>
              <w:t>技术方案评价</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eastAsia="宋体" w:asciiTheme="minorEastAsia" w:hAnsiTheme="minorEastAsia" w:cs="宋体" w:hint="eastAsia"/>
                <w:szCs w:val="21"/>
                <w:lang w:eastAsia="zh-CN"/>
              </w:rPr>
            </w:pPr>
            <w:r>
              <w:rPr>
                <w:rFonts w:asciiTheme="minorEastAsia" w:hAnsiTheme="minorEastAsia" w:cs="宋体" w:hint="eastAsia"/>
                <w:szCs w:val="21"/>
              </w:rPr>
              <w:t>1</w:t>
            </w:r>
            <w:r>
              <w:rPr>
                <w:rFonts w:asciiTheme="minorEastAsia" w:hAnsiTheme="minorEastAsia" w:cs="宋体" w:hint="eastAsia"/>
                <w:szCs w:val="21"/>
                <w:lang w:val="en-US" w:eastAsia="zh-CN"/>
              </w:rPr>
              <w:t>5</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rPr>
                <w:rFonts w:ascii="宋体" w:hAnsi="宋体" w:cs="宋体"/>
                <w:szCs w:val="21"/>
              </w:rPr>
            </w:pPr>
            <w:r>
              <w:rPr>
                <w:rFonts w:ascii="宋体" w:hAnsi="宋体" w:cs="宋体" w:hint="eastAsia"/>
                <w:kern w:val="0"/>
                <w:szCs w:val="21"/>
              </w:rPr>
              <w:t>（一）评分内容：</w:t>
            </w:r>
          </w:p>
          <w:p>
            <w:pPr>
              <w:rPr>
                <w:rFonts w:ascii="宋体" w:hAnsi="宋体" w:cs="宋体"/>
                <w:szCs w:val="21"/>
              </w:rPr>
            </w:pPr>
            <w:r>
              <w:rPr>
                <w:rFonts w:ascii="宋体" w:hAnsi="宋体" w:cs="宋体" w:hint="eastAsia"/>
                <w:szCs w:val="21"/>
              </w:rPr>
              <w:t>对投标人提供的技术方案进行评价：</w:t>
            </w:r>
          </w:p>
          <w:p>
            <w:pPr>
              <w:rPr>
                <w:rFonts w:ascii="宋体" w:hAnsi="宋体" w:cs="宋体"/>
                <w:szCs w:val="21"/>
              </w:rPr>
            </w:pPr>
            <w:r>
              <w:rPr>
                <w:rFonts w:ascii="宋体" w:hAnsi="宋体" w:cs="宋体" w:hint="eastAsia"/>
                <w:szCs w:val="21"/>
              </w:rPr>
              <w:t>（1）投标人需提供对项目需求分析的理解，包括不限于现状及问题分析、用户需求、功能需求、数据需求、安全需求和性能需求等；</w:t>
            </w:r>
          </w:p>
          <w:p>
            <w:pPr>
              <w:rPr>
                <w:rFonts w:ascii="宋体" w:hAnsi="宋体" w:cs="宋体"/>
                <w:szCs w:val="21"/>
              </w:rPr>
            </w:pPr>
            <w:r>
              <w:rPr>
                <w:rFonts w:ascii="宋体" w:hAnsi="宋体" w:cs="宋体" w:hint="eastAsia"/>
                <w:szCs w:val="21"/>
              </w:rPr>
              <w:t>（2）投标人需结合项目服务内容和项目实际情况提出设计方案，包括不限于系统架构、网络架构、业务逻辑架构、安全架构、部署架构等内容；</w:t>
            </w:r>
          </w:p>
          <w:p>
            <w:pPr>
              <w:rPr>
                <w:rFonts w:ascii="宋体" w:hAnsi="宋体" w:cs="宋体"/>
                <w:szCs w:val="21"/>
              </w:rPr>
            </w:pPr>
            <w:r>
              <w:rPr>
                <w:rFonts w:ascii="宋体" w:hAnsi="宋体" w:cs="宋体" w:hint="eastAsia"/>
                <w:szCs w:val="21"/>
              </w:rPr>
              <w:t>（3）投标人需提供详细的系统软件建设方案，包括一本账数据首页、一本账数据应用、一本账数据台账、一本账资源目录管理、一本账数据服务管理和一本账台账管理等内容；</w:t>
            </w:r>
          </w:p>
          <w:p>
            <w:pPr>
              <w:rPr>
                <w:rFonts w:ascii="宋体" w:hAnsi="宋体" w:cs="宋体"/>
                <w:szCs w:val="21"/>
              </w:rPr>
            </w:pPr>
            <w:r>
              <w:rPr>
                <w:rFonts w:ascii="宋体" w:hAnsi="宋体" w:cs="宋体" w:hint="eastAsia"/>
                <w:szCs w:val="21"/>
              </w:rPr>
              <w:t>（4）投标人需提供详细的数据支撑实施方案，包含数据集成任务实施、数据开发及表切换服务、服务接口迁移服务和数据水印实施服务等内容；</w:t>
            </w:r>
          </w:p>
          <w:p>
            <w:pPr>
              <w:pStyle w:val="1"/>
              <w:ind w:left="0" w:leftChars="0"/>
            </w:pPr>
            <w:r>
              <w:rPr>
                <w:rFonts w:hint="eastAsia"/>
              </w:rPr>
              <w:t>（5）投标人需提供详细的数据服务支撑方案，包含职责数据一本账服务支撑、现实数据一本账服务支撑、一数一源一标准服务支撑和块数据资产管理试点服务等内容。</w:t>
            </w:r>
          </w:p>
          <w:p>
            <w:pPr>
              <w:pStyle w:val="1"/>
              <w:ind w:left="0" w:leftChars="0"/>
            </w:pPr>
            <w:r>
              <w:rPr>
                <w:rFonts w:ascii="宋体" w:hAnsi="宋体" w:cs="宋体" w:hint="eastAsia"/>
                <w:kern w:val="0"/>
                <w:szCs w:val="21"/>
              </w:rPr>
              <w:t>（二）评分依据：</w:t>
            </w:r>
          </w:p>
          <w:p>
            <w:pPr>
              <w:rPr>
                <w:rFonts w:ascii="宋体" w:hAnsi="宋体" w:cs="宋体"/>
                <w:szCs w:val="21"/>
              </w:rPr>
            </w:pPr>
            <w:r>
              <w:rPr>
                <w:rFonts w:ascii="宋体" w:hAnsi="宋体" w:cs="宋体" w:hint="eastAsia"/>
                <w:szCs w:val="21"/>
              </w:rPr>
              <w:t>1、提供的方案每包含以上一点得15分，全部满足得75分。</w:t>
            </w:r>
          </w:p>
          <w:p>
            <w:pPr>
              <w:rPr>
                <w:rFonts w:ascii="宋体" w:hAnsi="宋体" w:cs="宋体"/>
                <w:szCs w:val="21"/>
              </w:rPr>
            </w:pPr>
            <w:r>
              <w:rPr>
                <w:rFonts w:ascii="宋体" w:hAnsi="宋体" w:cs="宋体" w:hint="eastAsia"/>
                <w:szCs w:val="21"/>
              </w:rPr>
              <w:t>2、在此基础上，由评审委员会对具体响应内容进一步评审：</w:t>
            </w:r>
          </w:p>
          <w:p>
            <w:pPr>
              <w:rPr>
                <w:rFonts w:ascii="宋体" w:hAnsi="宋体" w:cs="宋体"/>
                <w:szCs w:val="21"/>
              </w:rPr>
            </w:pPr>
            <w:r>
              <w:rPr>
                <w:rFonts w:ascii="宋体" w:hAnsi="宋体" w:cs="宋体" w:hint="eastAsia"/>
                <w:szCs w:val="21"/>
              </w:rPr>
              <w:t>①方案极合理、条理极清晰、可操作性极强的得25分；</w:t>
            </w:r>
          </w:p>
          <w:p>
            <w:pPr>
              <w:rPr>
                <w:rFonts w:ascii="宋体" w:hAnsi="宋体" w:cs="宋体"/>
                <w:szCs w:val="21"/>
              </w:rPr>
            </w:pPr>
            <w:r>
              <w:rPr>
                <w:rFonts w:ascii="宋体" w:hAnsi="宋体" w:cs="宋体" w:hint="eastAsia"/>
                <w:szCs w:val="21"/>
              </w:rPr>
              <w:t>②方案合理、条理清晰、可操作强的得20分；</w:t>
            </w:r>
          </w:p>
          <w:p>
            <w:pPr>
              <w:rPr>
                <w:rFonts w:ascii="宋体" w:hAnsi="宋体" w:cs="宋体"/>
                <w:szCs w:val="21"/>
              </w:rPr>
            </w:pPr>
            <w:r>
              <w:rPr>
                <w:rFonts w:ascii="宋体" w:hAnsi="宋体" w:cs="宋体" w:hint="eastAsia"/>
                <w:szCs w:val="21"/>
              </w:rPr>
              <w:t>③方案较合理、条理较清晰、可操作较强的得15分；</w:t>
            </w:r>
          </w:p>
          <w:p>
            <w:pPr>
              <w:rPr>
                <w:rFonts w:ascii="宋体" w:hAnsi="宋体" w:cs="宋体"/>
                <w:szCs w:val="21"/>
              </w:rPr>
            </w:pPr>
            <w:r>
              <w:rPr>
                <w:rFonts w:ascii="宋体" w:hAnsi="宋体" w:cs="宋体" w:hint="eastAsia"/>
                <w:szCs w:val="21"/>
              </w:rPr>
              <w:t>④方案一般合理、条理一般、可操作一般的得10分；</w:t>
            </w:r>
          </w:p>
          <w:p>
            <w:pPr>
              <w:snapToGrid w:val="0"/>
              <w:spacing w:line="260" w:lineRule="exact"/>
              <w:rPr>
                <w:rFonts w:asciiTheme="minorEastAsia" w:hAnsiTheme="minorEastAsia" w:cs="宋体"/>
                <w:szCs w:val="21"/>
              </w:rPr>
            </w:pPr>
            <w:r>
              <w:rPr>
                <w:rFonts w:ascii="宋体" w:hAnsi="宋体" w:cs="宋体" w:hint="eastAsia"/>
                <w:szCs w:val="21"/>
              </w:rPr>
              <w:t>⑤方案不合理、条理不清晰、可操作性差的不得分。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b/>
                <w:szCs w:val="21"/>
              </w:rPr>
            </w:pPr>
            <w:r>
              <w:rPr>
                <w:rFonts w:ascii="宋体" w:hAnsi="宋体" w:cs="宋体" w:hint="eastAsia"/>
                <w:kern w:val="0"/>
                <w:szCs w:val="21"/>
              </w:rPr>
              <w:t>质量保障措施方案评价</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szCs w:val="21"/>
              </w:rPr>
            </w:pPr>
            <w:r>
              <w:rPr>
                <w:rFonts w:asciiTheme="minorEastAsia" w:hAnsiTheme="minorEastAsia" w:hint="eastAsia"/>
                <w:szCs w:val="21"/>
              </w:rPr>
              <w:t>5</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snapToGrid w:val="0"/>
              <w:spacing w:line="260" w:lineRule="exact"/>
              <w:rPr>
                <w:rFonts w:asciiTheme="minorEastAsia" w:hAnsiTheme="minorEastAsia" w:cs="宋体"/>
                <w:szCs w:val="21"/>
              </w:rPr>
            </w:pPr>
            <w:r>
              <w:rPr>
                <w:rFonts w:ascii="宋体" w:hAnsi="宋体" w:cs="宋体" w:hint="eastAsia"/>
                <w:kern w:val="0"/>
                <w:szCs w:val="21"/>
              </w:rPr>
              <w:t>（一）评分内容：</w:t>
            </w:r>
            <w:r>
              <w:rPr>
                <w:rFonts w:ascii="宋体" w:hAnsi="宋体" w:cs="宋体" w:hint="eastAsia"/>
                <w:kern w:val="0"/>
                <w:szCs w:val="21"/>
              </w:rPr>
              <w:br/>
            </w:r>
            <w:r>
              <w:rPr>
                <w:rFonts w:ascii="宋体" w:hAnsi="宋体" w:cs="宋体" w:hint="eastAsia"/>
                <w:kern w:val="0"/>
                <w:szCs w:val="21"/>
              </w:rPr>
              <w:t>投标人详细阐述项目的质量保障措施方案，包含以下内容：</w:t>
            </w:r>
            <w:r>
              <w:rPr>
                <w:rFonts w:ascii="宋体" w:hAnsi="宋体" w:cs="宋体" w:hint="eastAsia"/>
                <w:kern w:val="0"/>
                <w:szCs w:val="21"/>
              </w:rPr>
              <w:br/>
            </w:r>
            <w:r>
              <w:rPr>
                <w:rFonts w:ascii="宋体" w:hAnsi="宋体" w:cs="宋体" w:hint="eastAsia"/>
                <w:kern w:val="0"/>
                <w:szCs w:val="21"/>
              </w:rPr>
              <w:t>1、项目组织架构；</w:t>
            </w:r>
            <w:r>
              <w:rPr>
                <w:rFonts w:ascii="宋体" w:hAnsi="宋体" w:cs="宋体" w:hint="eastAsia"/>
                <w:kern w:val="0"/>
                <w:szCs w:val="21"/>
              </w:rPr>
              <w:br/>
            </w:r>
            <w:r>
              <w:rPr>
                <w:rFonts w:ascii="宋体" w:hAnsi="宋体" w:cs="宋体" w:hint="eastAsia"/>
                <w:kern w:val="0"/>
                <w:szCs w:val="21"/>
              </w:rPr>
              <w:t>2、保障措施；</w:t>
            </w:r>
            <w:r>
              <w:rPr>
                <w:rFonts w:ascii="宋体" w:hAnsi="宋体" w:cs="宋体" w:hint="eastAsia"/>
                <w:kern w:val="0"/>
                <w:szCs w:val="21"/>
              </w:rPr>
              <w:br/>
            </w:r>
            <w:r>
              <w:rPr>
                <w:rFonts w:ascii="宋体" w:hAnsi="宋体" w:cs="宋体" w:hint="eastAsia"/>
                <w:kern w:val="0"/>
                <w:szCs w:val="21"/>
              </w:rPr>
              <w:t>3、项目交付管理；</w:t>
            </w:r>
            <w:r>
              <w:rPr>
                <w:rFonts w:ascii="宋体" w:hAnsi="宋体" w:cs="宋体" w:hint="eastAsia"/>
                <w:kern w:val="0"/>
                <w:szCs w:val="21"/>
              </w:rPr>
              <w:br/>
            </w:r>
            <w:r>
              <w:rPr>
                <w:rFonts w:ascii="宋体" w:hAnsi="宋体" w:cs="宋体" w:hint="eastAsia"/>
                <w:kern w:val="0"/>
                <w:szCs w:val="21"/>
              </w:rPr>
              <w:t>4、项目文档管理；</w:t>
            </w:r>
            <w:r>
              <w:rPr>
                <w:rFonts w:ascii="宋体" w:hAnsi="宋体" w:cs="宋体" w:hint="eastAsia"/>
                <w:kern w:val="0"/>
                <w:szCs w:val="21"/>
              </w:rPr>
              <w:br/>
            </w:r>
            <w:r>
              <w:rPr>
                <w:rFonts w:ascii="宋体" w:hAnsi="宋体" w:cs="宋体" w:hint="eastAsia"/>
                <w:kern w:val="0"/>
                <w:szCs w:val="21"/>
              </w:rPr>
              <w:t>5、项目问题管理；</w:t>
            </w:r>
            <w:r>
              <w:rPr>
                <w:rFonts w:ascii="宋体" w:hAnsi="宋体" w:cs="宋体" w:hint="eastAsia"/>
                <w:kern w:val="0"/>
                <w:szCs w:val="21"/>
              </w:rPr>
              <w:br/>
            </w:r>
            <w:r>
              <w:rPr>
                <w:rFonts w:ascii="宋体" w:hAnsi="宋体" w:cs="宋体" w:hint="eastAsia"/>
                <w:kern w:val="0"/>
                <w:szCs w:val="21"/>
              </w:rPr>
              <w:t>6、项目变更管理；</w:t>
            </w:r>
            <w:r>
              <w:rPr>
                <w:rFonts w:ascii="宋体" w:hAnsi="宋体" w:cs="宋体" w:hint="eastAsia"/>
                <w:kern w:val="0"/>
                <w:szCs w:val="21"/>
              </w:rPr>
              <w:br/>
            </w:r>
            <w:r>
              <w:rPr>
                <w:rFonts w:ascii="宋体" w:hAnsi="宋体" w:cs="宋体" w:hint="eastAsia"/>
                <w:kern w:val="0"/>
                <w:szCs w:val="21"/>
              </w:rPr>
              <w:t>7、项目实施管理；</w:t>
            </w:r>
            <w:r>
              <w:rPr>
                <w:rFonts w:ascii="宋体" w:hAnsi="宋体" w:cs="宋体" w:hint="eastAsia"/>
                <w:kern w:val="0"/>
                <w:szCs w:val="21"/>
              </w:rPr>
              <w:br/>
            </w:r>
            <w:r>
              <w:rPr>
                <w:rFonts w:ascii="宋体" w:hAnsi="宋体" w:cs="宋体" w:hint="eastAsia"/>
                <w:kern w:val="0"/>
                <w:szCs w:val="21"/>
              </w:rPr>
              <w:t>8、培训管理内容。</w:t>
            </w:r>
            <w:r>
              <w:rPr>
                <w:rFonts w:ascii="宋体" w:hAnsi="宋体" w:cs="宋体" w:hint="eastAsia"/>
                <w:kern w:val="0"/>
                <w:szCs w:val="21"/>
              </w:rPr>
              <w:br/>
            </w:r>
            <w:r>
              <w:rPr>
                <w:rFonts w:ascii="宋体" w:hAnsi="宋体" w:cs="宋体" w:hint="eastAsia"/>
                <w:kern w:val="0"/>
                <w:szCs w:val="21"/>
              </w:rPr>
              <w:t>（二）评分依据：</w:t>
            </w:r>
            <w:r>
              <w:rPr>
                <w:rFonts w:ascii="宋体" w:hAnsi="宋体" w:cs="宋体" w:hint="eastAsia"/>
                <w:kern w:val="0"/>
                <w:szCs w:val="21"/>
              </w:rPr>
              <w:br/>
            </w:r>
            <w:r>
              <w:rPr>
                <w:rFonts w:ascii="宋体" w:hAnsi="宋体" w:cs="宋体" w:hint="eastAsia"/>
                <w:kern w:val="0"/>
                <w:szCs w:val="21"/>
              </w:rPr>
              <w:t>1.投标人提供方案每包含以上一项得7.5分，以上最高得60分。</w:t>
            </w:r>
            <w:r>
              <w:rPr>
                <w:rFonts w:ascii="宋体" w:hAnsi="宋体" w:cs="宋体" w:hint="eastAsia"/>
                <w:kern w:val="0"/>
                <w:szCs w:val="21"/>
              </w:rPr>
              <w:br/>
            </w:r>
            <w:r>
              <w:rPr>
                <w:rFonts w:ascii="宋体" w:hAnsi="宋体" w:cs="宋体" w:hint="eastAsia"/>
                <w:kern w:val="0"/>
                <w:szCs w:val="21"/>
              </w:rPr>
              <w:t>2.在此基础上，由评审委员会根据方案响应情况进一步评审：</w:t>
            </w:r>
            <w:r>
              <w:rPr>
                <w:rFonts w:ascii="宋体" w:hAnsi="宋体" w:cs="宋体" w:hint="eastAsia"/>
                <w:kern w:val="0"/>
                <w:szCs w:val="21"/>
              </w:rPr>
              <w:br/>
            </w:r>
            <w:r>
              <w:rPr>
                <w:rFonts w:ascii="宋体" w:hAnsi="宋体" w:cs="宋体" w:hint="eastAsia"/>
                <w:kern w:val="0"/>
                <w:szCs w:val="21"/>
              </w:rPr>
              <w:t>（1）方案内容全面，合理，可操作性强的，得40分；</w:t>
            </w:r>
            <w:r>
              <w:rPr>
                <w:rFonts w:ascii="宋体" w:hAnsi="宋体" w:cs="宋体" w:hint="eastAsia"/>
                <w:kern w:val="0"/>
                <w:szCs w:val="21"/>
              </w:rPr>
              <w:br/>
            </w:r>
            <w:r>
              <w:rPr>
                <w:rFonts w:ascii="宋体" w:hAnsi="宋体" w:cs="宋体" w:hint="eastAsia"/>
                <w:kern w:val="0"/>
                <w:szCs w:val="21"/>
              </w:rPr>
              <w:t>（2）方案内容全面，较合理，可操作性较强的，得30分；</w:t>
            </w:r>
            <w:r>
              <w:rPr>
                <w:rFonts w:ascii="宋体" w:hAnsi="宋体" w:cs="宋体" w:hint="eastAsia"/>
                <w:kern w:val="0"/>
                <w:szCs w:val="21"/>
              </w:rPr>
              <w:br/>
            </w:r>
            <w:r>
              <w:rPr>
                <w:rFonts w:ascii="宋体" w:hAnsi="宋体" w:cs="宋体" w:hint="eastAsia"/>
                <w:kern w:val="0"/>
                <w:szCs w:val="21"/>
              </w:rPr>
              <w:t>（3）方案内容全面，一般合理，可操作性一般的，得20分；</w:t>
            </w:r>
            <w:r>
              <w:rPr>
                <w:rFonts w:ascii="宋体" w:hAnsi="宋体" w:cs="宋体" w:hint="eastAsia"/>
                <w:kern w:val="0"/>
                <w:szCs w:val="21"/>
              </w:rPr>
              <w:br/>
            </w:r>
            <w:r>
              <w:rPr>
                <w:rFonts w:ascii="宋体" w:hAnsi="宋体" w:cs="宋体" w:hint="eastAsia"/>
                <w:kern w:val="0"/>
                <w:szCs w:val="21"/>
              </w:rPr>
              <w:t>（4）方案内容不全面，不合理，不具有可操作性的，不得分。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rPr>
            </w:pPr>
            <w:r>
              <w:rPr>
                <w:rFonts w:ascii="宋体" w:hAnsi="宋体" w:cs="宋体" w:hint="eastAsia"/>
                <w:kern w:val="0"/>
                <w:szCs w:val="21"/>
              </w:rPr>
              <w:t>系统演示</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rPr>
            </w:pPr>
            <w:r>
              <w:rPr>
                <w:rFonts w:asciiTheme="minorEastAsia" w:hAnsiTheme="minorEastAsia" w:cs="宋体"/>
                <w:szCs w:val="21"/>
              </w:rPr>
              <w:t>15</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rPr>
                <w:rFonts w:ascii="宋体" w:hAnsi="宋体" w:cs="宋体"/>
                <w:szCs w:val="21"/>
              </w:rPr>
            </w:pPr>
            <w:r>
              <w:rPr>
                <w:rFonts w:ascii="宋体" w:hAnsi="宋体" w:cs="宋体" w:hint="eastAsia"/>
                <w:szCs w:val="21"/>
              </w:rPr>
              <w:t>（一）评分内容：</w:t>
            </w:r>
          </w:p>
          <w:p>
            <w:pPr>
              <w:rPr>
                <w:rFonts w:ascii="宋体" w:hAnsi="宋体" w:cs="宋体"/>
                <w:szCs w:val="21"/>
              </w:rPr>
            </w:pPr>
            <w:r>
              <w:rPr>
                <w:rFonts w:ascii="宋体" w:hAnsi="宋体" w:cs="宋体" w:hint="eastAsia"/>
                <w:szCs w:val="21"/>
              </w:rPr>
              <w:t>提供该项目的系统功能现场演示，由评审专家根据现场系统演示内容进行评分。</w:t>
            </w:r>
          </w:p>
          <w:p>
            <w:pPr>
              <w:rPr>
                <w:rFonts w:ascii="宋体" w:hAnsi="宋体" w:cs="宋体"/>
                <w:szCs w:val="21"/>
              </w:rPr>
            </w:pPr>
            <w:r>
              <w:rPr>
                <w:rFonts w:ascii="宋体" w:hAnsi="宋体" w:cs="宋体" w:hint="eastAsia"/>
                <w:szCs w:val="21"/>
              </w:rPr>
              <w:t>演示具体要求为：</w:t>
            </w:r>
          </w:p>
          <w:p>
            <w:pPr>
              <w:rPr>
                <w:rFonts w:ascii="宋体" w:hAnsi="宋体" w:cs="宋体"/>
                <w:szCs w:val="21"/>
              </w:rPr>
            </w:pPr>
            <w:r>
              <w:rPr>
                <w:rFonts w:ascii="宋体" w:hAnsi="宋体" w:cs="宋体" w:hint="eastAsia"/>
                <w:szCs w:val="21"/>
              </w:rPr>
              <w:t>1、支持可视化数据服务生成，演示服务注册、服务编排、服务审核，服务测试等功能，展示数据服务的应用成效，统计数据服务数量、被调用次数等指标；</w:t>
            </w:r>
          </w:p>
          <w:p>
            <w:pPr>
              <w:pStyle w:val="1"/>
              <w:ind w:left="0" w:leftChars="0"/>
            </w:pPr>
            <w:r>
              <w:rPr>
                <w:rFonts w:ascii="宋体" w:hAnsi="宋体" w:cs="宋体" w:hint="eastAsia"/>
                <w:szCs w:val="21"/>
              </w:rPr>
              <w:t>2、</w:t>
            </w:r>
            <w:r>
              <w:rPr>
                <w:rFonts w:hint="eastAsia"/>
              </w:rPr>
              <w:t>支持基于业务逻辑提炼业务数据供需模型，演示构建数据实体与关联关系图；</w:t>
            </w:r>
          </w:p>
          <w:p>
            <w:pPr>
              <w:rPr>
                <w:rFonts w:ascii="宋体" w:hAnsi="宋体" w:cs="宋体"/>
                <w:szCs w:val="21"/>
              </w:rPr>
            </w:pPr>
            <w:r>
              <w:rPr>
                <w:rFonts w:ascii="宋体" w:hAnsi="宋体" w:cs="宋体" w:hint="eastAsia"/>
                <w:szCs w:val="21"/>
              </w:rPr>
              <w:t>3、支持提供一本账系统规划工作指引，演示调研规划需要完成的具体工作范围，管控调研工作的进度，可查看数据调研、环境调研工作完成情况，查看调研任务列表。</w:t>
            </w:r>
          </w:p>
          <w:p>
            <w:pPr>
              <w:rPr>
                <w:rFonts w:ascii="宋体" w:hAnsi="宋体" w:cs="宋体"/>
                <w:szCs w:val="21"/>
              </w:rPr>
            </w:pPr>
            <w:r>
              <w:rPr>
                <w:rFonts w:ascii="宋体" w:hAnsi="宋体" w:cs="宋体" w:hint="eastAsia"/>
                <w:szCs w:val="21"/>
              </w:rPr>
              <w:t>（二）评分依据：</w:t>
            </w:r>
            <w:r>
              <w:rPr>
                <w:rFonts w:ascii="宋体" w:hAnsi="宋体" w:cs="宋体" w:hint="eastAsia"/>
                <w:szCs w:val="21"/>
              </w:rPr>
              <w:tab/>
            </w:r>
          </w:p>
          <w:p>
            <w:pPr>
              <w:rPr>
                <w:rFonts w:ascii="宋体" w:hAnsi="宋体" w:cs="宋体"/>
                <w:szCs w:val="21"/>
              </w:rPr>
            </w:pPr>
            <w:r>
              <w:rPr>
                <w:rFonts w:ascii="宋体" w:hAnsi="宋体" w:cs="宋体" w:hint="eastAsia"/>
                <w:szCs w:val="21"/>
              </w:rPr>
              <w:t>1、以上演示内容，如投标人通过可运行(操作)系统进行现场演示，每演示一个项并符合要求的得34分，3项演示全部符合要求的得100分，本小项最高得100分</w:t>
            </w:r>
          </w:p>
          <w:p>
            <w:pPr>
              <w:rPr>
                <w:rFonts w:ascii="宋体" w:hAnsi="宋体" w:cs="宋体"/>
                <w:szCs w:val="21"/>
              </w:rPr>
            </w:pPr>
            <w:r>
              <w:rPr>
                <w:rFonts w:ascii="宋体" w:hAnsi="宋体" w:cs="宋体" w:hint="eastAsia"/>
                <w:szCs w:val="21"/>
              </w:rPr>
              <w:t>2、以上演示内容,如投标人通过原型系统方式进行现场演示,每演示一个项并符合要求的得 15 分,本小项最高得45分；</w:t>
            </w:r>
          </w:p>
          <w:p>
            <w:pPr>
              <w:rPr>
                <w:rFonts w:ascii="宋体" w:hAnsi="宋体" w:cs="宋体"/>
                <w:szCs w:val="21"/>
              </w:rPr>
            </w:pPr>
            <w:r>
              <w:rPr>
                <w:rFonts w:ascii="宋体" w:hAnsi="宋体" w:cs="宋体" w:hint="eastAsia"/>
                <w:szCs w:val="21"/>
              </w:rPr>
              <w:t>3、以上演示内容，如采用静态页面、视频、ppt演示的不得分。</w:t>
            </w:r>
          </w:p>
          <w:p>
            <w:pPr>
              <w:snapToGrid w:val="0"/>
              <w:spacing w:line="260" w:lineRule="exact"/>
              <w:rPr>
                <w:rFonts w:asciiTheme="minorEastAsia" w:hAnsiTheme="minorEastAsia" w:cs="宋体"/>
                <w:szCs w:val="21"/>
              </w:rPr>
            </w:pPr>
            <w:r>
              <w:rPr>
                <w:rFonts w:ascii="宋体" w:hAnsi="宋体" w:cs="宋体" w:hint="eastAsia"/>
                <w:szCs w:val="21"/>
              </w:rPr>
              <w:t>4、演示内容是否满足评分要求，由评审委员会判断，如出现判断意见不一致的，按照“少数服从多数”的原则确定评审委员会的统一意见。</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4</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kern w:val="0"/>
                <w:szCs w:val="21"/>
              </w:rPr>
              <w:t>拟安排的项目负责人情况（仅限一人）</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szCs w:val="21"/>
              </w:rPr>
              <w:t>15</w:t>
            </w:r>
          </w:p>
        </w:tc>
        <w:tc>
          <w:tcPr>
            <w:tcW w:w="4196" w:type="dxa"/>
            <w:tcBorders>
              <w:top w:val="single" w:sz="8" w:space="0" w:color="000000"/>
              <w:left w:val="single" w:sz="8" w:space="0" w:color="000000"/>
              <w:bottom w:val="single" w:sz="8" w:space="0" w:color="000000"/>
              <w:right w:val="single" w:sz="8" w:space="0" w:color="000000"/>
            </w:tcBorders>
          </w:tcPr>
          <w:p>
            <w:pPr>
              <w:widowControl/>
              <w:textAlignment w:val="center"/>
              <w:rPr>
                <w:rFonts w:ascii="宋体" w:hAnsi="宋体" w:cs="宋体"/>
                <w:color w:val="000000"/>
                <w:kern w:val="0"/>
                <w:szCs w:val="21"/>
              </w:rPr>
            </w:pPr>
            <w:r>
              <w:rPr>
                <w:rFonts w:ascii="宋体" w:hAnsi="宋体" w:cs="宋体" w:hint="eastAsia"/>
                <w:color w:val="000000"/>
                <w:kern w:val="0"/>
                <w:szCs w:val="21"/>
              </w:rPr>
              <w:t>（一）评分内容：</w:t>
            </w:r>
          </w:p>
          <w:p>
            <w:pPr>
              <w:widowControl/>
              <w:textAlignment w:val="center"/>
              <w:rPr>
                <w:rFonts w:ascii="宋体" w:hAnsi="宋体" w:cs="宋体"/>
                <w:color w:val="000000"/>
                <w:szCs w:val="21"/>
              </w:rPr>
            </w:pPr>
            <w:r>
              <w:rPr>
                <w:rFonts w:ascii="宋体" w:hAnsi="宋体" w:cs="宋体" w:hint="eastAsia"/>
                <w:color w:val="000000"/>
                <w:kern w:val="0"/>
                <w:szCs w:val="21"/>
              </w:rPr>
              <w:t>拟安排的项目负责人（仅限</w:t>
            </w:r>
            <w:r>
              <w:rPr>
                <w:color w:val="000000"/>
                <w:kern w:val="0"/>
                <w:szCs w:val="21"/>
              </w:rPr>
              <w:t>1</w:t>
            </w:r>
            <w:r>
              <w:rPr>
                <w:rFonts w:ascii="宋体" w:hAnsi="宋体" w:cs="宋体" w:hint="eastAsia"/>
                <w:color w:val="000000"/>
                <w:kern w:val="0"/>
                <w:szCs w:val="21"/>
              </w:rPr>
              <w:t>人）需为自有员工（以社保证明文件为准），不满足此项要求的，本项不得分：</w:t>
            </w:r>
          </w:p>
          <w:p>
            <w:pPr>
              <w:widowControl/>
              <w:jc w:val="left"/>
              <w:textAlignment w:val="center"/>
              <w:rPr>
                <w:rFonts w:ascii="宋体" w:hAnsi="宋体" w:cs="宋体"/>
                <w:color w:val="000000"/>
                <w:szCs w:val="21"/>
                <w:highlight w:val="red"/>
              </w:rPr>
            </w:pPr>
            <w:r>
              <w:rPr>
                <w:rFonts w:ascii="宋体" w:hAnsi="宋体" w:cs="宋体" w:hint="eastAsia"/>
                <w:color w:val="000000"/>
                <w:kern w:val="0"/>
                <w:szCs w:val="21"/>
              </w:rPr>
              <w:t>1、具有</w:t>
            </w:r>
            <w:r>
              <w:rPr>
                <w:rStyle w:val="font12"/>
                <w:rFonts w:hint="default"/>
                <w:b w:val="0"/>
                <w:bCs w:val="0"/>
              </w:rPr>
              <w:t>计算机类专业研究生学历</w:t>
            </w:r>
            <w:r>
              <w:rPr>
                <w:rFonts w:ascii="宋体" w:hAnsi="宋体" w:cs="宋体" w:hint="eastAsia"/>
                <w:color w:val="000000"/>
                <w:kern w:val="0"/>
                <w:szCs w:val="21"/>
              </w:rPr>
              <w:t>或</w:t>
            </w:r>
            <w:r>
              <w:rPr>
                <w:rStyle w:val="font12"/>
                <w:rFonts w:hint="default"/>
                <w:b w:val="0"/>
                <w:bCs w:val="0"/>
              </w:rPr>
              <w:t>计算机类专业硕士（或以上）学位</w:t>
            </w:r>
            <w:r>
              <w:rPr>
                <w:rFonts w:ascii="宋体" w:hAnsi="宋体" w:cs="宋体" w:hint="eastAsia"/>
                <w:color w:val="000000"/>
                <w:kern w:val="0"/>
                <w:szCs w:val="21"/>
              </w:rPr>
              <w:t>的，得10分；</w:t>
            </w:r>
          </w:p>
          <w:p>
            <w:pPr>
              <w:widowControl/>
              <w:jc w:val="left"/>
              <w:textAlignment w:val="center"/>
              <w:rPr>
                <w:rFonts w:ascii="宋体" w:hAnsi="宋体" w:cs="宋体"/>
                <w:color w:val="000000"/>
                <w:szCs w:val="21"/>
              </w:rPr>
            </w:pPr>
            <w:r>
              <w:rPr>
                <w:rFonts w:ascii="宋体" w:hAnsi="宋体" w:cs="宋体" w:hint="eastAsia"/>
                <w:color w:val="000000"/>
                <w:kern w:val="0"/>
                <w:szCs w:val="21"/>
              </w:rPr>
              <w:t>2、具有计算机技术与软件专业技术资格</w:t>
            </w:r>
            <w:r>
              <w:rPr>
                <w:rStyle w:val="font12"/>
                <w:rFonts w:hint="default"/>
                <w:b w:val="0"/>
                <w:bCs w:val="0"/>
              </w:rPr>
              <w:t>信息系统项目管理师证书</w:t>
            </w:r>
            <w:r>
              <w:rPr>
                <w:rFonts w:ascii="宋体" w:hAnsi="宋体" w:cs="宋体" w:hint="eastAsia"/>
                <w:color w:val="000000"/>
                <w:kern w:val="0"/>
                <w:szCs w:val="21"/>
              </w:rPr>
              <w:t>的，得20分；</w:t>
            </w:r>
          </w:p>
          <w:p>
            <w:pPr>
              <w:widowControl/>
              <w:jc w:val="left"/>
              <w:textAlignment w:val="center"/>
              <w:rPr>
                <w:rFonts w:ascii="宋体" w:hAnsi="宋体" w:cs="宋体"/>
                <w:color w:val="000000"/>
                <w:szCs w:val="21"/>
              </w:rPr>
            </w:pPr>
            <w:r>
              <w:rPr>
                <w:rFonts w:ascii="宋体" w:hAnsi="宋体" w:cs="宋体" w:hint="eastAsia"/>
                <w:color w:val="000000"/>
                <w:kern w:val="0"/>
                <w:szCs w:val="21"/>
              </w:rPr>
              <w:t>3、具有计算机技术与软件专业技术资格</w:t>
            </w:r>
            <w:r>
              <w:rPr>
                <w:rStyle w:val="font12"/>
                <w:rFonts w:hint="default"/>
                <w:b w:val="0"/>
                <w:bCs w:val="0"/>
              </w:rPr>
              <w:t>软件设计师证书</w:t>
            </w:r>
            <w:r>
              <w:rPr>
                <w:rFonts w:ascii="宋体" w:hAnsi="宋体" w:cs="宋体" w:hint="eastAsia"/>
                <w:color w:val="000000"/>
                <w:kern w:val="0"/>
                <w:szCs w:val="21"/>
              </w:rPr>
              <w:t>的，得20分；</w:t>
            </w:r>
          </w:p>
          <w:p>
            <w:pPr>
              <w:widowControl/>
              <w:jc w:val="left"/>
              <w:textAlignment w:val="center"/>
              <w:rPr>
                <w:rFonts w:ascii="宋体" w:hAnsi="宋体" w:cs="宋体"/>
                <w:color w:val="000000"/>
                <w:szCs w:val="21"/>
              </w:rPr>
            </w:pPr>
            <w:r>
              <w:rPr>
                <w:rFonts w:ascii="宋体" w:hAnsi="宋体" w:cs="宋体" w:hint="eastAsia"/>
                <w:color w:val="000000"/>
                <w:kern w:val="0"/>
                <w:szCs w:val="21"/>
              </w:rPr>
              <w:t>4、具有计算机技术与软件专业技术资格</w:t>
            </w:r>
            <w:r>
              <w:rPr>
                <w:rStyle w:val="font12"/>
                <w:rFonts w:hint="default"/>
                <w:b w:val="0"/>
                <w:bCs w:val="0"/>
              </w:rPr>
              <w:t>数据库系统工程师证书</w:t>
            </w:r>
            <w:r>
              <w:rPr>
                <w:rFonts w:ascii="宋体" w:hAnsi="宋体" w:cs="宋体" w:hint="eastAsia"/>
                <w:color w:val="000000"/>
                <w:kern w:val="0"/>
                <w:szCs w:val="21"/>
              </w:rPr>
              <w:t>的，得20分；</w:t>
            </w:r>
          </w:p>
          <w:p>
            <w:pPr>
              <w:widowControl/>
              <w:jc w:val="left"/>
              <w:textAlignment w:val="center"/>
              <w:rPr>
                <w:rFonts w:ascii="宋体" w:hAnsi="宋体" w:cs="宋体"/>
                <w:color w:val="000000"/>
                <w:szCs w:val="21"/>
              </w:rPr>
            </w:pPr>
            <w:r>
              <w:rPr>
                <w:rFonts w:ascii="宋体" w:hAnsi="宋体" w:cs="宋体" w:hint="eastAsia"/>
                <w:color w:val="000000"/>
                <w:kern w:val="0"/>
                <w:szCs w:val="21"/>
              </w:rPr>
              <w:t>5、具有</w:t>
            </w:r>
            <w:r>
              <w:rPr>
                <w:rFonts w:hint="eastAsia"/>
              </w:rPr>
              <w:t>国家机关</w:t>
            </w:r>
            <w:r>
              <w:rPr>
                <w:rFonts w:ascii="宋体" w:hAnsi="宋体" w:cs="宋体" w:hint="eastAsia"/>
                <w:color w:val="000000"/>
                <w:kern w:val="0"/>
                <w:szCs w:val="21"/>
              </w:rPr>
              <w:t>（或事业单位）颁发的</w:t>
            </w:r>
            <w:r>
              <w:rPr>
                <w:rStyle w:val="font12"/>
                <w:rFonts w:hint="default"/>
                <w:b w:val="0"/>
                <w:bCs w:val="0"/>
              </w:rPr>
              <w:t>注册信息安全专业人员（CISP）</w:t>
            </w:r>
            <w:r>
              <w:rPr>
                <w:rFonts w:ascii="宋体" w:hAnsi="宋体" w:cs="宋体" w:hint="eastAsia"/>
                <w:color w:val="000000"/>
                <w:kern w:val="0"/>
                <w:szCs w:val="21"/>
              </w:rPr>
              <w:t>证书</w:t>
            </w:r>
            <w:r>
              <w:rPr>
                <w:rStyle w:val="font12"/>
                <w:rFonts w:hint="default"/>
                <w:b w:val="0"/>
                <w:bCs w:val="0"/>
              </w:rPr>
              <w:t>或</w:t>
            </w:r>
            <w:r>
              <w:rPr>
                <w:rFonts w:hint="eastAsia"/>
                <w:sz w:val="21"/>
                <w:szCs w:val="21"/>
              </w:rPr>
              <w:t>信息安全保障人员认证</w:t>
            </w:r>
            <w:r>
              <w:rPr>
                <w:rStyle w:val="font12"/>
                <w:rFonts w:hint="default"/>
                <w:b w:val="0"/>
                <w:bCs w:val="0"/>
              </w:rPr>
              <w:t>证书</w:t>
            </w:r>
            <w:r>
              <w:rPr>
                <w:rFonts w:ascii="宋体" w:hAnsi="宋体" w:cs="宋体" w:hint="eastAsia"/>
                <w:color w:val="000000"/>
                <w:kern w:val="0"/>
                <w:szCs w:val="21"/>
              </w:rPr>
              <w:t>的，得20分；</w:t>
            </w:r>
          </w:p>
          <w:p>
            <w:pPr>
              <w:widowControl/>
              <w:jc w:val="left"/>
              <w:textAlignment w:val="center"/>
              <w:rPr>
                <w:rFonts w:ascii="宋体" w:hAnsi="宋体" w:cs="宋体"/>
                <w:color w:val="000000"/>
                <w:szCs w:val="21"/>
              </w:rPr>
            </w:pPr>
            <w:r>
              <w:rPr>
                <w:rFonts w:ascii="宋体" w:hAnsi="宋体" w:cs="宋体" w:hint="eastAsia"/>
                <w:color w:val="000000"/>
                <w:kern w:val="0"/>
                <w:szCs w:val="21"/>
              </w:rPr>
              <w:t>6、</w:t>
            </w:r>
            <w:r>
              <w:rPr>
                <w:rFonts w:ascii="宋体" w:hAnsi="宋体" w:cs="宋体" w:hint="eastAsia"/>
                <w:color w:val="000000"/>
                <w:kern w:val="0"/>
                <w:szCs w:val="21"/>
                <w:lang w:val="en-US" w:eastAsia="zh-CN"/>
              </w:rPr>
              <w:t>承接</w:t>
            </w:r>
            <w:r>
              <w:rPr>
                <w:rFonts w:ascii="宋体" w:hAnsi="宋体" w:cs="宋体" w:hint="eastAsia"/>
                <w:color w:val="000000"/>
                <w:kern w:val="0"/>
                <w:szCs w:val="21"/>
              </w:rPr>
              <w:t>过</w:t>
            </w:r>
            <w:r>
              <w:rPr>
                <w:rFonts w:hint="eastAsia"/>
              </w:rPr>
              <w:t>国家机关</w:t>
            </w:r>
            <w:r>
              <w:rPr>
                <w:rFonts w:ascii="宋体" w:hAnsi="宋体" w:cs="宋体" w:hint="eastAsia"/>
                <w:color w:val="000000"/>
                <w:kern w:val="0"/>
                <w:szCs w:val="21"/>
              </w:rPr>
              <w:t>（或事业单位）</w:t>
            </w:r>
            <w:r>
              <w:rPr>
                <w:rStyle w:val="font12"/>
                <w:rFonts w:hint="default"/>
                <w:b w:val="0"/>
                <w:bCs w:val="0"/>
              </w:rPr>
              <w:t>信息化类项目</w:t>
            </w:r>
            <w:r>
              <w:rPr>
                <w:rStyle w:val="font12"/>
                <w:b w:val="0"/>
                <w:bCs w:val="0"/>
              </w:rPr>
              <w:t>业绩并担任项目</w:t>
            </w:r>
            <w:r>
              <w:rPr>
                <w:rStyle w:val="font12"/>
                <w:rFonts w:hint="default"/>
                <w:b w:val="0"/>
                <w:bCs w:val="0"/>
              </w:rPr>
              <w:t>技术负责人（技术经理）或项目经理</w:t>
            </w:r>
            <w:r>
              <w:rPr>
                <w:rFonts w:ascii="宋体" w:hAnsi="宋体" w:cs="宋体" w:hint="eastAsia"/>
                <w:color w:val="000000"/>
                <w:kern w:val="0"/>
                <w:szCs w:val="21"/>
              </w:rPr>
              <w:t>的，得10分。</w:t>
            </w:r>
          </w:p>
          <w:p>
            <w:pPr>
              <w:widowControl/>
              <w:textAlignment w:val="center"/>
              <w:rPr>
                <w:rStyle w:val="font12"/>
                <w:rFonts w:hint="default"/>
                <w:b w:val="0"/>
                <w:bCs w:val="0"/>
              </w:rPr>
            </w:pPr>
            <w:r>
              <w:rPr>
                <w:rStyle w:val="font12"/>
                <w:rFonts w:hint="default"/>
                <w:b w:val="0"/>
                <w:bCs w:val="0"/>
              </w:rPr>
              <w:t>以上</w:t>
            </w:r>
            <w:r>
              <w:rPr>
                <w:color w:val="000000"/>
                <w:kern w:val="0"/>
                <w:szCs w:val="21"/>
              </w:rPr>
              <w:t>6</w:t>
            </w:r>
            <w:r>
              <w:rPr>
                <w:rStyle w:val="font12"/>
                <w:rFonts w:hint="default"/>
                <w:b w:val="0"/>
                <w:bCs w:val="0"/>
              </w:rPr>
              <w:t>项得分累计，满分</w:t>
            </w:r>
            <w:r>
              <w:rPr>
                <w:color w:val="000000"/>
                <w:kern w:val="0"/>
                <w:szCs w:val="21"/>
              </w:rPr>
              <w:t>100</w:t>
            </w:r>
            <w:r>
              <w:rPr>
                <w:rStyle w:val="font12"/>
                <w:rFonts w:hint="default"/>
                <w:b w:val="0"/>
                <w:bCs w:val="0"/>
              </w:rPr>
              <w:t>分。</w:t>
            </w:r>
          </w:p>
          <w:p>
            <w:pPr>
              <w:widowControl/>
              <w:textAlignment w:val="center"/>
              <w:rPr>
                <w:rFonts w:ascii="宋体" w:hAnsi="宋体" w:cs="宋体"/>
                <w:color w:val="000000"/>
                <w:szCs w:val="21"/>
              </w:rPr>
            </w:pPr>
            <w:r>
              <w:rPr>
                <w:rFonts w:ascii="宋体" w:hAnsi="宋体" w:cs="宋体" w:hint="eastAsia"/>
                <w:color w:val="000000"/>
                <w:kern w:val="0"/>
                <w:szCs w:val="21"/>
              </w:rPr>
              <w:t>（二）评分依据：</w:t>
            </w:r>
          </w:p>
          <w:p>
            <w:pPr>
              <w:widowControl/>
              <w:wordWrap w:val="0"/>
              <w:textAlignment w:val="center"/>
              <w:rPr>
                <w:rFonts w:ascii="宋体" w:hAnsi="宋体" w:cs="宋体"/>
                <w:color w:val="000000"/>
                <w:kern w:val="0"/>
                <w:szCs w:val="21"/>
              </w:rPr>
            </w:pPr>
            <w:r>
              <w:rPr>
                <w:rFonts w:ascii="宋体" w:hAnsi="宋体" w:cs="宋体" w:hint="eastAsia"/>
                <w:color w:val="000000"/>
                <w:kern w:val="0"/>
                <w:szCs w:val="21"/>
              </w:rPr>
              <w:t>1、第1-5项提供相关证书扫描件，其中学历或学位证书需同时提供学信网查询记录截图（如较早颁发的学历或学位证书，学信网无法查询的，可提供毕业院校或教育或人社部门等颁发机构或监管机构等出具的证明，如海外留学（含港澳台）人员学历无法通过学信网站查询的，应当提供教育部留学服务中心出具的国外学历学位认证证书以及教育部留学服务中心官网查询截图。若证明文件为其它语言，必须附中文译文，以中文译文为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 xml:space="preserve">2、第6项提供项目合同关键页扫描件，合同关键页需能体现相关服务内容及项目负责人（技术经理）或项目经理信息，如无法体现的可同时补充提供合同甲方出具并加盖公章（或业务章）的经验证明材料扫描件； </w:t>
            </w:r>
          </w:p>
          <w:p>
            <w:pPr>
              <w:widowControl/>
              <w:jc w:val="left"/>
              <w:textAlignment w:val="center"/>
              <w:rPr>
                <w:rFonts w:ascii="宋体" w:hAnsi="宋体" w:cs="宋体"/>
                <w:color w:val="000000"/>
                <w:szCs w:val="21"/>
              </w:rPr>
            </w:pPr>
            <w:r>
              <w:rPr>
                <w:rFonts w:ascii="宋体" w:hAnsi="宋体" w:cs="宋体" w:hint="eastAsia"/>
                <w:color w:val="000000"/>
                <w:kern w:val="0"/>
                <w:szCs w:val="21"/>
              </w:rPr>
              <w:t>3、提供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w:t>
            </w:r>
          </w:p>
          <w:p>
            <w:pPr>
              <w:wordWrap w:val="0"/>
              <w:rPr>
                <w:rFonts w:ascii="宋体" w:hAnsi="宋体" w:cs="宋体"/>
                <w:szCs w:val="21"/>
              </w:rPr>
            </w:pPr>
            <w:r>
              <w:rPr>
                <w:rFonts w:ascii="宋体" w:hAnsi="宋体" w:cs="宋体" w:hint="eastAsia"/>
                <w:color w:val="000000"/>
                <w:kern w:val="0"/>
                <w:szCs w:val="21"/>
              </w:rPr>
              <w:t>4、未按要求提供相关证明材料（或相关证明材料无法判断是否符合评分要求）的不计得分，原件备查。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5</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kern w:val="0"/>
                <w:szCs w:val="21"/>
              </w:rPr>
              <w:t>拟安排的项目团队成员情况（项目负责人除外）</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15</w:t>
            </w:r>
          </w:p>
        </w:tc>
        <w:tc>
          <w:tcPr>
            <w:tcW w:w="4196" w:type="dxa"/>
            <w:tcBorders>
              <w:top w:val="single" w:sz="8" w:space="0" w:color="000000"/>
              <w:left w:val="single" w:sz="8" w:space="0" w:color="000000"/>
              <w:bottom w:val="single" w:sz="8" w:space="0" w:color="000000"/>
              <w:right w:val="single" w:sz="8" w:space="0" w:color="000000"/>
            </w:tcBorders>
          </w:tcPr>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（一）评分内容：</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拟安排的团队成员需为自有员工（以社保证明文件为准），不满足此项要求的，本项不得分：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1、技术负责人（限1人）：</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（1）具有计算机类专业本科（或以上）学历或计算机类专业学士（或以上）学位，得5分；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（2）具有计算机技术与软件专业技术资格系统集成项目管理工程师</w:t>
            </w:r>
            <w:r>
              <w:rPr>
                <w:rFonts w:ascii="宋体" w:hAnsi="宋体" w:cs="宋体" w:hint="eastAsia"/>
                <w:color w:val="000000"/>
                <w:kern w:val="0"/>
                <w:szCs w:val="21"/>
                <w:lang w:val="en-US" w:eastAsia="zh-CN"/>
              </w:rPr>
              <w:t>或</w:t>
            </w:r>
            <w:r>
              <w:rPr>
                <w:rFonts w:ascii="宋体" w:hAnsi="宋体" w:cs="宋体" w:hint="eastAsia"/>
                <w:color w:val="000000"/>
                <w:kern w:val="0"/>
                <w:szCs w:val="21"/>
              </w:rPr>
              <w:t>信息系统项目管理师证书，得10分；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（3）具有计算机技术与软件专业技术资格网络工程师证书，得15分。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以上得分累计，最高30分。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2、售后</w:t>
            </w:r>
            <w:r>
              <w:rPr>
                <w:rFonts w:ascii="宋体" w:hAnsi="宋体" w:cs="宋体" w:hint="eastAsia"/>
                <w:color w:val="000000"/>
                <w:kern w:val="0"/>
                <w:szCs w:val="21"/>
                <w:lang w:val="en-US" w:eastAsia="zh-CN"/>
              </w:rPr>
              <w:t>技术</w:t>
            </w:r>
            <w:r>
              <w:rPr>
                <w:rFonts w:ascii="宋体" w:hAnsi="宋体" w:cs="宋体" w:hint="eastAsia"/>
                <w:color w:val="000000"/>
                <w:kern w:val="0"/>
                <w:szCs w:val="21"/>
              </w:rPr>
              <w:t>负责人（限1人）</w:t>
            </w:r>
          </w:p>
          <w:p>
            <w:pPr>
              <w:widowControl/>
              <w:jc w:val="left"/>
              <w:textAlignment w:val="center"/>
              <w:rPr>
                <w:rFonts w:ascii="宋体" w:hAnsi="宋体" w:cs="宋体" w:hint="eastAsia"/>
                <w:color w:val="000000"/>
                <w:kern w:val="0"/>
                <w:szCs w:val="21"/>
              </w:rPr>
            </w:pPr>
            <w:r>
              <w:rPr>
                <w:rFonts w:ascii="宋体" w:hAnsi="宋体" w:cs="宋体" w:hint="eastAsia"/>
                <w:color w:val="000000"/>
                <w:kern w:val="0"/>
                <w:szCs w:val="21"/>
              </w:rPr>
              <w:t>（1）具有计算机技术与软件专业技术资格系统集成项目管理工程师证书</w:t>
            </w:r>
            <w:r>
              <w:rPr>
                <w:rFonts w:ascii="宋体" w:hAnsi="宋体" w:cs="宋体" w:hint="eastAsia"/>
                <w:color w:val="000000"/>
                <w:kern w:val="0"/>
                <w:szCs w:val="21"/>
                <w:lang w:val="en-US" w:eastAsia="zh-CN"/>
              </w:rPr>
              <w:t>或</w:t>
            </w:r>
            <w:r>
              <w:rPr>
                <w:rFonts w:ascii="宋体" w:hAnsi="宋体" w:cs="宋体" w:hint="eastAsia"/>
                <w:color w:val="000000"/>
                <w:kern w:val="0"/>
                <w:szCs w:val="21"/>
              </w:rPr>
              <w:t>信息系统项目管理师证书，</w:t>
            </w:r>
            <w:r>
              <w:rPr>
                <w:rFonts w:ascii="宋体" w:hAnsi="宋体" w:cs="宋体" w:hint="eastAsia"/>
                <w:color w:val="000000"/>
                <w:kern w:val="0"/>
                <w:szCs w:val="21"/>
                <w:lang w:val="en-US" w:eastAsia="zh-CN"/>
              </w:rPr>
              <w:t>得1</w:t>
            </w:r>
            <w:r>
              <w:rPr>
                <w:rFonts w:ascii="宋体" w:hAnsi="宋体" w:cs="宋体" w:hint="eastAsia"/>
                <w:color w:val="000000"/>
                <w:kern w:val="0"/>
                <w:szCs w:val="21"/>
              </w:rPr>
              <w:t>0分。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3、项目团队其他人员（项目负责人、技术负责人和售后</w:t>
            </w:r>
            <w:r>
              <w:rPr>
                <w:rFonts w:ascii="宋体" w:hAnsi="宋体" w:cs="宋体" w:hint="eastAsia"/>
                <w:color w:val="000000"/>
                <w:kern w:val="0"/>
                <w:szCs w:val="21"/>
                <w:lang w:val="en-US" w:eastAsia="zh-CN"/>
              </w:rPr>
              <w:t>技术</w:t>
            </w:r>
            <w:r>
              <w:rPr>
                <w:rFonts w:ascii="宋体" w:hAnsi="宋体" w:cs="宋体" w:hint="eastAsia"/>
                <w:color w:val="000000"/>
                <w:kern w:val="0"/>
                <w:szCs w:val="21"/>
              </w:rPr>
              <w:t>负责人除外，本项最高得</w:t>
            </w:r>
            <w:r>
              <w:rPr>
                <w:rFonts w:ascii="宋体" w:hAnsi="宋体" w:cs="宋体" w:hint="eastAsia"/>
                <w:color w:val="000000"/>
                <w:kern w:val="0"/>
                <w:szCs w:val="21"/>
                <w:lang w:val="en-US" w:eastAsia="zh-CN"/>
              </w:rPr>
              <w:t>6</w:t>
            </w:r>
            <w:r>
              <w:rPr>
                <w:rFonts w:ascii="宋体" w:hAnsi="宋体" w:cs="宋体" w:hint="eastAsia"/>
                <w:color w:val="000000"/>
                <w:kern w:val="0"/>
                <w:szCs w:val="21"/>
              </w:rPr>
              <w:t>0分）：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（1）</w:t>
            </w:r>
            <w:r>
              <w:rPr>
                <w:rFonts w:ascii="宋体" w:hAnsi="宋体" w:cs="宋体" w:hint="eastAsia"/>
                <w:color w:val="000000"/>
                <w:kern w:val="0"/>
                <w:szCs w:val="21"/>
                <w:lang w:val="en-US" w:eastAsia="zh-CN"/>
              </w:rPr>
              <w:t>具有国家机关（或事业单位）颁发的大数据分析师证书的，每提供一个得10分，本项最高得20分；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lang w:val="en-US" w:eastAsia="zh-CN"/>
              </w:rPr>
              <w:t>2</w:t>
            </w:r>
            <w:r>
              <w:rPr>
                <w:rFonts w:ascii="宋体" w:hAnsi="宋体" w:cs="宋体" w:hint="eastAsia"/>
                <w:color w:val="000000"/>
                <w:kern w:val="0"/>
                <w:szCs w:val="21"/>
              </w:rPr>
              <w:t>）具有国家机关（或事业单位）颁发的注册信息安全专业人员（CISP）证书或信息安全保障人员认证证书的，每提供1个得5分，本项最高得20分；</w:t>
            </w:r>
          </w:p>
          <w:p>
            <w:pPr>
              <w:widowControl/>
              <w:jc w:val="left"/>
              <w:textAlignment w:val="center"/>
              <w:rPr>
                <w:rFonts w:ascii="宋体" w:hAnsi="宋体" w:cs="宋体" w:hint="eastAsia"/>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lang w:val="en-US" w:eastAsia="zh-CN"/>
              </w:rPr>
              <w:t>3</w:t>
            </w:r>
            <w:r>
              <w:rPr>
                <w:rFonts w:ascii="宋体" w:hAnsi="宋体" w:cs="宋体" w:hint="eastAsia"/>
                <w:color w:val="000000"/>
                <w:kern w:val="0"/>
                <w:szCs w:val="21"/>
              </w:rPr>
              <w:t>）具有相关机构颁发的数据治理工程师证书的，每提供一人得1</w:t>
            </w:r>
            <w:r>
              <w:rPr>
                <w:rFonts w:ascii="宋体" w:hAnsi="宋体" w:cs="宋体" w:hint="eastAsia"/>
                <w:color w:val="000000"/>
                <w:kern w:val="0"/>
                <w:szCs w:val="21"/>
                <w:lang w:val="en-US" w:eastAsia="zh-CN"/>
              </w:rPr>
              <w:t>0</w:t>
            </w:r>
            <w:r>
              <w:rPr>
                <w:rFonts w:ascii="宋体" w:hAnsi="宋体" w:cs="宋体" w:hint="eastAsia"/>
                <w:color w:val="000000"/>
                <w:kern w:val="0"/>
                <w:szCs w:val="21"/>
              </w:rPr>
              <w:t>分，本项最高1</w:t>
            </w:r>
            <w:r>
              <w:rPr>
                <w:rFonts w:ascii="宋体" w:hAnsi="宋体" w:cs="宋体" w:hint="eastAsia"/>
                <w:color w:val="000000"/>
                <w:kern w:val="0"/>
                <w:szCs w:val="21"/>
                <w:lang w:val="en-US" w:eastAsia="zh-CN"/>
              </w:rPr>
              <w:t>0</w:t>
            </w:r>
            <w:r>
              <w:rPr>
                <w:rFonts w:ascii="宋体" w:hAnsi="宋体" w:cs="宋体" w:hint="eastAsia"/>
                <w:color w:val="000000"/>
                <w:kern w:val="0"/>
                <w:szCs w:val="21"/>
              </w:rPr>
              <w:t>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lang w:val="en-US" w:eastAsia="zh-CN"/>
              </w:rPr>
              <w:t>4</w:t>
            </w:r>
            <w:r>
              <w:rPr>
                <w:rFonts w:ascii="宋体" w:hAnsi="宋体" w:cs="宋体" w:hint="eastAsia"/>
                <w:color w:val="000000"/>
                <w:kern w:val="0"/>
                <w:szCs w:val="21"/>
              </w:rPr>
              <w:t>）具有计算机技术与软件专业技术资格系统</w:t>
            </w:r>
            <w:r>
              <w:rPr>
                <w:rFonts w:ascii="宋体" w:hAnsi="宋体" w:cs="宋体" w:hint="eastAsia"/>
                <w:color w:val="000000"/>
                <w:kern w:val="0"/>
                <w:szCs w:val="21"/>
                <w:lang w:val="en-US" w:eastAsia="zh-CN"/>
              </w:rPr>
              <w:t>分析师证书的</w:t>
            </w:r>
            <w:r>
              <w:rPr>
                <w:rFonts w:ascii="宋体" w:hAnsi="宋体" w:cs="宋体" w:hint="eastAsia"/>
                <w:color w:val="000000"/>
                <w:kern w:val="0"/>
                <w:szCs w:val="21"/>
              </w:rPr>
              <w:t>，每提供1个得10分，本项最高得10分；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以上1-3累计最高得100分。第3项团队成员中如同一人具有多项证书的不重复得分，只按最优计分。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（二）评分依据：</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1、以上需提供相关人员相关证书扫描件，原件备查，如证书由行业协会（或学会）等颁发的，还需提供该行业协会（或学会）等中国社会组织政务服务平台（https://chinanpo.mca.gov.cn/）的信息查询记录，且该机构显示状态为“正常”；其中学历或学位证书需同时提供学信网查询记录截图（如较早颁发的学历或学位证书，学信网无法查询的，可提供毕业院校或教育或人社部门等颁发机构或监管机构等出具的证明，如海外留学（含港澳台）人员学历无法通过学信网站查询的，应当提供教育部留学服务中心出具的国外学历学位认证证书以及教育部留学服务中心官网查询截图。若证明文件为其它语言，必须附中文译文，以中文译文为准；</w:t>
            </w:r>
          </w:p>
          <w:p>
            <w:pPr>
              <w:widowControl/>
              <w:jc w:val="left"/>
              <w:textAlignment w:val="center"/>
              <w:rPr>
                <w:rFonts w:ascii="宋体" w:hAnsi="宋体" w:cs="宋体"/>
                <w:color w:val="000000"/>
                <w:kern w:val="0"/>
                <w:szCs w:val="21"/>
              </w:rPr>
            </w:pPr>
            <w:r>
              <w:rPr>
                <w:rFonts w:ascii="宋体" w:hAnsi="宋体" w:cs="宋体" w:hint="eastAsia"/>
                <w:color w:val="000000"/>
                <w:kern w:val="0"/>
                <w:szCs w:val="21"/>
              </w:rPr>
              <w:t>2、提供相关人员开标日当月或前一个月在本公司（单位）缴纳且载有社保部门（或税务部门）公章（或业务章）的社保缴交证明材料（如开标日当月或前一个月的社保材料因社保部门（或税务部门）原因暂时无法取得，则可以往前顺延一个月）；</w:t>
            </w:r>
          </w:p>
          <w:p>
            <w:pPr>
              <w:wordWrap w:val="0"/>
              <w:rPr>
                <w:rFonts w:ascii="宋体" w:hAnsi="宋体" w:cs="宋体"/>
                <w:szCs w:val="21"/>
              </w:rPr>
            </w:pPr>
            <w:r>
              <w:rPr>
                <w:rFonts w:ascii="宋体" w:hAnsi="宋体" w:cs="宋体" w:hint="eastAsia"/>
                <w:color w:val="000000"/>
                <w:kern w:val="0"/>
                <w:szCs w:val="21"/>
                <w:lang w:val="en-US" w:eastAsia="zh-CN"/>
              </w:rPr>
              <w:t>3</w:t>
            </w:r>
            <w:r>
              <w:rPr>
                <w:rFonts w:ascii="宋体" w:hAnsi="宋体" w:cs="宋体" w:hint="eastAsia"/>
                <w:color w:val="000000"/>
                <w:kern w:val="0"/>
                <w:szCs w:val="21"/>
              </w:rPr>
              <w:t>、未按要求提供相关证明材料（或相关证明材料无法判断是否符合评分要求）的不计得分，原件备查。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3</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综合实力</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ascii="宋体" w:hAnsi="宋体" w:cs="宋体" w:hint="eastAsia"/>
                <w:b/>
                <w:bCs/>
                <w:color w:val="0000FF"/>
                <w:szCs w:val="21"/>
              </w:rPr>
              <w:t>2</w:t>
            </w:r>
            <w:r>
              <w:rPr>
                <w:rFonts w:ascii="宋体" w:hAnsi="宋体" w:cs="宋体" w:hint="eastAsia"/>
                <w:b/>
                <w:bCs/>
                <w:color w:val="0000FF"/>
                <w:szCs w:val="21"/>
                <w:lang w:val="en-US" w:eastAsia="zh-CN"/>
              </w:rPr>
              <w:t>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kern w:val="0"/>
                <w:szCs w:val="21"/>
              </w:rPr>
              <w:t>项目经验情况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eastAsia="zh-CN"/>
              </w:rPr>
            </w:pPr>
            <w:r>
              <w:rPr>
                <w:rFonts w:ascii="宋体" w:hAnsi="宋体" w:cs="宋体" w:hint="eastAsia"/>
                <w:szCs w:val="21"/>
                <w:lang w:val="en-US" w:eastAsia="zh-CN"/>
              </w:rPr>
              <w:t>5</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r>
              <w:rPr>
                <w:rFonts w:ascii="宋体" w:hAnsi="宋体" w:cs="宋体" w:hint="eastAsia"/>
                <w:kern w:val="0"/>
                <w:szCs w:val="21"/>
              </w:rPr>
              <w:t>（一）评分内容：</w:t>
            </w:r>
            <w:r>
              <w:rPr>
                <w:rFonts w:ascii="宋体" w:hAnsi="宋体" w:cs="宋体" w:hint="eastAsia"/>
                <w:kern w:val="0"/>
                <w:szCs w:val="21"/>
              </w:rPr>
              <w:br/>
            </w:r>
            <w:r>
              <w:rPr>
                <w:rFonts w:ascii="宋体" w:hAnsi="宋体" w:cs="宋体" w:hint="eastAsia"/>
                <w:kern w:val="0"/>
                <w:szCs w:val="21"/>
              </w:rPr>
              <w:t>2021年1月1日至本项目投标截止日前（以合同签订时间为准）：</w:t>
            </w:r>
            <w:r>
              <w:rPr>
                <w:rFonts w:ascii="宋体" w:hAnsi="宋体" w:cs="宋体" w:hint="eastAsia"/>
                <w:kern w:val="0"/>
                <w:szCs w:val="21"/>
              </w:rPr>
              <w:br/>
            </w:r>
            <w:r>
              <w:rPr>
                <w:rFonts w:ascii="宋体" w:hAnsi="宋体" w:cs="宋体" w:hint="eastAsia"/>
                <w:kern w:val="0"/>
                <w:szCs w:val="21"/>
              </w:rPr>
              <w:t>具有大数据相关项目业绩的，每提供1个有效业绩得20分，最高得100分。</w:t>
            </w:r>
            <w:r>
              <w:rPr>
                <w:rFonts w:ascii="宋体" w:hAnsi="宋体" w:cs="宋体" w:hint="eastAsia"/>
                <w:kern w:val="0"/>
                <w:szCs w:val="21"/>
              </w:rPr>
              <w:br/>
            </w:r>
            <w:r>
              <w:rPr>
                <w:rFonts w:ascii="宋体" w:hAnsi="宋体" w:cs="宋体" w:hint="eastAsia"/>
                <w:kern w:val="0"/>
                <w:szCs w:val="21"/>
              </w:rPr>
              <w:t>（二）评分依据：</w:t>
            </w:r>
            <w:r>
              <w:rPr>
                <w:rFonts w:ascii="宋体" w:hAnsi="宋体" w:cs="宋体" w:hint="eastAsia"/>
                <w:kern w:val="0"/>
                <w:szCs w:val="21"/>
              </w:rPr>
              <w:br/>
            </w:r>
            <w:r>
              <w:rPr>
                <w:rFonts w:ascii="宋体" w:hAnsi="宋体" w:cs="宋体" w:hint="eastAsia"/>
                <w:kern w:val="0"/>
                <w:szCs w:val="21"/>
              </w:rPr>
              <w:t>1.需提供合同关键页（包括但不限于：合同甲乙双方名称页、合同签署日期盖章页、服务内容页等）；</w:t>
            </w:r>
            <w:r>
              <w:rPr>
                <w:rFonts w:ascii="宋体" w:hAnsi="宋体" w:cs="宋体" w:hint="eastAsia"/>
                <w:kern w:val="0"/>
                <w:szCs w:val="21"/>
              </w:rPr>
              <w:br/>
            </w:r>
            <w:r>
              <w:rPr>
                <w:rFonts w:ascii="宋体" w:hAnsi="宋体" w:cs="宋体" w:hint="eastAsia"/>
                <w:kern w:val="0"/>
                <w:szCs w:val="21"/>
              </w:rPr>
              <w:t>2.通过合同关键信息无法判断是否得分的，还须同时提供能证明得分的其它证明资料，如合同验收报告或合同甲方出具的</w:t>
            </w:r>
            <w:r>
              <w:rPr>
                <w:rFonts w:ascii="宋体" w:hAnsi="宋体" w:cs="宋体" w:hint="eastAsia"/>
                <w:kern w:val="0"/>
                <w:szCs w:val="21"/>
                <w:lang w:val="en-US" w:eastAsia="zh-CN"/>
              </w:rPr>
              <w:t>加盖公章或业务章的</w:t>
            </w:r>
            <w:r>
              <w:rPr>
                <w:rFonts w:ascii="宋体" w:hAnsi="宋体" w:cs="宋体" w:hint="eastAsia"/>
                <w:kern w:val="0"/>
                <w:szCs w:val="21"/>
              </w:rPr>
              <w:t>证明文件等；</w:t>
            </w:r>
            <w:r>
              <w:rPr>
                <w:rFonts w:ascii="宋体" w:hAnsi="宋体" w:cs="宋体" w:hint="eastAsia"/>
                <w:kern w:val="0"/>
                <w:szCs w:val="21"/>
              </w:rPr>
              <w:br/>
            </w:r>
            <w:r>
              <w:rPr>
                <w:rFonts w:ascii="宋体" w:hAnsi="宋体" w:cs="宋体" w:hint="eastAsia"/>
                <w:kern w:val="0"/>
                <w:szCs w:val="21"/>
              </w:rPr>
              <w:t>3.以上资料原件备查，评分中出现无证明资料或专家无法凭所提供资料判断是否得分的情况，一律作不得分处理。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kern w:val="0"/>
                <w:szCs w:val="21"/>
              </w:rPr>
              <w:t>企业资质及认证情况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3</w:t>
            </w:r>
          </w:p>
        </w:tc>
        <w:tc>
          <w:tcPr>
            <w:tcW w:w="4196" w:type="dxa"/>
            <w:tcBorders>
              <w:top w:val="single" w:sz="8" w:space="0" w:color="000000"/>
              <w:left w:val="single" w:sz="8" w:space="0" w:color="000000"/>
              <w:bottom w:val="single" w:sz="8" w:space="0" w:color="000000"/>
              <w:right w:val="single" w:sz="8" w:space="0" w:color="000000"/>
            </w:tcBorders>
          </w:tcPr>
          <w:p>
            <w:pPr>
              <w:widowControl/>
              <w:textAlignment w:val="center"/>
              <w:rPr>
                <w:rFonts w:ascii="宋体" w:hAnsi="宋体" w:cs="宋体"/>
                <w:color w:val="000000"/>
                <w:kern w:val="0"/>
                <w:szCs w:val="21"/>
              </w:rPr>
            </w:pPr>
            <w:r>
              <w:rPr>
                <w:rFonts w:ascii="宋体" w:hAnsi="宋体" w:cs="宋体" w:hint="eastAsia"/>
                <w:color w:val="000000"/>
                <w:kern w:val="0"/>
                <w:szCs w:val="21"/>
              </w:rPr>
              <w:t>（一）评分内容：</w:t>
            </w:r>
          </w:p>
          <w:p>
            <w:pPr>
              <w:widowControl/>
              <w:textAlignment w:val="center"/>
              <w:rPr>
                <w:rFonts w:ascii="宋体" w:hAnsi="宋体" w:cs="宋体"/>
                <w:color w:val="000000"/>
                <w:kern w:val="0"/>
                <w:szCs w:val="21"/>
              </w:rPr>
            </w:pPr>
            <w:r>
              <w:rPr>
                <w:rFonts w:ascii="宋体" w:hAnsi="宋体" w:cs="宋体" w:hint="eastAsia"/>
                <w:color w:val="000000"/>
                <w:kern w:val="0"/>
                <w:szCs w:val="21"/>
              </w:rPr>
              <w:t>投标人具有数据治理管理体系认证证书的得100分。本项最高得100分。</w:t>
            </w:r>
          </w:p>
          <w:p>
            <w:pPr>
              <w:widowControl/>
              <w:textAlignment w:val="center"/>
              <w:rPr>
                <w:rFonts w:ascii="宋体" w:hAnsi="宋体" w:cs="宋体"/>
                <w:color w:val="000000"/>
                <w:kern w:val="0"/>
                <w:szCs w:val="21"/>
              </w:rPr>
            </w:pPr>
            <w:r>
              <w:rPr>
                <w:rFonts w:ascii="宋体" w:hAnsi="宋体" w:cs="宋体" w:hint="eastAsia"/>
                <w:color w:val="000000"/>
                <w:kern w:val="0"/>
                <w:szCs w:val="21"/>
              </w:rPr>
              <w:t>（二）评分依据：</w:t>
            </w:r>
          </w:p>
          <w:p>
            <w:pPr>
              <w:widowControl/>
              <w:textAlignment w:val="center"/>
              <w:rPr>
                <w:rFonts w:ascii="宋体" w:hAnsi="宋体" w:cs="宋体"/>
                <w:color w:val="000000"/>
                <w:kern w:val="0"/>
                <w:szCs w:val="21"/>
              </w:rPr>
            </w:pPr>
            <w:r>
              <w:rPr>
                <w:rFonts w:ascii="宋体" w:hAnsi="宋体" w:cs="宋体" w:hint="eastAsia"/>
                <w:color w:val="000000"/>
                <w:kern w:val="0"/>
                <w:szCs w:val="21"/>
              </w:rPr>
              <w:t>1.提供相关认证机构颁发的有效期内的认证证书扫描件及认证信息查询截图（截图需显示证书状态为有效）。说明：①证书与查询信息截图必须同时提供，缺一不可，未同时提供的不得分，后果由投标人自行承担；②投标人应确保认证证书在开标当天仍处于有效状态，并对所提供的证书及查询截图 的真实性负责，如出现与事实不符的情形，视同隐瞒真实情况，提供虚假资料，将依法承担相应的法律责任；③质疑投诉处理中对证书是否有效的认定，以国家认监委网站【全国认证认可信息公共服务平台（http：//cx.cnca.cn）】查询结果为准。</w:t>
            </w:r>
          </w:p>
          <w:p>
            <w:pPr>
              <w:wordWrap w:val="0"/>
              <w:rPr>
                <w:rFonts w:ascii="宋体" w:hAnsi="宋体" w:cs="宋体"/>
                <w:szCs w:val="21"/>
              </w:rPr>
            </w:pPr>
            <w:r>
              <w:rPr>
                <w:rFonts w:ascii="宋体" w:hAnsi="宋体" w:cs="宋体" w:hint="eastAsia"/>
                <w:color w:val="000000"/>
                <w:kern w:val="0"/>
                <w:szCs w:val="21"/>
              </w:rPr>
              <w:t>2.未按要求提供相关证明材料（或相关证明材料无法判断是否符合评分要求）的不计得分，原件备查。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kern w:val="0"/>
                <w:szCs w:val="21"/>
              </w:rPr>
              <w:t>投标人自主知识产权产品（创新、设计）情况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rPr>
              <w:t>1</w:t>
            </w:r>
            <w:r>
              <w:rPr>
                <w:rFonts w:ascii="宋体" w:hAnsi="宋体" w:cs="宋体" w:hint="eastAsia"/>
                <w:szCs w:val="21"/>
                <w:lang w:val="en-US" w:eastAsia="zh-CN"/>
              </w:rPr>
              <w:t>2</w:t>
            </w:r>
          </w:p>
        </w:tc>
        <w:tc>
          <w:tcPr>
            <w:tcW w:w="4196" w:type="dxa"/>
            <w:tcBorders>
              <w:top w:val="single" w:sz="8" w:space="0" w:color="000000"/>
              <w:left w:val="single" w:sz="8" w:space="0" w:color="000000"/>
              <w:bottom w:val="single" w:sz="8" w:space="0" w:color="000000"/>
              <w:right w:val="single" w:sz="8" w:space="0" w:color="000000"/>
            </w:tcBorders>
          </w:tcPr>
          <w:p>
            <w:pPr>
              <w:widowControl/>
              <w:textAlignment w:val="center"/>
              <w:rPr>
                <w:rFonts w:ascii="宋体" w:hAnsi="宋体" w:cs="宋体" w:hint="eastAsia"/>
                <w:color w:val="000000"/>
                <w:kern w:val="0"/>
                <w:szCs w:val="21"/>
              </w:rPr>
            </w:pPr>
            <w:r>
              <w:rPr>
                <w:rFonts w:ascii="宋体" w:hAnsi="宋体" w:cs="宋体" w:hint="eastAsia"/>
                <w:color w:val="000000"/>
                <w:kern w:val="0"/>
                <w:szCs w:val="21"/>
                <w:lang w:eastAsia="zh-CN"/>
              </w:rPr>
              <w:t>（</w:t>
            </w:r>
            <w:r>
              <w:rPr>
                <w:rFonts w:ascii="宋体" w:hAnsi="宋体" w:cs="宋体" w:hint="eastAsia"/>
                <w:color w:val="000000"/>
                <w:kern w:val="0"/>
                <w:szCs w:val="21"/>
                <w:lang w:val="en-US" w:eastAsia="zh-CN"/>
              </w:rPr>
              <w:t>一</w:t>
            </w:r>
            <w:bookmarkStart w:id="0" w:name="_GoBack"/>
            <w:bookmarkEnd w:id="0"/>
            <w:r>
              <w:rPr>
                <w:rFonts w:ascii="宋体" w:hAnsi="宋体" w:cs="宋体" w:hint="eastAsia"/>
                <w:color w:val="000000"/>
                <w:kern w:val="0"/>
                <w:szCs w:val="21"/>
                <w:lang w:eastAsia="zh-CN"/>
              </w:rPr>
              <w:t>）</w:t>
            </w:r>
            <w:r>
              <w:rPr>
                <w:rFonts w:ascii="宋体" w:hAnsi="宋体" w:cs="宋体" w:hint="eastAsia"/>
                <w:color w:val="000000"/>
                <w:kern w:val="0"/>
                <w:szCs w:val="21"/>
              </w:rPr>
              <w:t>评分内容：</w:t>
            </w:r>
            <w:r>
              <w:rPr>
                <w:rFonts w:ascii="宋体" w:hAnsi="宋体" w:cs="宋体" w:hint="eastAsia"/>
                <w:color w:val="000000"/>
                <w:kern w:val="0"/>
                <w:szCs w:val="21"/>
              </w:rPr>
              <w:br/>
            </w:r>
            <w:r>
              <w:rPr>
                <w:rFonts w:ascii="宋体" w:hAnsi="宋体" w:cs="宋体" w:hint="eastAsia"/>
                <w:color w:val="000000"/>
                <w:kern w:val="0"/>
                <w:szCs w:val="21"/>
              </w:rPr>
              <w:t>1、投标人具有以下类别相关计算机软件著作权证书的，每提供一类得</w:t>
            </w:r>
            <w:r>
              <w:rPr>
                <w:rFonts w:ascii="宋体" w:hAnsi="宋体" w:cs="宋体" w:hint="eastAsia"/>
                <w:color w:val="000000"/>
                <w:kern w:val="0"/>
                <w:szCs w:val="21"/>
                <w:lang w:val="en-US" w:eastAsia="zh-CN"/>
              </w:rPr>
              <w:t>10</w:t>
            </w:r>
            <w:r>
              <w:rPr>
                <w:rFonts w:ascii="宋体" w:hAnsi="宋体" w:cs="宋体" w:hint="eastAsia"/>
                <w:color w:val="000000"/>
                <w:kern w:val="0"/>
                <w:szCs w:val="21"/>
              </w:rPr>
              <w:t>分（提供多个同类型软著证书不累计得分），最高得50分：</w:t>
            </w:r>
          </w:p>
          <w:p>
            <w:pPr>
              <w:widowControl/>
              <w:textAlignment w:val="center"/>
              <w:rPr>
                <w:rFonts w:ascii="宋体" w:hAnsi="宋体" w:cs="宋体" w:hint="eastAsia"/>
                <w:color w:val="000000"/>
                <w:kern w:val="0"/>
                <w:szCs w:val="21"/>
                <w:lang w:val="en-US" w:eastAsia="zh-CN"/>
              </w:rPr>
            </w:pPr>
            <w:r>
              <w:rPr>
                <w:rFonts w:ascii="宋体" w:hAnsi="宋体" w:cs="宋体" w:hint="eastAsia"/>
                <w:color w:val="000000"/>
                <w:kern w:val="0"/>
                <w:szCs w:val="21"/>
                <w:lang w:eastAsia="zh-CN"/>
              </w:rPr>
              <w:t>（</w:t>
            </w:r>
            <w:r>
              <w:rPr>
                <w:rFonts w:ascii="宋体" w:hAnsi="宋体" w:cs="宋体" w:hint="eastAsia"/>
                <w:color w:val="000000"/>
                <w:kern w:val="0"/>
                <w:szCs w:val="21"/>
                <w:lang w:val="en-US" w:eastAsia="zh-CN"/>
              </w:rPr>
              <w:t>1</w:t>
            </w:r>
            <w:r>
              <w:rPr>
                <w:rFonts w:ascii="宋体" w:hAnsi="宋体" w:cs="宋体" w:hint="eastAsia"/>
                <w:color w:val="000000"/>
                <w:kern w:val="0"/>
                <w:szCs w:val="21"/>
                <w:lang w:eastAsia="zh-CN"/>
              </w:rPr>
              <w:t>）</w:t>
            </w:r>
            <w:r>
              <w:rPr>
                <w:rFonts w:ascii="宋体" w:hAnsi="宋体" w:cs="宋体" w:hint="eastAsia"/>
                <w:color w:val="000000"/>
                <w:kern w:val="0"/>
                <w:szCs w:val="21"/>
                <w:lang w:val="en-US" w:eastAsia="zh-CN"/>
              </w:rPr>
              <w:t>数据管理类；</w:t>
            </w:r>
          </w:p>
          <w:p>
            <w:pPr>
              <w:widowControl/>
              <w:textAlignment w:val="center"/>
              <w:rPr>
                <w:rFonts w:ascii="宋体" w:hAnsi="宋体" w:cs="宋体" w:hint="eastAsia"/>
                <w:color w:val="000000"/>
                <w:kern w:val="0"/>
                <w:szCs w:val="21"/>
                <w:lang w:val="en-US" w:eastAsia="zh-CN"/>
              </w:rPr>
            </w:pPr>
            <w:r>
              <w:rPr>
                <w:rFonts w:ascii="宋体" w:hAnsi="宋体" w:cs="宋体" w:hint="eastAsia"/>
                <w:color w:val="000000"/>
                <w:kern w:val="0"/>
                <w:szCs w:val="21"/>
                <w:lang w:val="en-US" w:eastAsia="zh-CN"/>
              </w:rPr>
              <w:t>（2）数据治理类；</w:t>
            </w:r>
          </w:p>
          <w:p>
            <w:pPr>
              <w:widowControl/>
              <w:textAlignment w:val="center"/>
              <w:rPr>
                <w:rFonts w:ascii="宋体" w:hAnsi="宋体" w:cs="宋体" w:hint="eastAsia"/>
                <w:color w:val="000000"/>
                <w:kern w:val="0"/>
                <w:szCs w:val="21"/>
                <w:lang w:val="en-US" w:eastAsia="zh-CN"/>
              </w:rPr>
            </w:pPr>
            <w:r>
              <w:rPr>
                <w:rFonts w:ascii="宋体" w:hAnsi="宋体" w:cs="宋体" w:hint="eastAsia"/>
                <w:color w:val="000000"/>
                <w:kern w:val="0"/>
                <w:szCs w:val="21"/>
                <w:lang w:val="en-US" w:eastAsia="zh-CN"/>
              </w:rPr>
              <w:t>（3）数据分析类；</w:t>
            </w:r>
          </w:p>
          <w:p>
            <w:pPr>
              <w:widowControl/>
              <w:textAlignment w:val="center"/>
              <w:rPr>
                <w:rFonts w:ascii="宋体" w:hAnsi="宋体" w:cs="宋体" w:hint="eastAsia"/>
                <w:color w:val="000000"/>
                <w:kern w:val="0"/>
                <w:szCs w:val="21"/>
                <w:lang w:val="en-US" w:eastAsia="zh-CN"/>
              </w:rPr>
            </w:pPr>
            <w:r>
              <w:rPr>
                <w:rFonts w:ascii="宋体" w:hAnsi="宋体" w:cs="宋体" w:hint="eastAsia"/>
                <w:color w:val="000000"/>
                <w:kern w:val="0"/>
                <w:szCs w:val="21"/>
                <w:lang w:val="en-US" w:eastAsia="zh-CN"/>
              </w:rPr>
              <w:t>（4）数据交换类。</w:t>
            </w:r>
          </w:p>
          <w:p>
            <w:pPr>
              <w:widowControl/>
              <w:textAlignment w:val="center"/>
              <w:rPr>
                <w:rFonts w:ascii="宋体" w:eastAsia="宋体" w:hAnsi="宋体" w:cs="宋体" w:hint="eastAsia"/>
                <w:color w:val="000000"/>
                <w:kern w:val="0"/>
                <w:szCs w:val="21"/>
                <w:lang w:eastAsia="zh-CN"/>
              </w:rPr>
            </w:pPr>
            <w:r>
              <w:rPr>
                <w:rFonts w:ascii="宋体" w:hAnsi="宋体" w:cs="宋体" w:hint="eastAsia"/>
                <w:color w:val="000000"/>
                <w:kern w:val="0"/>
                <w:szCs w:val="21"/>
                <w:lang w:val="en-US" w:eastAsia="zh-CN"/>
              </w:rPr>
              <w:t>（5）数据监控类</w:t>
            </w:r>
            <w:r>
              <w:rPr>
                <w:rFonts w:ascii="宋体" w:hAnsi="宋体" w:cs="宋体" w:hint="eastAsia"/>
                <w:color w:val="000000"/>
                <w:kern w:val="0"/>
                <w:szCs w:val="21"/>
              </w:rPr>
              <w:br/>
            </w:r>
            <w:r>
              <w:rPr>
                <w:rFonts w:ascii="宋体" w:hAnsi="宋体" w:cs="宋体" w:hint="eastAsia"/>
                <w:color w:val="000000"/>
                <w:kern w:val="0"/>
                <w:szCs w:val="21"/>
              </w:rPr>
              <w:t>2、具有以下类别相关专利证书的，每提供一类得</w:t>
            </w:r>
            <w:r>
              <w:rPr>
                <w:rFonts w:ascii="宋体" w:hAnsi="宋体" w:cs="宋体" w:hint="eastAsia"/>
                <w:color w:val="000000"/>
                <w:kern w:val="0"/>
                <w:szCs w:val="21"/>
                <w:lang w:val="en-US" w:eastAsia="zh-CN"/>
              </w:rPr>
              <w:t>12.5</w:t>
            </w:r>
            <w:r>
              <w:rPr>
                <w:rFonts w:ascii="宋体" w:hAnsi="宋体" w:cs="宋体" w:hint="eastAsia"/>
                <w:color w:val="000000"/>
                <w:kern w:val="0"/>
                <w:szCs w:val="21"/>
              </w:rPr>
              <w:t>分（提供多个同类型专利证书不累计得分），最高得50分：</w:t>
            </w:r>
            <w:r>
              <w:rPr>
                <w:rFonts w:ascii="宋体" w:hAnsi="宋体" w:cs="宋体" w:hint="eastAsia"/>
                <w:color w:val="000000"/>
                <w:kern w:val="0"/>
                <w:szCs w:val="21"/>
              </w:rPr>
              <w:br/>
            </w:r>
            <w:r>
              <w:rPr>
                <w:rFonts w:ascii="宋体" w:hAnsi="宋体" w:cs="宋体" w:hint="eastAsia"/>
                <w:color w:val="000000"/>
                <w:kern w:val="0"/>
                <w:szCs w:val="21"/>
              </w:rPr>
              <w:t>1）数据交换与服务调用</w:t>
            </w:r>
            <w:r>
              <w:rPr>
                <w:rFonts w:ascii="宋体" w:hAnsi="宋体" w:cs="宋体" w:hint="eastAsia"/>
                <w:color w:val="000000"/>
                <w:kern w:val="0"/>
                <w:szCs w:val="21"/>
                <w:lang w:val="en-US" w:eastAsia="zh-CN"/>
              </w:rPr>
              <w:t>类</w:t>
            </w:r>
            <w:r>
              <w:rPr>
                <w:rFonts w:ascii="宋体" w:hAnsi="宋体" w:cs="宋体" w:hint="eastAsia"/>
                <w:color w:val="000000"/>
                <w:kern w:val="0"/>
                <w:szCs w:val="21"/>
                <w:lang w:eastAsia="zh-CN"/>
              </w:rPr>
              <w:t>；</w:t>
            </w:r>
          </w:p>
          <w:p>
            <w:pPr>
              <w:widowControl/>
              <w:textAlignment w:val="center"/>
              <w:rPr>
                <w:rFonts w:ascii="宋体" w:hAnsi="宋体" w:cs="宋体" w:hint="eastAsia"/>
                <w:color w:val="000000"/>
                <w:kern w:val="0"/>
                <w:szCs w:val="21"/>
              </w:rPr>
            </w:pPr>
            <w:r>
              <w:rPr>
                <w:rFonts w:ascii="宋体" w:hAnsi="宋体" w:cs="宋体" w:hint="eastAsia"/>
                <w:color w:val="000000"/>
                <w:kern w:val="0"/>
                <w:szCs w:val="21"/>
              </w:rPr>
              <w:t>2）多网络系统数据传导</w:t>
            </w:r>
            <w:r>
              <w:rPr>
                <w:rFonts w:ascii="宋体" w:hAnsi="宋体" w:cs="宋体" w:hint="eastAsia"/>
                <w:color w:val="000000"/>
                <w:kern w:val="0"/>
                <w:szCs w:val="21"/>
                <w:lang w:val="en-US" w:eastAsia="zh-CN"/>
              </w:rPr>
              <w:t>类</w:t>
            </w:r>
            <w:r>
              <w:rPr>
                <w:rFonts w:ascii="宋体" w:hAnsi="宋体" w:cs="宋体" w:hint="eastAsia"/>
                <w:color w:val="000000"/>
                <w:kern w:val="0"/>
                <w:szCs w:val="21"/>
              </w:rPr>
              <w:t>；</w:t>
            </w:r>
          </w:p>
          <w:p>
            <w:pPr>
              <w:widowControl/>
              <w:textAlignment w:val="center"/>
              <w:rPr>
                <w:rFonts w:ascii="宋体" w:eastAsia="宋体" w:hAnsi="宋体" w:cs="宋体" w:hint="eastAsia"/>
                <w:color w:val="000000"/>
                <w:kern w:val="0"/>
                <w:szCs w:val="21"/>
                <w:lang w:eastAsia="zh-CN"/>
              </w:rPr>
            </w:pPr>
            <w:r>
              <w:rPr>
                <w:rFonts w:ascii="宋体" w:hAnsi="宋体" w:cs="宋体" w:hint="eastAsia"/>
                <w:color w:val="000000"/>
                <w:kern w:val="0"/>
                <w:szCs w:val="21"/>
              </w:rPr>
              <w:t>3）数据服务方法</w:t>
            </w:r>
            <w:r>
              <w:rPr>
                <w:rFonts w:ascii="宋体" w:hAnsi="宋体" w:cs="宋体" w:hint="eastAsia"/>
                <w:color w:val="000000"/>
                <w:kern w:val="0"/>
                <w:szCs w:val="21"/>
                <w:lang w:val="en-US" w:eastAsia="zh-CN"/>
              </w:rPr>
              <w:t>类</w:t>
            </w:r>
            <w:r>
              <w:rPr>
                <w:rFonts w:ascii="宋体" w:hAnsi="宋体" w:cs="宋体" w:hint="eastAsia"/>
                <w:color w:val="000000"/>
                <w:kern w:val="0"/>
                <w:szCs w:val="21"/>
                <w:lang w:eastAsia="zh-CN"/>
              </w:rPr>
              <w:t>；</w:t>
            </w:r>
          </w:p>
          <w:p>
            <w:pPr>
              <w:widowControl/>
              <w:textAlignment w:val="center"/>
              <w:rPr>
                <w:rFonts w:ascii="宋体" w:hAnsi="宋体" w:cs="宋体"/>
                <w:color w:val="000000"/>
                <w:kern w:val="0"/>
                <w:szCs w:val="21"/>
              </w:rPr>
            </w:pPr>
            <w:r>
              <w:rPr>
                <w:rFonts w:ascii="宋体" w:hAnsi="宋体" w:cs="宋体" w:hint="eastAsia"/>
                <w:color w:val="000000"/>
                <w:kern w:val="0"/>
                <w:szCs w:val="21"/>
                <w:lang w:val="en-US" w:eastAsia="zh-CN"/>
              </w:rPr>
              <w:t>4）</w:t>
            </w:r>
            <w:r>
              <w:rPr>
                <w:rFonts w:ascii="宋体" w:hAnsi="宋体" w:cs="宋体" w:hint="eastAsia"/>
                <w:color w:val="000000"/>
                <w:kern w:val="0"/>
                <w:szCs w:val="21"/>
              </w:rPr>
              <w:t>WEB服务生成</w:t>
            </w:r>
            <w:r>
              <w:rPr>
                <w:rFonts w:ascii="宋体" w:hAnsi="宋体" w:cs="宋体" w:hint="eastAsia"/>
                <w:color w:val="000000"/>
                <w:kern w:val="0"/>
                <w:szCs w:val="21"/>
                <w:lang w:val="en-US" w:eastAsia="zh-CN"/>
              </w:rPr>
              <w:t>类</w:t>
            </w:r>
            <w:r>
              <w:rPr>
                <w:rFonts w:ascii="宋体" w:hAnsi="宋体" w:cs="宋体" w:hint="eastAsia"/>
                <w:color w:val="000000"/>
                <w:kern w:val="0"/>
                <w:szCs w:val="21"/>
                <w:lang w:eastAsia="zh-CN"/>
              </w:rPr>
              <w:t>；</w:t>
            </w:r>
            <w:r>
              <w:rPr>
                <w:rFonts w:ascii="宋体" w:hAnsi="宋体" w:cs="宋体" w:hint="eastAsia"/>
                <w:color w:val="000000"/>
                <w:kern w:val="0"/>
                <w:szCs w:val="21"/>
              </w:rPr>
              <w:br/>
            </w:r>
            <w:r>
              <w:rPr>
                <w:rFonts w:ascii="宋体" w:hAnsi="宋体" w:cs="宋体" w:hint="eastAsia"/>
                <w:color w:val="000000"/>
                <w:kern w:val="0"/>
                <w:szCs w:val="21"/>
              </w:rPr>
              <w:t>（二）评分依据：</w:t>
            </w:r>
            <w:r>
              <w:rPr>
                <w:rFonts w:ascii="宋体" w:hAnsi="宋体" w:cs="宋体" w:hint="eastAsia"/>
                <w:color w:val="000000"/>
                <w:kern w:val="0"/>
                <w:szCs w:val="21"/>
              </w:rPr>
              <w:br/>
            </w:r>
            <w:r>
              <w:rPr>
                <w:rFonts w:ascii="宋体" w:hAnsi="宋体" w:cs="宋体" w:hint="eastAsia"/>
                <w:color w:val="000000"/>
                <w:kern w:val="0"/>
                <w:szCs w:val="21"/>
              </w:rPr>
              <w:t>1.如为自有：第1项提供国家版权局颁发的计算机软件著作权登记证书（需体现著作权人为投标人）；第2项提供国家知识产权局颁发的专利证书（需体现专利权人为投标人）。</w:t>
            </w:r>
          </w:p>
          <w:p>
            <w:pPr>
              <w:widowControl/>
              <w:textAlignment w:val="center"/>
              <w:rPr>
                <w:rFonts w:ascii="宋体" w:hAnsi="宋体" w:cs="宋体"/>
                <w:color w:val="000000"/>
                <w:kern w:val="0"/>
                <w:szCs w:val="21"/>
              </w:rPr>
            </w:pPr>
            <w:r>
              <w:rPr>
                <w:rFonts w:ascii="宋体" w:hAnsi="宋体" w:cs="宋体" w:hint="eastAsia"/>
                <w:color w:val="000000"/>
                <w:kern w:val="0"/>
                <w:szCs w:val="21"/>
              </w:rPr>
              <w:t>2.如为租赁：第1项同时提供：①国家版权局颁发的计算机软件著作权登记证书（需体现著作权人为出租方）②租赁合同（协议）扫描件；第2项同时提供：①国家知识产权局颁发的专利证书（需体现专利权人为出租方）②租赁合同（协议）扫描件。</w:t>
            </w:r>
          </w:p>
          <w:p>
            <w:pPr>
              <w:widowControl/>
              <w:textAlignment w:val="center"/>
              <w:rPr>
                <w:rFonts w:ascii="宋体" w:hAnsi="宋体" w:cs="宋体"/>
                <w:color w:val="000000"/>
                <w:kern w:val="0"/>
                <w:szCs w:val="21"/>
              </w:rPr>
            </w:pPr>
            <w:r>
              <w:rPr>
                <w:rFonts w:ascii="宋体" w:hAnsi="宋体" w:cs="宋体" w:hint="eastAsia"/>
                <w:color w:val="000000"/>
                <w:kern w:val="0"/>
                <w:szCs w:val="21"/>
              </w:rPr>
              <w:t>3.如为购买（或转让）：第1项同时提供：①国家版权局颁发的计算机软件著作权登记证书（需体现著作权人为出售方或出让方）②购买（或转让）合同（协议）扫描件；第2项同时提供：①国家知识产权局颁发的专利证书（需体现专利权人为出售方或出让方）②购买（或转让）合同（协议）扫描件。</w:t>
            </w:r>
          </w:p>
          <w:p>
            <w:pPr>
              <w:wordWrap w:val="0"/>
              <w:rPr>
                <w:rFonts w:ascii="宋体" w:hAnsi="宋体" w:cs="宋体"/>
                <w:szCs w:val="21"/>
              </w:rPr>
            </w:pPr>
            <w:r>
              <w:rPr>
                <w:rFonts w:ascii="宋体" w:hAnsi="宋体" w:cs="宋体" w:hint="eastAsia"/>
                <w:color w:val="000000"/>
                <w:kern w:val="0"/>
                <w:szCs w:val="21"/>
              </w:rPr>
              <w:t>4.未按要求提供相关证明材料（或相关证明材料无法判断是否符合评分要求）的不计得分，原件备查。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4</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诚信情况</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szCs w:val="21"/>
              </w:rPr>
            </w:pPr>
            <w:r>
              <w:rPr>
                <w:rFonts w:hint="eastAsia"/>
              </w:rPr>
              <w:t>5</w:t>
            </w:r>
          </w:p>
        </w:tc>
        <w:tc>
          <w:tcPr>
            <w:tcW w:w="4196" w:type="dxa"/>
            <w:tcBorders>
              <w:top w:val="single" w:sz="8" w:space="0" w:color="000000"/>
              <w:left w:val="single" w:sz="8" w:space="0" w:color="000000"/>
              <w:bottom w:val="single" w:sz="8" w:space="0" w:color="000000"/>
              <w:right w:val="single" w:sz="8" w:space="0" w:color="000000"/>
            </w:tcBorders>
          </w:tcPr>
          <w:p>
            <w:pPr>
              <w:pStyle w:val="BodyText"/>
              <w:wordWrap w:val="0"/>
              <w:spacing w:line="240" w:lineRule="auto"/>
              <w:ind w:firstLine="0" w:firstLineChars="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pStyle w:val="BodyText"/>
              <w:wordWrap w:val="0"/>
              <w:spacing w:line="240" w:lineRule="auto"/>
              <w:ind w:firstLine="0" w:firstLineChars="0"/>
              <w:rPr>
                <w:rFonts w:ascii="宋体" w:hAnsi="宋体" w:cs="宋体"/>
                <w:szCs w:val="21"/>
              </w:rPr>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num="1" w:space="425"/>
          <w:titlePg/>
          <w:docGrid w:linePitch="462" w:charSpace="0"/>
        </w:sectPr>
      </w:pPr>
    </w:p>
    <w:p>
      <w:pPr>
        <w:jc w:val="center"/>
        <w:rPr>
          <w:b/>
          <w:sz w:val="120"/>
          <w:szCs w:val="120"/>
        </w:rPr>
      </w:pPr>
    </w:p>
    <w:p>
      <w:pPr>
        <w:jc w:val="center"/>
        <w:rPr>
          <w:b/>
          <w:sz w:val="120"/>
          <w:szCs w:val="120"/>
        </w:rPr>
      </w:pPr>
    </w:p>
    <w:p>
      <w:pPr>
        <w:jc w:val="center"/>
        <w:rPr>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25）</w:t>
      </w:r>
      <w:bookmarkEnd w:id="1"/>
    </w:p>
    <w:p>
      <w:pPr>
        <w:ind w:firstLine="420" w:firstLineChars="200"/>
      </w:pPr>
      <w:r>
        <w:rPr>
          <w:rFonts w:hint="eastAsia"/>
        </w:rPr>
        <w:br w:type="page"/>
      </w:r>
    </w:p>
    <w:p>
      <w:pPr>
        <w:pStyle w:val="Heading2"/>
        <w:ind w:firstLine="3360" w:firstLineChars="1600"/>
        <w:jc w:val="both"/>
        <w:rPr>
          <w:color w:val="FF0000"/>
          <w:szCs w:val="21"/>
        </w:rPr>
      </w:pPr>
      <w:r>
        <w:rPr>
          <w:rFonts w:hint="eastAsia"/>
          <w:b/>
          <w:bCs/>
          <w:color w:val="FF0000"/>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b/>
          <w:color w:val="FF0000"/>
        </w:rPr>
      </w:pPr>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ascii="宋体" w:hAnsi="宋体" w:cs="宋体"/>
          <w:bCs/>
          <w:color w:val="FF0000"/>
          <w:sz w:val="20"/>
          <w:szCs w:val="20"/>
        </w:rPr>
      </w:pPr>
      <w:r>
        <w:rPr>
          <w:rFonts w:ascii="宋体" w:hAnsi="宋体" w:cs="宋体" w:hint="eastAsia"/>
          <w:bCs/>
          <w:color w:val="FF0000"/>
          <w:sz w:val="20"/>
          <w:szCs w:val="20"/>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ascii="宋体" w:hAnsi="宋体" w:cs="宋体"/>
          <w:bCs/>
          <w:color w:val="FF0000"/>
          <w:sz w:val="20"/>
          <w:szCs w:val="20"/>
        </w:rPr>
      </w:pPr>
      <w:r>
        <w:rPr>
          <w:rFonts w:ascii="宋体" w:hAnsi="宋体" w:cs="宋体"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ascii="宋体" w:hAnsi="宋体" w:cs="宋体"/>
          <w:bCs/>
          <w:color w:val="FF0000"/>
          <w:sz w:val="20"/>
          <w:szCs w:val="20"/>
        </w:rPr>
      </w:pPr>
      <w:r>
        <w:rPr>
          <w:rFonts w:ascii="宋体" w:hAnsi="宋体" w:cs="宋体"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cs="宋体" w:hint="eastAsia"/>
          <w:color w:val="FF0000"/>
          <w:sz w:val="20"/>
          <w:szCs w:val="20"/>
        </w:rPr>
        <w:t>取消参与本市政府采购资格、依法吊销其营业执照等行政处罚，构成犯罪的，依法追究刑事责任</w:t>
      </w:r>
      <w:r>
        <w:rPr>
          <w:rFonts w:ascii="宋体" w:hAnsi="宋体" w:cs="宋体" w:hint="eastAsia"/>
          <w:bCs/>
          <w:color w:val="FF0000"/>
          <w:sz w:val="20"/>
          <w:szCs w:val="20"/>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本工程承诺书"/>
      <w:bookmarkEnd w:id="3"/>
      <w:bookmarkStart w:id="4" w:name="bt开标一览表"/>
      <w:bookmarkEnd w:id="4"/>
      <w:bookmarkStart w:id="5" w:name="bt其他资料由投标人自定"/>
      <w:bookmarkEnd w:id="5"/>
      <w:bookmarkStart w:id="6" w:name="bt投标文件签署授权委托书"/>
      <w:bookmarkEnd w:id="6"/>
      <w:bookmarkStart w:id="7" w:name="合同格式"/>
      <w:bookmarkEnd w:id="7"/>
      <w:bookmarkStart w:id="8" w:name="bt投标人情况介绍"/>
      <w:bookmarkEnd w:id="8"/>
      <w:bookmarkStart w:id="9" w:name="bt投标人须知"/>
      <w:bookmarkEnd w:id="9"/>
      <w:bookmarkStart w:id="10" w:name="bt投标报价汇总表"/>
      <w:bookmarkEnd w:id="10"/>
      <w:bookmarkStart w:id="11" w:name="bt说明"/>
      <w:bookmarkEnd w:id="11"/>
      <w:bookmarkStart w:id="12" w:name="bt合同条款及格式"/>
      <w:bookmarkEnd w:id="12"/>
      <w:bookmarkStart w:id="13" w:name="bt合同条款"/>
      <w:bookmarkEnd w:id="13"/>
      <w:bookmarkStart w:id="14" w:name="bt技术标投标文件格式"/>
      <w:bookmarkEnd w:id="14"/>
      <w:bookmarkStart w:id="15" w:name="bt其他资料2"/>
      <w:bookmarkEnd w:id="15"/>
      <w:bookmarkStart w:id="16" w:name="bt项目管理班子配备情况"/>
      <w:bookmarkEnd w:id="16"/>
      <w:bookmarkStart w:id="17" w:name="bt商务标投标文件格式"/>
      <w:bookmarkEnd w:id="17"/>
      <w:bookmarkStart w:id="18" w:name="bt投标函"/>
      <w:bookmarkEnd w:id="18"/>
      <w:bookmarkStart w:id="19" w:name="bt合同格式"/>
      <w:bookmarkEnd w:id="19"/>
      <w:r>
        <w:rPr>
          <w:rFonts w:hint="eastAsia"/>
        </w:rPr>
        <w:t>第一册  专用条款</w:t>
      </w:r>
    </w:p>
    <w:p>
      <w:pPr>
        <w:pStyle w:val="Heading2"/>
        <w:rPr>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hAnsi="宋体" w:cs="宋体"/>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ind w:firstLine="630" w:firstLineChars="300"/>
                    <w:rPr>
                      <w:rFonts w:ascii="宋体" w:hAnsi="宋体" w:cs="宋体"/>
                      <w:b/>
                      <w:bCs/>
                      <w:kern w:val="0"/>
                      <w:szCs w:val="21"/>
                    </w:rPr>
                  </w:pPr>
                  <w:r>
                    <w:rPr>
                      <w:rFonts w:ascii="宋体" w:hAnsi="宋体" w:cs="宋体" w:hint="eastAsia"/>
                      <w:kern w:val="0"/>
                      <w:szCs w:val="21"/>
                    </w:rPr>
                    <w:t>8.本项目是（否）专门面向中小企业采购：否。</w:t>
                  </w:r>
                </w:p>
                <w:p>
                  <w:pPr>
                    <w:wordWrap w:val="0"/>
                    <w:ind w:firstLine="420" w:firstLineChars="2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rPr>
                    <w:t>完整公告内容详见：深圳公共资源交易网（</w:t>
                  </w:r>
                  <w:r>
                    <w:rPr>
                      <w:b/>
                      <w:sz w:val="22"/>
                      <w:szCs w:val="18"/>
                    </w:rPr>
                    <w:t>https://www.szggzy.com</w:t>
                  </w:r>
                  <w:r>
                    <w:rPr>
                      <w:rFonts w:hint="eastAsia"/>
                      <w:b/>
                      <w:sz w:val="22"/>
                      <w:szCs w:val="18"/>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0" w:name="_Toc73518117"/>
      <w:bookmarkStart w:id="21" w:name="_Toc60560625"/>
      <w:bookmarkStart w:id="22" w:name="_Toc60631620"/>
      <w:bookmarkStart w:id="23" w:name="_Toc73521635"/>
      <w:bookmarkStart w:id="24" w:name="_Toc73517639"/>
      <w:bookmarkStart w:id="25" w:name="_Toc100052364"/>
      <w:bookmarkStart w:id="26" w:name="_Toc101074876"/>
      <w:bookmarkStart w:id="27" w:name="_Toc7352154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0"/>
            <w:bookmarkEnd w:id="21"/>
            <w:bookmarkEnd w:id="22"/>
            <w:bookmarkEnd w:id="23"/>
            <w:bookmarkEnd w:id="24"/>
            <w:bookmarkEnd w:id="25"/>
            <w:bookmarkEnd w:id="26"/>
            <w:bookmarkEnd w:id="2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cs="Arial" w:hint="eastAsia"/>
                <w:b/>
                <w:szCs w:val="21"/>
              </w:rPr>
              <w:t>深圳市宝安区信息中心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（深圳交易集团有限公司宝安分公司）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详见第一章  招标公告  申请人的资格要求：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hAnsi="宋体"/>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8" w:name="_Hlk71664860"/>
            <w:r>
              <w:rPr>
                <w:rFonts w:ascii="宋体" w:hAnsi="宋体" w:hint="eastAsia"/>
              </w:rPr>
              <w:t>样品、现场演示、方案讲解</w:t>
            </w:r>
            <w:bookmarkEnd w:id="28"/>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29"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pPr>
            <w:r>
              <w:rPr>
                <w:rFonts w:hint="eastAsia"/>
              </w:rPr>
              <w:t>评标方法</w:t>
            </w:r>
          </w:p>
        </w:tc>
        <w:tc>
          <w:tcPr>
            <w:tcW w:w="3235" w:type="dxa"/>
          </w:tcPr>
          <w:p>
            <w:pPr>
              <w:jc w:val="center"/>
            </w:pPr>
            <w:r>
              <w:rPr>
                <w:rFonts w:ascii="Wingdings" w:hAnsi="Wingdings" w:hint="eastAsia"/>
              </w:rPr>
              <w:t>þ</w:t>
            </w:r>
            <w:r>
              <w:rPr>
                <w:rFonts w:hint="eastAsia"/>
              </w:rPr>
              <w:t>综合评分法</w:t>
            </w:r>
          </w:p>
        </w:tc>
        <w:tc>
          <w:tcPr>
            <w:tcW w:w="2450" w:type="dxa"/>
          </w:tcPr>
          <w:p>
            <w:pPr>
              <w:jc w:val="center"/>
            </w:pPr>
            <w:r>
              <w:rPr>
                <w:rFonts w:ascii="Wingdings" w:hAnsi="Wingdings" w:hint="eastAsia"/>
              </w:rPr>
              <w:t>¨</w:t>
            </w:r>
            <w:r>
              <w:rPr>
                <w:rFonts w:hint="eastAsia"/>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候选中标供应商家数</w:t>
            </w:r>
          </w:p>
        </w:tc>
        <w:tc>
          <w:tcPr>
            <w:tcW w:w="3235" w:type="dxa"/>
          </w:tcPr>
          <w:p>
            <w:pPr>
              <w:jc w:val="center"/>
            </w:pPr>
            <w:r>
              <w:rPr>
                <w:rFonts w:hint="eastAsia"/>
              </w:rPr>
              <w:t>1</w:t>
            </w:r>
          </w:p>
        </w:tc>
        <w:tc>
          <w:tcPr>
            <w:tcW w:w="2450" w:type="dxa"/>
          </w:tcPr>
          <w:p>
            <w:pPr>
              <w:jc w:val="cente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pPr>
            <w:r>
              <w:rPr>
                <w:rFonts w:hint="eastAsia"/>
              </w:rPr>
              <w:t>1</w:t>
            </w:r>
          </w:p>
        </w:tc>
      </w:tr>
    </w:tbl>
    <w:p>
      <w:pPr>
        <w:ind w:firstLine="420" w:firstLineChars="200"/>
        <w:rPr>
          <w:b/>
        </w:rPr>
      </w:pPr>
      <w:bookmarkEnd w:id="29"/>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pPr>
      <w:r>
        <w:rPr>
          <w:rFonts w:hint="eastAsia"/>
        </w:rPr>
        <w:t>（1）专门面向中小企业采购的项目，不再执行价格扣除比例。</w:t>
      </w:r>
    </w:p>
    <w:p>
      <w:pPr>
        <w:ind w:firstLine="420" w:firstLineChars="200"/>
      </w:pPr>
      <w:r>
        <w:rPr>
          <w:rFonts w:hint="eastAsia"/>
        </w:rPr>
        <w:t>（2）非专门面向中小企业采购的项目，应执行价格扣除比例：供应商提供的服务全部由优惠主体承接，则对其投标总价给予</w:t>
      </w:r>
      <w:r>
        <w:rPr>
          <w:color w:val="FF0000"/>
          <w:u w:val="single"/>
        </w:rPr>
        <w:t xml:space="preserve">  </w:t>
      </w:r>
      <w:r>
        <w:rPr>
          <w:rFonts w:hint="eastAsia"/>
          <w:color w:val="FF0000"/>
          <w:u w:val="single"/>
        </w:rPr>
        <w:t>10</w:t>
      </w:r>
      <w:r>
        <w:rPr>
          <w:color w:val="FF0000"/>
          <w:u w:val="single"/>
        </w:rPr>
        <w:t xml:space="preserve">  %</w:t>
      </w:r>
      <w:r>
        <w:rPr>
          <w:rFonts w:hint="eastAsia"/>
          <w:color w:val="000000" w:themeColor="text1"/>
          <w14:textFill>
            <w14:solidFill>
              <w14:schemeClr w14:val="tx1"/>
            </w14:solidFill>
          </w14:textFill>
        </w:rPr>
        <w:t>（10%~20%）</w:t>
      </w:r>
      <w:r>
        <w:rPr>
          <w:rFonts w:hint="eastAsia"/>
        </w:rPr>
        <w:t>的扣除，用扣除后的价格参与评审。满足多项优惠政策的企业，不重复享受多项价格扣除政策。</w:t>
      </w:r>
    </w:p>
    <w:p>
      <w:pPr>
        <w:ind w:firstLine="420" w:firstLineChars="200"/>
      </w:pPr>
      <w:r>
        <w:rPr>
          <w:rFonts w:hint="eastAsia"/>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szCs w:val="21"/>
        </w:rPr>
      </w:pPr>
      <w:r>
        <w:rPr>
          <w:rFonts w:ascii="宋体" w:hAnsi="宋体" w:cs="宋体"/>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hAnsi="宋体" w:cs="宋体"/>
          <w:b/>
          <w:bCs/>
          <w:color w:val="FF0000"/>
          <w:szCs w:val="21"/>
        </w:rPr>
        <w:t>《中小企业声明函》中相关企业所属行业应当与采购标的所属行业相一致。</w:t>
      </w:r>
      <w:r>
        <w:rPr>
          <w:rFonts w:hint="eastAsia"/>
          <w:szCs w:val="21"/>
        </w:rPr>
        <w:t>本项目采购标的（服务需求）对应的中小企业划分标准所属行业为</w:t>
      </w:r>
      <w:r>
        <w:rPr>
          <w:color w:val="FF0000"/>
          <w:szCs w:val="21"/>
          <w:u w:val="single"/>
        </w:rPr>
        <w:t xml:space="preserve"> </w:t>
      </w:r>
      <w:r>
        <w:rPr>
          <w:rFonts w:hint="eastAsia"/>
          <w:color w:val="FF0000"/>
          <w:szCs w:val="21"/>
          <w:u w:val="single"/>
        </w:rPr>
        <w:t>软件和信息技术服务</w:t>
      </w:r>
      <w:r>
        <w:rPr>
          <w:rFonts w:hint="eastAsia"/>
          <w:szCs w:val="21"/>
        </w:rPr>
        <w:t>业。</w:t>
      </w:r>
    </w:p>
    <w:p>
      <w:pPr>
        <w:numPr>
          <w:ilvl w:val="0"/>
          <w:numId w:val="7"/>
        </w:numPr>
        <w:ind w:firstLine="420" w:firstLineChars="200"/>
      </w:pPr>
      <w:r>
        <w:rPr>
          <w:rFonts w:hint="eastAsia"/>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7"/>
        </w:numPr>
        <w:ind w:firstLine="420" w:firstLineChars="200"/>
      </w:pPr>
      <w:r>
        <w:rPr>
          <w:rFonts w:hint="eastAsia"/>
        </w:rPr>
        <w:t>享受价格扣除获得政府采购合同的，小微企业不得将合同分包给大中型企业。</w:t>
      </w:r>
    </w:p>
    <w:p>
      <w:pPr>
        <w:ind w:firstLine="420" w:firstLineChars="200"/>
      </w:pPr>
      <w:r>
        <w:rPr>
          <w:rFonts w:hint="eastAsia"/>
          <w:b/>
          <w:bCs/>
        </w:rPr>
        <w:t>2、</w:t>
      </w:r>
      <w:r>
        <w:rPr>
          <w:rFonts w:ascii="宋体" w:hAnsi="宋体" w:cs="宋体" w:hint="eastAsia"/>
          <w:b/>
          <w:bCs/>
        </w:rPr>
        <w:t>关于政府采购订单融资政策</w:t>
      </w:r>
    </w:p>
    <w:p>
      <w:pPr>
        <w:wordWrap w:val="0"/>
        <w:ind w:firstLine="420" w:firstLineChars="200"/>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b/>
          <w:bCs/>
        </w:rPr>
      </w:pPr>
      <w:r>
        <w:rPr>
          <w:rFonts w:hint="eastAsia"/>
          <w:b/>
          <w:bCs/>
        </w:rPr>
        <w:t>3、本项目不向中标（成交）供应商收取代理服务费。</w:t>
      </w:r>
    </w:p>
    <w:p>
      <w:pPr>
        <w:ind w:firstLine="420" w:firstLineChars="200"/>
        <w:rPr>
          <w:b/>
          <w:bCs/>
        </w:rPr>
      </w:pPr>
      <w:r>
        <w:rPr>
          <w:rFonts w:hint="eastAsia"/>
          <w:b/>
          <w:bCs/>
        </w:rPr>
        <w:t>4、其他说明</w:t>
      </w:r>
    </w:p>
    <w:p>
      <w:pPr>
        <w:wordWrap w:val="0"/>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ind w:firstLine="420" w:firstLineChars="200"/>
        <w:rPr>
          <w:b/>
          <w:bCs/>
        </w:rPr>
      </w:pPr>
      <w:r>
        <w:rPr>
          <w:b/>
          <w:bCs/>
        </w:rPr>
        <w:t>重要提示：</w:t>
      </w:r>
    </w:p>
    <w:p>
      <w:pPr>
        <w:wordWrap w:val="0"/>
        <w:ind w:firstLine="420" w:firstLineChars="200"/>
      </w:pPr>
      <w:r>
        <w:t>1</w:t>
      </w:r>
      <w:r>
        <w:rPr>
          <w:rFonts w:hint="eastAsia"/>
        </w:rPr>
        <w:t>.</w:t>
      </w:r>
      <w: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ind w:firstLine="420" w:firstLineChars="200"/>
      </w:pPr>
      <w:r>
        <w:t>2</w:t>
      </w:r>
      <w:r>
        <w:rPr>
          <w:rFonts w:hint="eastAsia"/>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num="1" w:space="425"/>
          <w:titlePg/>
          <w:docGrid w:linePitch="462" w:charSpace="0"/>
        </w:sect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rPr>
          <w:sz w:val="28"/>
          <w:szCs w:val="28"/>
        </w:rPr>
      </w:pPr>
      <w:bookmarkStart w:id="30"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49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3"/>
        <w:gridCol w:w="2719"/>
        <w:gridCol w:w="3033"/>
        <w:gridCol w:w="2293"/>
      </w:tblGrid>
      <w:tr>
        <w:tblPrEx>
          <w:tblW w:w="849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83"/>
        </w:trPr>
        <w:tc>
          <w:tcPr>
            <w:tcW w:w="453" w:type="dxa"/>
            <w:vAlign w:val="center"/>
          </w:tcPr>
          <w:p>
            <w:pPr>
              <w:jc w:val="center"/>
              <w:rPr>
                <w:bCs/>
                <w:szCs w:val="21"/>
              </w:rPr>
            </w:pPr>
            <w:r>
              <w:rPr>
                <w:rFonts w:hint="eastAsia"/>
                <w:bCs/>
                <w:szCs w:val="21"/>
              </w:rPr>
              <w:t>序号</w:t>
            </w:r>
          </w:p>
        </w:tc>
        <w:tc>
          <w:tcPr>
            <w:tcW w:w="2719" w:type="dxa"/>
            <w:vAlign w:val="center"/>
          </w:tcPr>
          <w:p>
            <w:pPr>
              <w:jc w:val="center"/>
              <w:rPr>
                <w:bCs/>
                <w:szCs w:val="21"/>
              </w:rPr>
            </w:pPr>
            <w:r>
              <w:rPr>
                <w:rFonts w:hint="eastAsia"/>
                <w:szCs w:val="21"/>
              </w:rPr>
              <w:t>采购计划编号</w:t>
            </w:r>
          </w:p>
        </w:tc>
        <w:tc>
          <w:tcPr>
            <w:tcW w:w="3033" w:type="dxa"/>
            <w:vAlign w:val="center"/>
          </w:tcPr>
          <w:p>
            <w:pPr>
              <w:jc w:val="center"/>
              <w:rPr>
                <w:bCs/>
                <w:szCs w:val="21"/>
              </w:rPr>
            </w:pPr>
            <w:r>
              <w:rPr>
                <w:rFonts w:hint="eastAsia"/>
                <w:bCs/>
                <w:szCs w:val="21"/>
              </w:rPr>
              <w:t>采购项目名称</w:t>
            </w:r>
          </w:p>
        </w:tc>
        <w:tc>
          <w:tcPr>
            <w:tcW w:w="2293" w:type="dxa"/>
            <w:vAlign w:val="center"/>
          </w:tcPr>
          <w:p>
            <w:pPr>
              <w:jc w:val="center"/>
              <w:rPr>
                <w:b/>
                <w:bCs/>
                <w:color w:val="FF0000"/>
                <w:szCs w:val="21"/>
              </w:rPr>
            </w:pPr>
            <w:r>
              <w:rPr>
                <w:rFonts w:hint="eastAsia"/>
                <w:b/>
                <w:bCs/>
                <w:color w:val="FF0000"/>
                <w:szCs w:val="21"/>
              </w:rPr>
              <w:t>预算金额</w:t>
            </w:r>
          </w:p>
          <w:p>
            <w:pPr>
              <w:jc w:val="center"/>
              <w:rPr>
                <w:b/>
                <w:bCs/>
                <w:color w:val="FF0000"/>
                <w:szCs w:val="21"/>
              </w:rPr>
            </w:pPr>
            <w:r>
              <w:rPr>
                <w:rFonts w:hint="eastAsia"/>
                <w:b/>
                <w:bCs/>
                <w:color w:val="FF0000"/>
                <w:szCs w:val="21"/>
              </w:rPr>
              <w:t>（元）</w:t>
            </w:r>
          </w:p>
        </w:tc>
      </w:tr>
      <w:tr>
        <w:tblPrEx>
          <w:tblW w:w="8498" w:type="dxa"/>
          <w:tblInd w:w="0" w:type="dxa"/>
          <w:tblLayout w:type="fixed"/>
          <w:tblCellMar>
            <w:top w:w="0" w:type="dxa"/>
            <w:left w:w="108" w:type="dxa"/>
            <w:bottom w:w="0" w:type="dxa"/>
            <w:right w:w="108" w:type="dxa"/>
          </w:tblCellMar>
        </w:tblPrEx>
        <w:trPr>
          <w:trHeight w:val="310"/>
        </w:trPr>
        <w:tc>
          <w:tcPr>
            <w:tcW w:w="453" w:type="dxa"/>
            <w:vAlign w:val="center"/>
          </w:tcPr>
          <w:p>
            <w:pPr>
              <w:jc w:val="center"/>
              <w:rPr>
                <w:bCs/>
                <w:color w:val="FF0000"/>
                <w:szCs w:val="21"/>
              </w:rPr>
            </w:pPr>
            <w:r>
              <w:rPr>
                <w:rFonts w:hint="eastAsia"/>
                <w:bCs/>
                <w:color w:val="FF0000"/>
                <w:szCs w:val="21"/>
              </w:rPr>
              <w:t>1</w:t>
            </w:r>
          </w:p>
        </w:tc>
        <w:tc>
          <w:tcPr>
            <w:tcW w:w="2719" w:type="dxa"/>
            <w:vAlign w:val="center"/>
          </w:tcPr>
          <w:p>
            <w:pPr>
              <w:jc w:val="center"/>
              <w:rPr>
                <w:rFonts w:hint="eastAsia"/>
                <w:bCs/>
                <w:color w:val="FF0000"/>
                <w:szCs w:val="21"/>
              </w:rPr>
            </w:pPr>
          </w:p>
          <w:p>
            <w:pPr>
              <w:jc w:val="center"/>
              <w:rPr>
                <w:bCs/>
                <w:color w:val="FF0000"/>
                <w:szCs w:val="21"/>
              </w:rPr>
            </w:pPr>
            <w:r>
              <w:rPr>
                <w:rFonts w:hint="eastAsia"/>
                <w:bCs/>
                <w:color w:val="FF0000"/>
                <w:szCs w:val="21"/>
              </w:rPr>
              <w:t>PLAN-2025-440306000-127002-01390</w:t>
            </w:r>
          </w:p>
        </w:tc>
        <w:tc>
          <w:tcPr>
            <w:tcW w:w="3033" w:type="dxa"/>
            <w:vAlign w:val="center"/>
          </w:tcPr>
          <w:p>
            <w:pPr>
              <w:jc w:val="center"/>
              <w:rPr>
                <w:b/>
                <w:bCs/>
                <w:color w:val="FF0000"/>
                <w:szCs w:val="21"/>
              </w:rPr>
            </w:pPr>
            <w:r>
              <w:rPr>
                <w:rFonts w:asciiTheme="minorEastAsia" w:hAnsiTheme="minorEastAsia" w:hint="eastAsia"/>
                <w:sz w:val="24"/>
              </w:rPr>
              <w:t>深圳市宝安区信息中心智慧宝安大数据资源平台完善工程项目B包</w:t>
            </w:r>
          </w:p>
        </w:tc>
        <w:tc>
          <w:tcPr>
            <w:tcW w:w="2293" w:type="dxa"/>
            <w:vAlign w:val="center"/>
          </w:tcPr>
          <w:p>
            <w:pPr>
              <w:jc w:val="center"/>
              <w:rPr>
                <w:bCs/>
                <w:color w:val="FF0000"/>
                <w:szCs w:val="21"/>
              </w:rPr>
            </w:pPr>
            <w:r>
              <w:rPr>
                <w:rFonts w:hint="eastAsia"/>
                <w:bCs/>
                <w:color w:val="FF0000"/>
                <w:szCs w:val="21"/>
              </w:rPr>
              <w:t>10551400</w:t>
            </w:r>
          </w:p>
        </w:tc>
      </w:tr>
      <w:tr>
        <w:tblPrEx>
          <w:tblW w:w="8498" w:type="dxa"/>
          <w:tblInd w:w="0" w:type="dxa"/>
          <w:tblLayout w:type="fixed"/>
          <w:tblCellMar>
            <w:top w:w="0" w:type="dxa"/>
            <w:left w:w="108" w:type="dxa"/>
            <w:bottom w:w="0" w:type="dxa"/>
            <w:right w:w="108" w:type="dxa"/>
          </w:tblCellMar>
        </w:tblPrEx>
        <w:trPr>
          <w:trHeight w:val="320"/>
        </w:trPr>
        <w:tc>
          <w:tcPr>
            <w:tcW w:w="6205" w:type="dxa"/>
            <w:gridSpan w:val="3"/>
            <w:shd w:val="clear" w:color="auto" w:fill="auto"/>
            <w:vAlign w:val="center"/>
          </w:tcPr>
          <w:p>
            <w:pPr>
              <w:jc w:val="center"/>
              <w:rPr>
                <w:b/>
                <w:bCs/>
                <w:color w:val="FF0000"/>
                <w:szCs w:val="21"/>
              </w:rPr>
            </w:pPr>
            <w:r>
              <w:rPr>
                <w:b/>
                <w:bCs/>
                <w:color w:val="FF0000"/>
                <w:szCs w:val="21"/>
              </w:rPr>
              <w:t>合计</w:t>
            </w:r>
          </w:p>
        </w:tc>
        <w:tc>
          <w:tcPr>
            <w:tcW w:w="2293" w:type="dxa"/>
            <w:shd w:val="clear" w:color="auto" w:fill="auto"/>
            <w:vAlign w:val="center"/>
          </w:tcPr>
          <w:p>
            <w:pPr>
              <w:jc w:val="center"/>
              <w:rPr>
                <w:bCs/>
                <w:color w:val="FF0000"/>
                <w:szCs w:val="21"/>
              </w:rPr>
            </w:pPr>
            <w:r>
              <w:rPr>
                <w:rFonts w:hint="eastAsia"/>
                <w:bCs/>
                <w:color w:val="FF0000"/>
                <w:szCs w:val="21"/>
              </w:rPr>
              <w:t>10551400</w:t>
            </w:r>
          </w:p>
        </w:tc>
      </w:tr>
    </w:tbl>
    <w:p>
      <w:pPr>
        <w:pStyle w:val="Heading2"/>
        <w:spacing w:before="120" w:beforeLines="50" w:after="120" w:afterLines="50"/>
        <w:rPr>
          <w:szCs w:val="24"/>
        </w:rPr>
      </w:pPr>
      <w:r>
        <w:rPr>
          <w:rFonts w:hint="eastAsia"/>
          <w:szCs w:val="24"/>
        </w:rPr>
        <w:t>二、项目概况</w:t>
      </w:r>
    </w:p>
    <w:p>
      <w:pPr>
        <w:ind w:firstLine="420" w:firstLineChars="200"/>
        <w:rPr>
          <w:sz w:val="24"/>
        </w:rPr>
      </w:pPr>
      <w:r>
        <w:rPr>
          <w:rFonts w:hint="eastAsia"/>
          <w:sz w:val="24"/>
        </w:rPr>
        <w:t>深圳市政府高度重视政务信息资源一体化的建设，《深圳市数字政府和智慧城市“十四五”发展规划》中提到，需充分发挥标准规范引领作用，构建包含政务服务、数据资源、业务接口、数据共享、数据安全等在内的统一标准规范体系；建设全要素、多层次的安全防护体系，打造自主可控、安全高效的技术路线；推进跨层级、跨地域、跨系统、跨部门、跨业务协同治理。构建高质量公共数据资源体系，强化公共数据治理，建立内部数据评价机制，提升数据质量。</w:t>
      </w:r>
    </w:p>
    <w:p>
      <w:pPr>
        <w:ind w:firstLine="420" w:firstLineChars="200"/>
        <w:rPr>
          <w:sz w:val="24"/>
        </w:rPr>
      </w:pPr>
      <w:r>
        <w:rPr>
          <w:rFonts w:hint="eastAsia"/>
          <w:sz w:val="24"/>
        </w:rPr>
        <w:t>宝安区政府积极推进大数据资源中心的升级优化建设，按照《宝安区“数字政府”建设“十四五”规划（2021—2025年）》要求，聚焦“数智赋能”的基础底座构建、“跨界融合”的数字经济跃升、“高效协同”的数字治理变革，“以人为本”的数字生活体验，提出全面构建“一区通办、一证通行、一链证信、一触可视、一库通晓、一图多融、一网统管、一端畅联”具体工作目标及打造数字政府创新发展高地的总体目标。</w:t>
      </w:r>
    </w:p>
    <w:p>
      <w:pPr>
        <w:ind w:firstLine="420" w:firstLineChars="200"/>
        <w:rPr>
          <w:sz w:val="24"/>
        </w:rPr>
      </w:pPr>
      <w:r>
        <w:rPr>
          <w:rFonts w:hint="eastAsia"/>
          <w:sz w:val="24"/>
        </w:rPr>
        <w:t>目前宝安区已建成全区统一的大数据资源平台，将各委办局数据统一同步汇聚到平台，支撑适应跨网络、跨网闸等复杂网络环境，实现实时多源异构数据一站式汇聚，推进政府数据共享开放工作。随着汇聚融合的数据量及数据类型的海量新增以及对数据处理和应用需求的不同，为了满足未来三年的规划，满足城市发展、政务业务发展、企业及群众需求，本项目站在城市级角度，建设完善智慧宝安大数据资源平台。</w:t>
      </w:r>
    </w:p>
    <w:p>
      <w:pPr>
        <w:ind w:firstLine="420" w:firstLineChars="200"/>
        <w:rPr>
          <w:sz w:val="24"/>
        </w:rPr>
      </w:pPr>
    </w:p>
    <w:p>
      <w:pPr>
        <w:pStyle w:val="Heading2"/>
        <w:spacing w:before="120" w:beforeLines="50" w:after="120" w:afterLines="50"/>
        <w:rPr>
          <w:szCs w:val="24"/>
        </w:rPr>
      </w:pPr>
      <w:r>
        <w:rPr>
          <w:rFonts w:hint="eastAsia"/>
          <w:szCs w:val="24"/>
        </w:rPr>
        <w:t>三、</w:t>
      </w:r>
      <w:bookmarkStart w:id="31" w:name="_Hlk72073432"/>
      <w:r>
        <w:rPr>
          <w:rFonts w:hint="eastAsia"/>
          <w:szCs w:val="24"/>
        </w:rPr>
        <w:t>服务需求明细</w:t>
      </w:r>
      <w:bookmarkEnd w:id="31"/>
    </w:p>
    <w:tbl>
      <w:tblPr>
        <w:tblStyle w:val="TableNormal"/>
        <w:tblpPr w:leftFromText="180" w:rightFromText="180" w:vertAnchor="text" w:horzAnchor="margin" w:tblpY="173"/>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9"/>
        <w:gridCol w:w="1194"/>
        <w:gridCol w:w="3742"/>
        <w:gridCol w:w="816"/>
        <w:gridCol w:w="2038"/>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739" w:type="dxa"/>
            <w:vAlign w:val="center"/>
          </w:tcPr>
          <w:p>
            <w:pPr>
              <w:jc w:val="center"/>
              <w:rPr>
                <w:bCs/>
                <w:szCs w:val="21"/>
              </w:rPr>
            </w:pPr>
            <w:r>
              <w:rPr>
                <w:rFonts w:hint="eastAsia"/>
                <w:bCs/>
                <w:szCs w:val="21"/>
              </w:rPr>
              <w:t>序号</w:t>
            </w:r>
          </w:p>
        </w:tc>
        <w:tc>
          <w:tcPr>
            <w:tcW w:w="1194" w:type="dxa"/>
            <w:vAlign w:val="center"/>
          </w:tcPr>
          <w:p>
            <w:pPr>
              <w:jc w:val="center"/>
              <w:rPr>
                <w:bCs/>
                <w:szCs w:val="21"/>
              </w:rPr>
            </w:pPr>
            <w:r>
              <w:rPr>
                <w:rFonts w:hint="eastAsia"/>
                <w:szCs w:val="21"/>
              </w:rPr>
              <w:t>采购计划编号</w:t>
            </w:r>
          </w:p>
        </w:tc>
        <w:tc>
          <w:tcPr>
            <w:tcW w:w="3742" w:type="dxa"/>
            <w:vAlign w:val="center"/>
          </w:tcPr>
          <w:p>
            <w:pPr>
              <w:jc w:val="center"/>
              <w:rPr>
                <w:bCs/>
                <w:szCs w:val="21"/>
              </w:rPr>
            </w:pPr>
            <w:r>
              <w:rPr>
                <w:rFonts w:hint="eastAsia"/>
                <w:bCs/>
                <w:szCs w:val="21"/>
              </w:rPr>
              <w:t>服务需求名称（标的名称）</w:t>
            </w:r>
          </w:p>
        </w:tc>
        <w:tc>
          <w:tcPr>
            <w:tcW w:w="816" w:type="dxa"/>
            <w:vAlign w:val="center"/>
          </w:tcPr>
          <w:p>
            <w:pPr>
              <w:jc w:val="center"/>
              <w:rPr>
                <w:bCs/>
                <w:szCs w:val="21"/>
              </w:rPr>
            </w:pPr>
            <w:r>
              <w:rPr>
                <w:rFonts w:hint="eastAsia"/>
                <w:bCs/>
                <w:szCs w:val="21"/>
              </w:rPr>
              <w:t>数量</w:t>
            </w:r>
          </w:p>
        </w:tc>
        <w:tc>
          <w:tcPr>
            <w:tcW w:w="2038" w:type="dxa"/>
            <w:vAlign w:val="center"/>
          </w:tcPr>
          <w:p>
            <w:pPr>
              <w:jc w:val="center"/>
              <w:rPr>
                <w:bCs/>
                <w:szCs w:val="21"/>
              </w:rPr>
            </w:pPr>
            <w:r>
              <w:rPr>
                <w:rFonts w:hint="eastAsia"/>
                <w:bCs/>
                <w:szCs w:val="21"/>
              </w:rPr>
              <w:t>单位</w:t>
            </w:r>
          </w:p>
        </w:tc>
      </w:tr>
      <w:tr>
        <w:tblPrEx>
          <w:tblW w:w="8529" w:type="dxa"/>
          <w:tblInd w:w="0" w:type="dxa"/>
          <w:tblLayout w:type="fixed"/>
          <w:tblCellMar>
            <w:top w:w="0" w:type="dxa"/>
            <w:left w:w="108" w:type="dxa"/>
            <w:bottom w:w="0" w:type="dxa"/>
            <w:right w:w="108" w:type="dxa"/>
          </w:tblCellMar>
        </w:tblPrEx>
        <w:trPr>
          <w:trHeight w:val="224"/>
        </w:trPr>
        <w:tc>
          <w:tcPr>
            <w:tcW w:w="739" w:type="dxa"/>
            <w:vAlign w:val="center"/>
          </w:tcPr>
          <w:p>
            <w:pPr>
              <w:jc w:val="center"/>
              <w:rPr>
                <w:bCs/>
                <w:szCs w:val="21"/>
              </w:rPr>
            </w:pPr>
            <w:r>
              <w:rPr>
                <w:rFonts w:hint="eastAsia"/>
                <w:bCs/>
                <w:szCs w:val="21"/>
              </w:rPr>
              <w:t>1</w:t>
            </w:r>
          </w:p>
        </w:tc>
        <w:tc>
          <w:tcPr>
            <w:tcW w:w="1194" w:type="dxa"/>
            <w:vAlign w:val="center"/>
          </w:tcPr>
          <w:p>
            <w:pPr>
              <w:jc w:val="both"/>
              <w:rPr>
                <w:bCs/>
                <w:szCs w:val="21"/>
              </w:rPr>
            </w:pPr>
            <w:r>
              <w:rPr>
                <w:rFonts w:hint="eastAsia"/>
                <w:bCs/>
                <w:szCs w:val="21"/>
              </w:rPr>
              <w:t>PLAN-2025-440306000-127002-01390</w:t>
            </w:r>
          </w:p>
        </w:tc>
        <w:tc>
          <w:tcPr>
            <w:tcW w:w="3742" w:type="dxa"/>
            <w:vAlign w:val="center"/>
          </w:tcPr>
          <w:p>
            <w:pPr>
              <w:jc w:val="center"/>
              <w:rPr>
                <w:bCs/>
                <w:szCs w:val="21"/>
              </w:rPr>
            </w:pPr>
            <w:r>
              <w:rPr>
                <w:rFonts w:asciiTheme="minorEastAsia" w:hAnsiTheme="minorEastAsia" w:hint="eastAsia"/>
                <w:sz w:val="24"/>
              </w:rPr>
              <w:t>深圳市宝安区信息中心智慧宝安大数据资源平台完善工程项目B包</w:t>
            </w:r>
          </w:p>
        </w:tc>
        <w:tc>
          <w:tcPr>
            <w:tcW w:w="816" w:type="dxa"/>
            <w:vAlign w:val="center"/>
          </w:tcPr>
          <w:p>
            <w:pPr>
              <w:jc w:val="center"/>
              <w:rPr>
                <w:bCs/>
                <w:szCs w:val="21"/>
              </w:rPr>
            </w:pPr>
            <w:r>
              <w:rPr>
                <w:rFonts w:hint="eastAsia"/>
              </w:rPr>
              <w:t>1</w:t>
            </w:r>
          </w:p>
        </w:tc>
        <w:tc>
          <w:tcPr>
            <w:tcW w:w="2038" w:type="dxa"/>
            <w:vAlign w:val="center"/>
          </w:tcPr>
          <w:p>
            <w:pPr>
              <w:jc w:val="center"/>
              <w:rPr>
                <w:bCs/>
                <w:szCs w:val="21"/>
              </w:rPr>
            </w:pPr>
            <w:r>
              <w:rPr>
                <w:rFonts w:hint="eastAsia"/>
                <w:bCs/>
                <w:szCs w:val="21"/>
              </w:rPr>
              <w:t>项</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tabs>
          <w:tab w:val="left" w:pos="765"/>
        </w:tabs>
        <w:rPr>
          <w:rFonts w:ascii="黑体"/>
          <w:kern w:val="0"/>
          <w:sz w:val="24"/>
        </w:rPr>
      </w:pPr>
      <w:r>
        <w:rPr>
          <w:rFonts w:ascii="黑体" w:hint="eastAsia"/>
          <w:color w:val="FF0000"/>
          <w:kern w:val="0"/>
          <w:sz w:val="24"/>
        </w:rPr>
        <w:t>注：上表所列内容为不可负偏离条款，负偏离将视为未实质性满足招标文件要求作投标无效处理。</w:t>
      </w:r>
      <w:bookmarkEnd w:id="30"/>
      <w:r>
        <w:rPr>
          <w:rFonts w:ascii="黑体" w:hint="eastAsia"/>
          <w:color w:val="FF0000"/>
          <w:kern w:val="0"/>
          <w:sz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szCs w:val="24"/>
        </w:rPr>
      </w:pPr>
      <w:r>
        <w:rPr>
          <w:rFonts w:hint="eastAsia"/>
          <w:szCs w:val="24"/>
        </w:rPr>
        <w:t>五、</w:t>
      </w:r>
      <w:r>
        <w:rPr>
          <w:rFonts w:hAnsi="宋体" w:eastAsiaTheme="minorEastAsia" w:hint="eastAsia"/>
          <w:color w:val="FF0000"/>
          <w:szCs w:val="21"/>
        </w:rPr>
        <w:t>★</w:t>
      </w:r>
      <w:r>
        <w:rPr>
          <w:rFonts w:hint="eastAsia"/>
          <w:szCs w:val="24"/>
        </w:rPr>
        <w:t>技术要求</w:t>
      </w:r>
    </w:p>
    <w:p>
      <w:pPr>
        <w:ind w:firstLine="420" w:firstLineChars="200"/>
        <w:jc w:val="left"/>
        <w:rPr>
          <w:rFonts w:ascii="宋体" w:hAnsi="宋体" w:cs="宋体"/>
          <w:b/>
          <w:bCs/>
          <w:sz w:val="24"/>
        </w:rPr>
      </w:pPr>
      <w:r>
        <w:rPr>
          <w:rFonts w:ascii="宋体" w:hAnsi="宋体" w:cs="宋体" w:hint="eastAsia"/>
          <w:b/>
          <w:bCs/>
          <w:sz w:val="24"/>
        </w:rPr>
        <w:t>（一）项目简介</w:t>
      </w:r>
    </w:p>
    <w:p>
      <w:pPr>
        <w:ind w:firstLine="420" w:firstLineChars="200"/>
        <w:rPr>
          <w:rFonts w:ascii="宋体" w:hAnsi="宋体" w:cs="宋体"/>
          <w:sz w:val="24"/>
        </w:rPr>
      </w:pPr>
      <w:r>
        <w:rPr>
          <w:rFonts w:ascii="宋体" w:hAnsi="宋体" w:cs="宋体" w:hint="eastAsia"/>
          <w:sz w:val="24"/>
        </w:rPr>
        <w:t>（1）项目背景</w:t>
      </w:r>
    </w:p>
    <w:p>
      <w:pPr>
        <w:ind w:firstLine="420" w:firstLineChars="200"/>
        <w:rPr>
          <w:rFonts w:ascii="宋体" w:hAnsi="宋体" w:cs="宋体"/>
          <w:sz w:val="24"/>
        </w:rPr>
      </w:pPr>
      <w:r>
        <w:rPr>
          <w:rFonts w:ascii="宋体" w:hAnsi="宋体" w:cs="宋体" w:hint="eastAsia"/>
          <w:sz w:val="24"/>
        </w:rPr>
        <w:t>深圳市政府高度重视政务信息资源一体化的建设，《深圳市数字政府和智慧城市“十四五”发展规划》中提到，需充分发挥标准规范引领作用，构建包含政务服务、数据资源、业务接口、数据共享、数据安全等在内的统一标准规范体系；建设全要素、多层次的安全防护体系，打造自主可控、安全高效的技术路线；推进跨层级、跨地域、跨系统、跨部门、跨业务协同治理。构建高质量公共数据资源体系，强化公共数据治理，建立内部数据评价机制，提升数据质量。</w:t>
      </w:r>
    </w:p>
    <w:p>
      <w:pPr>
        <w:ind w:firstLine="420" w:firstLineChars="200"/>
        <w:rPr>
          <w:rFonts w:ascii="宋体" w:hAnsi="宋体" w:cs="宋体"/>
          <w:sz w:val="24"/>
        </w:rPr>
      </w:pPr>
      <w:r>
        <w:rPr>
          <w:rFonts w:ascii="宋体" w:hAnsi="宋体" w:cs="宋体" w:hint="eastAsia"/>
          <w:sz w:val="24"/>
        </w:rPr>
        <w:t>宝安区政府积极推进大数据资源中心的升级优化建设，按照《宝安区“数字政府”建设“十四五”规划（2021—2025年）》要求，聚焦“数智赋能”的基础底座构建、“跨界融合”的数字经济跃升、“高效协同”的数字治理变革，“以人为本”的数字生活体验，提出全面构建“一区通办、一证通行、一链证信、一触可视、一库通晓、一图多融、一网统管、一端畅联”具体工作目标及打造数字政府创新发展高地的总体目标。</w:t>
      </w:r>
    </w:p>
    <w:p>
      <w:pPr>
        <w:ind w:firstLine="420" w:firstLineChars="200"/>
        <w:rPr>
          <w:rFonts w:ascii="宋体" w:hAnsi="宋体" w:cs="宋体"/>
          <w:sz w:val="24"/>
        </w:rPr>
      </w:pPr>
      <w:r>
        <w:rPr>
          <w:rFonts w:ascii="宋体" w:hAnsi="宋体" w:cs="宋体" w:hint="eastAsia"/>
          <w:sz w:val="24"/>
        </w:rPr>
        <w:t>目前宝安区已建成全区统一的大数据资源平台，将各委办局数据统一同步汇聚到平台，支撑适应跨网络、跨网闸等复杂网络环境，实现实时多源异构数据一站式汇聚，推进政府数据共享开放工作。随着汇聚融合的数据量及数据类型的海量新增以及对数据处理和应用需求的不同，为了满足未来三年的规划，满足城市发展、政务业务发展、企业及群众需求，本项目站在城市级角度，建设完善智慧宝安大数据资源平台。</w:t>
      </w:r>
    </w:p>
    <w:p>
      <w:pPr>
        <w:ind w:firstLine="420" w:firstLineChars="200"/>
        <w:rPr>
          <w:rFonts w:ascii="宋体" w:hAnsi="宋体" w:cs="宋体"/>
          <w:sz w:val="24"/>
        </w:rPr>
      </w:pPr>
      <w:r>
        <w:rPr>
          <w:rFonts w:ascii="宋体" w:hAnsi="宋体" w:cs="宋体" w:hint="eastAsia"/>
          <w:sz w:val="24"/>
        </w:rPr>
        <w:t>（2）项目目标</w:t>
      </w:r>
    </w:p>
    <w:p>
      <w:pPr>
        <w:ind w:firstLine="420" w:firstLineChars="200"/>
        <w:rPr>
          <w:rFonts w:ascii="宋体" w:hAnsi="宋体" w:cs="宋体"/>
          <w:sz w:val="24"/>
        </w:rPr>
      </w:pPr>
      <w:r>
        <w:rPr>
          <w:rFonts w:ascii="宋体" w:hAnsi="宋体" w:cs="宋体" w:hint="eastAsia"/>
          <w:sz w:val="24"/>
        </w:rPr>
        <w:t>根据《宝安区“数字政府”建设“十四五”规划》《宝安数字未来城建设总体规划（2021-2025年）》等文件要求及相关工作部署，为完善宝安区数据治理体系，全面汇聚宝安区新型智慧城市建设所必需的数据资源，盘活区域数据资源，完善平台大数据底座能力，持续数据资源沉淀共享，建立持续运营管理支撑体系，全面构建大数据体系，充分发挥大数据在提升政府履职能力、支撑数字政府建设中的重要作用。</w:t>
      </w:r>
    </w:p>
    <w:p>
      <w:pPr>
        <w:numPr>
          <w:ilvl w:val="0"/>
          <w:numId w:val="8"/>
        </w:numPr>
        <w:ind w:firstLine="420" w:firstLineChars="200"/>
        <w:rPr>
          <w:rFonts w:ascii="宋体" w:hAnsi="宋体" w:cs="宋体"/>
          <w:sz w:val="24"/>
        </w:rPr>
      </w:pPr>
      <w:r>
        <w:rPr>
          <w:rFonts w:ascii="宋体" w:hAnsi="宋体" w:cs="宋体" w:hint="eastAsia"/>
          <w:sz w:val="24"/>
        </w:rPr>
        <w:t>优化数据资源管理，实现各部门政务数据“一本账”展示，新增数据一本账管理系统。</w:t>
      </w:r>
    </w:p>
    <w:p>
      <w:pPr>
        <w:numPr>
          <w:ilvl w:val="0"/>
          <w:numId w:val="8"/>
        </w:numPr>
        <w:ind w:firstLine="420" w:firstLineChars="200"/>
        <w:rPr>
          <w:rFonts w:ascii="宋体" w:hAnsi="宋体" w:cs="宋体"/>
          <w:sz w:val="24"/>
        </w:rPr>
      </w:pPr>
      <w:r>
        <w:rPr>
          <w:rFonts w:ascii="宋体" w:hAnsi="宋体" w:cs="宋体" w:hint="eastAsia"/>
          <w:sz w:val="24"/>
        </w:rPr>
        <w:t>推进数据协同共享，促进数据安全有序开放，结合数据一本账管理系统建设，通过数据支撑实施等推进数据协同共享。</w:t>
      </w:r>
    </w:p>
    <w:p>
      <w:pPr>
        <w:numPr>
          <w:ilvl w:val="0"/>
          <w:numId w:val="8"/>
        </w:numPr>
        <w:ind w:firstLine="420" w:firstLineChars="200"/>
        <w:rPr>
          <w:rFonts w:ascii="宋体" w:hAnsi="宋体" w:cs="宋体"/>
          <w:sz w:val="24"/>
        </w:rPr>
      </w:pPr>
      <w:r>
        <w:rPr>
          <w:rFonts w:ascii="宋体" w:hAnsi="宋体" w:cs="宋体" w:hint="eastAsia"/>
          <w:sz w:val="24"/>
        </w:rPr>
        <w:t>提升数据防护能力，强化数据应用中的安全防护手段，新增数据水印管理和数据库加密安全中间件。</w:t>
      </w:r>
    </w:p>
    <w:p>
      <w:pPr>
        <w:ind w:firstLine="420" w:firstLineChars="200"/>
        <w:rPr>
          <w:rFonts w:ascii="宋体" w:hAnsi="宋体" w:cs="宋体"/>
          <w:sz w:val="24"/>
        </w:rPr>
      </w:pPr>
      <w:r>
        <w:rPr>
          <w:rFonts w:ascii="宋体" w:hAnsi="宋体" w:cs="宋体" w:hint="eastAsia"/>
          <w:sz w:val="24"/>
        </w:rPr>
        <w:t>（3）项目主要服务内容</w:t>
      </w:r>
    </w:p>
    <w:p>
      <w:pPr>
        <w:ind w:firstLine="420" w:firstLineChars="200"/>
        <w:rPr>
          <w:rFonts w:ascii="宋体" w:hAnsi="宋体" w:cs="宋体"/>
          <w:b/>
          <w:bCs/>
          <w:sz w:val="24"/>
        </w:rPr>
      </w:pPr>
      <w:r>
        <w:rPr>
          <w:rFonts w:ascii="宋体" w:hAnsi="宋体" w:cs="宋体" w:hint="eastAsia"/>
          <w:sz w:val="24"/>
        </w:rPr>
        <w:t>深圳市宝安区信息中心智慧宝安大数据资源平台完善工程项目</w:t>
      </w:r>
      <w:r>
        <w:rPr>
          <w:rFonts w:ascii="宋体" w:hAnsi="宋体" w:cs="宋体"/>
          <w:sz w:val="24"/>
        </w:rPr>
        <w:t>B</w:t>
      </w:r>
      <w:r>
        <w:rPr>
          <w:rFonts w:ascii="宋体" w:hAnsi="宋体" w:cs="宋体" w:hint="eastAsia"/>
          <w:sz w:val="24"/>
        </w:rPr>
        <w:t>包是为宝安区大数据资源平台提供优化升级建设和服务实施支撑，主要采购一本账数据系统建设、数据安全管理升级和数据实施支撑服务，主要内容包括数据一本账管理系统、数据安全管理升级等系统软件建设服务，数据支撑实施、数据服务支撑等数据实施支撑服务。</w:t>
      </w:r>
    </w:p>
    <w:p>
      <w:pPr>
        <w:ind w:firstLine="420" w:firstLineChars="200"/>
        <w:rPr>
          <w:rFonts w:ascii="宋体" w:hAnsi="宋体" w:cs="宋体"/>
          <w:b/>
          <w:bCs/>
          <w:sz w:val="24"/>
        </w:rPr>
      </w:pPr>
      <w:r>
        <w:rPr>
          <w:rFonts w:ascii="宋体" w:hAnsi="宋体" w:cs="宋体" w:hint="eastAsia"/>
          <w:b/>
          <w:bCs/>
          <w:sz w:val="24"/>
        </w:rPr>
        <w:t>1.系统软件建设</w:t>
      </w:r>
    </w:p>
    <w:p>
      <w:pPr>
        <w:numPr>
          <w:ilvl w:val="0"/>
          <w:numId w:val="9"/>
        </w:numPr>
        <w:ind w:firstLine="420" w:firstLineChars="200"/>
        <w:rPr>
          <w:rFonts w:ascii="宋体" w:hAnsi="宋体" w:cs="宋体"/>
          <w:sz w:val="24"/>
        </w:rPr>
      </w:pPr>
      <w:r>
        <w:rPr>
          <w:rFonts w:ascii="宋体" w:hAnsi="宋体" w:cs="宋体" w:hint="eastAsia"/>
          <w:sz w:val="24"/>
        </w:rPr>
        <w:t>数据一本账管理系统：通过对全区27个政府部门机构编制三定</w:t>
      </w:r>
      <w:r>
        <w:rPr>
          <w:rFonts w:ascii="宋体" w:hAnsi="宋体" w:cs="宋体" w:hint="eastAsia"/>
          <w:sz w:val="24"/>
        </w:rPr>
        <w:t>职能</w:t>
      </w:r>
      <w:r>
        <w:rPr>
          <w:rFonts w:ascii="宋体" w:hAnsi="宋体" w:cs="宋体" w:hint="eastAsia"/>
          <w:sz w:val="24"/>
        </w:rPr>
        <w:t>和履职业务事项推导机构“职责数据一本账”，通过对全区27个政府部门数据现状进行汇聚形成“现实数据一本账”，基于多跨业务场景解构“场景数据一本账”，共同组成数据一本账管理系统，包含一本账数据首页、一本账数据台账、一本账台账管理、一本账资源目录管理和一本账数据服务管理以及政务数据资产价值管理组成的一本账数据应用等。</w:t>
      </w:r>
    </w:p>
    <w:p>
      <w:pPr>
        <w:numPr>
          <w:ilvl w:val="0"/>
          <w:numId w:val="9"/>
        </w:numPr>
        <w:ind w:firstLine="420" w:firstLineChars="200"/>
        <w:rPr>
          <w:rFonts w:ascii="宋体" w:hAnsi="宋体" w:cs="宋体"/>
          <w:sz w:val="24"/>
        </w:rPr>
      </w:pPr>
      <w:r>
        <w:rPr>
          <w:rFonts w:ascii="宋体" w:hAnsi="宋体" w:cs="宋体" w:hint="eastAsia"/>
          <w:sz w:val="24"/>
        </w:rPr>
        <w:t>数据安全管理升级：完善数据安全体系，包括数据水印管理（软件买断1套）、数据库加密安全中间件。</w:t>
      </w:r>
    </w:p>
    <w:p>
      <w:pPr>
        <w:ind w:firstLine="420" w:firstLineChars="200"/>
        <w:rPr>
          <w:rFonts w:ascii="宋体" w:hAnsi="宋体" w:cs="宋体"/>
          <w:b/>
          <w:bCs/>
          <w:sz w:val="24"/>
        </w:rPr>
      </w:pPr>
      <w:r>
        <w:rPr>
          <w:rFonts w:ascii="宋体" w:hAnsi="宋体" w:cs="宋体" w:hint="eastAsia"/>
          <w:b/>
          <w:bCs/>
          <w:sz w:val="24"/>
        </w:rPr>
        <w:t>2.数据实施支撑</w:t>
      </w:r>
    </w:p>
    <w:p>
      <w:pPr>
        <w:numPr>
          <w:ilvl w:val="0"/>
          <w:numId w:val="10"/>
        </w:numPr>
        <w:ind w:firstLine="420" w:firstLineChars="200"/>
        <w:rPr>
          <w:rFonts w:ascii="宋体" w:hAnsi="宋体" w:cs="宋体"/>
          <w:sz w:val="24"/>
        </w:rPr>
      </w:pPr>
      <w:r>
        <w:rPr>
          <w:rFonts w:ascii="宋体" w:hAnsi="宋体" w:cs="宋体" w:hint="eastAsia"/>
          <w:sz w:val="24"/>
        </w:rPr>
        <w:t>数据支撑实施：包括数据集成任务实施、数据开发及表切换服务、服务接口迁移服务、数据水印实施服务。</w:t>
      </w:r>
    </w:p>
    <w:p>
      <w:pPr>
        <w:numPr>
          <w:ilvl w:val="0"/>
          <w:numId w:val="10"/>
        </w:numPr>
        <w:ind w:firstLine="420" w:firstLineChars="200"/>
        <w:rPr>
          <w:rFonts w:ascii="宋体" w:hAnsi="宋体" w:cs="宋体"/>
          <w:sz w:val="24"/>
        </w:rPr>
      </w:pPr>
      <w:r>
        <w:rPr>
          <w:rFonts w:ascii="宋体" w:hAnsi="宋体" w:cs="宋体" w:hint="eastAsia"/>
          <w:sz w:val="24"/>
        </w:rPr>
        <w:t>数据服务支撑：包括职责数据一本账服务支撑、现实数据一本账服务支撑、一数一源一标准服务支撑、块数据资产价值管理服务。</w:t>
      </w:r>
    </w:p>
    <w:p>
      <w:pPr>
        <w:ind w:firstLine="420" w:firstLineChars="200"/>
        <w:jc w:val="left"/>
        <w:rPr>
          <w:rFonts w:ascii="宋体" w:hAnsi="宋体" w:cs="宋体"/>
          <w:b/>
          <w:bCs/>
          <w:sz w:val="24"/>
        </w:rPr>
      </w:pPr>
      <w:r>
        <w:rPr>
          <w:rFonts w:ascii="宋体" w:hAnsi="宋体" w:cs="宋体" w:hint="eastAsia"/>
          <w:b/>
          <w:bCs/>
          <w:sz w:val="24"/>
        </w:rPr>
        <w:t>（二）服务内容、工作质量要求</w:t>
      </w:r>
    </w:p>
    <w:p>
      <w:pPr>
        <w:ind w:firstLine="420" w:firstLineChars="200"/>
        <w:rPr>
          <w:rFonts w:ascii="宋体" w:hAnsi="宋体" w:cs="宋体"/>
          <w:b/>
          <w:bCs/>
          <w:sz w:val="24"/>
        </w:rPr>
      </w:pPr>
      <w:r>
        <w:rPr>
          <w:rFonts w:ascii="宋体" w:hAnsi="宋体" w:cs="宋体" w:hint="eastAsia"/>
          <w:b/>
          <w:bCs/>
          <w:sz w:val="24"/>
        </w:rPr>
        <w:t>（1）服务内容</w:t>
      </w:r>
    </w:p>
    <w:p>
      <w:pPr>
        <w:ind w:firstLine="420" w:firstLineChars="200"/>
        <w:rPr>
          <w:rFonts w:ascii="宋体" w:hAnsi="宋体" w:cs="宋体"/>
          <w:sz w:val="24"/>
        </w:rPr>
      </w:pPr>
      <w:r>
        <w:rPr>
          <w:rFonts w:ascii="宋体" w:hAnsi="宋体" w:cs="宋体" w:hint="eastAsia"/>
          <w:sz w:val="24"/>
        </w:rPr>
        <w:t>本项目围绕宝安区现有大数据资源平台进行升级建设，包括数据一本账管理系统和数据安全管理升级建设，同时开展数据支撑实施和数据服务支撑的数据实施支撑服务。</w:t>
      </w:r>
    </w:p>
    <w:p>
      <w:pPr>
        <w:widowControl/>
        <w:numPr>
          <w:ilvl w:val="0"/>
          <w:numId w:val="11"/>
        </w:numPr>
        <w:ind w:left="0" w:firstLine="420" w:firstLineChars="200"/>
        <w:rPr>
          <w:rFonts w:ascii="宋体" w:hAnsi="宋体" w:cs="宋体"/>
          <w:sz w:val="24"/>
        </w:rPr>
      </w:pPr>
      <w:r>
        <w:rPr>
          <w:rFonts w:ascii="宋体" w:hAnsi="宋体" w:cs="宋体" w:hint="eastAsia"/>
          <w:sz w:val="24"/>
        </w:rPr>
        <w:t>数据一本账管理系统建设内容</w:t>
      </w:r>
    </w:p>
    <w:p>
      <w:pPr>
        <w:ind w:firstLine="420" w:firstLineChars="200"/>
        <w:rPr>
          <w:rFonts w:ascii="宋体" w:hAnsi="宋体" w:cs="宋体"/>
          <w:sz w:val="24"/>
        </w:rPr>
      </w:pPr>
      <w:r>
        <w:rPr>
          <w:rFonts w:ascii="宋体" w:hAnsi="宋体" w:cs="宋体" w:hint="eastAsia"/>
          <w:sz w:val="24"/>
        </w:rPr>
        <w:t>通过对全区27个政府部门机构编制三定职能和履职业务事项推导机构“职责数据一本账”，通过对全区27个政府部门数据现状进行汇聚形成“现实数据一本账”，基于多跨业务场景解构“场景数据一本账”，共同组成数据一本账管理系统，包含一本账数据首页、一本账数据台账、一本账台账管理、一本账资源目录管理和一本账数据服务管理以及政务数据资产价值管理组成的一本账数据应用等。</w:t>
      </w:r>
    </w:p>
    <w:p>
      <w:pPr>
        <w:widowControl/>
        <w:numPr>
          <w:ilvl w:val="0"/>
          <w:numId w:val="11"/>
        </w:numPr>
        <w:ind w:left="0" w:firstLine="420" w:firstLineChars="200"/>
        <w:rPr>
          <w:rFonts w:ascii="宋体" w:hAnsi="宋体" w:cs="宋体"/>
          <w:sz w:val="24"/>
        </w:rPr>
      </w:pPr>
      <w:r>
        <w:rPr>
          <w:rFonts w:ascii="宋体" w:hAnsi="宋体" w:cs="宋体" w:hint="eastAsia"/>
          <w:sz w:val="24"/>
        </w:rPr>
        <w:t>数据安全管理升级建设内容</w:t>
      </w:r>
    </w:p>
    <w:p>
      <w:pPr>
        <w:ind w:firstLine="420" w:firstLineChars="200"/>
        <w:rPr>
          <w:rFonts w:ascii="宋体" w:hAnsi="宋体" w:cs="宋体"/>
          <w:sz w:val="24"/>
        </w:rPr>
      </w:pPr>
      <w:r>
        <w:rPr>
          <w:rFonts w:ascii="宋体" w:hAnsi="宋体" w:cs="宋体" w:hint="eastAsia"/>
          <w:sz w:val="24"/>
        </w:rPr>
        <w:t>完善数据安全体系，包括数据水印管理（软件买断1套）、数据库加密安全中间件。</w:t>
      </w:r>
    </w:p>
    <w:p>
      <w:pPr>
        <w:widowControl/>
        <w:numPr>
          <w:ilvl w:val="0"/>
          <w:numId w:val="11"/>
        </w:numPr>
        <w:ind w:left="0" w:firstLine="420" w:firstLineChars="200"/>
        <w:rPr>
          <w:rFonts w:ascii="宋体" w:hAnsi="宋体" w:cs="宋体"/>
          <w:sz w:val="24"/>
        </w:rPr>
      </w:pPr>
      <w:r>
        <w:rPr>
          <w:rFonts w:ascii="宋体" w:hAnsi="宋体" w:cs="宋体" w:hint="eastAsia"/>
          <w:sz w:val="24"/>
        </w:rPr>
        <w:t>数据支撑实施建设内容</w:t>
      </w:r>
    </w:p>
    <w:p>
      <w:pPr>
        <w:ind w:firstLine="420" w:firstLineChars="200"/>
        <w:rPr>
          <w:rFonts w:ascii="宋体" w:hAnsi="宋体" w:cs="宋体"/>
          <w:sz w:val="24"/>
        </w:rPr>
      </w:pPr>
      <w:r>
        <w:rPr>
          <w:rFonts w:ascii="宋体" w:hAnsi="宋体" w:cs="宋体" w:hint="eastAsia"/>
          <w:sz w:val="24"/>
        </w:rPr>
        <w:t>包括数据集成任务实施、数据开发及表切换服务、服务接口迁移服务、数据水印实施服务。</w:t>
      </w:r>
    </w:p>
    <w:p>
      <w:pPr>
        <w:widowControl/>
        <w:numPr>
          <w:ilvl w:val="0"/>
          <w:numId w:val="11"/>
        </w:numPr>
        <w:ind w:left="0" w:firstLine="420" w:firstLineChars="200"/>
        <w:rPr>
          <w:rFonts w:ascii="宋体" w:hAnsi="宋体" w:cs="宋体"/>
          <w:sz w:val="24"/>
        </w:rPr>
      </w:pPr>
      <w:r>
        <w:rPr>
          <w:rFonts w:ascii="宋体" w:hAnsi="宋体" w:cs="宋体" w:hint="eastAsia"/>
          <w:sz w:val="24"/>
        </w:rPr>
        <w:t>数据服务支撑建设内容</w:t>
      </w:r>
    </w:p>
    <w:p>
      <w:pPr>
        <w:ind w:firstLine="420" w:firstLineChars="200"/>
        <w:rPr>
          <w:rFonts w:ascii="宋体" w:hAnsi="宋体" w:cs="宋体"/>
          <w:sz w:val="24"/>
        </w:rPr>
      </w:pPr>
      <w:r>
        <w:rPr>
          <w:rFonts w:ascii="宋体" w:hAnsi="宋体" w:cs="宋体" w:hint="eastAsia"/>
          <w:sz w:val="24"/>
        </w:rPr>
        <w:t>包括职责数据一本账服务支撑、现实数据一本账服务支撑、一数一源一标准服务支撑、块数据资产管理试点服务。</w:t>
      </w:r>
    </w:p>
    <w:p>
      <w:pPr>
        <w:ind w:left="-2" w:firstLine="420" w:leftChars="-1" w:firstLineChars="200"/>
        <w:jc w:val="left"/>
        <w:rPr>
          <w:rFonts w:ascii="宋体" w:hAnsi="宋体" w:cs="宋体"/>
          <w:b/>
          <w:bCs/>
          <w:sz w:val="24"/>
        </w:rPr>
      </w:pPr>
      <w:r>
        <w:rPr>
          <w:rFonts w:ascii="宋体" w:hAnsi="宋体" w:cs="宋体" w:hint="eastAsia"/>
          <w:b/>
          <w:bCs/>
          <w:sz w:val="24"/>
        </w:rPr>
        <w:t>具体需求清单</w:t>
      </w:r>
    </w:p>
    <w:p>
      <w:pPr>
        <w:rPr>
          <w:rFonts w:ascii="宋体" w:hAnsi="宋体" w:cs="宋体"/>
          <w:sz w:val="24"/>
        </w:rPr>
      </w:pPr>
      <w:r>
        <w:rPr>
          <w:rFonts w:ascii="宋体" w:hAnsi="宋体" w:cs="宋体" w:hint="eastAsia"/>
          <w:sz w:val="24"/>
        </w:rPr>
        <w:tab/>
      </w:r>
      <w:r>
        <w:rPr>
          <w:rFonts w:ascii="宋体" w:hAnsi="宋体" w:cs="宋体" w:hint="eastAsia"/>
          <w:b/>
          <w:bCs/>
          <w:sz w:val="24"/>
        </w:rPr>
        <w:t>（1）项目软件建设功能点清单表</w:t>
      </w:r>
    </w:p>
    <w:p>
      <w:pPr>
        <w:widowControl/>
        <w:numPr>
          <w:ilvl w:val="0"/>
          <w:numId w:val="12"/>
        </w:numPr>
        <w:jc w:val="left"/>
        <w:rPr>
          <w:rFonts w:ascii="宋体" w:hAnsi="宋体" w:cs="宋体"/>
          <w:sz w:val="24"/>
        </w:rPr>
      </w:pPr>
      <w:r>
        <w:rPr>
          <w:rFonts w:ascii="宋体" w:hAnsi="宋体" w:cs="宋体" w:hint="eastAsia"/>
          <w:sz w:val="24"/>
        </w:rPr>
        <w:t>数据一本账管理系统功能点清单表</w:t>
      </w:r>
    </w:p>
    <w:tbl>
      <w:tblPr>
        <w:tblStyle w:val="TableNormal"/>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55"/>
        <w:gridCol w:w="1701"/>
        <w:gridCol w:w="5528"/>
      </w:tblGrid>
      <w:tr>
        <w:tblPrEx>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555" w:type="dxa"/>
            <w:vMerge w:val="restar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一本账数据首页</w:t>
            </w: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一本账资源目录总览</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一本账资源目录总览支撑全区数据目录全局展示、列表展示和详情展示。用户可按照重要条件查询，包括共享开发的，也包含非共享开放的。同时，支持选择一本账数据的共享、开放属性，由各政府部门审核、确认。</w:t>
            </w:r>
          </w:p>
        </w:tc>
      </w:tr>
      <w:tr>
        <w:tblPrEx>
          <w:tblW w:w="8784" w:type="dxa"/>
          <w:tblInd w:w="0" w:type="dxa"/>
          <w:tblCellMar>
            <w:top w:w="0" w:type="dxa"/>
            <w:left w:w="108" w:type="dxa"/>
            <w:bottom w:w="0" w:type="dxa"/>
            <w:right w:w="108" w:type="dxa"/>
          </w:tblCellMar>
        </w:tblPrEx>
        <w:tc>
          <w:tcPr>
            <w:tcW w:w="1555" w:type="dxa"/>
            <w:vMerge/>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职责数据一本账总览</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职责数据一本账总览展示全区不同单位下的资源具备情况，主要包含根据各机构编制“三定”职能和履职业务事项推导出的职责数据资源目录，形成“职能—事项—目录—数据”四维一体的关联关系，展示具备情况、系统关联情况、事项关联情况、目录关联情况、信息更新情况。</w:t>
            </w:r>
          </w:p>
        </w:tc>
      </w:tr>
      <w:tr>
        <w:tblPrEx>
          <w:tblW w:w="8784" w:type="dxa"/>
          <w:tblInd w:w="0" w:type="dxa"/>
          <w:tblCellMar>
            <w:top w:w="0" w:type="dxa"/>
            <w:left w:w="108" w:type="dxa"/>
            <w:bottom w:w="0" w:type="dxa"/>
            <w:right w:w="108" w:type="dxa"/>
          </w:tblCellMar>
        </w:tblPrEx>
        <w:tc>
          <w:tcPr>
            <w:tcW w:w="1555" w:type="dxa"/>
            <w:vMerge/>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现实数据一本账总览</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现实数据一本账总览展示不同角色用户下的资源情况，包含业务系统、数据集、数据项、数据字典、数据指标、数据标签、数据服务、知识库一本账等8本子账的总体情况的展示，如总量、新增情况、变更情况和核销停用情况等，并按照排名展示每类子账的新增、变更和调用等信息，以及该用户下的新增、变更等。</w:t>
            </w:r>
          </w:p>
        </w:tc>
      </w:tr>
      <w:tr>
        <w:tblPrEx>
          <w:tblW w:w="8784" w:type="dxa"/>
          <w:tblInd w:w="0" w:type="dxa"/>
          <w:tblCellMar>
            <w:top w:w="0" w:type="dxa"/>
            <w:left w:w="108" w:type="dxa"/>
            <w:bottom w:w="0" w:type="dxa"/>
            <w:right w:w="108" w:type="dxa"/>
          </w:tblCellMar>
        </w:tblPrEx>
        <w:tc>
          <w:tcPr>
            <w:tcW w:w="1555" w:type="dxa"/>
            <w:vMerge/>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场景数据一本账总览</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场景数据一本账总览展示多跨业务应用场景下“一数一源一标准”的构成情况，通过目录、台账、流程和数据具象化展示数据场景。</w:t>
            </w:r>
          </w:p>
        </w:tc>
      </w:tr>
      <w:tr>
        <w:tblPrEx>
          <w:tblW w:w="8784" w:type="dxa"/>
          <w:tblInd w:w="0" w:type="dxa"/>
          <w:tblCellMar>
            <w:top w:w="0" w:type="dxa"/>
            <w:left w:w="108" w:type="dxa"/>
            <w:bottom w:w="0" w:type="dxa"/>
            <w:right w:w="108" w:type="dxa"/>
          </w:tblCellMar>
        </w:tblPrEx>
        <w:tc>
          <w:tcPr>
            <w:tcW w:w="1555" w:type="dxa"/>
            <w:vMerge/>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一本账数据共享总览</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根据《宝安区政务数据共享专项工作考核评价指标》对数据共享的要求，按照周期（日、月、季、年）、部门、接口管理类型代码等多个维度统计分析数据共享接口的应用成效。根据要求，新订阅接口按要求在90天内反馈应用成效。应用成效主要信息包括接口的名称、申请部门数、申请用户数、申请次数（日、月、季、年）、调用数量（日、月、季、年）、调用成功数量（日、月、季、年）、调用失败数量（日、月、季、年）等应用情况。</w:t>
            </w:r>
          </w:p>
        </w:tc>
      </w:tr>
      <w:tr>
        <w:tblPrEx>
          <w:tblW w:w="8784" w:type="dxa"/>
          <w:tblInd w:w="0" w:type="dxa"/>
          <w:tblCellMar>
            <w:top w:w="0" w:type="dxa"/>
            <w:left w:w="108" w:type="dxa"/>
            <w:bottom w:w="0" w:type="dxa"/>
            <w:right w:w="108" w:type="dxa"/>
          </w:tblCellMar>
        </w:tblPrEx>
        <w:tc>
          <w:tcPr>
            <w:tcW w:w="1555" w:type="dxa"/>
            <w:vMerge/>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一本账数据开放总览</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根据《宝安区政务数据共享专项工作考核评价指标》对数据开放的要求，按照周期（日、月、季、年）、部门等维度统计分析数据开放情况。数据开放统计信息包含数据开放目录总量、年度新增开放目录数量、元数据完整数量、按频率更新数量、数据量&lt;5条目录数量、7个工作日内未响应需求数量等。通过对数据开放信息进行统计分析，为宝安区有效管理数据开放提供抓手，有助于提高数据开放质量、促进数据开放广度、优化数据开放服务、推动数据开放政策落实和增强政府与公众的互动等方面具有重要价值。</w:t>
            </w:r>
          </w:p>
        </w:tc>
      </w:tr>
      <w:tr>
        <w:tblPrEx>
          <w:tblW w:w="8784" w:type="dxa"/>
          <w:tblInd w:w="0" w:type="dxa"/>
          <w:tblCellMar>
            <w:top w:w="0" w:type="dxa"/>
            <w:left w:w="108" w:type="dxa"/>
            <w:bottom w:w="0" w:type="dxa"/>
            <w:right w:w="108" w:type="dxa"/>
          </w:tblCellMar>
        </w:tblPrEx>
        <w:tc>
          <w:tcPr>
            <w:tcW w:w="1555" w:type="dxa"/>
            <w:vMerge w:val="restart"/>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一本账数据应用（数据资产价值管理）</w:t>
            </w: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bookmarkStart w:id="32" w:name="OLE_LINK1"/>
            <w:r>
              <w:rPr>
                <w:rFonts w:ascii="宋体" w:hAnsi="宋体" w:cs="宋体" w:hint="eastAsia"/>
                <w:sz w:val="24"/>
              </w:rPr>
              <w:t>数据资产</w:t>
            </w:r>
            <w:bookmarkEnd w:id="32"/>
            <w:r>
              <w:rPr>
                <w:rFonts w:ascii="宋体" w:hAnsi="宋体" w:cs="宋体" w:hint="eastAsia"/>
                <w:sz w:val="24"/>
              </w:rPr>
              <w:t>规划</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通过结合业务场景和数据资产的定义，识别符合条件的数据资源，并将其转化为数据资产。主要包含数据资产规划、查看数据资产、数据资产目录列表、数据资产卡片创建和卡片基础信息编辑功能。</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数据资产入账管理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作为数据资产管理中的关键环节，保障数据资产在财务账目中的合法性和合规性。主要包含入账资产认定、入账认定记录、入账记账和记账信息编辑功能。</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tcPr>
          <w:p>
            <w:pP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资产台账管理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针对符合入账条件的数据资产，支持创建财务资产台账，帮助用户更全面地记录和管理资产的财务状况，确保资产在长期管理中的规范性与透明度。通过台账定期更新资产的净值信息，反映资产在使用过程中的价值变化，便于用户准确掌握资产的实际财务状况。主要包含资产台账创建、资产台账摊销、资产台账减值和资产台账处理功能。</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tcPr>
          <w:p>
            <w:pP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资产价值管理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通过重新评估和计算数据资产的历史发生成本，生成基于成本法的市场价值评估，帮助用户了解数据资产的市场价值。主要包含成本法评估计算功能。</w:t>
            </w:r>
          </w:p>
        </w:tc>
      </w:tr>
      <w:tr>
        <w:tblPrEx>
          <w:tblW w:w="8784" w:type="dxa"/>
          <w:tblInd w:w="0" w:type="dxa"/>
          <w:tblCellMar>
            <w:top w:w="0" w:type="dxa"/>
            <w:left w:w="108" w:type="dxa"/>
            <w:bottom w:w="0" w:type="dxa"/>
            <w:right w:w="108" w:type="dxa"/>
          </w:tblCellMar>
        </w:tblPrEx>
        <w:tc>
          <w:tcPr>
            <w:tcW w:w="1555" w:type="dxa"/>
            <w:vMerge w:val="restart"/>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一本账数据台账</w:t>
            </w: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职责数据一本账管理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职责数据一本账管理是对一本账数据台账、一本账推导和推导目录的管理维护，不断提高和校正一本账推导的准确性和精细化。</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现实数据一本账管理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现实数据一本账是基于各机构现有数据资源和履职过程中产生、处理的数据汇聚形成的数据台账，包含有业务系统一本账、数据表一本账、数据项一本账、数据码值一本账、数据接口一本账、数据指标一本账、数据标签一本账和知识库一本账共8本子账。</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场景数据一本账管理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场景数据一本账”是基于多跨业务应用场景的数据协同，解构形成的一本数据台账，描述场景下的数据“一数一源”以及沉淀的标准数据供给链路，同时关联现数据一本账的数源和职责数据一本账的机构和职责。</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一本账评估核验管理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一本账评估核验管理主要是利用职责数据一本账评估现实数据建设情况，利用现实数据一本账核验职责数据一本账完成情况，寻找差距。</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数据专员维护管理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数据专员是区数据管理部门和运营团队与区各机构之间联系的桥梁，由各机构指定专人或是运营团队指派专人负责，协助各机构数据管理部门在“数据一本账”系统中配置本机构相关信息，有权限对相关信息进行调整，有授权与各机构进行协调，能够开展账本维护、问题反馈和数据稽核等工作。</w:t>
            </w:r>
          </w:p>
        </w:tc>
      </w:tr>
      <w:tr>
        <w:tblPrEx>
          <w:tblW w:w="8784" w:type="dxa"/>
          <w:tblInd w:w="0" w:type="dxa"/>
          <w:tblCellMar>
            <w:top w:w="0" w:type="dxa"/>
            <w:left w:w="108" w:type="dxa"/>
            <w:bottom w:w="0" w:type="dxa"/>
            <w:right w:w="108" w:type="dxa"/>
          </w:tblCellMar>
        </w:tblPrEx>
        <w:tc>
          <w:tcPr>
            <w:tcW w:w="1555" w:type="dxa"/>
            <w:vMerge w:val="restart"/>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一本账资源目录管理</w:t>
            </w: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目录系统管理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目录系统管理实现对信息资源目录平台的全部操作，根据对目录平台的操作可分为资源编目、目录管理、目录服务三个管理功能。目录是用于描述政务数据资源，包括资源本身的属性、特征及其定位信息和获取方式。</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资源目录管理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资源目录管理通过系统目录和应用目录对一本账数据资源目录进行分类管理，其中系统目录包含服务目录、资源目录和职责目录，应用目录包含区共享目录、区在市共享目录、区在市开放目录、区在省共享目录。</w:t>
            </w:r>
          </w:p>
        </w:tc>
      </w:tr>
      <w:tr>
        <w:tblPrEx>
          <w:tblW w:w="8784" w:type="dxa"/>
          <w:tblInd w:w="0" w:type="dxa"/>
          <w:tblCellMar>
            <w:top w:w="0" w:type="dxa"/>
            <w:left w:w="108" w:type="dxa"/>
            <w:bottom w:w="0" w:type="dxa"/>
            <w:right w:w="108" w:type="dxa"/>
          </w:tblCellMar>
        </w:tblPrEx>
        <w:tc>
          <w:tcPr>
            <w:tcW w:w="1555" w:type="dxa"/>
            <w:vMerge w:val="restart"/>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一本账数据服务管理</w:t>
            </w: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数据服务接入管理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数据服务接入管理是针对生成数据服务的数据源的接入、技术标准的管理和服务安全的管理。</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可视化数据服务操作</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可视化数据服务操作以可视化、组件化的方式、支持拖拉拽操作，将数据转化生成标准服务。</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服务生成发布管理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服务生成发布管理是对可视化数据服务操作生成标准服务，并按照要求对生成的服务进行发布管理和维护。</w:t>
            </w:r>
          </w:p>
        </w:tc>
      </w:tr>
      <w:tr>
        <w:tblPrEx>
          <w:tblW w:w="8784" w:type="dxa"/>
          <w:tblInd w:w="0" w:type="dxa"/>
          <w:tblCellMar>
            <w:top w:w="0" w:type="dxa"/>
            <w:left w:w="108" w:type="dxa"/>
            <w:bottom w:w="0" w:type="dxa"/>
            <w:right w:w="108" w:type="dxa"/>
          </w:tblCellMar>
        </w:tblPrEx>
        <w:tc>
          <w:tcPr>
            <w:tcW w:w="1555" w:type="dxa"/>
            <w:vMerge w:val="restart"/>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一本账台账管理</w:t>
            </w: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一本账台账系统管理</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一本账台账系统管理是台账的基本管理功能，主要包含一本账录入、导入、维护、质检管理，以及统计分析和资源检索等功能。</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履职业务事项关联映射</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履职业务事项关联映射是落实国办、省、市、区要求，梳理宝安区各单位权责清单和核心业务，将履职过程中产生、采集和管理的政务数据按要求全量编目。本期项目将按照宝安区政府门户网站上公开的区政府部门和区直属事业单位开展履职业务事项梳理，具体部门清单以实施方案为准。</w:t>
            </w:r>
          </w:p>
        </w:tc>
      </w:tr>
      <w:tr>
        <w:tblPrEx>
          <w:tblW w:w="8784" w:type="dxa"/>
          <w:tblInd w:w="0" w:type="dxa"/>
          <w:tblCellMar>
            <w:top w:w="0" w:type="dxa"/>
            <w:left w:w="108" w:type="dxa"/>
            <w:bottom w:w="0" w:type="dxa"/>
            <w:right w:w="108" w:type="dxa"/>
          </w:tblCellMar>
        </w:tblPrEx>
        <w:tc>
          <w:tcPr>
            <w:tcW w:w="1555" w:type="dxa"/>
            <w:vMerge/>
            <w:tcBorders>
              <w:top w:val="nil"/>
              <w:left w:val="single" w:sz="4" w:space="0" w:color="auto"/>
              <w:bottom w:val="single" w:sz="4" w:space="0" w:color="auto"/>
              <w:right w:val="single" w:sz="4" w:space="0" w:color="auto"/>
            </w:tcBorders>
            <w:vAlign w:val="center"/>
          </w:tcPr>
          <w:p>
            <w:pPr>
              <w:jc w:val="center"/>
              <w:rPr>
                <w:rFonts w:ascii="宋体" w:hAnsi="宋体" w:cs="宋体"/>
                <w:sz w:val="24"/>
              </w:rPr>
            </w:pPr>
          </w:p>
        </w:tc>
        <w:tc>
          <w:tcPr>
            <w:tcW w:w="170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 w:val="24"/>
              </w:rPr>
            </w:pPr>
            <w:r>
              <w:rPr>
                <w:rFonts w:ascii="宋体" w:hAnsi="宋体" w:cs="宋体" w:hint="eastAsia"/>
                <w:sz w:val="24"/>
              </w:rPr>
              <w:t>机构编制三定职能关联匹配</w:t>
            </w:r>
          </w:p>
        </w:tc>
        <w:tc>
          <w:tcPr>
            <w:tcW w:w="5528" w:type="dxa"/>
            <w:tcBorders>
              <w:top w:val="single" w:sz="4" w:space="0" w:color="auto"/>
              <w:left w:val="single" w:sz="4" w:space="0" w:color="auto"/>
              <w:bottom w:val="single" w:sz="4" w:space="0" w:color="auto"/>
              <w:right w:val="single" w:sz="4" w:space="0" w:color="auto"/>
            </w:tcBorders>
          </w:tcPr>
          <w:p>
            <w:pPr>
              <w:rPr>
                <w:rFonts w:ascii="宋体" w:hAnsi="宋体" w:cs="宋体"/>
                <w:sz w:val="24"/>
              </w:rPr>
            </w:pPr>
            <w:r>
              <w:rPr>
                <w:rFonts w:ascii="宋体" w:hAnsi="宋体" w:cs="宋体" w:hint="eastAsia"/>
                <w:sz w:val="24"/>
              </w:rPr>
              <w:t>机构编制三定职能管理允许对政府单位、事业单位的三定职能，进行数字化拆解，明确三定清单与履职业务事项之间的关联关系，匹配对应数据资源目录。本期项目将按照宝安区政府门户网站上公开的区政府部门和区直属事业单位开展机构编制三定职能梳理，具体部门清单以实施方案为准。</w:t>
            </w:r>
          </w:p>
        </w:tc>
      </w:tr>
    </w:tbl>
    <w:p>
      <w:pPr>
        <w:widowControl/>
        <w:numPr>
          <w:ilvl w:val="0"/>
          <w:numId w:val="12"/>
        </w:numPr>
        <w:jc w:val="left"/>
        <w:rPr>
          <w:rFonts w:ascii="宋体" w:hAnsi="宋体" w:cs="宋体"/>
          <w:sz w:val="24"/>
        </w:rPr>
      </w:pPr>
      <w:r>
        <w:rPr>
          <w:rFonts w:ascii="宋体" w:hAnsi="宋体" w:cs="宋体" w:hint="eastAsia"/>
          <w:sz w:val="24"/>
        </w:rPr>
        <w:t>数据安全管理升级建设功能点清单表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59"/>
        <w:gridCol w:w="1528"/>
        <w:gridCol w:w="534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96" w:type="dxa"/>
            <w:vMerge w:val="restart"/>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数据安全管理升级</w:t>
            </w: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数据水印管理</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提供数据水印功能，包含制作水印、镶嵌水印和水印溯源功能。制作水印模块的服务对象为数据监管人员。数据监管人员可以进行水印算法的新增，用于后续的水印镶嵌任务。数据监管保护人员在制作好水印之后，可以在此模块进行水印镶嵌的任务创建与执行，为数据对象打上数据水印。数据监管人员可以通过筛选水印值进水印查询，追溯水印所属的部门、镶入时间、镶入对象等信息，实现数据水印溯源。</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数据库加密安全中间件</w:t>
            </w:r>
          </w:p>
        </w:tc>
        <w:tc>
          <w:tcPr>
            <w:tcW w:w="5464" w:type="dxa"/>
            <w:tcBorders>
              <w:top w:val="single" w:sz="4" w:space="0" w:color="auto"/>
              <w:left w:val="single" w:sz="4" w:space="0" w:color="auto"/>
              <w:bottom w:val="single" w:sz="4" w:space="0" w:color="auto"/>
              <w:right w:val="single" w:sz="4" w:space="0" w:color="auto"/>
            </w:tcBorders>
            <w:vAlign w:val="center"/>
          </w:tcPr>
          <w:p>
            <w:pPr>
              <w:pStyle w:val="ListParagraph"/>
              <w:widowControl/>
              <w:numPr>
                <w:ilvl w:val="0"/>
                <w:numId w:val="13"/>
              </w:numPr>
              <w:ind w:firstLineChars="0"/>
              <w:rPr>
                <w:rFonts w:ascii="宋体" w:hAnsi="宋体" w:cs="宋体"/>
                <w:sz w:val="24"/>
                <w:szCs w:val="24"/>
              </w:rPr>
            </w:pPr>
            <w:r>
              <w:rPr>
                <w:rFonts w:ascii="宋体" w:hAnsi="宋体" w:cs="宋体" w:hint="eastAsia"/>
                <w:sz w:val="24"/>
                <w:szCs w:val="24"/>
              </w:rPr>
              <w:t>提供1套数据库加密安全中间件</w:t>
            </w:r>
          </w:p>
          <w:p>
            <w:pPr>
              <w:pStyle w:val="ListParagraph"/>
              <w:widowControl/>
              <w:numPr>
                <w:ilvl w:val="0"/>
                <w:numId w:val="14"/>
              </w:numPr>
              <w:ind w:firstLine="0" w:firstLineChars="0"/>
              <w:textAlignment w:val="center"/>
              <w:rPr>
                <w:rFonts w:ascii="宋体" w:hAnsi="宋体" w:cs="宋体"/>
                <w:kern w:val="0"/>
                <w:sz w:val="24"/>
                <w:szCs w:val="24"/>
              </w:rPr>
            </w:pPr>
            <w:r>
              <w:rPr>
                <w:rFonts w:ascii="宋体" w:hAnsi="宋体" w:cs="宋体" w:hint="eastAsia"/>
                <w:kern w:val="0"/>
                <w:sz w:val="24"/>
                <w:szCs w:val="24"/>
              </w:rPr>
              <w:t>根据项目系统情况,定制开发适配的插件/JDBC/SDK与宝安信息中心数据库策略管理平台对接，完成数据库加密工作。</w:t>
            </w:r>
          </w:p>
          <w:p>
            <w:pPr>
              <w:pStyle w:val="ListParagraph"/>
              <w:widowControl/>
              <w:numPr>
                <w:ilvl w:val="255"/>
                <w:numId w:val="0"/>
              </w:numPr>
              <w:textAlignment w:val="center"/>
              <w:rPr>
                <w:rFonts w:ascii="宋体" w:hAnsi="宋体" w:cs="宋体"/>
                <w:kern w:val="0"/>
                <w:sz w:val="24"/>
                <w:szCs w:val="24"/>
              </w:rPr>
            </w:pPr>
            <w:r>
              <w:rPr>
                <w:rFonts w:ascii="宋体" w:hAnsi="宋体" w:cs="宋体" w:hint="eastAsia"/>
                <w:kern w:val="0"/>
                <w:sz w:val="24"/>
                <w:szCs w:val="24"/>
              </w:rPr>
              <w:t>2、技术服务：支持多种数据库类型，包括国产数据库和各种主流关系型数据库，如人大金仓、达梦、瀚高等各种主流关系型数据库的适配调试。</w:t>
            </w:r>
          </w:p>
          <w:p>
            <w:pPr>
              <w:pStyle w:val="ListParagraph"/>
              <w:widowControl/>
              <w:numPr>
                <w:ilvl w:val="0"/>
                <w:numId w:val="13"/>
              </w:numPr>
              <w:ind w:firstLineChars="0"/>
              <w:rPr>
                <w:rFonts w:ascii="宋体" w:hAnsi="宋体" w:cs="宋体"/>
                <w:sz w:val="24"/>
                <w:szCs w:val="24"/>
              </w:rPr>
            </w:pPr>
            <w:r>
              <w:rPr>
                <w:rFonts w:ascii="宋体" w:hAnsi="宋体" w:cs="宋体" w:hint="eastAsia"/>
                <w:sz w:val="24"/>
                <w:szCs w:val="24"/>
              </w:rPr>
              <w:t>提供2套智能密码钥匙</w:t>
            </w:r>
          </w:p>
          <w:p>
            <w:pPr>
              <w:rPr>
                <w:rFonts w:ascii="宋体" w:hAnsi="宋体" w:cs="宋体"/>
                <w:sz w:val="24"/>
              </w:rPr>
            </w:pPr>
            <w:r>
              <w:rPr>
                <w:rFonts w:ascii="宋体" w:hAnsi="宋体" w:cs="宋体" w:hint="eastAsia"/>
                <w:kern w:val="0"/>
                <w:sz w:val="24"/>
              </w:rPr>
              <w:t>基于硬件的支持SM2/SM9的智能密码钥匙。具有身份认证、加/解密、签名/验签等；配备密码设备管理员使用。</w:t>
            </w:r>
          </w:p>
        </w:tc>
      </w:tr>
    </w:tbl>
    <w:p>
      <w:pPr>
        <w:ind w:left="720"/>
        <w:rPr>
          <w:rFonts w:ascii="宋体" w:hAnsi="宋体" w:cs="宋体"/>
          <w:b/>
          <w:bCs/>
          <w:sz w:val="24"/>
        </w:rPr>
      </w:pPr>
      <w:r>
        <w:rPr>
          <w:rFonts w:ascii="宋体" w:hAnsi="宋体" w:cs="宋体" w:hint="eastAsia"/>
          <w:b/>
          <w:bCs/>
          <w:sz w:val="24"/>
        </w:rPr>
        <w:t>（2）数据实施支撑建设服务清单表</w:t>
      </w:r>
    </w:p>
    <w:p>
      <w:pPr>
        <w:widowControl/>
        <w:numPr>
          <w:ilvl w:val="0"/>
          <w:numId w:val="15"/>
        </w:numPr>
        <w:jc w:val="left"/>
        <w:rPr>
          <w:rFonts w:ascii="宋体" w:hAnsi="宋体" w:cs="宋体"/>
          <w:sz w:val="24"/>
        </w:rPr>
      </w:pPr>
      <w:r>
        <w:rPr>
          <w:rFonts w:ascii="宋体" w:hAnsi="宋体" w:cs="宋体" w:hint="eastAsia"/>
          <w:sz w:val="24"/>
        </w:rPr>
        <w:t>数据支撑实施服务清单表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58"/>
        <w:gridCol w:w="1529"/>
        <w:gridCol w:w="534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96" w:type="dxa"/>
            <w:vMerge w:val="restart"/>
            <w:tcBorders>
              <w:top w:val="single" w:sz="4" w:space="0" w:color="auto"/>
              <w:left w:val="single" w:sz="4" w:space="0" w:color="auto"/>
              <w:bottom w:val="single" w:sz="4" w:space="0" w:color="auto"/>
              <w:right w:val="single" w:sz="4" w:space="0" w:color="auto"/>
            </w:tcBorders>
            <w:vAlign w:val="center"/>
          </w:tcPr>
          <w:p>
            <w:pPr>
              <w:rPr>
                <w:rFonts w:ascii="宋体" w:hAnsi="宋体" w:cs="宋体"/>
                <w:i/>
                <w:iCs/>
                <w:sz w:val="24"/>
              </w:rPr>
            </w:pPr>
            <w:r>
              <w:rPr>
                <w:rFonts w:ascii="宋体" w:hAnsi="宋体" w:cs="宋体" w:hint="eastAsia"/>
                <w:sz w:val="24"/>
              </w:rPr>
              <w:t>数据集成任务实施服务</w:t>
            </w: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数据集成任务梳理</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对当前宝安区的HDS上集成任务进行梳理，分析各集成任务升级改造方案的可行性，梳理出可依托工具化自动升级的集成任务和需人工开展升级的集成任务，并按照梳理情况分析升级改造工作的前期准备。</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数据集成任务批量升级工具开发</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开发可根据平台的集成任务配置信息调用接口批量生成集成任务的工具，在平台上完成配置后按照升级优化逻辑后的集成任务自动生成流程，并支持集成任务的正常流程。</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集成任务调度配置</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按照原有集成任务的调度任务信息，配置新集成系统中任务调度工作，包括数据集成任务流程、数据任务调度周期等。</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集成任务升级改造实施</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根据集成任务的升级改造思路设计，结合宝安区相关的技术标准规范，开展集成任务升级改造工作，实现源到归集库、归集库到数仓贴源层、数仓到应用库、数仓到共享库的升级改造实施。</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任务升级改造验证</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对完成升级改造后的任务进行验证测试，主要包含数据准确性验证、数据完整性验证、运行稳定性测试、性能测试、安全性测试等。</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归集库成果接口开发</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满足区数据管理部门以及全区各部门能够了解全区数据归集工作成果情况的需求，明晰归集库中数据源端目录及表结构情况。梳理归集库的建设成果，形成数据服务接口，发布至数据服务网关和数据服务门户，包括归集库目录、表模型、归集资源统计等接口开发及管理。</w:t>
            </w:r>
          </w:p>
        </w:tc>
      </w:tr>
      <w:tr>
        <w:tblPrEx>
          <w:tblW w:w="0" w:type="auto"/>
          <w:tblInd w:w="0" w:type="dxa"/>
          <w:tblCellMar>
            <w:top w:w="0" w:type="dxa"/>
            <w:left w:w="108" w:type="dxa"/>
            <w:bottom w:w="0" w:type="dxa"/>
            <w:right w:w="108" w:type="dxa"/>
          </w:tblCellMar>
        </w:tblPrEx>
        <w:tc>
          <w:tcPr>
            <w:tcW w:w="1696" w:type="dxa"/>
            <w:vMerge w:val="restart"/>
            <w:tcBorders>
              <w:top w:val="nil"/>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数据开发及表切换服务</w:t>
            </w: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开发任务升级方案设计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梳理宝安区信息中心现有的ETL开发任务，明确升级目标和改造任务，结合宝安区相关的技术标准规范，分析升级改造的可行性及存在隐患，设计升级改造方案，本期内容通过对TBDS中的任务进行梳理。</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数据贴源表切换</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基础数据约2400张ODS层表数据开发实施。</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人口主题数据表升级改造</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对数仓中人口主题约500张原始表处理服务，主要包括从DWD-DWS-ADM层表数据开发任务实施、数据表新建及切换服务，对人口旧表数据进行下线处理，备份的表和旧表数据进行删除。</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法人主题数据表升级改造</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对数仓中法人主题约2500张原始表处理服务，主要包括从DWD-DWS-ADM层表数据开发任务实施、数据表新建及切换服务，对法人旧表数据进行下线处理，备份的表和旧表数据进行删除。</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房屋楼栋主题数据表升级改造</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对数仓中房屋楼栋主题约900张原始表处理服务，主要包括从DWD-DWS-ADM层表数据开发任务实施、数据表新建及切换服务，对房屋旧表数据进行下线处理，备份的表和旧表数据进行删除。</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其它主题数据表升级改造</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对数仓中其他主题约2900张原始表处理服务，主要包括从DWD-DWS-ADM层表数据开发任务实施、数据表新建及切换服务，对各主题旧表数据进行下线处理，备份的表和旧表数据进行删除。</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业务数据ETL开发任务升级改造</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对现有ODS层业务数据表、业务主题、其他主题数据迁移开发实施。</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数仓成果接口开发</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梳理数据仓库建设成果，形成数据服务接口，发布至数据服务网关和数据服务门户，包括数仓目录、历史拉链表、数据模型、数据治理成果（主题库、专题库等）等接口开发及管理。</w:t>
            </w:r>
          </w:p>
        </w:tc>
      </w:tr>
      <w:tr>
        <w:tblPrEx>
          <w:tblW w:w="0" w:type="auto"/>
          <w:tblInd w:w="0" w:type="dxa"/>
          <w:tblCellMar>
            <w:top w:w="0" w:type="dxa"/>
            <w:left w:w="108" w:type="dxa"/>
            <w:bottom w:w="0" w:type="dxa"/>
            <w:right w:w="108" w:type="dxa"/>
          </w:tblCellMar>
        </w:tblPrEx>
        <w:tc>
          <w:tcPr>
            <w:tcW w:w="1696" w:type="dxa"/>
            <w:vMerge w:val="restart"/>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服务接口迁移服务</w:t>
            </w: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接口迁移方案设计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按照数据接口迁移的实际需求，规划数据接口迁移方案，包括对数据影响分析和溯源服务、接口实施方案设计服务、目标接口规范解析服务、现有接口分析和评估服务、实施计划设计服务等</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数据接口迁移服务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根据实施方案的规划，对包括人口数据专题、法人数据专题、房屋数据专题、证照数据专题、证照数据专题、信用数据专题、政务服务专题、楼栋数据专题、民生诉求专题、城中村专题、工业园区专题、工业园区专题、精防禁毒专题、其他数据专题的接口资源实施服务。</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迁移过程管理服务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为保障数据接口迁移的顺利执行，需对数据接口迁移过程进行全过程把控，并制定接口的测试及回滚方案，主要包括接口管理规范设计、数据服务接口代码编制、适配器或中间层开发服务、单元测试和集成测试服务、接口切换监控服务、接口测试和验证服务、回滚和备份方案设计、应用库成果接口开发等，</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接口迁移运维服务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提供数据接口迁移后的运维保障服务，保障现有数据接口的稳定，并提供相应的培训工作。包括培训和技术支持服务、接口监控和优化服务等</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数据接口上架服务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主要对迁移后的数据服务接口在数据产品门户中进行上架。</w:t>
            </w:r>
          </w:p>
        </w:tc>
      </w:tr>
      <w:tr>
        <w:tblPrEx>
          <w:tblW w:w="0" w:type="auto"/>
          <w:tblInd w:w="0" w:type="dxa"/>
          <w:tblCellMar>
            <w:top w:w="0" w:type="dxa"/>
            <w:left w:w="108" w:type="dxa"/>
            <w:bottom w:w="0" w:type="dxa"/>
            <w:right w:w="108" w:type="dxa"/>
          </w:tblCellMar>
        </w:tblPrEx>
        <w:tc>
          <w:tcPr>
            <w:tcW w:w="1696" w:type="dxa"/>
            <w:vMerge w:val="restart"/>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数据水印实施服务</w:t>
            </w: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数据水印规则管理服务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按照水印管理的要求，制定水印规则，包括数据水印规则创建及数据水印规则管理等工作。</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数据水印实施服务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基于数据水印工具能力，提供数据水印镶嵌服务。将制作好的水印镶嵌至数据表中，数据表中将会被插入一列水印列。</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数据水印溯源服务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基于数据水印工具能力，提供数据水印追溯服务。利用数据水印，对水印值镶入对象进行追溯，输入相关水印值寻找镶入对象可以查找成功。</w:t>
            </w:r>
          </w:p>
        </w:tc>
      </w:tr>
    </w:tbl>
    <w:p>
      <w:pPr>
        <w:widowControl/>
        <w:numPr>
          <w:ilvl w:val="0"/>
          <w:numId w:val="15"/>
        </w:numPr>
        <w:jc w:val="left"/>
        <w:rPr>
          <w:rFonts w:ascii="宋体" w:hAnsi="宋体" w:cs="宋体"/>
          <w:sz w:val="24"/>
        </w:rPr>
      </w:pPr>
      <w:r>
        <w:rPr>
          <w:rFonts w:ascii="宋体" w:hAnsi="宋体" w:cs="宋体" w:hint="eastAsia"/>
          <w:sz w:val="24"/>
        </w:rPr>
        <w:t>数据服务支撑服务清单表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60"/>
        <w:gridCol w:w="1535"/>
        <w:gridCol w:w="533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96" w:type="dxa"/>
            <w:vMerge w:val="restart"/>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职责数据一本账服务支撑</w:t>
            </w: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职责数据一本账服务对象梳理</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单位“职责数据一本账”涉及区政府部门、区直属事业单位，按照《深圳经济特区数据条例》和《公共数据资源编目工作指南（试行）》（征求意见稿）对上述单位按照机构编制“三定”职能要求的履职业务事项过程中产生的数据资源进行梳理、编目。</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职责数据一本账信息模板制定服务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基于职责数据一本账纳管部门清单，进一步梳理各部门权责情况、业务事项信息、资源目录情况以及数据情况，结合实际制定各部门职责数据一本账模板，明确各部门职责数据一本账的对接人员，用于日常跟进和对接各部门职责数据一本账完成情况。</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职责数据一本账信息推导服务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根据职责数据一本账信息模板，对单位履职业务事项进行梳理，推导出部门负责的数据范围，并在职责数据一本账信息模板中完成相关数据，以便支撑职责数据一本账工作任务的跟进和完成情况分析。</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职责数据一本账信息业务部门核验</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根据系统职责数据一本账的梳理推导结果，各负责部门需核验和认领数据。相关部门应验证职责数据一本账中填写的信息，认领他们负责的事务和数据，确保数据的准确性。如发现错误或遗漏，应及时修正，以确保系统职责数据一本账信息的精准性，避免信息失真可能带来的额外工作，并为后续信息录入工作打下坚实基础。</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职责数据一本账信息录入服务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将采集到的核验通过的职责数据一本账信息录入数据一本账管理系统，做好信息录入核对，以便完成信息的初始化，为后续业务部门的业务系统一本账信息发布打下基础。</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职责数据一本账信息维护服务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职责数据一本账信息维护服务包括职责数据一本账信息发布审核服务、信息调整审核服务、信息更新服务和职责数据一本账运行分析服务。</w:t>
            </w:r>
          </w:p>
        </w:tc>
      </w:tr>
      <w:tr>
        <w:tblPrEx>
          <w:tblW w:w="0" w:type="auto"/>
          <w:tblInd w:w="0" w:type="dxa"/>
          <w:tblCellMar>
            <w:top w:w="0" w:type="dxa"/>
            <w:left w:w="108" w:type="dxa"/>
            <w:bottom w:w="0" w:type="dxa"/>
            <w:right w:w="108" w:type="dxa"/>
          </w:tblCellMar>
        </w:tblPrEx>
        <w:tc>
          <w:tcPr>
            <w:tcW w:w="1696" w:type="dxa"/>
            <w:vMerge w:val="restart"/>
            <w:tcBorders>
              <w:top w:val="nil"/>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现实数据一本账服务支撑</w:t>
            </w: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现实数据一本账对象梳理服务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现实数据一本账对象梳理服务主要是明确现实数据一本账的纳管部门清单，确定纳管业务范围和纳管批次。</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现实数据一本账数据资源梳理</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业务系统梳理主要包含业务系统梳理、库表目录梳理、业务数据表梳理3个步骤。</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业务系统一本账支撑服务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全面梳理宝安区业务系统一本账，建立业务系统一本账信息规范，对业务系统一本账进行有效收集和管理，为现实数据一本账的梳理提供依据，支撑后续的数据资源编目、区大数据平台数据采集、数据共享开放以及开发利用工作。本次约定的服务范围为不低于180个系统（除有明确法律条文依据不接入且与我单位正式说明外）均需填报其业务系统一本账信息。</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数据表一本账支撑服务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全面梳理宝安区数据表一本账，建立数据表一本账信息规范，对数据表一本账进行有效收集和管理，以便支撑数据资源编目、区大数据平台数据采集和后续的数据共享开放以及开发利用工作。本次约定的服务范围为不低于180个系统的相关数据表（除有明确法律条文依据不接入且与我单位正式说明外）均需收集、管理其数据一本账信息。</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数据项一本账支撑服务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全面梳理宝安区数据项一本账，建立数据项一本账信息规范，对数据项一本账进行有效收集和管理，以便支撑数据资源编目、区大数据平台数据采集和后续的数据共享开放以及开发利用工作。本次约定的服务范围为不低于180个系统的相关数据项（除有明确法律条文依据不接入且与我单位正式说明外）均需收集、管理其数据项一本账信息。</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数据码值一本账支撑服务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全面梳理宝安区数据码值一本账，建立数据码值一本账信息规范，对数据码值一本账进行有效收集和管理，以便支撑数据资源编目、区大数据平台数据采集和后续的数据共享开放以及开发利用工作。本次约定的服务范围为不低于180个系统的相关数据码值（除有明确法律条文依据不接入且与我单位正式说明外）均需收集、管理其数据码值一本账信息。</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数据接口服务一本账支撑服务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全面梳理宝安区数据接口服务一本账，建立数据接口服务一本账信息规范，对数据接口服务一本账进行有效收集和管理，以便支撑数据资源编目、区大数据平台数据采集和后续的数据共享开放以及开发利用工作。本次约定的服务范围为不低于20个系统的相关数据接口服务（除有明确法律条文依据不接入且与我单位正式说明外）均需收集、管理其数据接口服务一本账信息。</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数据指标一本账支撑服务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全面梳理宝安区数据指标一本账，建立数据指标一本账信息规范，对数据指标一本账进行有效收集和管理，以便支撑数据资源编目、区大数据平台数据采集和后续的指标数据共享开放以及开发利用工作。本次约定的服务范围为不低于20个系统的相关指标（除有明确法律条文依据不接入且与我单位正式说明外）均需收集、管理其指标一本账信息。</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数据标签一本账支撑服务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全面梳理宝安区数据标签一本账，建立数据标签一本账信息规范，对数据标签一本账进行有效收集和管理，为数据标签一本账的梳理提供依据，支撑后续的数据共享开放以及开发利用工作。本次约定的服务范围为不低于20个系统的相关数据标签（除有明确法律条文依据不接入且与我单位正式说明外）均需收集、管理其数据标签一本账信息。</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知识库一本账支撑服务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全面梳理宝安区知识库一本账，建立知识库一本账信息规范，对知识库一本账进行有效收集和管理，为知识库一本账的梳理提供依据，支撑后续的数据共享开放以及开发利用工作。本次约定的服务范围为不低于20个系统的相关知识库（除有明确法律条文依据不接入且与我单位正式说明外）均需收集、管理其知识库一本账信息。</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差异数据补充服务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根据系统自动匹配后的，“职责数据一本账”与“现实数据一本账”的差异情况结果同实施对象（各政府部门）进行沟通，反馈数据缺失情况，同实施对象一同梳理缺失数据的替代数据资源（如线下数据等），在系统中进行补录，对完全缺失的内容进行登记。主要包含差异数据沟通、补充和分析报告服务。</w:t>
            </w:r>
          </w:p>
        </w:tc>
      </w:tr>
      <w:tr>
        <w:tblPrEx>
          <w:tblW w:w="0" w:type="auto"/>
          <w:tblInd w:w="0" w:type="dxa"/>
          <w:tblCellMar>
            <w:top w:w="0" w:type="dxa"/>
            <w:left w:w="108" w:type="dxa"/>
            <w:bottom w:w="0" w:type="dxa"/>
            <w:right w:w="108" w:type="dxa"/>
          </w:tblCellMar>
        </w:tblPrEx>
        <w:tc>
          <w:tcPr>
            <w:tcW w:w="1696" w:type="dxa"/>
            <w:vMerge w:val="restart"/>
            <w:tcBorders>
              <w:top w:val="nil"/>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一数一源一标准服务支撑</w:t>
            </w: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业务应用场景解析服务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梳理多跨业务应用场景，以“一数一源”为原则，确定数据责任部门、数据源头、更新机构、使用方法等，形成数据场景目录。主要包含业务应用场景梳理、流程分解、数据对接、台账登记以及业务数据一数一源一标准维护服务。</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“一数一源一标准”应用场景服务</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以涉及重点企业的政策项目“秒批”检查、政策精准推送、标签打标、街道信息治理和企业联络员信息治理五个场景为试点开展一数一源一标准应用场景服务</w:t>
            </w:r>
          </w:p>
        </w:tc>
      </w:tr>
      <w:tr>
        <w:tblPrEx>
          <w:tblW w:w="0" w:type="auto"/>
          <w:tblInd w:w="0" w:type="dxa"/>
          <w:tblCellMar>
            <w:top w:w="0" w:type="dxa"/>
            <w:left w:w="108" w:type="dxa"/>
            <w:bottom w:w="0" w:type="dxa"/>
            <w:right w:w="108" w:type="dxa"/>
          </w:tblCellMar>
        </w:tblPrEx>
        <w:tc>
          <w:tcPr>
            <w:tcW w:w="1696" w:type="dxa"/>
            <w:vMerge w:val="restart"/>
            <w:tcBorders>
              <w:top w:val="nil"/>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块数据资产管理试点服务</w:t>
            </w: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调研与访谈</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通过调研与访谈，盘点块数据资产情况。主要包含盘点资源、数据情况摸排、应用场景分析、穿透性分析和资产元数据分析服务。</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块数据资产识别</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基于数据资产的定义，判断信息中心有哪些数据资产，初步调研数据资产权属情况、初步调研并识别数据资产的合规情况、结合数据资产相关成本的调研。主要包含包括判断数据资产范畴、数据资产权属识别、数据资产合规识别、数据资产成本识别服务。</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块数据试点资产确认</w:t>
            </w:r>
          </w:p>
        </w:tc>
        <w:tc>
          <w:tcPr>
            <w:tcW w:w="5464" w:type="dxa"/>
            <w:tcBorders>
              <w:top w:val="single" w:sz="4" w:space="0" w:color="auto"/>
              <w:left w:val="single" w:sz="4" w:space="0" w:color="auto"/>
              <w:bottom w:val="single" w:sz="4" w:space="0" w:color="auto"/>
              <w:right w:val="single" w:sz="4" w:space="0" w:color="auto"/>
            </w:tcBorders>
            <w:vAlign w:val="center"/>
          </w:tcPr>
          <w:p>
            <w:pPr>
              <w:pStyle w:val="NormalWeb"/>
              <w:rPr>
                <w:rFonts w:ascii="宋体" w:hAnsi="宋体" w:cs="宋体"/>
              </w:rPr>
            </w:pPr>
            <w:r>
              <w:rPr>
                <w:rFonts w:ascii="宋体" w:hAnsi="宋体" w:cs="宋体" w:hint="eastAsia"/>
              </w:rPr>
              <w:t>结合数据资产实际应用场景，针对其经济性、社会性价值进行初步分析。选出最具代表性、最具潜力的数据资产作为本期项目试点场景，为后续的数据资产入账实践树立标杆，推动数据资产管理的规范化与标准化进程。明确并确认哪些将作为试点入账的数据资产。主要包含经济和社会价值分析以及确定试点入账数据资产服务。</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流程梳理</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对入账数据资产所涉及的业务流程和数据流程进行了全面而细致的梳理。主要包含业务流程梳理和数据流程梳理服务。</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块数据试点资产目录清单</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依据详尽的数据资产盘点结果及其来源分析，编制并输出块数据试点资产目录清单。此清单详尽记录了每项数据资产的名称、类型、规模、来源渠道及关键属性，为数据资产的统一管理、有效利用及价值挖掘提供了全面的参考与指导。主要包含数据资产目录清单整理、目录清单呈现设计和输出数据资产目录清单服务。</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块数据试点资产成本归集</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针对价值管理的数据资产，进行成本范围识别。在明确成本范围的基础上针对已入账的数据资产，进行全生命周期成本项归集。主要包含成本范围识别、成本归集、确定资本时点和其他成本识别归集服务。</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块数据试点资产计量</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针对已入账的数据资产以及其归集的成本项，设计了一套成本分摊方案，旨在公平、合理地将其全生命周期中产生的各项成本分摊至各收益期或具体业务活动中，以准确反映数据资产的使用效率和经济贡献。主要包含成本分摊设计、成本综合核算、确定资产使用寿命、确定摊销方法、确定减值计提和数据资产后续处置服务。</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vAlign w:val="center"/>
          </w:tcPr>
          <w:p>
            <w:pPr>
              <w:rPr>
                <w:rFonts w:ascii="宋体" w:hAnsi="宋体" w:cs="宋体"/>
                <w:sz w:val="24"/>
              </w:rPr>
            </w:pPr>
          </w:p>
        </w:tc>
        <w:tc>
          <w:tcPr>
            <w:tcW w:w="1560"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块数据试点资产列报披露</w:t>
            </w:r>
          </w:p>
        </w:tc>
        <w:tc>
          <w:tcPr>
            <w:tcW w:w="5464" w:type="dxa"/>
            <w:tcBorders>
              <w:top w:val="single" w:sz="4" w:space="0" w:color="auto"/>
              <w:left w:val="single" w:sz="4" w:space="0" w:color="auto"/>
              <w:bottom w:val="single" w:sz="4" w:space="0" w:color="auto"/>
              <w:right w:val="single" w:sz="4" w:space="0" w:color="auto"/>
            </w:tcBorders>
            <w:vAlign w:val="center"/>
          </w:tcPr>
          <w:p>
            <w:pPr>
              <w:rPr>
                <w:rFonts w:ascii="宋体" w:hAnsi="宋体" w:cs="宋体"/>
                <w:sz w:val="24"/>
              </w:rPr>
            </w:pPr>
            <w:r>
              <w:rPr>
                <w:rFonts w:ascii="宋体" w:hAnsi="宋体" w:cs="宋体" w:hint="eastAsia"/>
                <w:sz w:val="24"/>
              </w:rPr>
              <w:t>为了有效管理与披露数据资产情况，还需要设计详尽的披露事项规则。这些规则旨在全面覆盖数据资产的种类、规模、存储方式、安全保护措施、使用权限分配、共享与交换机制以及合规性要求等关键方面。</w:t>
            </w:r>
          </w:p>
        </w:tc>
      </w:tr>
    </w:tbl>
    <w:p>
      <w:pPr>
        <w:pStyle w:val="1"/>
        <w:ind w:left="0" w:firstLine="420" w:leftChars="0" w:firstLineChars="200"/>
        <w:rPr>
          <w:rFonts w:ascii="宋体" w:hAnsi="宋体" w:cs="宋体"/>
          <w:b/>
          <w:bCs/>
          <w:sz w:val="24"/>
        </w:rPr>
      </w:pPr>
      <w:r>
        <w:rPr>
          <w:rFonts w:ascii="宋体" w:hAnsi="宋体" w:cs="宋体" w:hint="eastAsia"/>
          <w:b/>
          <w:bCs/>
          <w:sz w:val="24"/>
        </w:rPr>
        <w:t>（2）工作质量要求</w:t>
      </w:r>
    </w:p>
    <w:p>
      <w:pPr>
        <w:pStyle w:val="1"/>
        <w:rPr>
          <w:rFonts w:ascii="宋体" w:hAnsi="宋体" w:cs="宋体"/>
          <w:sz w:val="24"/>
        </w:rPr>
      </w:pPr>
      <w:r>
        <w:rPr>
          <w:rFonts w:ascii="宋体" w:hAnsi="宋体" w:cs="宋体" w:hint="eastAsia"/>
          <w:sz w:val="24"/>
        </w:rPr>
        <w:t>①项目的成果质量必须符合国家、深圳市相关规定和本合同约定的质量相关要求。</w:t>
      </w:r>
    </w:p>
    <w:p>
      <w:pPr>
        <w:pStyle w:val="1"/>
        <w:ind w:left="0" w:firstLine="420" w:leftChars="0" w:firstLineChars="200"/>
        <w:rPr>
          <w:rFonts w:ascii="宋体" w:hAnsi="宋体" w:cs="宋体"/>
          <w:sz w:val="24"/>
        </w:rPr>
      </w:pPr>
      <w:r>
        <w:rPr>
          <w:rFonts w:ascii="宋体" w:hAnsi="宋体" w:cs="宋体" w:hint="eastAsia"/>
          <w:sz w:val="24"/>
        </w:rPr>
        <w:t>②与本项目有关的法律法规、国家强制性标准、行业标准及相关规定中的标准及要求发生变化更新的，以最新要求为准；相关法律法规标准存在冲突的，以较高标准为准。</w:t>
      </w:r>
    </w:p>
    <w:p>
      <w:pPr>
        <w:pStyle w:val="1"/>
        <w:ind w:left="0" w:firstLine="420" w:leftChars="0" w:firstLineChars="200"/>
        <w:rPr>
          <w:rFonts w:ascii="宋体" w:hAnsi="宋体" w:cs="宋体"/>
          <w:sz w:val="24"/>
        </w:rPr>
      </w:pPr>
      <w:r>
        <w:rPr>
          <w:rFonts w:ascii="宋体" w:hAnsi="宋体" w:cs="宋体" w:hint="eastAsia"/>
          <w:sz w:val="24"/>
        </w:rPr>
        <w:t>③在合同履行过程中，采购方可以依据相关要求，对最终成果的质量标准进行调整。采购方如需中标方增加提高成果的质量，应与中标方协商一致后进行相应质量标准的变更。</w:t>
      </w:r>
    </w:p>
    <w:p>
      <w:pPr>
        <w:ind w:firstLine="420" w:firstLineChars="200"/>
        <w:jc w:val="left"/>
        <w:rPr>
          <w:rFonts w:ascii="宋体" w:hAnsi="宋体" w:cs="宋体"/>
          <w:b/>
          <w:bCs/>
          <w:sz w:val="24"/>
        </w:rPr>
      </w:pPr>
      <w:r>
        <w:rPr>
          <w:rFonts w:ascii="宋体" w:hAnsi="宋体" w:cs="宋体" w:hint="eastAsia"/>
          <w:b/>
          <w:bCs/>
          <w:sz w:val="24"/>
        </w:rPr>
        <w:t>3、人员要求</w:t>
      </w:r>
    </w:p>
    <w:p>
      <w:pPr>
        <w:pStyle w:val="1"/>
        <w:ind w:left="0" w:firstLine="420" w:leftChars="0" w:firstLineChars="200"/>
        <w:rPr>
          <w:rFonts w:ascii="宋体" w:hAnsi="宋体" w:cs="宋体"/>
          <w:sz w:val="24"/>
        </w:rPr>
      </w:pPr>
      <w:r>
        <w:rPr>
          <w:rFonts w:ascii="宋体" w:hAnsi="宋体" w:cs="宋体" w:hint="eastAsia"/>
          <w:sz w:val="24"/>
        </w:rPr>
        <w:t>根据项目的规模及特点，本项目实施期间团队核心成员须不少于</w:t>
      </w:r>
      <w:r>
        <w:rPr>
          <w:rFonts w:ascii="宋体" w:hAnsi="宋体" w:cs="宋体"/>
          <w:sz w:val="24"/>
        </w:rPr>
        <w:t>12</w:t>
      </w:r>
      <w:r>
        <w:rPr>
          <w:rFonts w:ascii="宋体" w:hAnsi="宋体" w:cs="宋体" w:hint="eastAsia"/>
          <w:sz w:val="24"/>
        </w:rPr>
        <w:t>人（</w:t>
      </w:r>
      <w:r>
        <w:rPr>
          <w:rFonts w:ascii="宋体" w:hAnsi="宋体" w:cs="宋体" w:hint="eastAsia"/>
          <w:sz w:val="24"/>
          <w:lang w:val="en-US" w:eastAsia="zh-CN"/>
        </w:rPr>
        <w:t>不少于</w:t>
      </w:r>
      <w:r>
        <w:rPr>
          <w:rFonts w:ascii="宋体" w:hAnsi="宋体" w:cs="宋体" w:hint="eastAsia"/>
          <w:sz w:val="24"/>
        </w:rPr>
        <w:t>5名派驻人员），其中项目负责人1名，项目团队成员包含技术负责人、技术开发人员、实施交付人员、售后服务人员等角色，具体安排如下：</w:t>
      </w:r>
    </w:p>
    <w:p>
      <w:pPr>
        <w:pStyle w:val="1"/>
        <w:ind w:left="0" w:firstLine="420" w:leftChars="0" w:firstLineChars="200"/>
        <w:rPr>
          <w:rFonts w:ascii="宋体" w:hAnsi="宋体" w:cs="宋体"/>
          <w:sz w:val="24"/>
        </w:rPr>
      </w:pPr>
      <w:r>
        <w:rPr>
          <w:rFonts w:ascii="宋体" w:hAnsi="宋体" w:cs="宋体" w:hint="eastAsia"/>
          <w:sz w:val="24"/>
        </w:rPr>
        <w:t>（1）指派1名项目负责人，负责整体项目的质量、进度、任务分派等工作，在项目计划、组织、协调中做好领导工作，项目负责人是项目的总策划、执行总负责人。具有本科（或以上）学历；具备信息化专业知识，具备沟通技巧，了解团队人员的构成，能对团队进行合理分工。</w:t>
      </w:r>
    </w:p>
    <w:p>
      <w:pPr>
        <w:pStyle w:val="1"/>
        <w:ind w:left="0" w:firstLine="420" w:leftChars="0" w:firstLineChars="200"/>
        <w:rPr>
          <w:rFonts w:ascii="宋体" w:hAnsi="宋体" w:cs="宋体"/>
          <w:sz w:val="24"/>
        </w:rPr>
      </w:pPr>
      <w:r>
        <w:rPr>
          <w:rFonts w:ascii="宋体" w:hAnsi="宋体" w:cs="宋体" w:hint="eastAsia"/>
          <w:sz w:val="24"/>
        </w:rPr>
        <w:t>（2）指派1名产品人员，负责收集整理用户需求，编制用户需求说明材料，开展产品设计，代表用户与项目组成员沟通项目需求有关的事项，参与整个项目开发流程，与开发测试团队一起保证项目产品的成功交付。</w:t>
      </w:r>
    </w:p>
    <w:p>
      <w:pPr>
        <w:pStyle w:val="1"/>
        <w:ind w:left="0" w:firstLine="420" w:leftChars="0" w:firstLineChars="200"/>
        <w:rPr>
          <w:rFonts w:ascii="宋体" w:hAnsi="宋体" w:cs="宋体"/>
          <w:sz w:val="24"/>
        </w:rPr>
      </w:pPr>
      <w:r>
        <w:rPr>
          <w:rFonts w:ascii="宋体" w:hAnsi="宋体" w:cs="宋体" w:hint="eastAsia"/>
          <w:sz w:val="24"/>
        </w:rPr>
        <w:t>（3）指派</w:t>
      </w:r>
      <w:r>
        <w:rPr>
          <w:rFonts w:ascii="宋体" w:hAnsi="宋体" w:cs="宋体" w:hint="eastAsia"/>
          <w:sz w:val="24"/>
          <w:lang w:val="en-US" w:eastAsia="zh-CN"/>
        </w:rPr>
        <w:t>4</w:t>
      </w:r>
      <w:r>
        <w:rPr>
          <w:rFonts w:ascii="宋体" w:hAnsi="宋体" w:cs="宋体" w:hint="eastAsia"/>
          <w:sz w:val="24"/>
        </w:rPr>
        <w:t>名技术开发人员，负责软件系统的架构分析和设计开发，并解决系统开发、运行中出现的各种问题。</w:t>
      </w:r>
    </w:p>
    <w:p>
      <w:pPr>
        <w:pStyle w:val="1"/>
        <w:ind w:left="0" w:firstLine="420" w:leftChars="0" w:firstLineChars="200"/>
        <w:rPr>
          <w:rFonts w:ascii="宋体" w:hAnsi="宋体" w:cs="宋体"/>
          <w:sz w:val="24"/>
        </w:rPr>
      </w:pPr>
      <w:r>
        <w:rPr>
          <w:rFonts w:ascii="宋体" w:hAnsi="宋体" w:cs="宋体" w:hint="eastAsia"/>
          <w:sz w:val="24"/>
        </w:rPr>
        <w:t>（4）指派</w:t>
      </w:r>
      <w:r>
        <w:rPr>
          <w:rFonts w:ascii="宋体" w:hAnsi="宋体" w:cs="宋体" w:hint="eastAsia"/>
          <w:sz w:val="24"/>
          <w:lang w:val="en-US" w:eastAsia="zh-CN"/>
        </w:rPr>
        <w:t>5</w:t>
      </w:r>
      <w:r>
        <w:rPr>
          <w:rFonts w:ascii="宋体" w:hAnsi="宋体" w:cs="宋体" w:hint="eastAsia"/>
          <w:sz w:val="24"/>
        </w:rPr>
        <w:t>名实施交付人员，负责系统平台部署测试等工作，协助解决项目实施过程中的关键问题和技术难题。</w:t>
      </w:r>
    </w:p>
    <w:p>
      <w:pPr>
        <w:pStyle w:val="1"/>
        <w:ind w:left="0" w:firstLine="420" w:leftChars="0" w:firstLineChars="200"/>
        <w:rPr>
          <w:rFonts w:ascii="宋体" w:hAnsi="宋体" w:cs="宋体"/>
          <w:sz w:val="24"/>
        </w:rPr>
      </w:pPr>
      <w:r>
        <w:rPr>
          <w:rFonts w:ascii="宋体" w:hAnsi="宋体" w:cs="宋体" w:hint="eastAsia"/>
          <w:sz w:val="24"/>
        </w:rPr>
        <w:t>（5）指派1名售后服务人员，负责对相关技术人员和管理专家进行全面的培训，使用户人员在各个层次上掌握系统的操作、系统配置、运营、故障处理及日常测试维护，从而确保全网能正常安全的运行。</w:t>
      </w:r>
    </w:p>
    <w:p>
      <w:pPr>
        <w:pStyle w:val="1"/>
        <w:ind w:left="0" w:firstLine="420" w:leftChars="0" w:firstLineChars="200"/>
        <w:rPr>
          <w:rFonts w:ascii="宋体" w:hAnsi="宋体" w:cs="宋体"/>
          <w:sz w:val="24"/>
        </w:rPr>
      </w:pPr>
      <w:r>
        <w:rPr>
          <w:rFonts w:ascii="宋体" w:hAnsi="宋体" w:cs="宋体" w:hint="eastAsia"/>
          <w:sz w:val="24"/>
        </w:rPr>
        <w:t>（6）项目中途未经采购方书面同意不更换项目主要负责人员。如果投标人确因无法抗拒的原因更换项目人员时，将向采购方提交书面申请，经同意后，提供一名具有同等或更高资历、熟悉相关业务的人员替换该职位。</w:t>
      </w:r>
    </w:p>
    <w:p>
      <w:pPr>
        <w:ind w:firstLine="420" w:firstLineChars="200"/>
        <w:jc w:val="left"/>
        <w:rPr>
          <w:rFonts w:ascii="宋体" w:hAnsi="宋体" w:cs="宋体"/>
          <w:b/>
          <w:bCs/>
          <w:sz w:val="24"/>
        </w:rPr>
      </w:pPr>
      <w:r>
        <w:rPr>
          <w:rFonts w:ascii="宋体" w:hAnsi="宋体" w:cs="宋体" w:hint="eastAsia"/>
          <w:b/>
          <w:bCs/>
          <w:sz w:val="24"/>
        </w:rPr>
        <w:t>4、服务成果要求</w:t>
      </w:r>
    </w:p>
    <w:p>
      <w:pPr>
        <w:ind w:firstLine="420" w:firstLineChars="200"/>
        <w:jc w:val="left"/>
        <w:rPr>
          <w:rFonts w:ascii="宋体" w:hAnsi="宋体" w:cs="宋体"/>
          <w:sz w:val="24"/>
        </w:rPr>
      </w:pPr>
      <w:r>
        <w:rPr>
          <w:rFonts w:ascii="宋体" w:hAnsi="宋体" w:cs="宋体" w:hint="eastAsia"/>
          <w:sz w:val="24"/>
        </w:rPr>
        <w:t>（1）项目所产生的所有代码、数据和相关文档等资料归采购人所有。</w:t>
      </w:r>
    </w:p>
    <w:p>
      <w:pPr>
        <w:pStyle w:val="Heading2"/>
        <w:tabs>
          <w:tab w:val="left" w:pos="1440"/>
        </w:tabs>
        <w:ind w:firstLine="420" w:firstLineChars="200"/>
        <w:jc w:val="left"/>
        <w:rPr>
          <w:rFonts w:ascii="宋体" w:hAnsi="宋体" w:cs="宋体"/>
          <w:szCs w:val="24"/>
        </w:rPr>
      </w:pPr>
      <w:r>
        <w:rPr>
          <w:rFonts w:ascii="宋体" w:hAnsi="宋体" w:cs="宋体" w:hint="eastAsia"/>
          <w:szCs w:val="24"/>
        </w:rPr>
        <w:t>（2）未经采购人同意，中标人不能以采购人的名义或易引起他人误以为是采购人的方式从事与本项目无关的活动。</w:t>
      </w:r>
    </w:p>
    <w:p>
      <w:pPr>
        <w:pStyle w:val="Heading2"/>
        <w:tabs>
          <w:tab w:val="left" w:pos="1440"/>
        </w:tabs>
        <w:ind w:firstLine="420" w:firstLineChars="200"/>
        <w:jc w:val="left"/>
        <w:rPr>
          <w:rFonts w:ascii="宋体" w:hAnsi="宋体" w:cs="宋体"/>
          <w:szCs w:val="24"/>
        </w:rPr>
      </w:pPr>
      <w:r>
        <w:rPr>
          <w:rFonts w:ascii="宋体" w:hAnsi="宋体" w:cs="宋体" w:hint="eastAsia"/>
          <w:szCs w:val="24"/>
        </w:rPr>
        <w:t>（3）非双方约定或未经对方书面同意，非知识产权所有方不得以任何方式向第三方披露、转让或许可使用本项目有关的软件成果、专利技术、技术秘密等。</w:t>
      </w:r>
    </w:p>
    <w:p>
      <w:pPr>
        <w:pStyle w:val="Heading2"/>
        <w:spacing w:before="120" w:beforeLines="50" w:after="120" w:afterLines="50"/>
        <w:rPr>
          <w:szCs w:val="24"/>
        </w:rPr>
      </w:pPr>
      <w:r>
        <w:rPr>
          <w:rFonts w:hint="eastAsia"/>
          <w:b/>
          <w:color w:val="FF0000"/>
          <w:szCs w:val="21"/>
        </w:rPr>
        <w:t>★</w:t>
      </w:r>
      <w:r>
        <w:rPr>
          <w:rFonts w:hint="eastAsia"/>
          <w:szCs w:val="24"/>
        </w:rPr>
        <w:t>六、商务要求</w:t>
      </w:r>
    </w:p>
    <w:p>
      <w:pPr>
        <w:ind w:firstLine="420" w:firstLineChars="200"/>
        <w:rPr>
          <w:b/>
          <w:color w:val="FF0000"/>
          <w:szCs w:val="21"/>
        </w:rPr>
      </w:pPr>
      <w:r>
        <w:rPr>
          <w:rFonts w:hint="eastAsia"/>
          <w:b/>
          <w:color w:val="FF0000"/>
          <w:szCs w:val="21"/>
        </w:rPr>
        <w:t>本部分内容为项目正常开展的基本要求，均为★号条款要求，不作为评分准则中的评分内容，如未响应或出现负偏离的，将作投标无效处理；</w:t>
      </w:r>
    </w:p>
    <w:p>
      <w:pPr>
        <w:ind w:firstLine="420" w:firstLineChars="200"/>
        <w:jc w:val="left"/>
        <w:rPr>
          <w:rFonts w:asciiTheme="minorEastAsia" w:eastAsiaTheme="minorEastAsia" w:hAnsiTheme="minorEastAsia" w:cstheme="minorEastAsia"/>
          <w:b/>
          <w:bCs/>
          <w:sz w:val="24"/>
        </w:rPr>
      </w:pPr>
      <w:r>
        <w:rPr>
          <w:rFonts w:asciiTheme="minorEastAsia" w:eastAsiaTheme="minorEastAsia" w:hAnsiTheme="minorEastAsia" w:cstheme="minorEastAsia" w:hint="eastAsia"/>
          <w:b/>
          <w:bCs/>
          <w:sz w:val="24"/>
        </w:rPr>
        <w:t>1.服务期限及基本要求</w:t>
      </w:r>
    </w:p>
    <w:p>
      <w:pPr>
        <w:ind w:firstLine="420" w:firstLineChars="200"/>
        <w:rPr>
          <w:rFonts w:asciiTheme="minorEastAsia" w:eastAsiaTheme="minorEastAsia" w:hAnsiTheme="minorEastAsia" w:cstheme="minorEastAsia"/>
          <w:sz w:val="24"/>
        </w:rPr>
      </w:pPr>
      <w:r>
        <w:rPr>
          <w:rFonts w:asciiTheme="minorEastAsia" w:eastAsiaTheme="minorEastAsia" w:hAnsiTheme="minorEastAsia" w:cstheme="minorEastAsia" w:hint="eastAsia"/>
          <w:sz w:val="24"/>
        </w:rPr>
        <w:t>建设周期为24个月。自合同签订之日起24个月内完成项目最终验收，项目终验通过后软件部分进入24个月的售后服务期。</w:t>
      </w:r>
    </w:p>
    <w:p>
      <w:pPr>
        <w:ind w:firstLine="420" w:firstLineChars="200"/>
        <w:jc w:val="left"/>
        <w:rPr>
          <w:rFonts w:ascii="宋体" w:hAnsi="宋体" w:cs="宋体"/>
          <w:b/>
          <w:bCs/>
          <w:sz w:val="24"/>
        </w:rPr>
      </w:pPr>
      <w:r>
        <w:rPr>
          <w:rFonts w:ascii="宋体" w:hAnsi="宋体" w:cs="宋体" w:hint="eastAsia"/>
          <w:b/>
          <w:bCs/>
          <w:sz w:val="24"/>
        </w:rPr>
        <w:t>2、考核办法/验收方式</w:t>
      </w:r>
    </w:p>
    <w:p>
      <w:pPr>
        <w:pStyle w:val="1"/>
        <w:ind w:left="0" w:firstLine="420" w:leftChars="0" w:firstLineChars="200"/>
        <w:rPr>
          <w:rFonts w:ascii="宋体" w:hAnsi="宋体" w:cs="宋体"/>
          <w:sz w:val="24"/>
        </w:rPr>
      </w:pPr>
      <w:r>
        <w:rPr>
          <w:rFonts w:ascii="宋体" w:hAnsi="宋体" w:cs="宋体" w:hint="eastAsia"/>
          <w:sz w:val="24"/>
        </w:rPr>
        <w:t>（1）中标人完成合同约定的对应服务工作，提交规定的阶段性服务成果后，由采购方按照《深圳市政务信息化项目检测与验收管理办法》组织开展项目阶段性验收工作，经采购方验收工作确认后，视为验收通过并签署验收报告。</w:t>
      </w:r>
    </w:p>
    <w:p>
      <w:pPr>
        <w:pStyle w:val="1"/>
        <w:ind w:left="0" w:firstLine="420" w:leftChars="0" w:firstLineChars="200"/>
        <w:rPr>
          <w:rFonts w:ascii="宋体" w:hAnsi="宋体" w:cs="宋体"/>
          <w:sz w:val="24"/>
        </w:rPr>
      </w:pPr>
      <w:r>
        <w:rPr>
          <w:rFonts w:ascii="宋体" w:hAnsi="宋体" w:cs="宋体" w:hint="eastAsia"/>
          <w:sz w:val="24"/>
        </w:rPr>
        <w:t>①合同初验前，中标人应完成系统自测和安全专项测评；</w:t>
      </w:r>
    </w:p>
    <w:p>
      <w:pPr>
        <w:pStyle w:val="1"/>
        <w:ind w:left="0" w:firstLine="420" w:leftChars="0" w:firstLineChars="200"/>
        <w:rPr>
          <w:rFonts w:ascii="宋体" w:hAnsi="宋体" w:cs="宋体"/>
          <w:sz w:val="24"/>
        </w:rPr>
      </w:pPr>
      <w:r>
        <w:rPr>
          <w:rFonts w:ascii="宋体" w:hAnsi="宋体" w:cs="宋体" w:hint="eastAsia"/>
          <w:sz w:val="24"/>
        </w:rPr>
        <w:t>②合同终验前，中标人应完成系统检测、系统源代码安全审查和数据质量评估；</w:t>
      </w:r>
    </w:p>
    <w:p>
      <w:pPr>
        <w:pStyle w:val="1"/>
        <w:ind w:left="0" w:firstLine="420" w:leftChars="0" w:firstLineChars="200"/>
        <w:rPr>
          <w:rFonts w:ascii="宋体" w:hAnsi="宋体" w:cs="宋体"/>
          <w:sz w:val="24"/>
          <w:highlight w:val="yellow"/>
        </w:rPr>
      </w:pPr>
      <w:r>
        <w:rPr>
          <w:rFonts w:ascii="宋体" w:hAnsi="宋体" w:cs="宋体" w:hint="eastAsia"/>
          <w:sz w:val="24"/>
        </w:rPr>
        <w:t>（2）提交的服务成果包括项目服务的数据成果和开发的软件系统，以及配套的需求文档、概要设计文档、详细设计文档、操作手册等在内的完备项目文档资料。</w:t>
      </w:r>
    </w:p>
    <w:p>
      <w:pPr>
        <w:pStyle w:val="1"/>
        <w:ind w:left="0" w:firstLine="420" w:leftChars="0" w:firstLineChars="200"/>
        <w:rPr>
          <w:rFonts w:ascii="宋体" w:hAnsi="宋体" w:cs="宋体"/>
          <w:sz w:val="24"/>
        </w:rPr>
      </w:pPr>
      <w:r>
        <w:rPr>
          <w:rFonts w:ascii="宋体" w:hAnsi="宋体" w:cs="宋体" w:hint="eastAsia"/>
          <w:sz w:val="24"/>
        </w:rPr>
        <w:t>（3）其它交付成果参见成果技术标准。</w:t>
      </w:r>
    </w:p>
    <w:p>
      <w:pPr>
        <w:ind w:firstLine="420" w:firstLineChars="200"/>
        <w:jc w:val="left"/>
        <w:rPr>
          <w:rFonts w:ascii="宋体" w:hAnsi="宋体" w:cs="宋体"/>
          <w:b/>
          <w:bCs/>
          <w:sz w:val="24"/>
        </w:rPr>
      </w:pPr>
      <w:r>
        <w:rPr>
          <w:rFonts w:ascii="宋体" w:hAnsi="宋体" w:cs="宋体" w:hint="eastAsia"/>
          <w:b/>
          <w:bCs/>
          <w:sz w:val="24"/>
        </w:rPr>
        <w:t>3、报价要求</w:t>
      </w:r>
    </w:p>
    <w:p>
      <w:pPr>
        <w:pStyle w:val="1"/>
        <w:ind w:left="0" w:firstLine="420" w:leftChars="0" w:firstLineChars="200"/>
        <w:rPr>
          <w:rFonts w:ascii="宋体" w:hAnsi="宋体" w:cs="宋体"/>
          <w:sz w:val="24"/>
        </w:rPr>
      </w:pPr>
      <w:r>
        <w:rPr>
          <w:rFonts w:ascii="宋体" w:hAnsi="宋体" w:cs="宋体" w:hint="eastAsia"/>
          <w:sz w:val="24"/>
        </w:rPr>
        <w:t>（1）项目报价不得超过最高限额。</w:t>
      </w:r>
    </w:p>
    <w:p>
      <w:pPr>
        <w:ind w:firstLine="420" w:firstLineChars="200"/>
        <w:jc w:val="left"/>
        <w:rPr>
          <w:rFonts w:ascii="宋体" w:hAnsi="宋体" w:cs="宋体"/>
          <w:sz w:val="24"/>
        </w:rPr>
      </w:pPr>
      <w:r>
        <w:rPr>
          <w:rFonts w:ascii="宋体" w:hAnsi="宋体" w:cs="宋体" w:hint="eastAsia"/>
          <w:sz w:val="24"/>
        </w:rPr>
        <w:t>（2）项目报价采用包干价格形式。投标报价中应包含本项目所有服务以及国家规定的各项税费等所有项目相关费用。项目执行过程中中标方不得增加费用，因中标商考虑不周而造成费用增加，由中标商承担该部分费用。</w:t>
      </w:r>
    </w:p>
    <w:p>
      <w:pPr>
        <w:ind w:firstLine="420" w:firstLineChars="200"/>
        <w:jc w:val="left"/>
        <w:rPr>
          <w:rFonts w:ascii="宋体" w:hAnsi="宋体" w:cs="宋体"/>
          <w:b/>
          <w:bCs/>
          <w:sz w:val="24"/>
        </w:rPr>
      </w:pPr>
      <w:r>
        <w:rPr>
          <w:rFonts w:ascii="宋体" w:hAnsi="宋体" w:cs="宋体" w:hint="eastAsia"/>
          <w:b/>
          <w:bCs/>
          <w:sz w:val="24"/>
        </w:rPr>
        <w:t>4、付款方式</w:t>
      </w:r>
    </w:p>
    <w:p>
      <w:pPr>
        <w:pStyle w:val="1"/>
        <w:ind w:left="0" w:firstLine="420" w:leftChars="0" w:firstLineChars="200"/>
        <w:rPr>
          <w:rFonts w:ascii="宋体" w:hAnsi="宋体" w:cs="宋体"/>
          <w:sz w:val="24"/>
        </w:rPr>
      </w:pPr>
      <w:r>
        <w:rPr>
          <w:rFonts w:ascii="宋体" w:hAnsi="宋体" w:cs="宋体" w:hint="eastAsia"/>
          <w:sz w:val="24"/>
        </w:rPr>
        <w:t>项目按照合同相关规定分期付款，相关要求、时限以合同文本的约定和财政部门的规定为准。（一）项目按合同相关规定分期付款，合同签订后支付首期款，为合同金额的30%；项目通过初验后支付初验款，为合同金额的30%；项目通过终验后支付终验款，为合同金额的30%；项目取得竣工决算报告并通过售后服务期后支付尾款，为合同金额的10%。项目除首期款预付之外，初验、终验、尾款将结合履约评价结果和市、区绩效考核情况（可根据项目实际情况调整）支付相应的款项，评价共分为4个级别：</w:t>
      </w:r>
    </w:p>
    <w:p>
      <w:pPr>
        <w:pStyle w:val="1"/>
        <w:ind w:left="0" w:firstLine="420" w:leftChars="0" w:firstLineChars="200"/>
        <w:rPr>
          <w:rFonts w:ascii="宋体" w:hAnsi="宋体" w:cs="宋体"/>
          <w:sz w:val="24"/>
        </w:rPr>
      </w:pPr>
      <w:r>
        <w:rPr>
          <w:rFonts w:ascii="宋体" w:hAnsi="宋体" w:cs="宋体" w:hint="eastAsia"/>
          <w:sz w:val="24"/>
        </w:rPr>
        <w:t>①评分为90分（含）以上的，评价为“优”,支付全部对应款项；</w:t>
      </w:r>
    </w:p>
    <w:p>
      <w:pPr>
        <w:pStyle w:val="1"/>
        <w:ind w:left="0" w:firstLine="420" w:leftChars="0" w:firstLineChars="200"/>
        <w:rPr>
          <w:rFonts w:ascii="宋体" w:hAnsi="宋体" w:cs="宋体"/>
          <w:sz w:val="24"/>
        </w:rPr>
      </w:pPr>
      <w:r>
        <w:rPr>
          <w:rFonts w:ascii="宋体" w:hAnsi="宋体" w:cs="宋体" w:hint="eastAsia"/>
          <w:sz w:val="24"/>
        </w:rPr>
        <w:t>②评分为80（含）至90分之间的，评价为“良”,支付对应阶段款的70%；</w:t>
      </w:r>
    </w:p>
    <w:p>
      <w:pPr>
        <w:pStyle w:val="1"/>
        <w:ind w:left="0" w:firstLine="420" w:leftChars="0" w:firstLineChars="200"/>
        <w:rPr>
          <w:rFonts w:ascii="宋体" w:hAnsi="宋体" w:cs="宋体"/>
          <w:sz w:val="24"/>
        </w:rPr>
      </w:pPr>
      <w:r>
        <w:rPr>
          <w:rFonts w:ascii="宋体" w:hAnsi="宋体" w:cs="宋体" w:hint="eastAsia"/>
          <w:sz w:val="24"/>
        </w:rPr>
        <w:t>③评分为60（含）至80分之间的，评价为“中”，支付对应阶段款的50%；</w:t>
      </w:r>
    </w:p>
    <w:p>
      <w:pPr>
        <w:pStyle w:val="1"/>
        <w:ind w:left="0" w:firstLine="420" w:leftChars="0" w:firstLineChars="200"/>
      </w:pPr>
      <w:r>
        <w:rPr>
          <w:rFonts w:ascii="宋体" w:hAnsi="宋体" w:cs="宋体" w:hint="eastAsia"/>
          <w:sz w:val="24"/>
        </w:rPr>
        <w:t>④评分为60分以下的，评价为“差”，对应阶段款不予支付，且采购人有权终止合同。</w:t>
      </w:r>
    </w:p>
    <w:p>
      <w:pPr>
        <w:pStyle w:val="1"/>
        <w:ind w:left="0" w:firstLine="420" w:leftChars="0" w:firstLineChars="200"/>
        <w:rPr>
          <w:rFonts w:ascii="宋体" w:hAnsi="宋体" w:cs="宋体"/>
          <w:sz w:val="24"/>
        </w:rPr>
      </w:pPr>
      <w:r>
        <w:rPr>
          <w:rFonts w:ascii="宋体" w:hAnsi="宋体" w:cs="宋体" w:hint="eastAsia"/>
          <w:sz w:val="24"/>
        </w:rPr>
        <w:t>（二）中标方应配合采购方提供相关部门审核所需资料，并遵循项目事后审核结果，包括立项方案审核、预算审核、初验、试运行、终验、竣工验收、符合性审查、项目备案、结（决）算（如涉及）、项目后评价（如涉及）等。如项目审定金额低于合同约定金额，则以审定结果为准，中标方应在采购方指定期限内配合退还已支付的资金差额。合同款项尚未支付的，采购方有权在未支付的款项中予以扣除，尚未支付的款项不足以扣除的，中标方应在采购方要求时间内补足；如项目审定金额高于合同约定金额的，则按合同约定金额履行。</w:t>
      </w:r>
    </w:p>
    <w:p>
      <w:pPr>
        <w:ind w:firstLine="420" w:firstLineChars="200"/>
        <w:jc w:val="left"/>
        <w:rPr>
          <w:rFonts w:ascii="宋体" w:hAnsi="宋体" w:cs="宋体"/>
          <w:b/>
          <w:bCs/>
          <w:sz w:val="24"/>
        </w:rPr>
      </w:pPr>
      <w:r>
        <w:rPr>
          <w:rFonts w:ascii="宋体" w:hAnsi="宋体" w:cs="宋体" w:hint="eastAsia"/>
          <w:b/>
          <w:bCs/>
          <w:sz w:val="24"/>
        </w:rPr>
        <w:t>5、供应商履约评价</w:t>
      </w:r>
    </w:p>
    <w:p>
      <w:pPr>
        <w:widowControl/>
        <w:ind w:firstLine="420" w:firstLineChars="200"/>
        <w:jc w:val="left"/>
        <w:textAlignment w:val="center"/>
        <w:rPr>
          <w:rFonts w:ascii="宋体" w:hAnsi="宋体" w:cs="宋体"/>
          <w:bCs/>
          <w:sz w:val="24"/>
        </w:rPr>
      </w:pPr>
      <w:r>
        <w:rPr>
          <w:rFonts w:ascii="宋体" w:hAnsi="宋体" w:cs="宋体" w:hint="eastAsia"/>
          <w:bCs/>
          <w:sz w:val="24"/>
        </w:rPr>
        <w:t>履约评价表参照附件样表设置，具体以实际情况为准。满分设置为100分，“评价标准”、“评价指标”以及“分值”项目负责人可根据项目要求自行设定。评价共分为4个级别，评分为90分（含）以上为“优”；评分为80（含）至90分之间的，评价为“良”；评分为60（含）至80分之间的为“中”；评分为60分以下的为“差”。项目单位每支付合同约定的一笔款项前（首期款除外）对服务单位进行履约评价，服务单位履约评价为“差”的项目单位对该阶段款项不予支付，且项目单位有权终止合同，因服务单位行为给项目单位造成损失的服务单位应当承担赔偿责任。</w:t>
      </w:r>
    </w:p>
    <w:p>
      <w:pPr>
        <w:ind w:firstLine="420" w:firstLineChars="200"/>
        <w:jc w:val="left"/>
        <w:rPr>
          <w:rFonts w:ascii="宋体" w:hAnsi="宋体" w:cs="宋体"/>
          <w:b/>
          <w:bCs/>
          <w:sz w:val="24"/>
        </w:rPr>
      </w:pPr>
      <w:r>
        <w:rPr>
          <w:rFonts w:ascii="宋体" w:hAnsi="宋体" w:cs="宋体" w:hint="eastAsia"/>
          <w:b/>
          <w:bCs/>
          <w:sz w:val="24"/>
        </w:rPr>
        <w:t>6、用户满意度</w:t>
      </w:r>
    </w:p>
    <w:p>
      <w:pPr>
        <w:widowControl/>
        <w:ind w:firstLine="420" w:firstLineChars="200"/>
        <w:jc w:val="left"/>
        <w:textAlignment w:val="center"/>
        <w:rPr>
          <w:rFonts w:ascii="宋体" w:hAnsi="宋体" w:cs="宋体"/>
          <w:bCs/>
          <w:sz w:val="24"/>
        </w:rPr>
      </w:pPr>
      <w:r>
        <w:rPr>
          <w:rFonts w:ascii="宋体" w:hAnsi="宋体" w:cs="宋体" w:hint="eastAsia"/>
          <w:bCs/>
          <w:sz w:val="24"/>
        </w:rPr>
        <w:t>服务期满，针对项目服务对象开展满意度调查，用户平均满意度高于90%视为完成指标，对于用户满意度不达标的方面需及时进行优化改进。满意度调查结果将作为项目验收条件之一，若满意度不达标，项目尾款不予支付。</w:t>
      </w:r>
    </w:p>
    <w:p>
      <w:pPr>
        <w:ind w:firstLine="420" w:firstLineChars="200"/>
        <w:jc w:val="left"/>
        <w:rPr>
          <w:rFonts w:ascii="宋体" w:hAnsi="宋体" w:cs="宋体"/>
          <w:b/>
          <w:bCs/>
          <w:sz w:val="24"/>
        </w:rPr>
      </w:pPr>
      <w:r>
        <w:rPr>
          <w:rFonts w:ascii="宋体" w:hAnsi="宋体" w:cs="宋体" w:hint="eastAsia"/>
          <w:b/>
          <w:bCs/>
          <w:sz w:val="24"/>
        </w:rPr>
        <w:t>7、其他需说明的事项</w:t>
      </w:r>
    </w:p>
    <w:p>
      <w:pPr>
        <w:ind w:firstLine="560"/>
        <w:rPr>
          <w:rFonts w:ascii="宋体" w:hAnsi="宋体" w:cs="宋体"/>
          <w:sz w:val="24"/>
        </w:rPr>
      </w:pPr>
      <w:r>
        <w:rPr>
          <w:rFonts w:ascii="宋体" w:hAnsi="宋体" w:cs="宋体" w:hint="eastAsia"/>
          <w:sz w:val="24"/>
        </w:rPr>
        <w:t>投标人应对投标内容所涉及的一切专利等知识产权承担责任，并负有保护招标人的利益不受任何损害。一切由于文字、商标和技术专利等侵权引起的法律诉讼和裁决等均由投标人负责，与招标人无关。</w:t>
      </w:r>
    </w:p>
    <w:p>
      <w:pPr>
        <w:pStyle w:val="1"/>
      </w:pPr>
    </w:p>
    <w:p>
      <w:pPr>
        <w:pStyle w:val="Heading2"/>
        <w:numPr>
          <w:ilvl w:val="0"/>
          <w:numId w:val="16"/>
        </w:numPr>
        <w:spacing w:before="120" w:beforeLines="50" w:after="120" w:afterLines="50"/>
      </w:pPr>
      <w:r>
        <w:rPr>
          <w:rFonts w:hint="eastAsia"/>
          <w:szCs w:val="24"/>
        </w:rPr>
        <w:t>演示要求</w:t>
      </w:r>
    </w:p>
    <w:p>
      <w:pPr>
        <w:ind w:firstLine="420" w:firstLineChars="200"/>
        <w:rPr>
          <w:rFonts w:ascii="宋体" w:hAnsi="宋体" w:cs="宋体"/>
          <w:szCs w:val="21"/>
        </w:rPr>
      </w:pPr>
      <w:r>
        <w:rPr>
          <w:rFonts w:ascii="宋体" w:hAnsi="宋体" w:cs="宋体" w:hint="eastAsia"/>
          <w:szCs w:val="21"/>
        </w:rPr>
        <w:t>（一）总体要求：</w:t>
      </w:r>
    </w:p>
    <w:p>
      <w:pPr>
        <w:ind w:firstLine="420" w:firstLineChars="200"/>
        <w:rPr>
          <w:rFonts w:ascii="宋体" w:hAnsi="宋体" w:cs="宋体"/>
          <w:szCs w:val="21"/>
        </w:rPr>
      </w:pPr>
      <w:r>
        <w:rPr>
          <w:rFonts w:ascii="宋体" w:hAnsi="宋体" w:cs="宋体" w:hint="eastAsia"/>
          <w:szCs w:val="21"/>
        </w:rPr>
        <w:t>1、投标（谈判）供应商授权委托人请于</w:t>
      </w:r>
      <w:r>
        <w:rPr>
          <w:rFonts w:ascii="宋体" w:hAnsi="宋体" w:cs="宋体" w:hint="eastAsia"/>
          <w:b/>
          <w:bCs/>
          <w:color w:val="FF0000"/>
          <w:szCs w:val="21"/>
        </w:rPr>
        <w:t>本项目开标时间起60分钟内到达深圳交易集团有限公司宝安分公司（深圳市宝安区2区湖滨东路40号）1楼服务大厅按现场工作人员指引填写《现场演示签到表》，迟到或缺席将会导致演示及答辩相关评分项得0分。</w:t>
      </w:r>
    </w:p>
    <w:p>
      <w:pPr>
        <w:ind w:firstLine="420" w:firstLineChars="200"/>
        <w:rPr>
          <w:rFonts w:ascii="宋体" w:hAnsi="宋体" w:cs="宋体"/>
          <w:szCs w:val="21"/>
        </w:rPr>
      </w:pPr>
      <w:r>
        <w:rPr>
          <w:rFonts w:ascii="宋体" w:hAnsi="宋体" w:cs="宋体" w:hint="eastAsia"/>
          <w:szCs w:val="21"/>
        </w:rPr>
        <w:t>2、现场演示（方案讲解）地点提供大屏幕投影设备，可外接笔记本电脑和投影机，外接设备由投标公司自备。由于场地有限，建议不携带过大设备。</w:t>
      </w:r>
    </w:p>
    <w:p>
      <w:pPr>
        <w:ind w:firstLine="420" w:firstLineChars="200"/>
        <w:rPr>
          <w:rFonts w:ascii="宋体" w:hAnsi="宋体" w:cs="宋体"/>
          <w:szCs w:val="21"/>
        </w:rPr>
      </w:pPr>
      <w:r>
        <w:rPr>
          <w:rFonts w:ascii="宋体" w:hAnsi="宋体" w:cs="宋体" w:hint="eastAsia"/>
          <w:szCs w:val="21"/>
        </w:rPr>
        <w:t>3、每个投标（谈判）供应商演示及答辩时间不超过15分钟，其中演示时间不超过12分钟（期间评委可能会进行提问，并有权酌情延长时间）。现场演示人员一般不得超过</w:t>
      </w:r>
      <w:r>
        <w:rPr>
          <w:rFonts w:ascii="宋体" w:hAnsi="宋体" w:cs="宋体" w:hint="eastAsia"/>
          <w:b/>
          <w:bCs/>
          <w:szCs w:val="21"/>
        </w:rPr>
        <w:t>2</w:t>
      </w:r>
      <w:r>
        <w:rPr>
          <w:rFonts w:ascii="宋体" w:hAnsi="宋体" w:cs="宋体" w:hint="eastAsia"/>
          <w:szCs w:val="21"/>
        </w:rPr>
        <w:t>人。</w:t>
      </w:r>
    </w:p>
    <w:p>
      <w:pPr>
        <w:ind w:firstLine="420" w:firstLineChars="200"/>
        <w:rPr>
          <w:rFonts w:ascii="宋体" w:hAnsi="宋体" w:cs="宋体"/>
          <w:szCs w:val="21"/>
        </w:rPr>
      </w:pPr>
      <w:r>
        <w:rPr>
          <w:rFonts w:ascii="宋体" w:hAnsi="宋体" w:cs="宋体" w:hint="eastAsia"/>
          <w:szCs w:val="21"/>
        </w:rPr>
        <w:t>（二）具体程序：</w:t>
      </w:r>
    </w:p>
    <w:p>
      <w:pPr>
        <w:ind w:firstLine="420" w:firstLineChars="200"/>
        <w:rPr>
          <w:rFonts w:ascii="宋体" w:hAnsi="宋体" w:cs="宋体"/>
          <w:bCs/>
          <w:szCs w:val="21"/>
        </w:rPr>
      </w:pPr>
      <w:r>
        <w:rPr>
          <w:rFonts w:ascii="宋体" w:hAnsi="宋体" w:cs="宋体" w:hint="eastAsia"/>
          <w:szCs w:val="21"/>
        </w:rPr>
        <w:t>1、投标（谈判）供应商授权委托人</w:t>
      </w:r>
      <w:r>
        <w:rPr>
          <w:rFonts w:ascii="宋体" w:hAnsi="宋体" w:cs="宋体" w:hint="eastAsia"/>
          <w:bCs/>
          <w:szCs w:val="21"/>
        </w:rPr>
        <w:t>需在</w:t>
      </w:r>
      <w:r>
        <w:rPr>
          <w:rFonts w:ascii="宋体" w:hAnsi="宋体" w:cs="宋体" w:hint="eastAsia"/>
          <w:b/>
          <w:bCs/>
          <w:szCs w:val="21"/>
        </w:rPr>
        <w:t>现场演示签到截止时间前</w:t>
      </w:r>
      <w:r>
        <w:rPr>
          <w:rFonts w:ascii="宋体" w:hAnsi="宋体" w:cs="宋体" w:hint="eastAsia"/>
          <w:bCs/>
          <w:szCs w:val="21"/>
        </w:rPr>
        <w:t>，提供法定代表人（负责人）授权委托书（加盖公章）、授权委托人身份证（港澳台居民可提供来往通行证；非中国国籍管辖范围人员，可提供公安部门认可的身份证明材料，下同）原件，到</w:t>
      </w:r>
      <w:r>
        <w:rPr>
          <w:rFonts w:ascii="宋体" w:hAnsi="宋体" w:cs="宋体" w:hint="eastAsia"/>
          <w:b/>
          <w:szCs w:val="21"/>
        </w:rPr>
        <w:t>政府集中采购机构指定签到地点</w:t>
      </w:r>
      <w:r>
        <w:rPr>
          <w:rFonts w:ascii="宋体" w:hAnsi="宋体" w:cs="宋体" w:hint="eastAsia"/>
          <w:bCs/>
          <w:szCs w:val="21"/>
        </w:rPr>
        <w:t>按现场工作人员指引填写《</w:t>
      </w:r>
      <w:r>
        <w:rPr>
          <w:rFonts w:ascii="宋体" w:hAnsi="宋体" w:cs="宋体" w:hint="eastAsia"/>
          <w:szCs w:val="21"/>
        </w:rPr>
        <w:t>现场演示</w:t>
      </w:r>
      <w:r>
        <w:rPr>
          <w:rFonts w:ascii="宋体" w:hAnsi="宋体" w:cs="宋体" w:hint="eastAsia"/>
          <w:bCs/>
          <w:szCs w:val="21"/>
        </w:rPr>
        <w:t>签到表》。</w:t>
      </w:r>
    </w:p>
    <w:p>
      <w:pPr>
        <w:ind w:firstLine="420" w:firstLineChars="200"/>
        <w:rPr>
          <w:rFonts w:ascii="宋体" w:hAnsi="宋体" w:cs="宋体"/>
          <w:bCs/>
          <w:szCs w:val="21"/>
        </w:rPr>
      </w:pPr>
      <w:r>
        <w:rPr>
          <w:rFonts w:ascii="宋体" w:hAnsi="宋体" w:cs="宋体" w:hint="eastAsia"/>
          <w:bCs/>
          <w:szCs w:val="21"/>
        </w:rPr>
        <w:t>特别注意事项：（1）资料提供不齐全的，不予签到；（2）招标文件规定的演示时间后，不再受理签到；（3）未进行签到的人员，不能参与</w:t>
      </w:r>
      <w:r>
        <w:rPr>
          <w:rFonts w:ascii="宋体" w:hAnsi="宋体" w:cs="宋体" w:hint="eastAsia"/>
          <w:b/>
          <w:bCs/>
          <w:szCs w:val="21"/>
        </w:rPr>
        <w:t>现场演示</w:t>
      </w:r>
      <w:r>
        <w:rPr>
          <w:rFonts w:ascii="宋体" w:hAnsi="宋体" w:cs="宋体" w:hint="eastAsia"/>
          <w:bCs/>
          <w:szCs w:val="21"/>
        </w:rPr>
        <w:t>；</w:t>
      </w:r>
    </w:p>
    <w:p>
      <w:pPr>
        <w:ind w:firstLine="420" w:firstLineChars="200"/>
        <w:rPr>
          <w:rFonts w:ascii="宋体" w:hAnsi="宋体" w:cs="宋体"/>
          <w:kern w:val="0"/>
          <w:szCs w:val="21"/>
        </w:rPr>
      </w:pPr>
      <w:r>
        <w:rPr>
          <w:rFonts w:ascii="宋体" w:hAnsi="宋体" w:cs="宋体" w:hint="eastAsia"/>
          <w:szCs w:val="21"/>
        </w:rPr>
        <w:t>2、</w:t>
      </w:r>
      <w:r>
        <w:rPr>
          <w:rFonts w:ascii="宋体" w:hAnsi="宋体" w:cs="宋体" w:hint="eastAsia"/>
          <w:bCs/>
          <w:szCs w:val="21"/>
        </w:rPr>
        <w:t>签到截止时间</w:t>
      </w:r>
      <w:r>
        <w:rPr>
          <w:rFonts w:ascii="宋体" w:hAnsi="宋体" w:cs="宋体" w:hint="eastAsia"/>
          <w:kern w:val="0"/>
          <w:szCs w:val="21"/>
        </w:rPr>
        <w:t>后正式进行</w:t>
      </w:r>
      <w:r>
        <w:rPr>
          <w:rFonts w:ascii="宋体" w:hAnsi="宋体" w:cs="宋体" w:hint="eastAsia"/>
          <w:b/>
          <w:bCs/>
          <w:szCs w:val="21"/>
        </w:rPr>
        <w:t>现场演示</w:t>
      </w:r>
      <w:r>
        <w:rPr>
          <w:rFonts w:ascii="宋体" w:hAnsi="宋体" w:cs="宋体" w:hint="eastAsia"/>
          <w:kern w:val="0"/>
          <w:szCs w:val="21"/>
        </w:rPr>
        <w:t>。</w:t>
      </w:r>
      <w:r>
        <w:rPr>
          <w:rFonts w:ascii="宋体" w:hAnsi="宋体" w:cs="宋体" w:hint="eastAsia"/>
          <w:b/>
          <w:bCs/>
          <w:szCs w:val="21"/>
        </w:rPr>
        <w:t>现场演示</w:t>
      </w:r>
      <w:r>
        <w:rPr>
          <w:rFonts w:ascii="宋体" w:hAnsi="宋体" w:cs="宋体" w:hint="eastAsia"/>
          <w:kern w:val="0"/>
          <w:szCs w:val="21"/>
        </w:rPr>
        <w:t>正式开始前将进行身份核对；核对内容为</w:t>
      </w:r>
      <w:r>
        <w:rPr>
          <w:rFonts w:ascii="宋体" w:hAnsi="宋体" w:cs="宋体" w:hint="eastAsia"/>
          <w:b/>
          <w:bCs/>
          <w:szCs w:val="21"/>
        </w:rPr>
        <w:t>现场演示</w:t>
      </w:r>
      <w:r>
        <w:rPr>
          <w:rFonts w:ascii="宋体" w:hAnsi="宋体" w:cs="宋体" w:hint="eastAsia"/>
          <w:kern w:val="0"/>
          <w:szCs w:val="21"/>
        </w:rPr>
        <w:t>人员提供的“</w:t>
      </w:r>
      <w:r>
        <w:rPr>
          <w:rFonts w:ascii="宋体" w:hAnsi="宋体" w:cs="宋体" w:hint="eastAsia"/>
          <w:bCs/>
          <w:szCs w:val="21"/>
        </w:rPr>
        <w:t>法定代表人（负责人）授权委托书（加盖公章）、授权委托人身份证原件</w:t>
      </w:r>
      <w:r>
        <w:rPr>
          <w:rFonts w:ascii="宋体" w:hAnsi="宋体" w:cs="宋体" w:hint="eastAsia"/>
          <w:kern w:val="0"/>
          <w:szCs w:val="21"/>
        </w:rPr>
        <w:t>”。资料不齐全的人员，不得参与</w:t>
      </w:r>
      <w:r>
        <w:rPr>
          <w:rFonts w:ascii="宋体" w:hAnsi="宋体" w:cs="宋体" w:hint="eastAsia"/>
          <w:b/>
          <w:bCs/>
          <w:szCs w:val="21"/>
        </w:rPr>
        <w:t>现场演示</w:t>
      </w:r>
      <w:r>
        <w:rPr>
          <w:rFonts w:ascii="宋体" w:hAnsi="宋体" w:cs="宋体" w:hint="eastAsia"/>
          <w:kern w:val="0"/>
          <w:szCs w:val="21"/>
        </w:rPr>
        <w:t>。</w:t>
      </w:r>
    </w:p>
    <w:p>
      <w:pPr>
        <w:ind w:firstLine="420" w:firstLineChars="200"/>
        <w:rPr>
          <w:rFonts w:ascii="宋体" w:hAnsi="宋体" w:cs="宋体"/>
          <w:szCs w:val="21"/>
        </w:rPr>
      </w:pPr>
      <w:r>
        <w:rPr>
          <w:rFonts w:ascii="宋体" w:hAnsi="宋体" w:cs="宋体" w:hint="eastAsia"/>
          <w:szCs w:val="21"/>
        </w:rPr>
        <w:t>（三）其他现场演示规则：</w:t>
      </w:r>
    </w:p>
    <w:p>
      <w:pPr>
        <w:ind w:firstLine="393" w:firstLineChars="187"/>
        <w:rPr>
          <w:rFonts w:ascii="宋体" w:hAnsi="宋体" w:cs="宋体"/>
          <w:szCs w:val="21"/>
        </w:rPr>
      </w:pPr>
      <w:r>
        <w:rPr>
          <w:rFonts w:ascii="宋体" w:hAnsi="宋体" w:cs="宋体" w:hint="eastAsia"/>
          <w:szCs w:val="21"/>
        </w:rPr>
        <w:t>A.参加本次</w:t>
      </w:r>
      <w:r>
        <w:rPr>
          <w:rFonts w:ascii="宋体" w:hAnsi="宋体" w:cs="宋体" w:hint="eastAsia"/>
          <w:b/>
          <w:bCs/>
          <w:szCs w:val="21"/>
        </w:rPr>
        <w:t>现场演示</w:t>
      </w:r>
      <w:r>
        <w:rPr>
          <w:rFonts w:ascii="宋体" w:hAnsi="宋体" w:cs="宋体" w:hint="eastAsia"/>
          <w:szCs w:val="21"/>
        </w:rPr>
        <w:t>的各投标（谈判）供应商，均认为本次</w:t>
      </w:r>
      <w:r>
        <w:rPr>
          <w:rFonts w:ascii="宋体" w:hAnsi="宋体" w:cs="宋体" w:hint="eastAsia"/>
          <w:b/>
          <w:bCs/>
          <w:szCs w:val="21"/>
        </w:rPr>
        <w:t>现场演示</w:t>
      </w:r>
      <w:r>
        <w:rPr>
          <w:rFonts w:ascii="宋体" w:hAnsi="宋体" w:cs="宋体" w:hint="eastAsia"/>
          <w:szCs w:val="21"/>
        </w:rPr>
        <w:t>的程序和环境能够满足</w:t>
      </w:r>
      <w:r>
        <w:rPr>
          <w:rFonts w:ascii="宋体" w:hAnsi="宋体" w:cs="宋体" w:hint="eastAsia"/>
          <w:b/>
          <w:bCs/>
          <w:szCs w:val="21"/>
        </w:rPr>
        <w:t>现场演示</w:t>
      </w:r>
      <w:r>
        <w:rPr>
          <w:rFonts w:ascii="宋体" w:hAnsi="宋体" w:cs="宋体" w:hint="eastAsia"/>
          <w:szCs w:val="21"/>
        </w:rPr>
        <w:t>基本条件，并对本</w:t>
      </w:r>
      <w:r>
        <w:rPr>
          <w:rFonts w:ascii="宋体" w:hAnsi="宋体" w:cs="宋体" w:hint="eastAsia"/>
          <w:b/>
          <w:bCs/>
          <w:szCs w:val="21"/>
        </w:rPr>
        <w:t>现场演示</w:t>
      </w:r>
      <w:r>
        <w:rPr>
          <w:rFonts w:ascii="宋体" w:hAnsi="宋体" w:cs="宋体" w:hint="eastAsia"/>
          <w:szCs w:val="21"/>
        </w:rPr>
        <w:t>方案要求内的各项规定不做事后异议，且能够严格遵守相关规定。</w:t>
      </w:r>
    </w:p>
    <w:p>
      <w:pPr>
        <w:ind w:firstLine="393" w:firstLineChars="187"/>
        <w:rPr>
          <w:rFonts w:ascii="宋体" w:hAnsi="宋体" w:cs="宋体"/>
          <w:szCs w:val="21"/>
        </w:rPr>
      </w:pPr>
      <w:r>
        <w:rPr>
          <w:rFonts w:ascii="宋体" w:hAnsi="宋体" w:cs="宋体" w:hint="eastAsia"/>
          <w:szCs w:val="21"/>
        </w:rPr>
        <w:t>B.</w:t>
      </w:r>
      <w:r>
        <w:rPr>
          <w:rFonts w:ascii="宋体" w:hAnsi="宋体" w:cs="宋体" w:hint="eastAsia"/>
          <w:b/>
          <w:bCs/>
          <w:szCs w:val="21"/>
        </w:rPr>
        <w:t>现场演示可以</w:t>
      </w:r>
      <w:r>
        <w:rPr>
          <w:rFonts w:ascii="宋体" w:hAnsi="宋体" w:cs="宋体" w:hint="eastAsia"/>
          <w:szCs w:val="21"/>
        </w:rPr>
        <w:t>在评审前进行。</w:t>
      </w:r>
      <w:r>
        <w:rPr>
          <w:rFonts w:ascii="宋体" w:hAnsi="宋体" w:cs="宋体" w:hint="eastAsia"/>
          <w:b/>
          <w:bCs/>
          <w:szCs w:val="21"/>
        </w:rPr>
        <w:t>现场演示</w:t>
      </w:r>
      <w:r>
        <w:rPr>
          <w:rFonts w:ascii="宋体" w:hAnsi="宋体" w:cs="宋体" w:hint="eastAsia"/>
          <w:szCs w:val="21"/>
        </w:rPr>
        <w:t>原则上</w:t>
      </w:r>
      <w:r>
        <w:rPr>
          <w:rFonts w:ascii="宋体" w:hAnsi="宋体" w:cs="宋体" w:hint="eastAsia"/>
          <w:b/>
          <w:bCs/>
          <w:szCs w:val="21"/>
        </w:rPr>
        <w:t>按签到顺序</w:t>
      </w:r>
      <w:r>
        <w:rPr>
          <w:rFonts w:ascii="宋体" w:hAnsi="宋体" w:cs="宋体" w:hint="eastAsia"/>
          <w:szCs w:val="21"/>
        </w:rPr>
        <w:t>依次进行（经评委同意，可以酌情进行调整）。一个供应商一次性</w:t>
      </w:r>
      <w:r>
        <w:rPr>
          <w:rFonts w:ascii="宋体" w:hAnsi="宋体" w:cs="宋体" w:hint="eastAsia"/>
          <w:b/>
          <w:bCs/>
          <w:szCs w:val="21"/>
        </w:rPr>
        <w:t>现场演示</w:t>
      </w:r>
      <w:r>
        <w:rPr>
          <w:rFonts w:ascii="宋体" w:hAnsi="宋体" w:cs="宋体" w:hint="eastAsia"/>
          <w:szCs w:val="21"/>
        </w:rPr>
        <w:t>完毕。一个供应商在进行</w:t>
      </w:r>
      <w:r>
        <w:rPr>
          <w:rFonts w:ascii="宋体" w:hAnsi="宋体" w:cs="宋体" w:hint="eastAsia"/>
          <w:b/>
          <w:bCs/>
          <w:szCs w:val="21"/>
        </w:rPr>
        <w:t>现场演示</w:t>
      </w:r>
      <w:r>
        <w:rPr>
          <w:rFonts w:ascii="宋体" w:hAnsi="宋体" w:cs="宋体" w:hint="eastAsia"/>
          <w:szCs w:val="21"/>
        </w:rPr>
        <w:t>时，其他供应商不得进入现场。</w:t>
      </w:r>
      <w:r>
        <w:rPr>
          <w:rFonts w:ascii="宋体" w:hAnsi="宋体" w:cs="宋体" w:hint="eastAsia"/>
          <w:b/>
          <w:bCs/>
          <w:szCs w:val="21"/>
        </w:rPr>
        <w:t>现场演示</w:t>
      </w:r>
      <w:r>
        <w:rPr>
          <w:rFonts w:ascii="宋体" w:hAnsi="宋体" w:cs="宋体" w:hint="eastAsia"/>
          <w:szCs w:val="21"/>
        </w:rPr>
        <w:t>期间，评委可视情况对讲解人员进行提问。</w:t>
      </w:r>
    </w:p>
    <w:p>
      <w:pPr>
        <w:ind w:firstLine="393" w:firstLineChars="187"/>
        <w:rPr>
          <w:rFonts w:ascii="宋体" w:hAnsi="宋体" w:cs="宋体"/>
          <w:szCs w:val="21"/>
        </w:rPr>
      </w:pPr>
      <w:r>
        <w:rPr>
          <w:rFonts w:ascii="宋体" w:hAnsi="宋体" w:cs="宋体" w:hint="eastAsia"/>
          <w:szCs w:val="21"/>
        </w:rPr>
        <w:t>C.投标人对本次</w:t>
      </w:r>
      <w:r>
        <w:rPr>
          <w:rFonts w:ascii="宋体" w:hAnsi="宋体" w:cs="宋体" w:hint="eastAsia"/>
          <w:b/>
          <w:bCs/>
          <w:szCs w:val="21"/>
        </w:rPr>
        <w:t>现场演示</w:t>
      </w:r>
      <w:r>
        <w:rPr>
          <w:rFonts w:ascii="宋体" w:hAnsi="宋体" w:cs="宋体" w:hint="eastAsia"/>
          <w:szCs w:val="21"/>
        </w:rPr>
        <w:t>条件的不确定性疑虑应在开始前做书面表达，若所有疑虑不能完全消除，并认为</w:t>
      </w:r>
      <w:r>
        <w:rPr>
          <w:rFonts w:ascii="宋体" w:hAnsi="宋体" w:cs="宋体" w:hint="eastAsia"/>
          <w:b/>
          <w:bCs/>
          <w:szCs w:val="21"/>
        </w:rPr>
        <w:t>现场演示</w:t>
      </w:r>
      <w:r>
        <w:rPr>
          <w:rFonts w:ascii="宋体" w:hAnsi="宋体" w:cs="宋体" w:hint="eastAsia"/>
          <w:szCs w:val="21"/>
        </w:rPr>
        <w:t>结果仍会产生误判，则可以退出</w:t>
      </w:r>
      <w:r>
        <w:rPr>
          <w:rFonts w:ascii="宋体" w:hAnsi="宋体" w:cs="宋体" w:hint="eastAsia"/>
          <w:b/>
          <w:bCs/>
          <w:szCs w:val="21"/>
        </w:rPr>
        <w:t>现场演示</w:t>
      </w:r>
      <w:r>
        <w:rPr>
          <w:rFonts w:ascii="宋体" w:hAnsi="宋体" w:cs="宋体" w:hint="eastAsia"/>
          <w:szCs w:val="21"/>
        </w:rPr>
        <w:t>。</w:t>
      </w:r>
    </w:p>
    <w:p>
      <w:pPr>
        <w:ind w:firstLine="393" w:firstLineChars="187"/>
        <w:rPr>
          <w:rFonts w:ascii="宋体" w:hAnsi="宋体" w:cs="宋体"/>
          <w:szCs w:val="21"/>
        </w:rPr>
      </w:pPr>
      <w:r>
        <w:rPr>
          <w:rFonts w:ascii="宋体" w:hAnsi="宋体" w:cs="宋体" w:hint="eastAsia"/>
          <w:szCs w:val="21"/>
        </w:rPr>
        <w:t>D.由于</w:t>
      </w:r>
      <w:r>
        <w:rPr>
          <w:rFonts w:ascii="宋体" w:hAnsi="宋体" w:cs="宋体" w:hint="eastAsia"/>
          <w:b/>
          <w:bCs/>
          <w:szCs w:val="21"/>
        </w:rPr>
        <w:t>现场演示</w:t>
      </w:r>
      <w:r>
        <w:rPr>
          <w:rFonts w:ascii="宋体" w:hAnsi="宋体" w:cs="宋体" w:hint="eastAsia"/>
          <w:szCs w:val="21"/>
        </w:rPr>
        <w:t>时间有限，投标人同意承担其现场演示结果不确定性的风险，即同意专家以方案讲解情况的判定结论。</w:t>
      </w:r>
    </w:p>
    <w:p>
      <w:pPr>
        <w:ind w:firstLine="393" w:firstLineChars="187"/>
        <w:rPr>
          <w:rFonts w:ascii="宋体" w:hAnsi="宋体" w:cs="宋体"/>
          <w:szCs w:val="21"/>
        </w:rPr>
      </w:pPr>
      <w:r>
        <w:rPr>
          <w:rFonts w:ascii="宋体" w:hAnsi="宋体" w:cs="宋体" w:hint="eastAsia"/>
          <w:szCs w:val="21"/>
        </w:rPr>
        <w:t>E.本次</w:t>
      </w:r>
      <w:r>
        <w:rPr>
          <w:rFonts w:ascii="宋体" w:hAnsi="宋体" w:cs="宋体" w:hint="eastAsia"/>
          <w:b/>
          <w:bCs/>
          <w:szCs w:val="21"/>
        </w:rPr>
        <w:t>现场演示</w:t>
      </w:r>
      <w:r>
        <w:rPr>
          <w:rFonts w:ascii="宋体" w:hAnsi="宋体" w:cs="宋体" w:hint="eastAsia"/>
          <w:szCs w:val="21"/>
        </w:rPr>
        <w:t>的结果，仅对本项目评审委员会（谈判小组）负责，无义务向其余各方出具方案讲解结果。</w:t>
      </w:r>
    </w:p>
    <w:p>
      <w:pPr>
        <w:ind w:firstLine="420" w:firstLineChars="200"/>
        <w:rPr>
          <w:rFonts w:ascii="宋体" w:hAnsi="宋体" w:cs="宋体"/>
          <w:szCs w:val="21"/>
        </w:rPr>
      </w:pPr>
      <w:r>
        <w:rPr>
          <w:rFonts w:ascii="宋体" w:hAnsi="宋体" w:cs="宋体" w:hint="eastAsia"/>
          <w:szCs w:val="21"/>
        </w:rPr>
        <w:t>F.风险及费用说明：各项费用由供应商自理、风险自负。</w:t>
      </w:r>
    </w:p>
    <w:p>
      <w:pPr>
        <w:ind w:firstLine="420" w:firstLineChars="200"/>
        <w:rPr>
          <w:rFonts w:ascii="宋体" w:hAnsi="宋体" w:cs="宋体"/>
          <w:szCs w:val="21"/>
        </w:rPr>
      </w:pPr>
      <w:r>
        <w:rPr>
          <w:rFonts w:ascii="宋体" w:hAnsi="宋体" w:cs="宋体" w:hint="eastAsia"/>
          <w:szCs w:val="21"/>
        </w:rPr>
        <w:t>（四）演示内容及要求表：</w:t>
      </w:r>
    </w:p>
    <w:tbl>
      <w:tblPr>
        <w:tblStyle w:val="TableNormal"/>
        <w:tblpPr w:leftFromText="180" w:rightFromText="180" w:vertAnchor="text" w:horzAnchor="page" w:tblpX="2111" w:tblpY="59"/>
        <w:tblOverlap w:val="never"/>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2336"/>
        <w:gridCol w:w="2787"/>
        <w:gridCol w:w="2161"/>
      </w:tblGrid>
      <w:tr>
        <w:tblPrEx>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75"/>
        </w:trPr>
        <w:tc>
          <w:tcPr>
            <w:tcW w:w="674" w:type="dxa"/>
            <w:vAlign w:val="center"/>
          </w:tcPr>
          <w:p>
            <w:pPr>
              <w:jc w:val="center"/>
              <w:rPr>
                <w:rFonts w:ascii="宋体" w:hAnsi="宋体" w:cs="宋体"/>
                <w:b/>
                <w:szCs w:val="21"/>
              </w:rPr>
            </w:pPr>
            <w:r>
              <w:rPr>
                <w:rFonts w:ascii="宋体" w:hAnsi="宋体" w:cs="宋体" w:hint="eastAsia"/>
                <w:b/>
                <w:szCs w:val="21"/>
              </w:rPr>
              <w:t>序号</w:t>
            </w:r>
          </w:p>
        </w:tc>
        <w:tc>
          <w:tcPr>
            <w:tcW w:w="2336" w:type="dxa"/>
            <w:vAlign w:val="center"/>
          </w:tcPr>
          <w:p>
            <w:pPr>
              <w:jc w:val="center"/>
              <w:rPr>
                <w:rFonts w:ascii="宋体" w:hAnsi="宋体" w:cs="宋体"/>
                <w:b/>
                <w:szCs w:val="21"/>
              </w:rPr>
            </w:pPr>
            <w:r>
              <w:rPr>
                <w:rFonts w:ascii="宋体" w:hAnsi="宋体" w:cs="宋体" w:hint="eastAsia"/>
                <w:b/>
                <w:szCs w:val="21"/>
              </w:rPr>
              <w:t>演示项目</w:t>
            </w:r>
          </w:p>
        </w:tc>
        <w:tc>
          <w:tcPr>
            <w:tcW w:w="2787" w:type="dxa"/>
            <w:vAlign w:val="center"/>
          </w:tcPr>
          <w:p>
            <w:pPr>
              <w:jc w:val="center"/>
              <w:rPr>
                <w:rFonts w:ascii="宋体" w:hAnsi="宋体" w:cs="宋体"/>
                <w:b/>
                <w:szCs w:val="21"/>
              </w:rPr>
            </w:pPr>
            <w:r>
              <w:rPr>
                <w:rFonts w:ascii="宋体" w:hAnsi="宋体" w:cs="宋体" w:hint="eastAsia"/>
                <w:b/>
                <w:szCs w:val="21"/>
              </w:rPr>
              <w:t>演示形式要求</w:t>
            </w:r>
          </w:p>
        </w:tc>
        <w:tc>
          <w:tcPr>
            <w:tcW w:w="2161" w:type="dxa"/>
            <w:vAlign w:val="center"/>
          </w:tcPr>
          <w:p>
            <w:pPr>
              <w:jc w:val="center"/>
              <w:rPr>
                <w:rFonts w:ascii="宋体" w:hAnsi="宋体" w:cs="宋体"/>
                <w:b/>
                <w:szCs w:val="21"/>
              </w:rPr>
            </w:pPr>
            <w:r>
              <w:rPr>
                <w:rFonts w:ascii="宋体" w:hAnsi="宋体" w:cs="宋体" w:hint="eastAsia"/>
                <w:b/>
                <w:szCs w:val="21"/>
              </w:rPr>
              <w:t>演示具体内容要求</w:t>
            </w:r>
          </w:p>
        </w:tc>
      </w:tr>
      <w:tr>
        <w:tblPrEx>
          <w:tblW w:w="7958" w:type="dxa"/>
          <w:tblInd w:w="0" w:type="dxa"/>
          <w:tblLayout w:type="fixed"/>
          <w:tblCellMar>
            <w:top w:w="0" w:type="dxa"/>
            <w:left w:w="108" w:type="dxa"/>
            <w:bottom w:w="0" w:type="dxa"/>
            <w:right w:w="108" w:type="dxa"/>
          </w:tblCellMar>
        </w:tblPrEx>
        <w:trPr>
          <w:trHeight w:val="1476"/>
        </w:trPr>
        <w:tc>
          <w:tcPr>
            <w:tcW w:w="674" w:type="dxa"/>
            <w:vAlign w:val="center"/>
          </w:tcPr>
          <w:p>
            <w:pPr>
              <w:jc w:val="center"/>
              <w:rPr>
                <w:rFonts w:ascii="宋体" w:hAnsi="宋体" w:cs="宋体"/>
                <w:szCs w:val="21"/>
              </w:rPr>
            </w:pPr>
            <w:r>
              <w:rPr>
                <w:rFonts w:ascii="宋体" w:hAnsi="宋体" w:cs="宋体" w:hint="eastAsia"/>
                <w:szCs w:val="21"/>
              </w:rPr>
              <w:t>1</w:t>
            </w:r>
          </w:p>
        </w:tc>
        <w:tc>
          <w:tcPr>
            <w:tcW w:w="2336" w:type="dxa"/>
            <w:vAlign w:val="center"/>
          </w:tcPr>
          <w:p>
            <w:pPr>
              <w:jc w:val="center"/>
              <w:rPr>
                <w:rFonts w:ascii="宋体" w:hAnsi="宋体" w:cs="宋体"/>
                <w:szCs w:val="21"/>
              </w:rPr>
            </w:pPr>
            <w:r>
              <w:rPr>
                <w:rFonts w:ascii="宋体" w:hAnsi="宋体" w:cs="宋体" w:hint="eastAsia"/>
                <w:szCs w:val="21"/>
              </w:rPr>
              <w:t>具体演示内容详见评标信息“演示”中的“评分准则”</w:t>
            </w:r>
          </w:p>
        </w:tc>
        <w:tc>
          <w:tcPr>
            <w:tcW w:w="2787" w:type="dxa"/>
            <w:vAlign w:val="center"/>
          </w:tcPr>
          <w:p>
            <w:pPr>
              <w:jc w:val="left"/>
              <w:rPr>
                <w:rFonts w:ascii="宋体" w:hAnsi="宋体" w:cs="宋体"/>
                <w:szCs w:val="21"/>
              </w:rPr>
            </w:pPr>
            <w:r>
              <w:rPr>
                <w:rFonts w:ascii="宋体" w:hAnsi="宋体" w:cs="宋体" w:hint="eastAsia"/>
                <w:szCs w:val="21"/>
              </w:rPr>
              <w:t>1、以上演示内容，如投标人通过可运行(操作)系统进行现场演示，每演示一个项并符合要求的得34分，3项演示全部符合要求的得100分，本小项最高得100分</w:t>
            </w:r>
          </w:p>
          <w:p>
            <w:pPr>
              <w:jc w:val="left"/>
              <w:rPr>
                <w:rFonts w:ascii="宋体" w:hAnsi="宋体" w:cs="宋体"/>
                <w:szCs w:val="21"/>
              </w:rPr>
            </w:pPr>
            <w:r>
              <w:rPr>
                <w:rFonts w:ascii="宋体" w:hAnsi="宋体" w:cs="宋体" w:hint="eastAsia"/>
                <w:szCs w:val="21"/>
              </w:rPr>
              <w:t>2、以上演示内容,如投标人通过原型系统方式进行现场演示,每演示一个项并符合要求的得 15 分,本小项最高得45分；</w:t>
            </w:r>
          </w:p>
          <w:p>
            <w:pPr>
              <w:jc w:val="left"/>
              <w:rPr>
                <w:rFonts w:ascii="宋体" w:hAnsi="宋体" w:cs="宋体"/>
                <w:szCs w:val="21"/>
              </w:rPr>
            </w:pPr>
            <w:r>
              <w:rPr>
                <w:rFonts w:ascii="宋体" w:hAnsi="宋体" w:cs="宋体" w:hint="eastAsia"/>
                <w:szCs w:val="21"/>
              </w:rPr>
              <w:t>3、以上演示内容，如采用静态页面、视频、ppt演示的不得分。</w:t>
            </w:r>
          </w:p>
          <w:p>
            <w:pPr>
              <w:jc w:val="left"/>
              <w:rPr>
                <w:rFonts w:ascii="宋体" w:hAnsi="宋体" w:cs="宋体"/>
                <w:szCs w:val="21"/>
              </w:rPr>
            </w:pPr>
            <w:r>
              <w:rPr>
                <w:rFonts w:ascii="宋体" w:hAnsi="宋体" w:cs="宋体" w:hint="eastAsia"/>
                <w:szCs w:val="21"/>
              </w:rPr>
              <w:t>4、演示内容是否满足评分要求，由评审委员会判断，如出现判断意见不一致的，按照“少数服从多数”的原则确定评审委员会的统一意见。</w:t>
            </w:r>
          </w:p>
        </w:tc>
        <w:tc>
          <w:tcPr>
            <w:tcW w:w="2161" w:type="dxa"/>
            <w:vAlign w:val="center"/>
          </w:tcPr>
          <w:p>
            <w:pPr>
              <w:jc w:val="center"/>
              <w:rPr>
                <w:rFonts w:ascii="宋体" w:hAnsi="宋体" w:cs="宋体"/>
                <w:szCs w:val="21"/>
              </w:rPr>
            </w:pPr>
            <w:r>
              <w:rPr>
                <w:rFonts w:ascii="宋体" w:hAnsi="宋体" w:cs="宋体" w:hint="eastAsia"/>
                <w:szCs w:val="21"/>
              </w:rPr>
              <w:t>具体演示内容详见评标信息“演示”中的“评分准则”</w:t>
            </w:r>
          </w:p>
        </w:tc>
      </w:tr>
    </w:tbl>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rPr>
        <w:t>4、除政府采购合同继续履行将损害国家利益和社会公共利益外，双方当事人不得擅自变更、中止或者终止合同。</w:t>
      </w:r>
    </w:p>
    <w:p>
      <w:pPr>
        <w:ind w:firstLine="420" w:firstLineChars="200"/>
        <w:rPr>
          <w:bCs/>
          <w:szCs w:val="21"/>
        </w:rPr>
      </w:pPr>
      <w:r>
        <w:rPr>
          <w:rFonts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3" w:name="_Hlk72070784"/>
      <w:r>
        <w:rPr>
          <w:rFonts w:hint="eastAsia"/>
          <w:szCs w:val="21"/>
        </w:rPr>
        <w:t>投标函</w:t>
      </w:r>
      <w:bookmarkEnd w:id="33"/>
      <w:r>
        <w:rPr>
          <w:rFonts w:hint="eastAsia"/>
          <w:szCs w:val="21"/>
        </w:rPr>
        <w:t>；</w:t>
      </w:r>
    </w:p>
    <w:p>
      <w:pPr>
        <w:ind w:left="718" w:firstLine="1418" w:leftChars="342" w:firstLineChars="675"/>
        <w:rPr>
          <w:szCs w:val="21"/>
        </w:rPr>
      </w:pPr>
      <w:r>
        <w:rPr>
          <w:rFonts w:hint="eastAsia"/>
          <w:szCs w:val="21"/>
        </w:rPr>
        <w:t>（2）</w:t>
      </w:r>
      <w:bookmarkStart w:id="34" w:name="_Hlk72062521"/>
      <w:r>
        <w:rPr>
          <w:rFonts w:hint="eastAsia"/>
          <w:szCs w:val="21"/>
        </w:rPr>
        <w:t>政府采购投标及履约承诺函</w:t>
      </w:r>
      <w:bookmarkEnd w:id="34"/>
      <w:r>
        <w:rPr>
          <w:rFonts w:hint="eastAsia"/>
          <w:szCs w:val="21"/>
        </w:rPr>
        <w:t>；</w:t>
      </w:r>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35" w:name="_Hlk72257201"/>
      <w:r>
        <w:rPr>
          <w:rFonts w:hint="eastAsia"/>
          <w:szCs w:val="21"/>
        </w:rPr>
        <w:t>（</w:t>
      </w:r>
      <w:r>
        <w:rPr>
          <w:szCs w:val="21"/>
        </w:rPr>
        <w:t>4</w:t>
      </w:r>
      <w:r>
        <w:rPr>
          <w:rFonts w:hint="eastAsia"/>
          <w:szCs w:val="21"/>
        </w:rPr>
        <w:t>）</w:t>
      </w:r>
      <w:bookmarkEnd w:id="35"/>
      <w:r>
        <w:rPr>
          <w:rFonts w:hint="eastAsia"/>
          <w:szCs w:val="21"/>
        </w:rPr>
        <w:t>项目详细报价；</w:t>
      </w:r>
    </w:p>
    <w:p>
      <w:pPr>
        <w:ind w:left="718" w:firstLine="1418" w:leftChars="342" w:firstLineChars="675"/>
        <w:rPr>
          <w:szCs w:val="21"/>
        </w:rPr>
      </w:pPr>
      <w:r>
        <w:rPr>
          <w:rFonts w:hint="eastAsia"/>
          <w:szCs w:val="21"/>
        </w:rPr>
        <w:t>（5）项目经验情况；</w:t>
      </w:r>
    </w:p>
    <w:p>
      <w:pPr>
        <w:ind w:left="718" w:firstLine="1418" w:leftChars="342" w:firstLineChars="675"/>
        <w:rPr>
          <w:szCs w:val="21"/>
        </w:rPr>
      </w:pPr>
      <w:r>
        <w:rPr>
          <w:rFonts w:hint="eastAsia"/>
          <w:szCs w:val="21"/>
        </w:rPr>
        <w:t>（6）企业资质及认证情况；</w:t>
      </w:r>
    </w:p>
    <w:p>
      <w:pPr>
        <w:ind w:left="718" w:firstLine="1418" w:leftChars="342" w:firstLineChars="675"/>
        <w:rPr>
          <w:szCs w:val="21"/>
        </w:rPr>
      </w:pPr>
      <w:r>
        <w:rPr>
          <w:rFonts w:hint="eastAsia"/>
          <w:szCs w:val="21"/>
        </w:rPr>
        <w:t>（7）投标人自主知识产权产品（创新、设计）情况；</w:t>
      </w:r>
    </w:p>
    <w:p>
      <w:pPr>
        <w:ind w:left="718" w:firstLine="1418" w:leftChars="342" w:firstLineChars="675"/>
        <w:rPr>
          <w:szCs w:val="21"/>
        </w:rPr>
      </w:pPr>
      <w:r>
        <w:rPr>
          <w:rFonts w:ascii="宋体" w:hAnsi="宋体" w:hint="eastAsia"/>
          <w:szCs w:val="21"/>
        </w:rPr>
        <w:t>（8）</w:t>
      </w:r>
      <w:r>
        <w:rPr>
          <w:rFonts w:hint="eastAsia"/>
          <w:szCs w:val="21"/>
        </w:rPr>
        <w:t>投标人认为需要加以说明的其他内容</w:t>
      </w:r>
    </w:p>
    <w:p>
      <w:pPr>
        <w:ind w:left="718" w:firstLine="1418" w:leftChars="342" w:firstLineChars="675"/>
        <w:rPr>
          <w:rFonts w:ascii="宋体" w:hAnsi="宋体"/>
          <w:szCs w:val="21"/>
        </w:rPr>
      </w:pPr>
    </w:p>
    <w:p>
      <w:pPr>
        <w:ind w:firstLine="1050" w:firstLineChars="50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r>
        <w:rPr>
          <w:rFonts w:hint="eastAsia"/>
          <w:szCs w:val="21"/>
        </w:rPr>
        <w:t>；</w:t>
      </w:r>
    </w:p>
    <w:p>
      <w:pPr>
        <w:ind w:left="718" w:firstLine="1418" w:leftChars="342" w:firstLineChars="675"/>
        <w:rPr>
          <w:szCs w:val="21"/>
        </w:rPr>
      </w:pPr>
      <w:r>
        <w:rPr>
          <w:rFonts w:hint="eastAsia"/>
          <w:szCs w:val="21"/>
        </w:rPr>
        <w:t>（4）技术方案评价；</w:t>
      </w:r>
    </w:p>
    <w:p>
      <w:pPr>
        <w:ind w:left="718" w:firstLine="1418" w:leftChars="342" w:firstLineChars="675"/>
        <w:rPr>
          <w:szCs w:val="21"/>
        </w:rPr>
      </w:pPr>
      <w:r>
        <w:rPr>
          <w:rFonts w:hint="eastAsia"/>
          <w:szCs w:val="21"/>
        </w:rPr>
        <w:t>（5）质量保证评价；</w:t>
      </w:r>
    </w:p>
    <w:p>
      <w:pPr>
        <w:ind w:left="718" w:firstLine="1418" w:leftChars="342" w:firstLineChars="675"/>
        <w:rPr>
          <w:szCs w:val="21"/>
        </w:rPr>
      </w:pPr>
      <w:r>
        <w:rPr>
          <w:rFonts w:hint="eastAsia"/>
          <w:szCs w:val="21"/>
        </w:rPr>
        <w:t>（6）拟安排的项目负责人情况（仅限一人）；</w:t>
      </w:r>
    </w:p>
    <w:p>
      <w:pPr>
        <w:ind w:left="718" w:firstLine="1418" w:leftChars="342" w:firstLineChars="675"/>
        <w:rPr>
          <w:szCs w:val="21"/>
        </w:rPr>
      </w:pPr>
      <w:r>
        <w:rPr>
          <w:rFonts w:hint="eastAsia"/>
          <w:szCs w:val="21"/>
        </w:rPr>
        <w:t>（7）拟安排的项目团队成员情况（项目负责人除外）；</w:t>
      </w:r>
    </w:p>
    <w:p>
      <w:pPr>
        <w:ind w:left="718" w:firstLine="1418" w:leftChars="342" w:firstLineChars="675"/>
      </w:pPr>
      <w:r>
        <w:rPr>
          <w:rFonts w:hint="eastAsia"/>
          <w:szCs w:val="21"/>
        </w:rPr>
        <w:t>（8）投标人认为需要加以说明的其他内容。</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36" w:name="_Hlk73818812"/>
      <w:r>
        <w:rPr>
          <w:rFonts w:hint="eastAsia"/>
          <w:szCs w:val="21"/>
        </w:rPr>
        <w:t>1、根据已收到贵单位的项目编号为</w:t>
      </w:r>
      <w:r>
        <w:rPr>
          <w:rFonts w:hint="eastAsia"/>
          <w:szCs w:val="21"/>
          <w:u w:val="thick"/>
        </w:rPr>
        <w:t xml:space="preserve">    xxx（项目编号）xxx    </w:t>
      </w:r>
      <w:r>
        <w:rPr>
          <w:rFonts w:hint="eastAsia"/>
          <w:szCs w:val="21"/>
        </w:rPr>
        <w:t>的</w:t>
      </w:r>
      <w:r>
        <w:rPr>
          <w:rFonts w:hint="eastAsia"/>
          <w:szCs w:val="21"/>
          <w:u w:val="thick"/>
        </w:rPr>
        <w:t xml:space="preserve">     xxx（项目名称）xxx        </w:t>
      </w:r>
      <w:r>
        <w:rPr>
          <w:rFonts w:hint="eastAsia"/>
          <w:szCs w:val="21"/>
        </w:rPr>
        <w:t>项目的招标文件，遵照《深圳经济特区政府采购条例》和《深圳网上政府采购管理暂行办法》等有关规定，我单位经研究上述招标文件的专用条款及通用条款后，</w:t>
      </w:r>
      <w:bookmarkStart w:id="37" w:name="_Hlk72263588"/>
      <w:r>
        <w:rPr>
          <w:rFonts w:hint="eastAsia"/>
          <w:szCs w:val="21"/>
        </w:rPr>
        <w:t>愿意按照招标文件要求承包上述项目并修补其任何缺陷。</w:t>
      </w:r>
      <w:bookmarkEnd w:id="37"/>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szCs w:val="21"/>
        </w:rPr>
      </w:pPr>
      <w:r>
        <w:rPr>
          <w:rFonts w:ascii="宋体" w:hAnsi="宋体" w:hint="eastAsia"/>
          <w:szCs w:val="21"/>
        </w:rPr>
        <w:t>6、我单位理解贵单位将不受必须接受所收到的最低报价或其它任何投标文件的约束。</w:t>
      </w:r>
      <w:bookmarkEnd w:id="36"/>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  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pPr>
      <w:r>
        <w:rPr>
          <w:rFonts w:hint="eastAsia"/>
          <w:color w:val="FF0000"/>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9.我单位承诺中标后项目不转包，未经采购人同意不进行分包。</w:t>
      </w:r>
    </w:p>
    <w:p>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 生态环境部 工业和信息化部关于印发&lt;绿色数据中心政府采购需求标准（试行）&gt;的通知》（财库〔2023〕7号）要求。若所投产品涉及国家强制性标准的，所投产品应符合国家强制性标准相关要求。</w:t>
      </w:r>
    </w:p>
    <w:p>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pPr>
        <w:ind w:firstLine="420" w:firstLineChars="200"/>
        <w:rPr>
          <w:rFonts w:ascii="宋体" w:hAnsi="宋体"/>
          <w:bCs/>
        </w:rPr>
      </w:pPr>
      <w:r>
        <w:rPr>
          <w:rFonts w:ascii="宋体" w:hAnsi="宋体" w:hint="eastAsia"/>
          <w:bCs/>
        </w:rPr>
        <w:t>13.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pPr>
        <w:ind w:firstLine="420" w:firstLineChars="200"/>
        <w:rPr>
          <w:rFonts w:ascii="宋体" w:hAnsi="宋体"/>
          <w:b/>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Cs/>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rPr>
          <w:rFonts w:ascii="黑体" w:eastAsia="黑体" w:hAnsi="宋体"/>
          <w:bCs/>
          <w:kern w:val="0"/>
          <w:sz w:val="24"/>
          <w:szCs w:val="32"/>
        </w:rPr>
      </w:pP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38"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38"/>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w:t>
      </w:r>
      <w:r>
        <w:rPr>
          <w:rFonts w:ascii="黑体" w:eastAsia="黑体" w:hAnsi="宋体" w:hint="eastAsia"/>
          <w:bCs/>
          <w:color w:val="0000FF"/>
          <w:kern w:val="0"/>
          <w:szCs w:val="21"/>
        </w:rPr>
        <w:t>以招标文件第一册第三章用户需求书“服务需求明细”的“服务需求名称”一栏为准</w:t>
      </w:r>
      <w:r>
        <w:rPr>
          <w:rFonts w:ascii="黑体" w:eastAsia="黑体" w:hAnsi="宋体" w:hint="eastAsia"/>
          <w:bCs/>
          <w:color w:val="FF0000"/>
          <w:kern w:val="0"/>
          <w:szCs w:val="21"/>
        </w:rPr>
        <w:t>）；如果涉及多项服务（标的）为同一企业制造，“标的名称”下划线处可以如实填写多项服务；</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00FF"/>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供应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p>
    <w:p>
      <w:pPr>
        <w:numPr>
          <w:ilvl w:val="0"/>
          <w:numId w:val="17"/>
        </w:numPr>
        <w:jc w:val="center"/>
        <w:rPr>
          <w:b/>
          <w:sz w:val="24"/>
        </w:rPr>
      </w:pPr>
      <w:r>
        <w:rPr>
          <w:b/>
          <w:sz w:val="24"/>
        </w:rPr>
        <w:t>中小企业声明函（</w:t>
      </w:r>
      <w:r>
        <w:rPr>
          <w:rFonts w:hint="eastAsia"/>
          <w:b/>
          <w:sz w:val="24"/>
        </w:rPr>
        <w:t>服务</w:t>
      </w:r>
      <w:r>
        <w:rPr>
          <w:b/>
          <w:sz w:val="24"/>
        </w:rPr>
        <w:t>）</w:t>
      </w:r>
    </w:p>
    <w:p>
      <w:pPr>
        <w:pStyle w:val="BodyText"/>
      </w:pP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采购活动，服务全部由符合政策要求的中小企业承接。相关企业（含联合体中的中小企业、签订分包意向协议的中小企业）的具体情况如下：</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b/>
          <w:bCs/>
          <w:i/>
          <w:iCs/>
          <w:szCs w:val="21"/>
          <w:u w:val="single"/>
        </w:rPr>
        <w:t xml:space="preserve">    （标的名称）     </w:t>
      </w:r>
      <w:r>
        <w:rPr>
          <w:rFonts w:asciiTheme="minorEastAsia" w:eastAsiaTheme="minorEastAsia" w:hAnsiTheme="minorEastAsia" w:cstheme="minorEastAsia" w:hint="eastAsia"/>
          <w:szCs w:val="21"/>
        </w:rPr>
        <w:t>，属于</w:t>
      </w:r>
      <w:r>
        <w:rPr>
          <w:rFonts w:asciiTheme="minorEastAsia" w:eastAsiaTheme="minorEastAsia" w:hAnsiTheme="minorEastAsia" w:cstheme="minorEastAsia" w:hint="eastAsia"/>
          <w:b/>
          <w:bCs/>
          <w:i/>
          <w:iCs/>
          <w:szCs w:val="21"/>
          <w:u w:val="single"/>
        </w:rPr>
        <w:t xml:space="preserve">    （采购文件中明确的所属行业）    </w:t>
      </w:r>
      <w:r>
        <w:rPr>
          <w:rFonts w:asciiTheme="minorEastAsia" w:eastAsiaTheme="minorEastAsia" w:hAnsiTheme="minorEastAsia" w:cstheme="minorEastAsia" w:hint="eastAsia"/>
          <w:szCs w:val="21"/>
        </w:rPr>
        <w:t>行业；承接企业为</w:t>
      </w:r>
      <w:r>
        <w:rPr>
          <w:rFonts w:asciiTheme="minorEastAsia" w:eastAsiaTheme="minorEastAsia" w:hAnsiTheme="minorEastAsia" w:cstheme="minorEastAsia" w:hint="eastAsia"/>
          <w:b/>
          <w:bCs/>
          <w:i/>
          <w:iCs/>
          <w:szCs w:val="21"/>
          <w:u w:val="single"/>
        </w:rPr>
        <w:t xml:space="preserve">    （企业名称，要求承接企业本身所属行业应当与招标文件要求的行业相一致）    </w:t>
      </w:r>
      <w:r>
        <w:rPr>
          <w:rFonts w:asciiTheme="minorEastAsia" w:eastAsiaTheme="minorEastAsia" w:hAnsiTheme="minorEastAsia" w:cstheme="minorEastAsia" w:hint="eastAsia"/>
          <w:szCs w:val="21"/>
        </w:rPr>
        <w:t>，从业人员</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人，营业收入为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万元，资产总额为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万元，属于</w:t>
      </w:r>
      <w:r>
        <w:rPr>
          <w:rFonts w:asciiTheme="minorEastAsia" w:eastAsiaTheme="minorEastAsia" w:hAnsiTheme="minorEastAsia" w:cstheme="minorEastAsia" w:hint="eastAsia"/>
          <w:b/>
          <w:bCs/>
          <w:i/>
          <w:iCs/>
          <w:szCs w:val="21"/>
          <w:u w:val="single"/>
        </w:rPr>
        <w:t xml:space="preserve">    （中型企业、小型企业、微型企业）    </w:t>
      </w: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w:t>
      </w:r>
      <w:r>
        <w:rPr>
          <w:rFonts w:asciiTheme="minorEastAsia" w:eastAsiaTheme="minorEastAsia" w:hAnsiTheme="minorEastAsia" w:cstheme="minorEastAsia" w:hint="eastAsia"/>
          <w:b/>
          <w:bCs/>
          <w:i/>
          <w:iCs/>
          <w:szCs w:val="21"/>
          <w:u w:val="single"/>
        </w:rPr>
        <w:t xml:space="preserve">    （标的名称）     </w:t>
      </w:r>
      <w:r>
        <w:rPr>
          <w:rFonts w:asciiTheme="minorEastAsia" w:eastAsiaTheme="minorEastAsia" w:hAnsiTheme="minorEastAsia" w:cstheme="minorEastAsia" w:hint="eastAsia"/>
          <w:szCs w:val="21"/>
        </w:rPr>
        <w:t>，属于</w:t>
      </w:r>
      <w:r>
        <w:rPr>
          <w:rFonts w:asciiTheme="minorEastAsia" w:eastAsiaTheme="minorEastAsia" w:hAnsiTheme="minorEastAsia" w:cstheme="minorEastAsia" w:hint="eastAsia"/>
          <w:b/>
          <w:bCs/>
          <w:i/>
          <w:iCs/>
          <w:szCs w:val="21"/>
          <w:u w:val="single"/>
        </w:rPr>
        <w:t xml:space="preserve">    （采购文件中明确的所属行业）    </w:t>
      </w:r>
      <w:r>
        <w:rPr>
          <w:rFonts w:asciiTheme="minorEastAsia" w:eastAsiaTheme="minorEastAsia" w:hAnsiTheme="minorEastAsia" w:cstheme="minorEastAsia" w:hint="eastAsia"/>
          <w:szCs w:val="21"/>
        </w:rPr>
        <w:t>行业；承接企业为</w:t>
      </w:r>
      <w:r>
        <w:rPr>
          <w:rFonts w:asciiTheme="minorEastAsia" w:eastAsiaTheme="minorEastAsia" w:hAnsiTheme="minorEastAsia" w:cstheme="minorEastAsia" w:hint="eastAsia"/>
          <w:b/>
          <w:bCs/>
          <w:i/>
          <w:iCs/>
          <w:szCs w:val="21"/>
          <w:u w:val="single"/>
        </w:rPr>
        <w:t xml:space="preserve">    （企业名称，要求承接企业本身所属行业应当与招标文件要求的行业相一致）    </w:t>
      </w:r>
      <w:r>
        <w:rPr>
          <w:rFonts w:asciiTheme="minorEastAsia" w:eastAsiaTheme="minorEastAsia" w:hAnsiTheme="minorEastAsia" w:cstheme="minorEastAsia" w:hint="eastAsia"/>
          <w:szCs w:val="21"/>
        </w:rPr>
        <w:t>，从业人员</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人，营业收入为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万元，资产总额为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万元，属于</w:t>
      </w:r>
      <w:r>
        <w:rPr>
          <w:rFonts w:asciiTheme="minorEastAsia" w:eastAsiaTheme="minorEastAsia" w:hAnsiTheme="minorEastAsia" w:cstheme="minorEastAsia" w:hint="eastAsia"/>
          <w:b/>
          <w:bCs/>
          <w:i/>
          <w:iCs/>
          <w:szCs w:val="21"/>
          <w:u w:val="single"/>
        </w:rPr>
        <w:t xml:space="preserve">    （中型企业、小型企业、微型企业）    </w:t>
      </w: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本企业对上述声明内容的真实性负责。如有虚假，将依法承担相应责任。</w:t>
      </w:r>
    </w:p>
    <w:p>
      <w:pPr>
        <w:spacing w:line="360" w:lineRule="auto"/>
        <w:ind w:firstLine="420" w:firstLineChars="200"/>
        <w:rPr>
          <w:rFonts w:asciiTheme="minorEastAsia" w:eastAsiaTheme="minorEastAsia" w:hAnsiTheme="minorEastAsia" w:cstheme="minorEastAsia"/>
          <w:szCs w:val="21"/>
        </w:rPr>
      </w:pPr>
      <w:bookmarkStart w:id="39" w:name="_Hlk73562275"/>
      <w:r>
        <w:rPr>
          <w:rFonts w:asciiTheme="minorEastAsia" w:eastAsiaTheme="minorEastAsia" w:hAnsiTheme="minorEastAsia" w:cstheme="minorEastAsia" w:hint="eastAsia"/>
          <w:szCs w:val="21"/>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39"/>
    </w:p>
    <w:p>
      <w:pPr>
        <w:ind w:firstLine="420" w:firstLineChars="200"/>
      </w:pPr>
    </w:p>
    <w:p>
      <w:pPr>
        <w:jc w:val="center"/>
        <w:rPr>
          <w:b/>
          <w:sz w:val="24"/>
        </w:rPr>
      </w:pPr>
      <w:r>
        <w:rPr>
          <w:rFonts w:hint="eastAsia"/>
          <w:b/>
          <w:sz w:val="24"/>
        </w:rPr>
        <w:t>2、残疾人福利性单位声明函（服务类）</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项目采购活动由本单位提供服务。</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本单位对上述声明的真实性负责。如有虚假，将依法承担相应责任。</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jc w:val="center"/>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注：</w:t>
      </w:r>
    </w:p>
    <w:p>
      <w:pP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1、此表可延长，各投标人根据本项目实际涉及的所有支出项情况修改后填写。本表如有缺漏项，由投标人自行承担。</w:t>
      </w:r>
    </w:p>
    <w:p>
      <w:pP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2、中标人签订合同前将详细的《分项报价表》递交采购单位，经采购单位审核同意后方可实施。</w:t>
      </w:r>
    </w:p>
    <w:p>
      <w:pPr>
        <w:pStyle w:val="BodyText"/>
        <w:rPr>
          <w:rFonts w:asciiTheme="minorEastAsia" w:eastAsiaTheme="minorEastAsia" w:hAnsiTheme="minorEastAsia" w:cstheme="minorEastAsia"/>
          <w:b w:val="0"/>
          <w:bCs w:val="0"/>
          <w:sz w:val="20"/>
          <w:szCs w:val="20"/>
        </w:rPr>
      </w:pPr>
      <w:r>
        <w:rPr>
          <w:rFonts w:asciiTheme="minorEastAsia" w:eastAsiaTheme="minorEastAsia" w:hAnsiTheme="minorEastAsia" w:cstheme="minorEastAsia" w:hint="eastAsia"/>
          <w:b w:val="0"/>
          <w:bCs w:val="0"/>
          <w:sz w:val="20"/>
          <w:szCs w:val="20"/>
        </w:rPr>
        <w:t>3、投标人的投标报价不得超过预算金额，否则将导致投标无效。</w:t>
      </w:r>
    </w:p>
    <w:p>
      <w:pPr>
        <w:tabs>
          <w:tab w:val="left" w:pos="720"/>
        </w:tabs>
        <w:jc w:val="center"/>
        <w:rPr>
          <w:b/>
          <w:sz w:val="24"/>
        </w:rPr>
      </w:pPr>
      <w:r>
        <w:rPr>
          <w:rFonts w:hint="eastAsia"/>
          <w:b/>
          <w:sz w:val="24"/>
        </w:rPr>
        <w:t>（二）</w:t>
      </w:r>
      <w:bookmarkStart w:id="40" w:name="_Hlk72073235"/>
      <w:r>
        <w:rPr>
          <w:rFonts w:hint="eastAsia"/>
          <w:b/>
          <w:sz w:val="24"/>
        </w:rPr>
        <w:t>投标人认为需要涉及的其他内容报价清单</w:t>
      </w:r>
      <w:bookmarkEnd w:id="40"/>
    </w:p>
    <w:p>
      <w:pPr>
        <w:rPr>
          <w:b/>
          <w:bCs/>
        </w:rPr>
      </w:pPr>
    </w:p>
    <w:p/>
    <w:p>
      <w:pPr>
        <w:tabs>
          <w:tab w:val="left" w:pos="720"/>
        </w:tabs>
        <w:jc w:val="center"/>
        <w:rPr>
          <w:b/>
          <w:sz w:val="24"/>
        </w:rPr>
      </w:pPr>
      <w:r>
        <w:rPr>
          <w:rFonts w:hint="eastAsia"/>
          <w:b/>
          <w:sz w:val="24"/>
        </w:rPr>
        <w:t>五、项目经验情况；</w:t>
      </w:r>
    </w:p>
    <w:p>
      <w:pPr>
        <w:tabs>
          <w:tab w:val="left" w:pos="720"/>
        </w:tabs>
        <w:jc w:val="center"/>
        <w:rPr>
          <w:b/>
          <w:sz w:val="24"/>
        </w:rPr>
      </w:pPr>
      <w:r>
        <w:rPr>
          <w:rFonts w:hint="eastAsia"/>
          <w:b/>
          <w:sz w:val="24"/>
        </w:rPr>
        <w:t>六、企业资质及认证情况；</w:t>
      </w:r>
    </w:p>
    <w:p>
      <w:pPr>
        <w:tabs>
          <w:tab w:val="left" w:pos="720"/>
        </w:tabs>
        <w:jc w:val="center"/>
        <w:rPr>
          <w:b/>
          <w:sz w:val="24"/>
        </w:rPr>
      </w:pPr>
      <w:r>
        <w:rPr>
          <w:rFonts w:hint="eastAsia"/>
          <w:b/>
          <w:sz w:val="24"/>
        </w:rPr>
        <w:t>七、投标人自主知识产权产品（创新、设计）情况；</w:t>
      </w:r>
    </w:p>
    <w:p>
      <w:pPr>
        <w:tabs>
          <w:tab w:val="left" w:pos="720"/>
        </w:tabs>
        <w:jc w:val="center"/>
        <w:rPr>
          <w:b/>
          <w:sz w:val="24"/>
        </w:rPr>
      </w:pPr>
      <w:r>
        <w:rPr>
          <w:rFonts w:hint="eastAsia"/>
          <w:b/>
          <w:sz w:val="24"/>
        </w:rPr>
        <w:t>八、投标人认为需要加以说明的其他内容</w:t>
      </w:r>
    </w:p>
    <w:p>
      <w:pPr>
        <w:pStyle w:val="BodyText"/>
      </w:pP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41" w:name="_Hlk72092499"/>
      <w:r>
        <w:rPr>
          <w:rFonts w:ascii="黑体" w:eastAsia="黑体" w:hint="eastAsia"/>
          <w:b w:val="0"/>
          <w:sz w:val="24"/>
        </w:rPr>
        <w:t>法定代表人（负责人）证明书</w:t>
      </w:r>
      <w:bookmarkEnd w:id="41"/>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特此证明。</w:t>
      </w:r>
    </w:p>
    <w:p>
      <w:pPr>
        <w:spacing w:line="360" w:lineRule="auto"/>
        <w:ind w:firstLine="420" w:firstLineChars="200"/>
        <w:rPr>
          <w:szCs w:val="21"/>
        </w:rPr>
      </w:pPr>
      <w:r>
        <w:rPr>
          <w:rFonts w:hint="eastAsia"/>
          <w:szCs w:val="21"/>
        </w:rPr>
        <w:t>说明：1、法定代表人为投标人（企业事业单位、国家机关、社会团体）的主要行政负责人。</w:t>
      </w:r>
    </w:p>
    <w:p>
      <w:pPr>
        <w:numPr>
          <w:ilvl w:val="0"/>
          <w:numId w:val="18"/>
        </w:numPr>
        <w:spacing w:line="360" w:lineRule="auto"/>
        <w:ind w:firstLine="420" w:firstLineChars="200"/>
        <w:rPr>
          <w:szCs w:val="21"/>
        </w:rPr>
      </w:pPr>
      <w:r>
        <w:rPr>
          <w:rFonts w:hint="eastAsia"/>
          <w:szCs w:val="21"/>
        </w:rPr>
        <w:t>本证明书要供法定代表人（负责人）</w:t>
      </w:r>
      <w:r>
        <w:rPr>
          <w:rFonts w:hint="eastAsia"/>
          <w:szCs w:val="21"/>
        </w:rPr>
        <w:t>相关身份证明文件：身份证扫描件（正反两面）；港澳台居民可提供来往通行证扫描件；非中国国籍管辖范围人员，可提供公安部门认可的身份证明材料扫描件。</w:t>
      </w:r>
    </w:p>
    <w:p>
      <w:pPr>
        <w:numPr>
          <w:ilvl w:val="0"/>
          <w:numId w:val="18"/>
        </w:numPr>
        <w:spacing w:line="360" w:lineRule="auto"/>
        <w:ind w:firstLine="420" w:firstLineChars="200"/>
        <w:rPr>
          <w:szCs w:val="21"/>
        </w:rPr>
      </w:pPr>
      <w:r>
        <w:rPr>
          <w:rFonts w:hint="eastAsia"/>
          <w:szCs w:val="21"/>
        </w:rPr>
        <w:t>本项目投标授权代表为法定代表人（负责人）的，无需提供</w:t>
      </w:r>
      <w:r>
        <w:rPr>
          <w:rFonts w:hint="eastAsia"/>
          <w:szCs w:val="21"/>
        </w:rPr>
        <w:t>《投标文件签署授权委托书》</w:t>
      </w:r>
      <w:r>
        <w:rPr>
          <w:rFonts w:hint="eastAsia"/>
          <w:szCs w:val="21"/>
        </w:rPr>
        <w:t>。</w:t>
      </w:r>
    </w:p>
    <w:p>
      <w:pPr>
        <w:numPr>
          <w:ilvl w:val="0"/>
          <w:numId w:val="18"/>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jc w:val="center"/>
            </w:pPr>
            <w:r>
              <w:rPr>
                <w:rFonts w:hint="eastAsia"/>
              </w:rPr>
              <w:t xml:space="preserve"> </w:t>
            </w:r>
          </w:p>
          <w:p>
            <w:pPr>
              <w:pStyle w:val="BodyText2"/>
            </w:pPr>
          </w:p>
          <w:p>
            <w:pPr>
              <w:pStyle w:val="BodyText2"/>
            </w:pPr>
          </w:p>
          <w:p>
            <w:pPr>
              <w:pStyle w:val="BodyText2"/>
            </w:pPr>
          </w:p>
          <w:p>
            <w:pPr>
              <w:pStyle w:val="BodyText2"/>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rPr>
      </w:pPr>
      <w:r>
        <w:rPr>
          <w:rFonts w:hint="eastAsia"/>
          <w:szCs w:val="21"/>
        </w:rPr>
        <w:t>代理人无转委托权，特此委托。</w:t>
      </w:r>
    </w:p>
    <w:p>
      <w:pPr>
        <w:spacing w:line="360" w:lineRule="auto"/>
        <w:ind w:firstLine="420" w:firstLineChars="200"/>
        <w:rPr>
          <w:szCs w:val="21"/>
        </w:rPr>
      </w:pPr>
    </w:p>
    <w:p>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150"/>
        </w:trPr>
        <w:tc>
          <w:tcPr>
            <w:tcW w:w="4264" w:type="dxa"/>
          </w:tcPr>
          <w:p>
            <w:pPr>
              <w:jc w:val="center"/>
            </w:pPr>
            <w:r>
              <w:rPr>
                <w:rFonts w:hint="eastAsia"/>
              </w:rPr>
              <w:t>证件扫描件正面</w:t>
            </w:r>
          </w:p>
          <w:p>
            <w:pPr>
              <w:pStyle w:val="BodyText"/>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2" w:name="_Hlk72092634"/>
      <w:r>
        <w:rPr>
          <w:rFonts w:ascii="黑体" w:eastAsia="黑体" w:hint="eastAsia"/>
          <w:b w:val="0"/>
          <w:kern w:val="0"/>
          <w:sz w:val="24"/>
          <w:szCs w:val="24"/>
        </w:rPr>
        <w:t>实质性条款响应情况表</w:t>
      </w:r>
      <w:bookmarkEnd w:id="42"/>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883"/>
        <w:gridCol w:w="1660"/>
        <w:gridCol w:w="1551"/>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3" w:name="_Hlk72092651"/>
            <w:r>
              <w:rPr>
                <w:rFonts w:ascii="宋体" w:hAnsi="宋体" w:hint="eastAsia"/>
                <w:kern w:val="0"/>
                <w:szCs w:val="21"/>
              </w:rPr>
              <w:t>序号</w:t>
            </w:r>
          </w:p>
        </w:tc>
        <w:tc>
          <w:tcPr>
            <w:tcW w:w="2883"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660"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551"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43"/>
            <w:r>
              <w:rPr>
                <w:rFonts w:ascii="宋体" w:hAnsi="宋体" w:hint="eastAsia"/>
                <w:kern w:val="0"/>
                <w:szCs w:val="21"/>
              </w:rPr>
              <w:t>1</w:t>
            </w:r>
          </w:p>
        </w:tc>
        <w:tc>
          <w:tcPr>
            <w:tcW w:w="2883" w:type="dxa"/>
            <w:vAlign w:val="center"/>
          </w:tcPr>
          <w:p>
            <w:pPr>
              <w:adjustRightInd w:val="0"/>
              <w:snapToGrid w:val="0"/>
              <w:spacing w:line="360" w:lineRule="auto"/>
              <w:jc w:val="center"/>
              <w:rPr>
                <w:rFonts w:hAnsi="宋体"/>
                <w:kern w:val="0"/>
                <w:szCs w:val="21"/>
              </w:rPr>
            </w:pPr>
            <w:r>
              <w:rPr>
                <w:rFonts w:ascii="宋体" w:hAnsi="宋体" w:hint="eastAsia"/>
                <w:color w:val="FF0000"/>
                <w:kern w:val="0"/>
                <w:szCs w:val="21"/>
              </w:rPr>
              <w:t>满足本项目标★的条款要求</w:t>
            </w:r>
          </w:p>
        </w:tc>
        <w:tc>
          <w:tcPr>
            <w:tcW w:w="1660" w:type="dxa"/>
          </w:tcPr>
          <w:p>
            <w:pPr>
              <w:adjustRightInd w:val="0"/>
              <w:snapToGrid w:val="0"/>
              <w:spacing w:line="360" w:lineRule="auto"/>
              <w:rPr>
                <w:rFonts w:ascii="宋体" w:hAnsi="宋体"/>
                <w:kern w:val="0"/>
                <w:szCs w:val="21"/>
              </w:rPr>
            </w:pPr>
          </w:p>
        </w:tc>
        <w:tc>
          <w:tcPr>
            <w:tcW w:w="1551"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jc w:val="center"/>
        <w:rPr>
          <w:rFonts w:ascii="黑体" w:eastAsia="黑体" w:hAnsi="宋体"/>
          <w:bCs/>
          <w:kern w:val="0"/>
          <w:sz w:val="24"/>
        </w:rPr>
      </w:pPr>
      <w:r>
        <w:rPr>
          <w:rFonts w:ascii="黑体" w:eastAsia="黑体" w:hAnsi="宋体" w:hint="eastAsia"/>
          <w:bCs/>
          <w:kern w:val="0"/>
          <w:sz w:val="24"/>
        </w:rPr>
        <w:t>四、技术方案评价；</w:t>
      </w:r>
    </w:p>
    <w:p>
      <w:pPr>
        <w:jc w:val="center"/>
        <w:rPr>
          <w:rFonts w:ascii="黑体" w:eastAsia="黑体" w:hAnsi="宋体"/>
          <w:bCs/>
          <w:kern w:val="0"/>
          <w:sz w:val="24"/>
        </w:rPr>
      </w:pPr>
      <w:r>
        <w:rPr>
          <w:rFonts w:ascii="黑体" w:eastAsia="黑体" w:hAnsi="宋体" w:hint="eastAsia"/>
          <w:bCs/>
          <w:kern w:val="0"/>
          <w:sz w:val="24"/>
        </w:rPr>
        <w:t>五、质量保证评价；</w:t>
      </w:r>
    </w:p>
    <w:p>
      <w:pPr>
        <w:jc w:val="center"/>
        <w:rPr>
          <w:rFonts w:ascii="黑体" w:eastAsia="黑体" w:hAnsi="宋体"/>
          <w:bCs/>
          <w:kern w:val="0"/>
          <w:sz w:val="24"/>
        </w:rPr>
      </w:pPr>
      <w:r>
        <w:rPr>
          <w:rFonts w:ascii="黑体" w:eastAsia="黑体" w:hAnsi="宋体" w:hint="eastAsia"/>
          <w:bCs/>
          <w:kern w:val="0"/>
          <w:sz w:val="24"/>
        </w:rPr>
        <w:t>六、拟安排的项目负责人情况（仅限一人）；</w:t>
      </w:r>
    </w:p>
    <w:p>
      <w:pPr>
        <w:jc w:val="center"/>
        <w:rPr>
          <w:rFonts w:ascii="黑体" w:eastAsia="黑体" w:hAnsi="宋体"/>
          <w:bCs/>
          <w:kern w:val="0"/>
          <w:sz w:val="24"/>
        </w:rPr>
      </w:pPr>
      <w:r>
        <w:rPr>
          <w:rFonts w:ascii="黑体" w:eastAsia="黑体" w:hAnsi="宋体" w:hint="eastAsia"/>
          <w:bCs/>
          <w:kern w:val="0"/>
          <w:sz w:val="24"/>
        </w:rPr>
        <w:t>七、拟安排的项目团队成员情况（项目负责人除外）；</w:t>
      </w:r>
    </w:p>
    <w:p>
      <w:pPr>
        <w:jc w:val="center"/>
        <w:rPr>
          <w:sz w:val="24"/>
        </w:rPr>
      </w:pPr>
      <w:r>
        <w:rPr>
          <w:rFonts w:ascii="黑体" w:eastAsia="黑体" w:hAnsi="宋体" w:hint="eastAsia"/>
          <w:bCs/>
          <w:kern w:val="0"/>
          <w:sz w:val="24"/>
        </w:rPr>
        <w:t>八、投标人认为需要加以说明的其他内容。</w:t>
      </w:r>
    </w:p>
    <w:p>
      <w:pPr>
        <w:pStyle w:val="Heading3"/>
        <w:jc w:val="center"/>
        <w:rPr>
          <w:rFonts w:ascii="黑体" w:eastAsia="黑体"/>
          <w:b w:val="0"/>
          <w:bCs w:val="0"/>
          <w:sz w:val="24"/>
          <w:szCs w:val="20"/>
        </w:rPr>
      </w:pPr>
      <w:r>
        <w:rPr>
          <w:rFonts w:ascii="黑体" w:eastAsia="黑体" w:hint="eastAsia"/>
          <w:b w:val="0"/>
          <w:bCs w:val="0"/>
          <w:sz w:val="24"/>
          <w:szCs w:val="20"/>
        </w:rPr>
        <w:t>九、</w:t>
      </w:r>
      <w:bookmarkStart w:id="44" w:name="_Hlk72062872"/>
      <w:r>
        <w:rPr>
          <w:rFonts w:ascii="黑体" w:eastAsia="黑体" w:hint="eastAsia"/>
          <w:b w:val="0"/>
          <w:bCs w:val="0"/>
          <w:sz w:val="24"/>
          <w:szCs w:val="20"/>
        </w:rPr>
        <w:t>投标人认为需要加以说明的其他内容</w:t>
      </w:r>
      <w:bookmarkEnd w:id="44"/>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6"/>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sz w:val="24"/>
          <w:szCs w:val="20"/>
        </w:rPr>
      </w:pPr>
      <w:r>
        <w:rPr>
          <w:rFonts w:ascii="黑体" w:eastAsia="黑体" w:hint="eastAsia"/>
          <w:sz w:val="24"/>
          <w:szCs w:val="20"/>
        </w:rPr>
        <w:t>（二）订单融资情况</w:t>
      </w:r>
    </w:p>
    <w:p>
      <w:pPr>
        <w:ind w:firstLine="420" w:firstLineChars="200"/>
        <w:rPr>
          <w:rFonts w:ascii="宋体" w:hAnsi="宋体" w:cs="宋体"/>
          <w:b/>
          <w:bCs/>
        </w:rPr>
      </w:pPr>
      <w:r>
        <w:rPr>
          <w:rFonts w:ascii="宋体" w:hAnsi="宋体" w:cs="宋体" w:hint="eastAsia"/>
          <w:b/>
          <w:bCs/>
        </w:rPr>
        <w:t>1、关于政府采购订单融资政策</w:t>
      </w:r>
    </w:p>
    <w:p>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b/>
          <w:bCs/>
        </w:rPr>
      </w:pPr>
      <w:r>
        <w:rPr>
          <w:rFonts w:ascii="宋体" w:hAnsi="宋体" w:cs="宋体" w:hint="eastAsia"/>
          <w:b/>
          <w:bCs/>
        </w:rPr>
        <w:t>2、供应商账户信息</w:t>
      </w:r>
    </w:p>
    <w:p>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 xml:space="preserve">；  </w:t>
      </w:r>
    </w:p>
    <w:p>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根据深圳公共资源交易中心（深圳交易集团有限公司宝安分公司）*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szCs w:val="21"/>
        </w:rPr>
      </w:pPr>
      <w:r>
        <w:rPr>
          <w:rFonts w:ascii="宋体" w:hAnsi="宋体" w:hint="eastAsia"/>
          <w:szCs w:val="21"/>
        </w:rPr>
        <w:t>（1）政府采购合同协议书及其变更、补充协议</w:t>
      </w:r>
    </w:p>
    <w:p>
      <w:pPr>
        <w:ind w:firstLine="420" w:firstLineChars="200"/>
        <w:rPr>
          <w:rFonts w:ascii="宋体" w:hAnsi="宋体"/>
          <w:szCs w:val="21"/>
        </w:rPr>
      </w:pPr>
      <w:r>
        <w:rPr>
          <w:rFonts w:ascii="宋体" w:hAnsi="宋体" w:hint="eastAsia"/>
          <w:szCs w:val="21"/>
        </w:rPr>
        <w:t>（2）政府采购合同专用条款</w:t>
      </w:r>
    </w:p>
    <w:p>
      <w:pPr>
        <w:ind w:firstLine="420" w:firstLineChars="200"/>
        <w:rPr>
          <w:rFonts w:ascii="宋体" w:hAnsi="宋体"/>
          <w:szCs w:val="21"/>
        </w:rPr>
      </w:pPr>
      <w:r>
        <w:rPr>
          <w:rFonts w:ascii="宋体" w:hAnsi="宋体" w:hint="eastAsia"/>
          <w:szCs w:val="21"/>
        </w:rPr>
        <w:t>（3）政府采购合同通用条款</w:t>
      </w:r>
    </w:p>
    <w:p>
      <w:pPr>
        <w:ind w:firstLine="420" w:firstLineChars="200"/>
        <w:rPr>
          <w:rFonts w:ascii="宋体" w:hAnsi="宋体"/>
          <w:szCs w:val="21"/>
        </w:rPr>
      </w:pPr>
      <w:r>
        <w:rPr>
          <w:rFonts w:ascii="宋体" w:hAnsi="宋体" w:hint="eastAsia"/>
          <w:szCs w:val="21"/>
        </w:rPr>
        <w:t>（4）中标（成交）通知书</w:t>
      </w:r>
    </w:p>
    <w:p>
      <w:pPr>
        <w:ind w:firstLine="420" w:firstLineChars="200"/>
        <w:rPr>
          <w:rFonts w:ascii="宋体" w:hAnsi="宋体"/>
          <w:szCs w:val="21"/>
        </w:rPr>
      </w:pPr>
      <w:r>
        <w:rPr>
          <w:rFonts w:ascii="宋体" w:hAnsi="宋体" w:hint="eastAsia"/>
          <w:szCs w:val="21"/>
        </w:rPr>
        <w:t>（5）投标（响应）文件</w:t>
      </w:r>
    </w:p>
    <w:p>
      <w:pPr>
        <w:ind w:firstLine="420" w:firstLineChars="200"/>
        <w:rPr>
          <w:rFonts w:ascii="宋体" w:hAnsi="宋体"/>
          <w:szCs w:val="21"/>
        </w:rPr>
      </w:pPr>
      <w:r>
        <w:rPr>
          <w:rFonts w:ascii="宋体" w:hAnsi="宋体" w:hint="eastAsia"/>
          <w:szCs w:val="21"/>
        </w:rPr>
        <w:t>（6）采购文件</w:t>
      </w:r>
    </w:p>
    <w:p>
      <w:pPr>
        <w:ind w:firstLine="420" w:firstLineChars="200"/>
        <w:rPr>
          <w:rFonts w:ascii="宋体" w:hAnsi="宋体"/>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9"/>
        </w:numPr>
        <w:spacing w:before="120" w:beforeLines="50" w:after="120" w:afterLines="50"/>
        <w:ind w:left="562" w:hanging="562"/>
        <w:rPr>
          <w:sz w:val="28"/>
          <w:szCs w:val="28"/>
        </w:rPr>
      </w:pPr>
      <w:bookmarkStart w:id="45" w:name="_Hlk72399513"/>
      <w:r>
        <w:rPr>
          <w:rFonts w:hint="eastAsia"/>
          <w:sz w:val="28"/>
          <w:szCs w:val="28"/>
        </w:rPr>
        <w:t>总则</w:t>
      </w:r>
    </w:p>
    <w:p>
      <w:pPr>
        <w:rPr>
          <w:rFonts w:ascii="黑体" w:eastAsia="黑体" w:hAnsi="宋体"/>
          <w:sz w:val="24"/>
        </w:rPr>
      </w:pPr>
      <w:bookmarkEnd w:id="45"/>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6" w:name="_Hlk72399729"/>
      <w:r>
        <w:rPr>
          <w:rFonts w:ascii="宋体" w:hAnsi="宋体" w:hint="eastAsia"/>
          <w:szCs w:val="21"/>
        </w:rPr>
        <w:t>如有需要，政府集中采购机构可以对通用条款的内容进行补充。</w:t>
      </w:r>
      <w:bookmarkEnd w:id="46"/>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7" w:name="_Hlk72398581"/>
      <w:r>
        <w:rPr>
          <w:rFonts w:ascii="宋体" w:hAnsi="宋体" w:hint="eastAsia"/>
          <w:szCs w:val="21"/>
        </w:rPr>
        <w:t>；</w:t>
      </w:r>
      <w:bookmarkEnd w:id="47"/>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深圳公共资源交易中心（深圳交易集团有限公司宝安分公司）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8"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9"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9"/>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48"/>
    </w:p>
    <w:p>
      <w:pPr>
        <w:pStyle w:val="Heading2"/>
        <w:numPr>
          <w:ilvl w:val="0"/>
          <w:numId w:val="19"/>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0"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hAnsi="宋体" w:hint="eastAsia"/>
          <w:b w:val="0"/>
          <w:bCs w:val="0"/>
          <w:sz w:val="21"/>
        </w:rPr>
        <w:t>11.4招标文件所称“原件备查”，是指在项目产生质疑、投诉等阶段，主管部门、采购人、代理机构、评审委员会等可以要求供应商提供原件进行核查。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0"/>
    </w:p>
    <w:p>
      <w:pPr>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1"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1"/>
      <w:r>
        <w:rPr>
          <w:rFonts w:ascii="黑体" w:eastAsia="黑体" w:hAnsi="宋体" w:hint="eastAsia"/>
          <w:sz w:val="24"/>
        </w:rPr>
        <w:t>15．</w:t>
      </w:r>
      <w:bookmarkStart w:id="52"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2"/>
      <w:r>
        <w:rPr>
          <w:rFonts w:ascii="黑体" w:eastAsia="黑体" w:hAnsi="宋体" w:hint="eastAsia"/>
          <w:sz w:val="24"/>
        </w:rPr>
        <w:t>18．</w:t>
      </w:r>
      <w:bookmarkStart w:id="53"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3"/>
      <w:r>
        <w:rPr>
          <w:rFonts w:ascii="黑体" w:eastAsia="黑体" w:hAnsi="宋体" w:hint="eastAsia"/>
          <w:sz w:val="24"/>
        </w:rPr>
        <w:t>19．</w:t>
      </w:r>
      <w:bookmarkStart w:id="54"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5" w:name="_Hlk71407299"/>
      <w:r>
        <w:rPr>
          <w:rFonts w:ascii="宋体" w:hAnsi="宋体" w:hint="eastAsia"/>
          <w:szCs w:val="21"/>
        </w:rPr>
        <w:t>若投标人未按要求提供证明材料或提供的是部分证明材料或提供不清晰的扫描件（或照片）的，采购人、代理机构以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55"/>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4"/>
      <w:bookmarkStart w:id="56"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56"/>
      <w:r>
        <w:rPr>
          <w:rFonts w:ascii="黑体" w:eastAsia="黑体" w:hAnsi="宋体" w:hint="eastAsia"/>
          <w:sz w:val="24"/>
        </w:rPr>
        <w:t>21．</w:t>
      </w:r>
      <w:bookmarkStart w:id="57"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57"/>
      <w:r>
        <w:rPr>
          <w:rFonts w:ascii="黑体" w:eastAsia="黑体" w:hAnsi="宋体" w:hint="eastAsia"/>
          <w:sz w:val="24"/>
        </w:rPr>
        <w:t>23．</w:t>
      </w:r>
      <w:bookmarkStart w:id="58"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8"/>
    </w:p>
    <w:p>
      <w:pPr>
        <w:ind w:firstLine="412" w:firstLineChars="196"/>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59"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59"/>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0"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9"/>
        </w:numPr>
        <w:spacing w:before="120" w:beforeLines="50" w:after="120" w:afterLines="50"/>
        <w:ind w:left="562" w:hanging="562"/>
        <w:rPr>
          <w:sz w:val="28"/>
          <w:szCs w:val="28"/>
        </w:rPr>
      </w:pPr>
      <w:bookmarkEnd w:id="60"/>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1"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1"/>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2"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2"/>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3" w:name="_Toc73521669"/>
      <w:bookmarkStart w:id="64" w:name="_Toc100052400"/>
      <w:bookmarkStart w:id="65" w:name="_Toc73521581"/>
      <w:bookmarkStart w:id="66" w:name="_Toc73517673"/>
      <w:bookmarkStart w:id="67" w:name="_Toc73518151"/>
      <w:r>
        <w:rPr>
          <w:rFonts w:ascii="黑体" w:eastAsia="黑体" w:hAnsi="宋体" w:hint="eastAsia"/>
          <w:sz w:val="24"/>
        </w:rPr>
        <w:t>34．错误的修正</w:t>
      </w:r>
      <w:bookmarkEnd w:id="63"/>
      <w:bookmarkEnd w:id="64"/>
      <w:bookmarkEnd w:id="65"/>
      <w:bookmarkEnd w:id="66"/>
      <w:bookmarkEnd w:id="67"/>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8"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8"/>
    </w:p>
    <w:p>
      <w:pPr>
        <w:ind w:firstLine="412" w:firstLineChars="196"/>
        <w:rPr>
          <w:rFonts w:ascii="宋体" w:hAnsi="宋体"/>
          <w:b/>
          <w:bCs/>
          <w:szCs w:val="21"/>
        </w:rPr>
      </w:pPr>
      <w:r>
        <w:rPr>
          <w:rFonts w:ascii="ˎ̥" w:hAnsi="ˎ̥" w:hint="eastAsia"/>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9"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0"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9"/>
      <w:bookmarkEnd w:id="70"/>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政府集中采购机构。具体定标程序及相关要求以按照《深圳市财政局关于&lt;深圳市政府采购评标定标分离管理办法&gt;续期的通知》（深财规〔2023〕1号）执行。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1"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1"/>
      <w:bookmarkStart w:id="72"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2"/>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3"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3"/>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4"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74"/>
    </w:p>
    <w:p>
      <w:pPr>
        <w:pStyle w:val="Heading2"/>
        <w:numPr>
          <w:ilvl w:val="0"/>
          <w:numId w:val="19"/>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9"/>
        </w:numPr>
        <w:spacing w:before="120" w:beforeLines="50" w:after="120" w:afterLines="50"/>
        <w:ind w:left="562" w:hanging="562"/>
        <w:rPr>
          <w:sz w:val="28"/>
          <w:szCs w:val="28"/>
        </w:rPr>
      </w:pPr>
      <w:bookmarkStart w:id="75" w:name="_Hlk72439043"/>
      <w:r>
        <w:rPr>
          <w:rFonts w:hint="eastAsia"/>
          <w:sz w:val="28"/>
          <w:szCs w:val="28"/>
        </w:rPr>
        <w:t>合同的授予与备案</w:t>
      </w:r>
      <w:bookmarkEnd w:id="75"/>
    </w:p>
    <w:p>
      <w:pPr>
        <w:rPr>
          <w:rFonts w:ascii="黑体" w:eastAsia="黑体" w:hAnsi="宋体"/>
          <w:sz w:val="24"/>
        </w:rPr>
      </w:pPr>
      <w:bookmarkStart w:id="76" w:name="_Toc73521674"/>
      <w:bookmarkStart w:id="77" w:name="_Toc73521586"/>
      <w:bookmarkStart w:id="78" w:name="_Toc100052408"/>
      <w:bookmarkStart w:id="79" w:name="_Toc73518157"/>
      <w:bookmarkStart w:id="80" w:name="_Toc73517679"/>
      <w:bookmarkStart w:id="81" w:name="_Hlk72439088"/>
      <w:r>
        <w:rPr>
          <w:rFonts w:ascii="黑体" w:eastAsia="黑体" w:hAnsi="宋体" w:hint="eastAsia"/>
          <w:sz w:val="24"/>
        </w:rPr>
        <w:t>43．合同授予标准</w:t>
      </w:r>
      <w:bookmarkEnd w:id="76"/>
      <w:bookmarkEnd w:id="77"/>
      <w:bookmarkEnd w:id="78"/>
      <w:bookmarkEnd w:id="79"/>
      <w:bookmarkEnd w:id="80"/>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2" w:name="_Toc73517680"/>
      <w:bookmarkStart w:id="83" w:name="_Toc73521675"/>
      <w:bookmarkStart w:id="84" w:name="_Toc100052409"/>
      <w:bookmarkStart w:id="85" w:name="_Toc73521587"/>
      <w:bookmarkStart w:id="86" w:name="_Toc73518158"/>
      <w:r>
        <w:rPr>
          <w:rFonts w:ascii="黑体" w:eastAsia="黑体" w:hAnsi="宋体" w:hint="eastAsia"/>
          <w:sz w:val="24"/>
        </w:rPr>
        <w:t>44．</w:t>
      </w:r>
      <w:bookmarkEnd w:id="82"/>
      <w:bookmarkEnd w:id="83"/>
      <w:bookmarkEnd w:id="84"/>
      <w:bookmarkEnd w:id="85"/>
      <w:bookmarkEnd w:id="86"/>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7" w:name="_Toc73518160"/>
      <w:bookmarkStart w:id="88" w:name="_Toc73517682"/>
      <w:bookmarkStart w:id="89" w:name="_Toc73521677"/>
      <w:bookmarkStart w:id="90" w:name="_Toc100052410"/>
      <w:bookmarkStart w:id="91" w:name="_Toc73521589"/>
      <w:r>
        <w:rPr>
          <w:rFonts w:ascii="黑体" w:eastAsia="黑体" w:hAnsi="宋体" w:hint="eastAsia"/>
          <w:sz w:val="24"/>
        </w:rPr>
        <w:t>45．合同的签订</w:t>
      </w:r>
      <w:bookmarkEnd w:id="87"/>
      <w:bookmarkEnd w:id="88"/>
      <w:bookmarkEnd w:id="89"/>
      <w:bookmarkEnd w:id="90"/>
      <w:bookmarkEnd w:id="91"/>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2" w:name="_Toc73521590"/>
      <w:bookmarkStart w:id="93" w:name="_Toc100052411"/>
      <w:bookmarkStart w:id="94" w:name="_Toc73517683"/>
      <w:bookmarkStart w:id="95" w:name="_Toc73518161"/>
      <w:bookmarkStart w:id="96" w:name="_Toc73521678"/>
      <w:r>
        <w:rPr>
          <w:rFonts w:ascii="黑体" w:eastAsia="黑体" w:hAnsi="宋体" w:hint="eastAsia"/>
          <w:sz w:val="24"/>
        </w:rPr>
        <w:t>46．履约担保</w:t>
      </w:r>
      <w:bookmarkEnd w:id="92"/>
      <w:bookmarkEnd w:id="93"/>
      <w:bookmarkEnd w:id="94"/>
      <w:bookmarkEnd w:id="95"/>
      <w:bookmarkEnd w:id="96"/>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采购人与中标供应商自中标通知书发出之日起10个工作日内签订政府采购合同，</w:t>
      </w:r>
      <w:r>
        <w:rPr>
          <w:rFonts w:ascii="宋体" w:hAnsi="宋体" w:hint="eastAsia"/>
          <w:szCs w:val="21"/>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97" w:name="_Hlk72440769"/>
      <w:r>
        <w:rPr>
          <w:rFonts w:ascii="宋体" w:hAnsi="宋体" w:hint="eastAsia"/>
          <w:szCs w:val="21"/>
        </w:rPr>
        <w:t>政府集中采购机构或采购人不予退还其交纳的谈判保证金，情节严重的，并由主管部门</w:t>
      </w:r>
      <w:bookmarkEnd w:id="97"/>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9"/>
        </w:numPr>
        <w:spacing w:before="120" w:beforeLines="50" w:after="120" w:afterLines="50"/>
        <w:ind w:left="562" w:hanging="562"/>
        <w:rPr>
          <w:sz w:val="28"/>
          <w:szCs w:val="28"/>
        </w:rPr>
      </w:pPr>
      <w:bookmarkEnd w:id="81"/>
      <w:r>
        <w:rPr>
          <w:rFonts w:hint="eastAsia"/>
          <w:sz w:val="28"/>
          <w:szCs w:val="28"/>
        </w:rPr>
        <w:t>质疑处理</w:t>
      </w:r>
    </w:p>
    <w:p>
      <w:pPr>
        <w:rPr>
          <w:rFonts w:ascii="黑体" w:eastAsia="黑体" w:hAnsi="宋体"/>
          <w:sz w:val="24"/>
        </w:rPr>
      </w:pPr>
      <w:bookmarkStart w:id="98"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98"/>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swiss"/>
    <w:pitch w:val="default"/>
    <w:sig w:usb0="00000000" w:usb1="00000000" w:usb2="00000000" w:usb3="00000000" w:csb0="2000019F" w:csb1="4F01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方正公文小标宋"/>
    <w:panose1 w:val="00000000000000000000"/>
    <w:charset w:val="00"/>
    <w:family w:val="auto"/>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
    <w:altName w:val="方正公文小标宋"/>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宋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48</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6129207"/>
    <w:multiLevelType w:val="multilevel"/>
    <w:tmpl w:val="96129207"/>
    <w:lvl w:ilvl="0">
      <w:start w:val="1"/>
      <w:numFmt w:val="japaneseCounting"/>
      <w:lvlText w:val="%1、"/>
      <w:lvlJc w:val="left"/>
      <w:pPr>
        <w:ind w:left="480" w:hanging="480"/>
      </w:pPr>
      <w:rPr>
        <w:rFonts w:ascii="Times New Roman" w:hAnsi="Times New Roman" w:cs="Times New Roman" w:hint="default"/>
      </w:rPr>
    </w:lvl>
    <w:lvl w:ilvl="1">
      <w:start w:val="1"/>
      <w:numFmt w:val="decimal"/>
      <w:lvlText w:val="%2、"/>
      <w:lvlJc w:val="left"/>
      <w:pPr>
        <w:ind w:left="800" w:hanging="36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
    <w:nsid w:val="A702A6DD"/>
    <w:multiLevelType w:val="singleLevel"/>
    <w:tmpl w:val="A702A6DD"/>
    <w:lvl w:ilvl="0">
      <w:start w:val="1"/>
      <w:numFmt w:val="decimal"/>
      <w:suff w:val="nothing"/>
      <w:lvlText w:val="%1、"/>
      <w:lvlJc w:val="left"/>
    </w:lvl>
  </w:abstractNum>
  <w:abstractNum w:abstractNumId="2">
    <w:nsid w:val="B2AF74C3"/>
    <w:multiLevelType w:val="singleLevel"/>
    <w:tmpl w:val="B2AF74C3"/>
    <w:lvl w:ilvl="0">
      <w:start w:val="1"/>
      <w:numFmt w:val="decimalEnclosedCircleChinese"/>
      <w:suff w:val="nothing"/>
      <w:lvlText w:val="%1　"/>
      <w:lvlJc w:val="left"/>
      <w:pPr>
        <w:ind w:left="0" w:firstLine="400"/>
      </w:pPr>
      <w:rPr>
        <w:rFonts w:hint="eastAsia"/>
      </w:rPr>
    </w:lvl>
  </w:abstractNum>
  <w:abstractNum w:abstractNumId="3">
    <w:nsid w:val="B4F30691"/>
    <w:multiLevelType w:val="singleLevel"/>
    <w:tmpl w:val="B4F30691"/>
    <w:lvl w:ilvl="0">
      <w:start w:val="3"/>
      <w:numFmt w:val="decimal"/>
      <w:suff w:val="nothing"/>
      <w:lvlText w:val="（%1）"/>
      <w:lvlJc w:val="left"/>
    </w:lvl>
  </w:abstractNum>
  <w:abstractNum w:abstractNumId="4">
    <w:nsid w:val="B9358C2E"/>
    <w:multiLevelType w:val="singleLevel"/>
    <w:tmpl w:val="B9358C2E"/>
    <w:lvl w:ilvl="0">
      <w:start w:val="2"/>
      <w:numFmt w:val="decimal"/>
      <w:suff w:val="nothing"/>
      <w:lvlText w:val="%1、"/>
      <w:lvlJc w:val="left"/>
    </w:lvl>
  </w:abstractNum>
  <w:abstractNum w:abstractNumId="5">
    <w:nsid w:val="BDEF6334"/>
    <w:multiLevelType w:val="singleLevel"/>
    <w:tmpl w:val="BDEF6334"/>
    <w:lvl w:ilvl="0">
      <w:start w:val="7"/>
      <w:numFmt w:val="chineseCounting"/>
      <w:suff w:val="nothing"/>
      <w:lvlText w:val="%1、"/>
      <w:lvlJc w:val="left"/>
      <w:rPr>
        <w:rFonts w:hint="eastAsia"/>
      </w:rPr>
    </w:lvl>
  </w:abstractNum>
  <w:abstractNum w:abstractNumId="6">
    <w:nsid w:val="E0018F06"/>
    <w:multiLevelType w:val="multilevel"/>
    <w:tmpl w:val="E0018F06"/>
    <w:lvl w:ilvl="0">
      <w:start w:val="1"/>
      <w:numFmt w:val="decimalEnclosedCircle"/>
      <w:lvlText w:val="%1"/>
      <w:lvlJc w:val="left"/>
      <w:pPr>
        <w:ind w:left="920" w:hanging="360"/>
      </w:pPr>
      <w:rPr>
        <w:rFonts w:ascii="宋体" w:eastAsia="宋体" w:hAnsi="宋体" w:cs="宋体" w:hint="eastAsia"/>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7">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8">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9">
    <w:nsid w:val="01B03E84"/>
    <w:multiLevelType w:val="multilevel"/>
    <w:tmpl w:val="01B03E84"/>
    <w:lvl w:ilvl="0">
      <w:start w:val="1"/>
      <w:numFmt w:val="decimalEnclosedCircle"/>
      <w:lvlText w:val="%1"/>
      <w:lvlJc w:val="left"/>
      <w:pPr>
        <w:ind w:left="920" w:hanging="360"/>
      </w:pPr>
      <w:rPr>
        <w:rFonts w:ascii="宋体" w:eastAsia="宋体" w:hAnsi="宋体" w:cs="宋体" w:hint="eastAsia"/>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10">
    <w:nsid w:val="030C69D0"/>
    <w:multiLevelType w:val="singleLevel"/>
    <w:tmpl w:val="030C69D0"/>
    <w:lvl w:ilvl="0">
      <w:start w:val="1"/>
      <w:numFmt w:val="decimalEnclosedCircleChinese"/>
      <w:suff w:val="nothing"/>
      <w:lvlText w:val="%1　"/>
      <w:lvlJc w:val="left"/>
      <w:pPr>
        <w:ind w:left="0" w:firstLine="400"/>
      </w:pPr>
      <w:rPr>
        <w:rFonts w:hint="eastAsia"/>
      </w:rPr>
    </w:lvl>
  </w:abstractNum>
  <w:abstractNum w:abstractNumId="11">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11106292"/>
    <w:multiLevelType w:val="singleLevel"/>
    <w:tmpl w:val="11106292"/>
    <w:lvl w:ilvl="0">
      <w:start w:val="1"/>
      <w:numFmt w:val="decimal"/>
      <w:suff w:val="nothing"/>
      <w:lvlText w:val="%1、"/>
      <w:lvlJc w:val="left"/>
    </w:lvl>
  </w:abstractNum>
  <w:abstractNum w:abstractNumId="13">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5">
    <w:nsid w:val="2F395B7B"/>
    <w:multiLevelType w:val="multilevel"/>
    <w:tmpl w:val="2F395B7B"/>
    <w:lvl w:ilvl="0">
      <w:start w:val="1"/>
      <w:numFmt w:val="bullet"/>
      <w:pStyle w:val="13"/>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6">
    <w:nsid w:val="33551E99"/>
    <w:multiLevelType w:val="singleLevel"/>
    <w:tmpl w:val="33551E99"/>
    <w:lvl w:ilvl="0">
      <w:start w:val="1"/>
      <w:numFmt w:val="decimalEnclosedCircleChinese"/>
      <w:suff w:val="nothing"/>
      <w:lvlText w:val="%1　"/>
      <w:lvlJc w:val="left"/>
      <w:pPr>
        <w:ind w:left="0" w:firstLine="400"/>
      </w:pPr>
      <w:rPr>
        <w:rFonts w:hint="eastAsia"/>
      </w:rPr>
    </w:lvl>
  </w:abstractNum>
  <w:abstractNum w:abstractNumId="17">
    <w:nsid w:val="4C1D4415"/>
    <w:multiLevelType w:val="multilevel"/>
    <w:tmpl w:val="4C1D4415"/>
    <w:lvl w:ilvl="0">
      <w:start w:val="1"/>
      <w:numFmt w:val="decimalEnclosedCircle"/>
      <w:lvlText w:val="%1"/>
      <w:lvlJc w:val="left"/>
      <w:pPr>
        <w:ind w:left="920" w:hanging="360"/>
      </w:pPr>
      <w:rPr>
        <w:rFonts w:ascii="宋体" w:eastAsia="宋体" w:hAnsi="宋体" w:cs="宋体" w:hint="eastAsia"/>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18">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8"/>
  </w:num>
  <w:num w:numId="2">
    <w:abstractNumId w:val="7"/>
  </w:num>
  <w:num w:numId="3">
    <w:abstractNumId w:val="14"/>
  </w:num>
  <w:num w:numId="4">
    <w:abstractNumId w:val="13"/>
  </w:num>
  <w:num w:numId="5">
    <w:abstractNumId w:val="18"/>
  </w:num>
  <w:num w:numId="6">
    <w:abstractNumId w:val="15"/>
  </w:num>
  <w:num w:numId="7">
    <w:abstractNumId w:val="3"/>
  </w:num>
  <w:num w:numId="8">
    <w:abstractNumId w:val="2"/>
  </w:num>
  <w:num w:numId="9">
    <w:abstractNumId w:val="16"/>
  </w:num>
  <w:num w:numId="10">
    <w:abstractNumId w:val="10"/>
  </w:num>
  <w:num w:numId="11">
    <w:abstractNumId w:val="6"/>
  </w:num>
  <w:num w:numId="12">
    <w:abstractNumId w:val="17"/>
  </w:num>
  <w:num w:numId="13">
    <w:abstractNumId w:val="0"/>
  </w:num>
  <w:num w:numId="14">
    <w:abstractNumId w:val="12"/>
  </w:num>
  <w:num w:numId="15">
    <w:abstractNumId w:val="9"/>
  </w:num>
  <w:num w:numId="16">
    <w:abstractNumId w:val="5"/>
  </w:num>
  <w:num w:numId="17">
    <w:abstractNumId w:val="1"/>
  </w:num>
  <w:num w:numId="18">
    <w:abstractNumId w:val="4"/>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84"/>
  <w:bordersDoNotSurroundHeader/>
  <w:bordersDoNotSurroundFooter/>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uiPriority="0"/>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1"/>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0"/>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customStyle="1" w:styleId="1">
    <w:name w:val="引文目录1"/>
    <w:basedOn w:val="Normal"/>
    <w:next w:val="Normal"/>
    <w:qFormat/>
    <w:pPr>
      <w:ind w:left="420" w:leftChars="200"/>
    </w:pPr>
    <w:rPr>
      <w:rFonts w:cs="黑体"/>
    </w:rPr>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
    <w:name w:val="Body Text"/>
    <w:basedOn w:val="Normal"/>
    <w:next w:val="BodyText2"/>
    <w:link w:val="a9"/>
    <w:qFormat/>
    <w:pPr>
      <w:spacing w:line="360" w:lineRule="auto"/>
    </w:pPr>
    <w:rPr>
      <w:b/>
      <w:bCs/>
      <w:sz w:val="24"/>
    </w:rPr>
  </w:style>
  <w:style w:type="paragraph" w:styleId="BodyText2">
    <w:name w:val="Body Text 2"/>
    <w:basedOn w:val="Normal"/>
    <w:link w:val="21"/>
    <w:qFormat/>
    <w:pPr>
      <w:spacing w:line="360" w:lineRule="auto"/>
    </w:pPr>
    <w:rPr>
      <w:sz w:val="24"/>
    </w:rPr>
  </w:style>
  <w:style w:type="paragraph" w:styleId="BodyTextIndent">
    <w:name w:val="Body Text Indent"/>
    <w:basedOn w:val="Normal"/>
    <w:link w:val="a5"/>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a31"/>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character" w:customStyle="1" w:styleId="3Char">
    <w:name w:val="标题 3 Char"/>
    <w:qFormat/>
    <w:rPr>
      <w:rFonts w:ascii="黑体" w:eastAsia="黑体"/>
      <w:bCs/>
      <w:sz w:val="30"/>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0">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1">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2">
    <w:name w:val="样式1"/>
    <w:basedOn w:val="Title"/>
    <w:qFormat/>
    <w:pPr>
      <w:spacing w:before="120" w:after="120"/>
    </w:pPr>
    <w:rPr>
      <w:rFonts w:eastAsia="黑体"/>
      <w:b w:val="0"/>
      <w:sz w:val="30"/>
      <w:szCs w:val="21"/>
    </w:rPr>
  </w:style>
  <w:style w:type="paragraph" w:customStyle="1" w:styleId="22">
    <w:name w:val="样式2"/>
    <w:basedOn w:val="Title"/>
    <w:next w:val="12"/>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3">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4">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5">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a31">
    <w:name w:val="普通(网站) 字符"/>
    <w:link w:val="NormalWeb"/>
    <w:qFormat/>
    <w:rPr>
      <w:kern w:val="2"/>
      <w:sz w:val="24"/>
      <w:szCs w:val="24"/>
    </w:rPr>
  </w:style>
  <w:style w:type="character" w:customStyle="1" w:styleId="Char12">
    <w:name w:val="批注文字 Char1"/>
    <w:uiPriority w:val="99"/>
    <w:qFormat/>
    <w:rPr>
      <w:rFonts w:ascii="宋体"/>
      <w:sz w:val="34"/>
    </w:rPr>
  </w:style>
  <w:style w:type="character" w:customStyle="1" w:styleId="Char13">
    <w:name w:val="正文缩进 Char1"/>
    <w:qFormat/>
    <w:rPr>
      <w:rFonts w:eastAsia="宋体"/>
      <w:kern w:val="2"/>
      <w:sz w:val="21"/>
      <w:lang w:val="en-US" w:eastAsia="zh-CN" w:bidi="ar-SA"/>
    </w:rPr>
  </w:style>
  <w:style w:type="table" w:customStyle="1" w:styleId="16">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unhideWhenUsed/>
    <w:qFormat/>
    <w:rPr>
      <w:rFonts w:ascii="Times New Roman" w:eastAsia="宋体" w:hAnsi="Times New Roman" w:cs="Times New Roman"/>
      <w:kern w:val="2"/>
      <w:sz w:val="21"/>
      <w:szCs w:val="24"/>
      <w:lang w:val="en-US" w:eastAsia="zh-CN" w:bidi="ar-SA"/>
    </w:rPr>
  </w:style>
  <w:style w:type="character" w:customStyle="1" w:styleId="font12">
    <w:name w:val="font12"/>
    <w:qFormat/>
    <w:rPr>
      <w:rFonts w:ascii="宋体" w:eastAsia="宋体" w:hAnsi="宋体" w:cs="宋体" w:hint="eastAsia"/>
      <w:b/>
      <w:bCs/>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305</TotalTime>
  <Pages>48</Pages>
  <Words>13538</Words>
  <Characters>14227</Characters>
  <Application>Microsoft Office Word</Application>
  <DocSecurity>0</DocSecurity>
  <Lines>432</Lines>
  <Paragraphs>121</Paragraphs>
  <ScaleCrop>false</ScaleCrop>
  <Company>Microsoft</Company>
  <LinksUpToDate>false</LinksUpToDate>
  <CharactersWithSpaces>14314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李鑫</cp:lastModifiedBy>
  <cp:revision>5</cp:revision>
  <cp:lastPrinted>2021-05-12T08:02:00Z</cp:lastPrinted>
  <dcterms:created xsi:type="dcterms:W3CDTF">2025-01-23T20:35:00Z</dcterms:created>
  <dcterms:modified xsi:type="dcterms:W3CDTF">2025-02-07T06:41:10Z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A928EE65495044D9905E4D0BD701B7FA_13</vt:lpwstr>
  </property>
  <property fmtid="{D5CDD505-2E9C-101B-9397-08002B2CF9AE}" pid="3" name="KSOProductBuildVer">
    <vt:lpwstr>2052-12.1.0.19302</vt:lpwstr>
  </property>
  <property fmtid="{D5CDD505-2E9C-101B-9397-08002B2CF9AE}" pid="4" name="KSOTemplateDocerSaveRecord">
    <vt:lpwstr>eyJoZGlkIjoiNjJmOTMzNDE1MTM0OTA0ZGNmYmI3NjVjMWVmZTBmN2YiLCJ1c2VySWQiOiIyMjc1MTQ3NjgifQ==</vt:lpwstr>
  </property>
</Properties>
</file>