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GoBack"/>
      <w:bookmarkEnd w:id="0"/>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ascii="Times New Roman" w:eastAsia="宋体"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widowControl/>
        <w:spacing w:beforeAutospacing="1" w:afterAutospacing="1"/>
        <w:jc w:val="left"/>
        <w:outlineLvl w:val="9"/>
        <w:rPr>
          <w:rFonts w:ascii="黑体" w:eastAsia="黑体" w:hAnsi="宋体" w:cs="黑体" w:hint="eastAsia"/>
          <w:kern w:val="0"/>
          <w:sz w:val="40"/>
          <w:szCs w:val="40"/>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rPr>
          <w:rFonts w:ascii="黑体" w:eastAsia="黑体" w:hAnsi="宋体" w:cs="黑体" w:hint="eastAsia"/>
          <w:kern w:val="0"/>
          <w:sz w:val="40"/>
          <w:szCs w:val="40"/>
        </w:rPr>
      </w:pPr>
      <w: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BACG2025000230</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深圳市宝安区人民医院大数据平台、信息安全建设项目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8"/>
          <w:footerReference w:type="default" r:id="rId9"/>
          <w:headerReference w:type="first" r:id="rId10"/>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 w:val="21"/>
                <w:szCs w:val="21"/>
                <w:lang w:eastAsia="zh-CN"/>
              </w:rPr>
            </w:pPr>
            <w:r>
              <w:rPr>
                <w:sz w:val="21"/>
                <w:szCs w:val="21"/>
              </w:rPr>
              <w:t>综合评分法，是指投标文件满足招标文件全部实质性要求，且按照评审因素的量化指标评审得分最高的投标人为中标候选人的评标方法。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1</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价格</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1</w:t>
            </w:r>
            <w:r>
              <w:rPr>
                <w:b/>
                <w:bCs/>
                <w:color w:val="0000FF"/>
              </w:rPr>
              <w:t>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2</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4"/>
                <w:lang w:val="en-US" w:eastAsia="zh-CN"/>
              </w:rPr>
            </w:pPr>
            <w:r>
              <w:rPr>
                <w:rFonts w:ascii="宋体" w:hAnsi="宋体" w:cs="宋体" w:hint="eastAsia"/>
                <w:b/>
                <w:bCs/>
                <w:color w:val="0000FF"/>
                <w:sz w:val="24"/>
                <w:lang w:val="en-US" w:eastAsia="zh-CN"/>
              </w:rPr>
              <w:t>77</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35</w:t>
            </w:r>
          </w:p>
        </w:tc>
        <w:tc>
          <w:tcPr>
            <w:tcW w:w="4196" w:type="dxa"/>
            <w:tcBorders>
              <w:top w:val="single" w:sz="8" w:space="0" w:color="000000"/>
              <w:left w:val="single" w:sz="8" w:space="0" w:color="000000"/>
              <w:bottom w:val="single" w:sz="8" w:space="0" w:color="000000"/>
              <w:right w:val="single" w:sz="8" w:space="0" w:color="000000"/>
            </w:tcBorders>
            <w:shd w:val="clear" w:color="000000" w:fill="FFFFFF"/>
            <w:vAlign w:val="center"/>
          </w:tcPr>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（一）</w:t>
            </w:r>
            <w:r>
              <w:rPr>
                <w:rFonts w:ascii="宋体" w:hAnsi="宋体" w:cs="宋体" w:hint="eastAsia"/>
                <w:b/>
                <w:bCs/>
                <w:kern w:val="0"/>
                <w:szCs w:val="21"/>
              </w:rPr>
              <w:t>评审内容</w:t>
            </w:r>
            <w:r>
              <w:rPr>
                <w:rFonts w:ascii="宋体" w:hAnsi="宋体" w:cs="宋体" w:hint="eastAsia"/>
                <w:color w:val="000000"/>
                <w:kern w:val="0"/>
                <w:szCs w:val="21"/>
              </w:rPr>
              <w:t>：</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考察投标人对招标文件《第一册专用条款第三章 用户需求书：五、技术要求》：1.服务内容中“（2）采购内容技术需求”的“▲”参数响应情况。</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（二）</w:t>
            </w:r>
            <w:r>
              <w:rPr>
                <w:rFonts w:ascii="宋体" w:hAnsi="宋体" w:cs="宋体" w:hint="eastAsia"/>
                <w:b/>
                <w:bCs/>
                <w:szCs w:val="21"/>
              </w:rPr>
              <w:t>评审标准</w:t>
            </w:r>
            <w:r>
              <w:rPr>
                <w:rFonts w:ascii="宋体" w:hAnsi="宋体" w:cs="宋体" w:hint="eastAsia"/>
                <w:color w:val="000000"/>
                <w:kern w:val="0"/>
                <w:szCs w:val="21"/>
              </w:rPr>
              <w:t>：</w:t>
            </w:r>
          </w:p>
          <w:p>
            <w:pPr>
              <w:widowControl/>
              <w:spacing w:line="360" w:lineRule="exact"/>
              <w:jc w:val="left"/>
              <w:rPr>
                <w:rFonts w:ascii="宋体" w:eastAsia="宋体" w:hAnsi="宋体" w:cs="宋体" w:hint="eastAsia"/>
                <w:color w:val="000000"/>
                <w:kern w:val="0"/>
                <w:sz w:val="21"/>
                <w:szCs w:val="21"/>
                <w:lang w:val="en-US" w:eastAsia="zh-CN" w:bidi="ar-SA"/>
              </w:rPr>
            </w:pPr>
            <w:r>
              <w:rPr>
                <w:rFonts w:ascii="宋体" w:hAnsi="宋体" w:cs="宋体" w:hint="eastAsia"/>
                <w:color w:val="0000FF"/>
                <w:kern w:val="0"/>
                <w:szCs w:val="21"/>
              </w:rPr>
              <w:t>以投标文件《技术要求偏离表》为评审依据，完全符合招标文件要求的，得100分。每有1项“▲”参数要求响应不符合招标要求（或缺漏）的扣1.25分，最低得0分。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非“▲”参数响应情况评价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4</w:t>
            </w:r>
          </w:p>
        </w:tc>
        <w:tc>
          <w:tcPr>
            <w:tcW w:w="4196" w:type="dxa"/>
            <w:tcBorders>
              <w:top w:val="single" w:sz="8" w:space="0" w:color="000000"/>
              <w:left w:val="single" w:sz="8" w:space="0" w:color="000000"/>
              <w:bottom w:val="single" w:sz="8" w:space="0" w:color="000000"/>
              <w:right w:val="single" w:sz="8" w:space="0" w:color="000000"/>
            </w:tcBorders>
            <w:shd w:val="clear" w:color="000000" w:fill="FFFFFF"/>
            <w:vAlign w:val="center"/>
          </w:tcPr>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（一）</w:t>
            </w:r>
            <w:r>
              <w:rPr>
                <w:rFonts w:ascii="宋体" w:hAnsi="宋体" w:cs="宋体" w:hint="eastAsia"/>
                <w:b/>
                <w:bCs/>
                <w:kern w:val="0"/>
                <w:szCs w:val="21"/>
              </w:rPr>
              <w:t>评审内容</w:t>
            </w:r>
            <w:r>
              <w:rPr>
                <w:rFonts w:ascii="宋体" w:hAnsi="宋体" w:cs="宋体" w:hint="eastAsia"/>
                <w:color w:val="000000"/>
                <w:kern w:val="0"/>
                <w:szCs w:val="21"/>
              </w:rPr>
              <w:t>：</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考察投标人对招标文件《第一册专用条款第三章 用户需求书：五、技术要求》：1.服务内容中“（2）采购内容技术需求”的非“▲”参数响应情况。</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（二）</w:t>
            </w:r>
            <w:r>
              <w:rPr>
                <w:rFonts w:ascii="宋体" w:hAnsi="宋体" w:cs="宋体" w:hint="eastAsia"/>
                <w:b/>
                <w:bCs/>
                <w:szCs w:val="21"/>
              </w:rPr>
              <w:t>评审标准</w:t>
            </w:r>
            <w:r>
              <w:rPr>
                <w:rFonts w:ascii="宋体" w:hAnsi="宋体" w:cs="宋体" w:hint="eastAsia"/>
                <w:color w:val="000000"/>
                <w:kern w:val="0"/>
                <w:szCs w:val="21"/>
              </w:rPr>
              <w:t>：</w:t>
            </w:r>
          </w:p>
          <w:p>
            <w:pPr>
              <w:widowControl/>
              <w:spacing w:line="360" w:lineRule="exact"/>
              <w:jc w:val="left"/>
              <w:rPr>
                <w:rFonts w:ascii="宋体" w:eastAsia="宋体" w:hAnsi="宋体" w:cs="宋体" w:hint="eastAsia"/>
                <w:color w:val="000000"/>
                <w:kern w:val="0"/>
                <w:sz w:val="21"/>
                <w:szCs w:val="21"/>
                <w:lang w:val="en-US" w:eastAsia="zh-CN" w:bidi="ar-SA"/>
              </w:rPr>
            </w:pPr>
            <w:r>
              <w:rPr>
                <w:rFonts w:ascii="宋体" w:hAnsi="宋体" w:cs="宋体" w:hint="eastAsia"/>
                <w:color w:val="0000FF"/>
                <w:kern w:val="0"/>
                <w:szCs w:val="21"/>
              </w:rPr>
              <w:t>以投标文件《技术要求偏离表》为评审依据，完全符合招标文件要求的，得100分。每有1项非“▲”参数要求响应不符合招标要求（或缺漏）的扣0.08分，最低得0分。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拟安排的项目主要团队成员（主要技术人员）情况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23</w:t>
            </w:r>
          </w:p>
        </w:tc>
        <w:tc>
          <w:tcPr>
            <w:tcW w:w="4196" w:type="dxa"/>
            <w:tcBorders>
              <w:top w:val="single" w:sz="8" w:space="0" w:color="000000"/>
              <w:left w:val="single" w:sz="8" w:space="0" w:color="000000"/>
              <w:bottom w:val="single" w:sz="8" w:space="0" w:color="000000"/>
              <w:right w:val="single" w:sz="8" w:space="0" w:color="000000"/>
            </w:tcBorders>
            <w:shd w:val="clear" w:color="000000" w:fill="FFFFFF"/>
            <w:vAlign w:val="center"/>
          </w:tcPr>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（一）评审内容：</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拟安排项目团队成员情况如下：</w:t>
            </w:r>
          </w:p>
          <w:p>
            <w:pPr>
              <w:widowControl/>
              <w:spacing w:line="360" w:lineRule="exact"/>
              <w:jc w:val="left"/>
              <w:rPr>
                <w:rFonts w:ascii="宋体" w:hAnsi="宋体" w:cs="宋体" w:hint="eastAsia"/>
                <w:color w:val="000000"/>
                <w:kern w:val="0"/>
                <w:szCs w:val="21"/>
              </w:rPr>
            </w:pPr>
            <w:r>
              <w:rPr>
                <w:rFonts w:ascii="宋体" w:hAnsi="宋体" w:cs="宋体" w:hint="eastAsia"/>
                <w:b/>
                <w:bCs/>
                <w:color w:val="0000FF"/>
                <w:kern w:val="0"/>
                <w:szCs w:val="21"/>
              </w:rPr>
              <w:t>（1）项目负责人（限1人，本项最高得45分）</w:t>
            </w:r>
            <w:r>
              <w:rPr>
                <w:rFonts w:ascii="宋体" w:hAnsi="宋体" w:cs="宋体" w:hint="eastAsia"/>
                <w:color w:val="000000"/>
                <w:kern w:val="0"/>
                <w:szCs w:val="21"/>
              </w:rPr>
              <w:t>:</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1.具有</w:t>
            </w:r>
            <w:r>
              <w:rPr>
                <w:rFonts w:ascii="宋体" w:hAnsi="宋体" w:cs="宋体" w:hint="eastAsia"/>
                <w:b/>
                <w:bCs/>
                <w:color w:val="000000"/>
                <w:kern w:val="0"/>
                <w:szCs w:val="21"/>
              </w:rPr>
              <w:t>硕士（或以上）学位（专业类别为计算机类）</w:t>
            </w:r>
            <w:r>
              <w:rPr>
                <w:rFonts w:ascii="宋体" w:hAnsi="宋体" w:cs="宋体" w:hint="eastAsia"/>
                <w:color w:val="000000"/>
                <w:kern w:val="0"/>
                <w:szCs w:val="21"/>
              </w:rPr>
              <w:t>，得15分；</w:t>
            </w:r>
          </w:p>
          <w:p>
            <w:r>
              <w:rPr>
                <w:rFonts w:ascii="宋体" w:hAnsi="宋体" w:cs="宋体" w:hint="eastAsia"/>
                <w:color w:val="000000"/>
                <w:kern w:val="0"/>
                <w:szCs w:val="21"/>
              </w:rPr>
              <w:t>2</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.具有国家机关（或事业单位）颁发的</w:t>
            </w:r>
            <w:r>
              <w:rPr>
                <w:rFonts w:ascii="宋体" w:hAnsi="宋体" w:cs="宋体" w:hint="eastAsia"/>
                <w:b/>
                <w:bCs/>
                <w:color w:val="000000"/>
                <w:kern w:val="0"/>
                <w:szCs w:val="21"/>
              </w:rPr>
              <w:t>信息系统项目管理师（高级）证书</w:t>
            </w:r>
            <w:r>
              <w:rPr>
                <w:rFonts w:ascii="宋体" w:hAnsi="宋体" w:cs="宋体" w:hint="eastAsia"/>
                <w:color w:val="000000"/>
                <w:kern w:val="0"/>
                <w:szCs w:val="21"/>
              </w:rPr>
              <w:t>，得15分；</w:t>
            </w:r>
          </w:p>
          <w:p>
            <w:pPr>
              <w:widowControl/>
              <w:spacing w:line="360" w:lineRule="exact"/>
              <w:jc w:val="left"/>
              <w:rPr>
                <w:rFonts w:ascii="宋体" w:hAnsi="宋体" w:cs="宋体" w:hint="eastAsia"/>
                <w:color w:val="000000"/>
                <w:kern w:val="0"/>
                <w:szCs w:val="21"/>
              </w:rPr>
            </w:pPr>
            <w:r>
              <w:rPr>
                <w:rFonts w:ascii="宋体" w:hAnsi="宋体" w:cs="宋体" w:hint="eastAsia"/>
                <w:kern w:val="0"/>
                <w:szCs w:val="21"/>
              </w:rPr>
              <w:t>3.具有“大数据”或“安全服务”相关信息化项目建设经验且提供项目履约评价或项目验收报告的得15分。</w:t>
            </w:r>
          </w:p>
          <w:p>
            <w:pPr>
              <w:widowControl/>
              <w:spacing w:line="360" w:lineRule="exact"/>
              <w:jc w:val="left"/>
              <w:rPr>
                <w:rFonts w:ascii="宋体" w:hAnsi="宋体" w:cs="宋体" w:hint="eastAsia"/>
                <w:color w:val="000000"/>
                <w:kern w:val="0"/>
                <w:szCs w:val="21"/>
              </w:rPr>
            </w:pPr>
            <w:r>
              <w:rPr>
                <w:rFonts w:ascii="宋体" w:hAnsi="宋体" w:cs="宋体" w:hint="eastAsia"/>
                <w:b/>
                <w:bCs/>
                <w:color w:val="0000FF"/>
                <w:kern w:val="0"/>
                <w:szCs w:val="21"/>
              </w:rPr>
              <w:t>（2）技术负责人（限1人，本项最高得20分）</w:t>
            </w:r>
            <w:r>
              <w:rPr>
                <w:rFonts w:ascii="宋体" w:hAnsi="宋体" w:cs="宋体" w:hint="eastAsia"/>
                <w:color w:val="000000"/>
                <w:kern w:val="0"/>
                <w:szCs w:val="21"/>
              </w:rPr>
              <w:t>：</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1.具有</w:t>
            </w:r>
            <w:r>
              <w:rPr>
                <w:rFonts w:ascii="宋体" w:hAnsi="宋体" w:cs="宋体" w:hint="eastAsia"/>
                <w:b/>
                <w:bCs/>
                <w:color w:val="000000"/>
                <w:kern w:val="0"/>
                <w:szCs w:val="21"/>
              </w:rPr>
              <w:t>硕士（或以上）学位</w:t>
            </w:r>
            <w:r>
              <w:rPr>
                <w:rFonts w:ascii="宋体" w:hAnsi="宋体" w:cs="宋体" w:hint="eastAsia"/>
                <w:color w:val="000000"/>
                <w:kern w:val="0"/>
                <w:szCs w:val="21"/>
              </w:rPr>
              <w:t>，得10分；</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2.具有国家机关（或事业单位）颁发的</w:t>
            </w:r>
            <w:r>
              <w:rPr>
                <w:rFonts w:ascii="宋体" w:hAnsi="宋体" w:cs="宋体" w:hint="eastAsia"/>
                <w:b/>
                <w:bCs/>
                <w:color w:val="000000"/>
                <w:kern w:val="0"/>
                <w:szCs w:val="21"/>
              </w:rPr>
              <w:t>系统架构设计师（高级）证书</w:t>
            </w:r>
            <w:r>
              <w:rPr>
                <w:rFonts w:ascii="宋体" w:hAnsi="宋体" w:cs="宋体" w:hint="eastAsia"/>
                <w:color w:val="000000"/>
                <w:kern w:val="0"/>
                <w:szCs w:val="21"/>
              </w:rPr>
              <w:t>，得10分；</w:t>
            </w:r>
          </w:p>
          <w:p>
            <w:pPr>
              <w:widowControl/>
              <w:spacing w:line="360" w:lineRule="exact"/>
              <w:jc w:val="left"/>
              <w:rPr>
                <w:rFonts w:ascii="宋体" w:hAnsi="宋体" w:cs="宋体" w:hint="eastAsia"/>
                <w:b/>
                <w:bCs/>
                <w:color w:val="0000FF"/>
                <w:kern w:val="0"/>
                <w:szCs w:val="21"/>
              </w:rPr>
            </w:pPr>
            <w:r>
              <w:rPr>
                <w:rFonts w:ascii="宋体" w:hAnsi="宋体" w:cs="宋体" w:hint="eastAsia"/>
                <w:b/>
                <w:bCs/>
                <w:color w:val="0000FF"/>
                <w:kern w:val="0"/>
                <w:szCs w:val="21"/>
              </w:rPr>
              <w:t>（3）大数据负责人（限1人，本项最高得15分）：</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1.具有</w:t>
            </w:r>
            <w:r>
              <w:rPr>
                <w:rFonts w:ascii="宋体" w:hAnsi="宋体" w:cs="宋体" w:hint="eastAsia"/>
                <w:b/>
                <w:bCs/>
                <w:color w:val="000000"/>
                <w:kern w:val="0"/>
                <w:szCs w:val="21"/>
              </w:rPr>
              <w:t>硕士（或以上）学位</w:t>
            </w:r>
            <w:r>
              <w:rPr>
                <w:rFonts w:ascii="宋体" w:hAnsi="宋体" w:cs="宋体" w:hint="eastAsia"/>
                <w:color w:val="000000"/>
                <w:kern w:val="0"/>
                <w:szCs w:val="21"/>
              </w:rPr>
              <w:t>，得8分；</w:t>
            </w:r>
          </w:p>
          <w:p>
            <w:pPr>
              <w:widowControl/>
              <w:spacing w:line="360" w:lineRule="exact"/>
              <w:jc w:val="left"/>
              <w:rPr>
                <w:rFonts w:ascii="宋体" w:hAnsi="宋体" w:cs="宋体"/>
                <w:color w:val="000000"/>
                <w:kern w:val="0"/>
                <w:szCs w:val="21"/>
                <w:highlight w:val="none"/>
              </w:rPr>
            </w:pPr>
            <w:r>
              <w:rPr>
                <w:rFonts w:ascii="宋体" w:hAnsi="宋体" w:cs="宋体" w:hint="eastAsia"/>
                <w:color w:val="000000"/>
                <w:kern w:val="0"/>
                <w:szCs w:val="21"/>
              </w:rPr>
              <w:t>2.具有相关</w:t>
            </w:r>
            <w:r>
              <w:rPr>
                <w:rFonts w:ascii="宋体" w:hAnsi="宋体" w:cs="宋体" w:hint="eastAsia"/>
                <w:color w:val="000000"/>
                <w:kern w:val="0"/>
                <w:szCs w:val="21"/>
                <w:highlight w:val="none"/>
              </w:rPr>
              <w:t>机构颁发的</w:t>
            </w:r>
            <w:r>
              <w:rPr>
                <w:rFonts w:ascii="宋体" w:hAnsi="宋体" w:cs="宋体" w:hint="eastAsia"/>
                <w:b/>
                <w:bCs/>
                <w:color w:val="000000"/>
                <w:kern w:val="0"/>
                <w:szCs w:val="21"/>
                <w:highlight w:val="none"/>
              </w:rPr>
              <w:t>数据管理专业人士认证（大师级）证书</w:t>
            </w:r>
            <w:r>
              <w:rPr>
                <w:rFonts w:ascii="宋体" w:hAnsi="宋体" w:cs="宋体" w:hint="eastAsia"/>
                <w:color w:val="000000"/>
                <w:kern w:val="0"/>
                <w:szCs w:val="21"/>
                <w:highlight w:val="none"/>
              </w:rPr>
              <w:t>，得7分；</w:t>
            </w:r>
          </w:p>
          <w:p>
            <w:pPr>
              <w:widowControl/>
              <w:spacing w:line="360" w:lineRule="exact"/>
              <w:jc w:val="left"/>
              <w:rPr>
                <w:rFonts w:ascii="宋体" w:hAnsi="宋体" w:cs="宋体" w:hint="eastAsia"/>
                <w:b/>
                <w:bCs/>
                <w:color w:val="0000FF"/>
                <w:kern w:val="0"/>
                <w:szCs w:val="21"/>
                <w:highlight w:val="none"/>
              </w:rPr>
            </w:pPr>
            <w:r>
              <w:rPr>
                <w:rFonts w:ascii="宋体" w:hAnsi="宋体" w:cs="宋体" w:hint="eastAsia"/>
                <w:b/>
                <w:bCs/>
                <w:color w:val="0000FF"/>
                <w:kern w:val="0"/>
                <w:szCs w:val="21"/>
                <w:highlight w:val="none"/>
              </w:rPr>
              <w:t>（4）信息安全负责人（限1人，本项最高得15分）：</w:t>
            </w:r>
          </w:p>
          <w:p>
            <w:pPr>
              <w:widowControl/>
              <w:spacing w:line="360" w:lineRule="exact"/>
              <w:jc w:val="left"/>
              <w:rPr>
                <w:rFonts w:ascii="宋体" w:hAnsi="宋体" w:cs="宋体" w:hint="eastAsia"/>
                <w:color w:val="000000"/>
                <w:kern w:val="0"/>
                <w:szCs w:val="21"/>
                <w:highlight w:val="none"/>
              </w:rPr>
            </w:pPr>
            <w:r>
              <w:rPr>
                <w:rFonts w:ascii="宋体" w:hAnsi="宋体" w:cs="宋体" w:hint="eastAsia"/>
                <w:color w:val="000000"/>
                <w:kern w:val="0"/>
                <w:szCs w:val="21"/>
                <w:highlight w:val="none"/>
              </w:rPr>
              <w:t>1.具有</w:t>
            </w:r>
            <w:r>
              <w:rPr>
                <w:rFonts w:ascii="宋体" w:hAnsi="宋体" w:cs="宋体" w:hint="eastAsia"/>
                <w:b/>
                <w:bCs/>
                <w:color w:val="000000"/>
                <w:kern w:val="0"/>
                <w:szCs w:val="21"/>
                <w:highlight w:val="none"/>
              </w:rPr>
              <w:t>硕士（或以上）学位</w:t>
            </w:r>
            <w:r>
              <w:rPr>
                <w:rFonts w:ascii="宋体" w:hAnsi="宋体" w:cs="宋体" w:hint="eastAsia"/>
                <w:color w:val="000000"/>
                <w:kern w:val="0"/>
                <w:szCs w:val="21"/>
                <w:highlight w:val="none"/>
              </w:rPr>
              <w:t>，得8分；</w:t>
            </w:r>
          </w:p>
          <w:p>
            <w:pPr>
              <w:widowControl/>
              <w:spacing w:line="360" w:lineRule="exact"/>
              <w:jc w:val="left"/>
              <w:rPr>
                <w:rFonts w:ascii="宋体" w:hAnsi="宋体" w:cs="宋体" w:hint="eastAsia"/>
                <w:color w:val="000000"/>
                <w:kern w:val="0"/>
                <w:szCs w:val="21"/>
                <w:highlight w:val="none"/>
              </w:rPr>
            </w:pPr>
            <w:r>
              <w:rPr>
                <w:rFonts w:ascii="宋体" w:hAnsi="宋体" w:cs="宋体" w:hint="eastAsia"/>
                <w:color w:val="000000"/>
                <w:kern w:val="0"/>
                <w:szCs w:val="21"/>
                <w:highlight w:val="none"/>
              </w:rPr>
              <w:t>2. 具有相关机构颁发的</w:t>
            </w:r>
            <w:r>
              <w:rPr>
                <w:rFonts w:ascii="宋体" w:hAnsi="宋体" w:cs="宋体" w:hint="eastAsia"/>
                <w:b/>
                <w:bCs/>
                <w:color w:val="000000"/>
                <w:kern w:val="0"/>
                <w:szCs w:val="21"/>
                <w:highlight w:val="none"/>
              </w:rPr>
              <w:t>CISP证书</w:t>
            </w:r>
            <w:r>
              <w:rPr>
                <w:rFonts w:ascii="宋体" w:hAnsi="宋体" w:cs="宋体" w:hint="eastAsia"/>
                <w:color w:val="000000"/>
                <w:kern w:val="0"/>
                <w:szCs w:val="21"/>
                <w:highlight w:val="none"/>
              </w:rPr>
              <w:t>，得7分；</w:t>
            </w:r>
          </w:p>
          <w:p>
            <w:pPr>
              <w:widowControl/>
              <w:spacing w:line="360" w:lineRule="exact"/>
              <w:jc w:val="left"/>
              <w:rPr>
                <w:rFonts w:ascii="宋体" w:hAnsi="宋体" w:cs="宋体" w:hint="eastAsia"/>
                <w:b/>
                <w:bCs/>
                <w:color w:val="0000FF"/>
                <w:kern w:val="0"/>
                <w:szCs w:val="21"/>
                <w:highlight w:val="none"/>
              </w:rPr>
            </w:pPr>
            <w:r>
              <w:rPr>
                <w:rFonts w:ascii="宋体" w:hAnsi="宋体" w:cs="宋体" w:hint="eastAsia"/>
                <w:b/>
                <w:bCs/>
                <w:color w:val="0000FF"/>
                <w:kern w:val="0"/>
                <w:szCs w:val="21"/>
                <w:highlight w:val="none"/>
              </w:rPr>
              <w:t>（5）其他团队成员（限5人，本项最高得5分）：</w:t>
            </w:r>
          </w:p>
          <w:p>
            <w:pPr>
              <w:rPr>
                <w:highlight w:val="none"/>
              </w:rPr>
            </w:pPr>
          </w:p>
          <w:p>
            <w:pPr>
              <w:widowControl/>
              <w:spacing w:line="360" w:lineRule="exact"/>
              <w:jc w:val="left"/>
              <w:rPr>
                <w:rFonts w:ascii="宋体" w:hAnsi="宋体" w:cs="宋体" w:hint="eastAsia"/>
                <w:color w:val="000000"/>
                <w:kern w:val="0"/>
                <w:szCs w:val="21"/>
                <w:highlight w:val="none"/>
              </w:rPr>
            </w:pPr>
            <w:r>
              <w:rPr>
                <w:rFonts w:ascii="宋体" w:hAnsi="宋体" w:cs="宋体" w:hint="eastAsia"/>
                <w:color w:val="000000"/>
                <w:kern w:val="0"/>
                <w:szCs w:val="21"/>
                <w:highlight w:val="none"/>
              </w:rPr>
              <w:t>1.具有国家机关（或事业单位）颁发的</w:t>
            </w:r>
            <w:r>
              <w:rPr>
                <w:rFonts w:ascii="宋体" w:hAnsi="宋体" w:cs="宋体" w:hint="eastAsia"/>
                <w:b/>
                <w:bCs/>
                <w:color w:val="000000"/>
                <w:kern w:val="0"/>
                <w:szCs w:val="21"/>
                <w:highlight w:val="none"/>
              </w:rPr>
              <w:t>网络规划设计师证书</w:t>
            </w:r>
            <w:r>
              <w:rPr>
                <w:rFonts w:ascii="宋体" w:hAnsi="宋体" w:cs="宋体" w:hint="eastAsia"/>
                <w:color w:val="000000"/>
                <w:kern w:val="0"/>
                <w:szCs w:val="21"/>
                <w:highlight w:val="none"/>
              </w:rPr>
              <w:t>，每提供1人得1分，最高得1分；</w:t>
            </w:r>
          </w:p>
          <w:p>
            <w:pPr>
              <w:widowControl/>
              <w:spacing w:line="360" w:lineRule="exact"/>
              <w:jc w:val="left"/>
              <w:rPr>
                <w:rFonts w:ascii="宋体" w:hAnsi="宋体" w:cs="宋体" w:hint="eastAsia"/>
                <w:color w:val="000000"/>
                <w:kern w:val="0"/>
                <w:szCs w:val="21"/>
                <w:highlight w:val="none"/>
              </w:rPr>
            </w:pPr>
            <w:r>
              <w:rPr>
                <w:rFonts w:ascii="宋体" w:hAnsi="宋体" w:cs="宋体" w:hint="eastAsia"/>
                <w:color w:val="000000"/>
                <w:kern w:val="0"/>
                <w:szCs w:val="21"/>
                <w:highlight w:val="none"/>
              </w:rPr>
              <w:t>2.具有国家机关（或事业单位）颁发的</w:t>
            </w:r>
            <w:r>
              <w:rPr>
                <w:rFonts w:ascii="宋体" w:hAnsi="宋体" w:cs="宋体" w:hint="eastAsia"/>
                <w:b/>
                <w:bCs/>
                <w:color w:val="000000"/>
                <w:kern w:val="0"/>
                <w:szCs w:val="21"/>
                <w:highlight w:val="none"/>
              </w:rPr>
              <w:t>软件设计师证书</w:t>
            </w:r>
            <w:r>
              <w:rPr>
                <w:rFonts w:ascii="宋体" w:hAnsi="宋体" w:cs="宋体" w:hint="eastAsia"/>
                <w:color w:val="000000"/>
                <w:kern w:val="0"/>
                <w:szCs w:val="21"/>
                <w:highlight w:val="none"/>
              </w:rPr>
              <w:t>，每提供1人得1分，最高得1分；</w:t>
            </w:r>
          </w:p>
          <w:p>
            <w:pPr>
              <w:widowControl/>
              <w:spacing w:line="360" w:lineRule="exact"/>
              <w:jc w:val="left"/>
              <w:rPr>
                <w:rFonts w:ascii="宋体" w:hAnsi="宋体" w:cs="宋体" w:hint="eastAsia"/>
                <w:color w:val="000000"/>
                <w:kern w:val="0"/>
                <w:szCs w:val="21"/>
                <w:highlight w:val="none"/>
              </w:rPr>
            </w:pPr>
            <w:r>
              <w:rPr>
                <w:rFonts w:ascii="宋体" w:hAnsi="宋体" w:cs="宋体" w:hint="eastAsia"/>
                <w:color w:val="000000"/>
                <w:kern w:val="0"/>
                <w:szCs w:val="21"/>
                <w:highlight w:val="none"/>
              </w:rPr>
              <w:t>3.具有国家机关（或事业单位）颁发的</w:t>
            </w:r>
            <w:r>
              <w:rPr>
                <w:rFonts w:ascii="宋体" w:hAnsi="宋体" w:cs="宋体" w:hint="eastAsia"/>
                <w:b/>
                <w:bCs/>
                <w:color w:val="000000"/>
                <w:kern w:val="0"/>
                <w:szCs w:val="21"/>
                <w:highlight w:val="none"/>
              </w:rPr>
              <w:t>系统分析师证书</w:t>
            </w:r>
            <w:r>
              <w:rPr>
                <w:rFonts w:ascii="宋体" w:hAnsi="宋体" w:cs="宋体" w:hint="eastAsia"/>
                <w:color w:val="000000"/>
                <w:kern w:val="0"/>
                <w:szCs w:val="21"/>
                <w:highlight w:val="none"/>
              </w:rPr>
              <w:t>，每提供1人得1分，最高得1分；</w:t>
            </w:r>
          </w:p>
          <w:p>
            <w:pPr>
              <w:widowControl/>
              <w:spacing w:line="360" w:lineRule="exact"/>
              <w:jc w:val="left"/>
              <w:rPr>
                <w:rFonts w:ascii="宋体" w:hAnsi="宋体" w:cs="宋体"/>
                <w:color w:val="000000"/>
                <w:kern w:val="0"/>
                <w:szCs w:val="21"/>
                <w:highlight w:val="none"/>
              </w:rPr>
            </w:pPr>
            <w:r>
              <w:rPr>
                <w:rFonts w:ascii="宋体" w:hAnsi="宋体" w:cs="宋体" w:hint="eastAsia"/>
                <w:color w:val="000000"/>
                <w:kern w:val="0"/>
                <w:szCs w:val="21"/>
                <w:highlight w:val="none"/>
              </w:rPr>
              <w:t>4.具有由相关机构颁发的</w:t>
            </w:r>
            <w:r>
              <w:rPr>
                <w:rFonts w:ascii="宋体" w:hAnsi="宋体" w:cs="宋体" w:hint="eastAsia"/>
                <w:b/>
                <w:bCs/>
                <w:color w:val="000000"/>
                <w:kern w:val="0"/>
                <w:szCs w:val="21"/>
                <w:highlight w:val="none"/>
              </w:rPr>
              <w:t>数据治理工程师证书</w:t>
            </w:r>
            <w:r>
              <w:rPr>
                <w:rFonts w:ascii="宋体" w:hAnsi="宋体" w:cs="宋体" w:hint="eastAsia"/>
                <w:color w:val="000000"/>
                <w:kern w:val="0"/>
                <w:szCs w:val="21"/>
                <w:highlight w:val="none"/>
              </w:rPr>
              <w:t>，每提供1人得1分，最高得1分；</w:t>
            </w:r>
          </w:p>
          <w:p>
            <w:pPr>
              <w:widowControl/>
              <w:spacing w:line="360" w:lineRule="exact"/>
              <w:jc w:val="left"/>
              <w:rPr>
                <w:rFonts w:ascii="宋体" w:hAnsi="宋体" w:cs="宋体"/>
                <w:color w:val="000000"/>
                <w:kern w:val="0"/>
                <w:szCs w:val="21"/>
                <w:highlight w:val="none"/>
              </w:rPr>
            </w:pPr>
            <w:r>
              <w:rPr>
                <w:rFonts w:ascii="宋体" w:hAnsi="宋体" w:cs="宋体" w:hint="eastAsia"/>
                <w:color w:val="000000"/>
                <w:kern w:val="0"/>
                <w:szCs w:val="21"/>
                <w:highlight w:val="none"/>
              </w:rPr>
              <w:t>5.具有由相关机构颁发的</w:t>
            </w:r>
            <w:r>
              <w:rPr>
                <w:rFonts w:ascii="宋体" w:hAnsi="宋体" w:cs="宋体" w:hint="eastAsia"/>
                <w:b/>
                <w:bCs/>
                <w:color w:val="000000"/>
                <w:kern w:val="0"/>
                <w:szCs w:val="21"/>
                <w:highlight w:val="none"/>
              </w:rPr>
              <w:t>数据库系统工程师证书</w:t>
            </w:r>
            <w:r>
              <w:rPr>
                <w:rFonts w:ascii="宋体" w:hAnsi="宋体" w:cs="宋体" w:hint="eastAsia"/>
                <w:color w:val="000000"/>
                <w:kern w:val="0"/>
                <w:szCs w:val="21"/>
                <w:highlight w:val="none"/>
              </w:rPr>
              <w:t>，每提供1人得1分，最高得1分；</w:t>
            </w:r>
          </w:p>
          <w:p>
            <w:pPr>
              <w:pStyle w:val="BodyText"/>
              <w:widowControl/>
              <w:jc w:val="left"/>
              <w:rPr>
                <w:rFonts w:ascii="Times New Roman" w:hAnsi="Times New Roman" w:cs="Times New Roman" w:hint="eastAsia"/>
                <w:color w:val="auto"/>
                <w:kern w:val="2"/>
                <w:szCs w:val="24"/>
                <w:highlight w:val="none"/>
              </w:rPr>
            </w:pPr>
          </w:p>
          <w:p>
            <w:pPr>
              <w:spacing w:line="360" w:lineRule="exact"/>
              <w:rPr>
                <w:rFonts w:ascii="宋体" w:hAnsi="宋体" w:cs="宋体" w:hint="eastAsia"/>
                <w:szCs w:val="21"/>
                <w:highlight w:val="none"/>
              </w:rPr>
            </w:pPr>
            <w:r>
              <w:rPr>
                <w:rFonts w:ascii="宋体" w:hAnsi="宋体" w:cs="宋体" w:hint="eastAsia"/>
                <w:szCs w:val="21"/>
                <w:highlight w:val="none"/>
              </w:rPr>
              <w:t>以上（1）-（5）项合计最高得100分，</w:t>
            </w:r>
            <w:r>
              <w:rPr>
                <w:rFonts w:ascii="宋体" w:hAnsi="宋体" w:cs="宋体" w:hint="eastAsia"/>
                <w:b/>
                <w:bCs/>
                <w:color w:val="0000FF"/>
                <w:kern w:val="0"/>
                <w:szCs w:val="21"/>
                <w:highlight w:val="none"/>
              </w:rPr>
              <w:t>同一人不重复计分，</w:t>
            </w:r>
            <w:r>
              <w:rPr>
                <w:rFonts w:ascii="宋体" w:hAnsi="宋体" w:cs="宋体" w:hint="eastAsia"/>
                <w:spacing w:val="1"/>
                <w:szCs w:val="21"/>
                <w:highlight w:val="none"/>
              </w:rPr>
              <w:t>同一岗位不重复计分，以最高证书计分</w:t>
            </w:r>
            <w:r>
              <w:rPr>
                <w:rFonts w:ascii="宋体" w:hAnsi="宋体" w:cs="宋体" w:hint="eastAsia"/>
                <w:szCs w:val="21"/>
                <w:highlight w:val="none"/>
              </w:rPr>
              <w:t>。</w:t>
            </w:r>
          </w:p>
          <w:p>
            <w:pPr>
              <w:widowControl/>
              <w:spacing w:line="360" w:lineRule="exact"/>
              <w:jc w:val="left"/>
              <w:rPr>
                <w:rFonts w:ascii="宋体" w:hAnsi="宋体" w:cs="宋体" w:hint="eastAsia"/>
                <w:color w:val="000000"/>
                <w:kern w:val="0"/>
                <w:szCs w:val="21"/>
                <w:highlight w:val="none"/>
              </w:rPr>
            </w:pPr>
            <w:r>
              <w:rPr>
                <w:rFonts w:ascii="宋体" w:hAnsi="宋体" w:cs="宋体" w:hint="eastAsia"/>
                <w:color w:val="000000"/>
                <w:kern w:val="0"/>
                <w:szCs w:val="21"/>
                <w:highlight w:val="none"/>
              </w:rPr>
              <w:t>（二）</w:t>
            </w:r>
            <w:r>
              <w:rPr>
                <w:rFonts w:ascii="宋体" w:hAnsi="宋体" w:cs="宋体" w:hint="eastAsia"/>
                <w:b/>
                <w:bCs/>
                <w:szCs w:val="21"/>
                <w:highlight w:val="none"/>
              </w:rPr>
              <w:t>评审标准</w:t>
            </w:r>
            <w:r>
              <w:rPr>
                <w:rFonts w:ascii="宋体" w:hAnsi="宋体" w:cs="宋体" w:hint="eastAsia"/>
                <w:color w:val="000000"/>
                <w:kern w:val="0"/>
                <w:szCs w:val="21"/>
                <w:highlight w:val="none"/>
              </w:rPr>
              <w:t>：</w:t>
            </w:r>
          </w:p>
          <w:p>
            <w:pPr>
              <w:widowControl/>
              <w:adjustRightInd/>
              <w:snapToGrid/>
              <w:spacing w:line="360" w:lineRule="exact"/>
              <w:rPr>
                <w:rFonts w:ascii="宋体" w:eastAsia="宋体" w:hAnsi="宋体" w:cs="宋体" w:hint="eastAsia"/>
                <w:color w:val="0000FF"/>
                <w:kern w:val="0"/>
                <w:szCs w:val="21"/>
                <w:highlight w:val="none"/>
                <w:lang w:val="en-US" w:eastAsia="zh-CN"/>
              </w:rPr>
            </w:pPr>
            <w:r>
              <w:rPr>
                <w:rFonts w:ascii="宋体" w:hAnsi="宋体" w:cs="宋体" w:hint="eastAsia"/>
                <w:color w:val="0000FF"/>
                <w:szCs w:val="21"/>
                <w:highlight w:val="none"/>
              </w:rPr>
              <w:t>1、</w:t>
            </w:r>
            <w:r>
              <w:rPr>
                <w:rFonts w:ascii="宋体" w:eastAsia="宋体" w:hAnsi="宋体" w:cs="宋体" w:hint="eastAsia"/>
                <w:color w:val="0000FF"/>
                <w:sz w:val="21"/>
                <w:szCs w:val="21"/>
                <w:highlight w:val="none"/>
              </w:rPr>
              <w:t>提供相关人员相关</w:t>
            </w:r>
            <w:r>
              <w:rPr>
                <w:rFonts w:ascii="宋体" w:eastAsia="宋体" w:hAnsi="宋体" w:cs="宋体" w:hint="eastAsia"/>
                <w:color w:val="0000FF"/>
                <w:sz w:val="21"/>
                <w:szCs w:val="21"/>
                <w:highlight w:val="none"/>
                <w:lang w:val="en-US" w:eastAsia="zh-CN"/>
              </w:rPr>
              <w:t>有效</w:t>
            </w:r>
            <w:r>
              <w:rPr>
                <w:rFonts w:ascii="宋体" w:eastAsia="宋体" w:hAnsi="宋体" w:cs="宋体" w:hint="eastAsia"/>
                <w:color w:val="0000FF"/>
                <w:sz w:val="21"/>
                <w:szCs w:val="21"/>
                <w:highlight w:val="none"/>
              </w:rPr>
              <w:t>证书扫描件，其中：1）涉及学位的</w:t>
            </w:r>
            <w:r>
              <w:rPr>
                <w:rFonts w:ascii="宋体" w:eastAsia="宋体" w:hAnsi="宋体" w:cs="宋体" w:hint="eastAsia"/>
                <w:color w:val="0000FF"/>
                <w:sz w:val="21"/>
                <w:szCs w:val="21"/>
                <w:highlight w:val="none"/>
                <w:lang w:val="en-US" w:eastAsia="zh-CN"/>
              </w:rPr>
              <w:t>同时</w:t>
            </w:r>
            <w:r>
              <w:rPr>
                <w:rFonts w:ascii="宋体" w:hAnsi="宋体" w:cs="宋体" w:hint="eastAsia"/>
                <w:color w:val="0000FF"/>
                <w:kern w:val="0"/>
                <w:szCs w:val="21"/>
                <w:highlight w:val="none"/>
              </w:rPr>
              <w:t>提供相关学位证书扫描件及学信网查询记录。对于较早颁发的学位证书，学信网无法查询的，要求提供其他佐证材料（如毕业院校、人社部门等颁发机构或监管机构等单位出具的证明）作为可以得分的依据等证明文件作为得分依据。海外留学人员（含港澳台）学位无法通过学信网站查询，允许提供“教育部留学服务中心出具的国外学位认证证书以及教育部留学服务中心官网查询截图”；</w:t>
            </w:r>
            <w:r>
              <w:rPr>
                <w:rFonts w:ascii="宋体" w:eastAsia="宋体" w:hAnsi="宋体" w:cs="宋体" w:hint="eastAsia"/>
                <w:color w:val="0000FF"/>
                <w:sz w:val="21"/>
                <w:szCs w:val="21"/>
                <w:highlight w:val="none"/>
                <w:lang w:val="en-US" w:eastAsia="zh-CN"/>
              </w:rPr>
              <w:t>2</w:t>
            </w:r>
            <w:r>
              <w:rPr>
                <w:rFonts w:ascii="宋体" w:eastAsia="宋体" w:hAnsi="宋体" w:cs="宋体" w:hint="eastAsia"/>
                <w:color w:val="0000FF"/>
                <w:sz w:val="21"/>
                <w:szCs w:val="21"/>
                <w:highlight w:val="none"/>
              </w:rPr>
              <w:t>)涉及职称证书的，需</w:t>
            </w:r>
            <w:r>
              <w:rPr>
                <w:rFonts w:ascii="宋体" w:eastAsia="宋体" w:hAnsi="宋体" w:cs="宋体" w:hint="eastAsia"/>
                <w:color w:val="0000FF"/>
                <w:sz w:val="21"/>
                <w:szCs w:val="21"/>
                <w:highlight w:val="none"/>
                <w:lang w:val="en-US" w:eastAsia="zh-CN"/>
              </w:rPr>
              <w:t>同时</w:t>
            </w:r>
            <w:r>
              <w:rPr>
                <w:rFonts w:ascii="宋体" w:eastAsia="宋体" w:hAnsi="宋体" w:cs="宋体" w:hint="eastAsia"/>
                <w:color w:val="0000FF"/>
                <w:sz w:val="21"/>
                <w:szCs w:val="21"/>
                <w:highlight w:val="none"/>
              </w:rPr>
              <w:t>提供该证书在全国人力资源和社会保障政务服务平台（http://www.12333.gov.cn）官网查询结果截图，否则应作不得分处理</w:t>
            </w:r>
            <w:r>
              <w:rPr>
                <w:rFonts w:ascii="宋体" w:eastAsia="宋体" w:hAnsi="宋体" w:cs="宋体" w:hint="eastAsia"/>
                <w:color w:val="0000FF"/>
                <w:sz w:val="21"/>
                <w:szCs w:val="21"/>
                <w:highlight w:val="none"/>
                <w:lang w:eastAsia="zh-CN"/>
              </w:rPr>
              <w:t>；</w:t>
            </w:r>
            <w:r>
              <w:rPr>
                <w:rFonts w:ascii="宋体" w:eastAsia="宋体" w:hAnsi="宋体" w:cs="宋体" w:hint="eastAsia"/>
                <w:color w:val="0000FF"/>
                <w:sz w:val="21"/>
                <w:szCs w:val="21"/>
                <w:highlight w:val="none"/>
                <w:lang w:val="en-US" w:eastAsia="zh-CN"/>
              </w:rPr>
              <w:t>3）其余证书需同时提供证书颁发机构的证书查询截图</w:t>
            </w:r>
            <w:r>
              <w:rPr>
                <w:rFonts w:ascii="宋体" w:eastAsia="宋体" w:hAnsi="宋体" w:cs="宋体" w:hint="eastAsia"/>
                <w:color w:val="0000FF"/>
                <w:sz w:val="21"/>
                <w:szCs w:val="21"/>
                <w:highlight w:val="none"/>
              </w:rPr>
              <w:t>，否则应作不得分处理</w:t>
            </w:r>
            <w:r>
              <w:rPr>
                <w:rFonts w:ascii="宋体" w:eastAsia="宋体" w:hAnsi="宋体" w:cs="宋体" w:hint="eastAsia"/>
                <w:color w:val="0000FF"/>
                <w:sz w:val="21"/>
                <w:szCs w:val="21"/>
                <w:highlight w:val="none"/>
                <w:lang w:eastAsia="zh-CN"/>
              </w:rPr>
              <w:t>。</w:t>
            </w:r>
          </w:p>
          <w:p>
            <w:pPr>
              <w:adjustRightInd w:val="0"/>
              <w:snapToGrid w:val="0"/>
              <w:spacing w:line="360" w:lineRule="exact"/>
              <w:rPr>
                <w:rFonts w:ascii="宋体" w:hAnsi="宋体" w:cs="宋体" w:hint="eastAsia"/>
                <w:color w:val="0000FF"/>
                <w:szCs w:val="21"/>
                <w:highlight w:val="none"/>
              </w:rPr>
            </w:pPr>
            <w:r>
              <w:rPr>
                <w:rFonts w:ascii="宋体" w:hAnsi="宋体" w:cs="宋体" w:hint="eastAsia"/>
                <w:color w:val="0000FF"/>
                <w:kern w:val="0"/>
                <w:szCs w:val="21"/>
                <w:highlight w:val="none"/>
              </w:rPr>
              <w:t>2、涉及工作经验的，提供相关项目履约评价或项目验收报告，并出具甲方加盖公章（或业务章）的证明文件；</w:t>
            </w:r>
          </w:p>
          <w:p>
            <w:pPr>
              <w:spacing w:line="360" w:lineRule="exact"/>
              <w:rPr>
                <w:rFonts w:ascii="宋体" w:hAnsi="宋体" w:cs="宋体" w:hint="eastAsia"/>
                <w:color w:val="0000FF"/>
                <w:szCs w:val="21"/>
                <w:highlight w:val="none"/>
              </w:rPr>
            </w:pPr>
            <w:r>
              <w:rPr>
                <w:rFonts w:ascii="宋体" w:hAnsi="宋体" w:cs="宋体" w:hint="eastAsia"/>
                <w:color w:val="0000FF"/>
                <w:szCs w:val="21"/>
                <w:highlight w:val="none"/>
              </w:rPr>
              <w:t>3、同时提供相关人员开标日当月（或前一个月）在本单位缴纳且载有社保部门（或税务部门）公章（或税务部门公章）的社保缴交证明材料（如开标日当月或前一个月的社保材料因社保部门（或税务部门）原因暂时无法取得，则可以往前顺延一个月）；</w:t>
            </w:r>
          </w:p>
          <w:p>
            <w:pPr>
              <w:spacing w:line="360" w:lineRule="exact"/>
              <w:rPr>
                <w:rFonts w:ascii="宋体" w:hAnsi="宋体" w:cs="宋体" w:hint="eastAsia"/>
                <w:color w:val="0000FF"/>
                <w:szCs w:val="21"/>
              </w:rPr>
            </w:pPr>
            <w:r>
              <w:rPr>
                <w:rFonts w:ascii="宋体" w:hAnsi="宋体" w:cs="宋体" w:hint="eastAsia"/>
                <w:color w:val="0000FF"/>
                <w:szCs w:val="21"/>
                <w:highlight w:val="none"/>
              </w:rPr>
              <w:t>4、若投标人成立不足1个月的，需提供成立情况说明函（格式自拟），无需提</w:t>
            </w:r>
            <w:r>
              <w:rPr>
                <w:rFonts w:ascii="宋体" w:hAnsi="宋体" w:cs="宋体" w:hint="eastAsia"/>
                <w:color w:val="0000FF"/>
                <w:szCs w:val="21"/>
              </w:rPr>
              <w:t>供相关人员社保，亦可得分；</w:t>
            </w:r>
          </w:p>
          <w:p>
            <w:pPr>
              <w:spacing w:line="360" w:lineRule="exact"/>
              <w:rPr>
                <w:rFonts w:ascii="宋体" w:hAnsi="宋体" w:cs="宋体" w:hint="eastAsia"/>
                <w:color w:val="0000FF"/>
                <w:szCs w:val="21"/>
              </w:rPr>
            </w:pPr>
            <w:r>
              <w:rPr>
                <w:rFonts w:ascii="宋体" w:hAnsi="宋体" w:cs="宋体" w:hint="eastAsia"/>
                <w:color w:val="0000FF"/>
                <w:szCs w:val="21"/>
              </w:rPr>
              <w:t>5、如相关证明材料颁发单位为相关行业协会（或学会）的，则需同时提供证书颁发单位在全国社会组织信用信息公示平台（https://xxgs.chinanpo.mca.gov.cn/gsxt/newList）的信息查询截图（截图需显示发证单位状态为“正常”）；</w:t>
            </w:r>
          </w:p>
          <w:p>
            <w:pPr>
              <w:widowControl/>
              <w:spacing w:line="360" w:lineRule="exact"/>
              <w:jc w:val="left"/>
              <w:rPr>
                <w:rFonts w:ascii="宋体" w:eastAsia="宋体" w:hAnsi="宋体" w:cs="宋体" w:hint="eastAsia"/>
                <w:color w:val="000000"/>
                <w:kern w:val="0"/>
                <w:sz w:val="21"/>
                <w:szCs w:val="21"/>
                <w:lang w:val="en-US" w:eastAsia="zh-CN" w:bidi="ar-SA"/>
              </w:rPr>
            </w:pPr>
            <w:r>
              <w:rPr>
                <w:rFonts w:ascii="宋体" w:hAnsi="宋体" w:cs="宋体" w:hint="eastAsia"/>
                <w:color w:val="0000FF"/>
                <w:szCs w:val="21"/>
              </w:rPr>
              <w:t>6、未按要求提供证明材料（或证明材料无法判断是否符合评分要求）的不得分，原件备查。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4</w:t>
            </w: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项目实施方案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5</w:t>
            </w:r>
          </w:p>
        </w:tc>
        <w:tc>
          <w:tcPr>
            <w:tcW w:w="4196" w:type="dxa"/>
            <w:tcBorders>
              <w:top w:val="single" w:sz="8" w:space="0" w:color="000000"/>
              <w:left w:val="single" w:sz="8" w:space="0" w:color="000000"/>
              <w:bottom w:val="single" w:sz="8" w:space="0" w:color="000000"/>
              <w:right w:val="single" w:sz="8" w:space="0" w:color="000000"/>
            </w:tcBorders>
            <w:shd w:val="clear" w:color="000000" w:fill="FFFFFF"/>
            <w:vAlign w:val="center"/>
          </w:tcPr>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（一）</w:t>
            </w:r>
            <w:r>
              <w:rPr>
                <w:rFonts w:ascii="宋体" w:hAnsi="宋体" w:cs="宋体" w:hint="eastAsia"/>
                <w:b/>
                <w:bCs/>
                <w:kern w:val="0"/>
                <w:szCs w:val="21"/>
              </w:rPr>
              <w:t>评审内容</w:t>
            </w:r>
            <w:r>
              <w:rPr>
                <w:rFonts w:ascii="宋体" w:hAnsi="宋体" w:cs="宋体" w:hint="eastAsia"/>
                <w:color w:val="000000"/>
                <w:kern w:val="0"/>
                <w:szCs w:val="21"/>
              </w:rPr>
              <w:t>：</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对投标人提供的方案进行评价，内容包括但不限于：</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1.对本项目服务实施方案评价，包括但不限于总体概述、需求分析、实施方案、进度安排；</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2.质量（完成时间、安全、环保）保障措施及方案；</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3.项目重点难点分析、应对措施及相关的合理化建议；</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4.项目质保与售后服务方案、培训方案；</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（二）</w:t>
            </w:r>
            <w:r>
              <w:rPr>
                <w:rFonts w:ascii="宋体" w:hAnsi="宋体" w:cs="宋体" w:hint="eastAsia"/>
                <w:b/>
                <w:bCs/>
                <w:szCs w:val="21"/>
              </w:rPr>
              <w:t>评审标准</w:t>
            </w:r>
            <w:r>
              <w:rPr>
                <w:rFonts w:ascii="宋体" w:hAnsi="宋体" w:cs="宋体" w:hint="eastAsia"/>
                <w:color w:val="000000"/>
                <w:kern w:val="0"/>
                <w:szCs w:val="21"/>
              </w:rPr>
              <w:t>：</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每提供上述一点的得20分，本项最高得80分。</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在上述基础上，由评审委员会对具体响应内容进一步评审：</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 xml:space="preserve">①方案全面、周到、细致，可操作性强，完全满足且优于采购需求的得20分； </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②方案可行，具有可操作性，完全满足采购需求的得10分；</w:t>
            </w:r>
          </w:p>
          <w:p>
            <w:pPr>
              <w:widowControl/>
              <w:spacing w:line="360" w:lineRule="exact"/>
              <w:jc w:val="left"/>
              <w:rPr>
                <w:rFonts w:ascii="宋体" w:eastAsia="宋体" w:hAnsi="宋体" w:cs="宋体" w:hint="eastAsia"/>
                <w:color w:val="000000"/>
                <w:kern w:val="0"/>
                <w:sz w:val="21"/>
                <w:szCs w:val="21"/>
                <w:lang w:val="en-US" w:eastAsia="zh-CN" w:bidi="ar-SA"/>
              </w:rPr>
            </w:pPr>
            <w:r>
              <w:rPr>
                <w:rFonts w:ascii="宋体" w:hAnsi="宋体" w:cs="宋体" w:hint="eastAsia"/>
                <w:color w:val="0000FF"/>
                <w:kern w:val="0"/>
                <w:szCs w:val="21"/>
              </w:rPr>
              <w:t>③方案简单，可操作性不够，不能完全满足采购需求的不得分。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5</w:t>
            </w: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演示</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10</w:t>
            </w:r>
          </w:p>
        </w:tc>
        <w:tc>
          <w:tcPr>
            <w:tcW w:w="4196" w:type="dxa"/>
            <w:tcBorders>
              <w:top w:val="single" w:sz="8" w:space="0" w:color="000000"/>
              <w:left w:val="single" w:sz="8" w:space="0" w:color="000000"/>
              <w:bottom w:val="single" w:sz="8" w:space="0" w:color="000000"/>
              <w:right w:val="single" w:sz="8" w:space="0" w:color="000000"/>
            </w:tcBorders>
            <w:shd w:val="clear" w:color="000000" w:fill="FFFFFF"/>
            <w:vAlign w:val="center"/>
          </w:tcPr>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（一）</w:t>
            </w:r>
            <w:r>
              <w:rPr>
                <w:rFonts w:ascii="宋体" w:hAnsi="宋体" w:cs="宋体" w:hint="eastAsia"/>
                <w:b/>
                <w:bCs/>
                <w:kern w:val="0"/>
                <w:szCs w:val="21"/>
              </w:rPr>
              <w:t>评审内容</w:t>
            </w:r>
            <w:r>
              <w:rPr>
                <w:rFonts w:ascii="宋体" w:hAnsi="宋体" w:cs="宋体" w:hint="eastAsia"/>
                <w:color w:val="000000"/>
                <w:kern w:val="0"/>
                <w:szCs w:val="21"/>
              </w:rPr>
              <w:t>：</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投标人使用系统或Demo进行演示，要求功能展示完备、演示过程中无系统故障，PPT、FLASH、静态页面等展示不得分。演示内容如下：</w:t>
            </w:r>
          </w:p>
          <w:p>
            <w:pPr>
              <w:widowControl/>
              <w:spacing w:line="360" w:lineRule="exact"/>
              <w:jc w:val="left"/>
              <w:rPr>
                <w:rFonts w:ascii="宋体" w:hAnsi="宋体" w:cs="宋体" w:hint="eastAsia"/>
                <w:color w:val="000000"/>
                <w:kern w:val="0"/>
                <w:szCs w:val="21"/>
              </w:rPr>
            </w:pPr>
          </w:p>
          <w:p>
            <w:pPr>
              <w:widowControl/>
              <w:spacing w:line="360" w:lineRule="exact"/>
              <w:jc w:val="left"/>
              <w:rPr>
                <w:rFonts w:ascii="宋体" w:hAnsi="宋体" w:cs="宋体" w:hint="eastAsia"/>
                <w:szCs w:val="21"/>
              </w:rPr>
            </w:pPr>
            <w:r>
              <w:rPr>
                <w:rFonts w:ascii="宋体" w:hAnsi="宋体" w:cs="宋体" w:hint="eastAsia"/>
                <w:szCs w:val="21"/>
              </w:rPr>
              <w:t>1、数据采集</w:t>
            </w:r>
          </w:p>
          <w:p>
            <w:pPr>
              <w:widowControl/>
              <w:spacing w:line="360" w:lineRule="exact"/>
              <w:jc w:val="left"/>
              <w:rPr>
                <w:rFonts w:ascii="宋体" w:hAnsi="宋体" w:cs="宋体" w:hint="eastAsia"/>
                <w:szCs w:val="21"/>
              </w:rPr>
            </w:pPr>
            <w:r>
              <w:rPr>
                <w:rFonts w:ascii="宋体" w:hAnsi="宋体" w:cs="宋体" w:hint="eastAsia"/>
                <w:szCs w:val="21"/>
              </w:rPr>
              <w:t>1）多种采集方式：提供多种采集方式，包含但不限于表同步，接口同步，文件同步等。</w:t>
            </w:r>
          </w:p>
          <w:p>
            <w:pPr>
              <w:widowControl/>
              <w:spacing w:line="360" w:lineRule="exact"/>
              <w:jc w:val="left"/>
              <w:rPr>
                <w:rFonts w:ascii="宋体" w:hAnsi="宋体" w:cs="宋体" w:hint="eastAsia"/>
                <w:szCs w:val="21"/>
              </w:rPr>
            </w:pPr>
            <w:r>
              <w:rPr>
                <w:rFonts w:ascii="宋体" w:hAnsi="宋体" w:cs="宋体" w:hint="eastAsia"/>
                <w:szCs w:val="21"/>
              </w:rPr>
              <w:t>2）实时和离线采集：演示实时采集的方式和离线采集的方式，且能体现定时调度的功能。</w:t>
            </w:r>
          </w:p>
          <w:p>
            <w:pPr>
              <w:widowControl/>
              <w:spacing w:line="360" w:lineRule="exact"/>
              <w:jc w:val="left"/>
              <w:rPr>
                <w:rFonts w:ascii="宋体" w:hAnsi="宋体" w:cs="宋体" w:hint="eastAsia"/>
                <w:szCs w:val="21"/>
              </w:rPr>
            </w:pPr>
          </w:p>
          <w:p>
            <w:pPr>
              <w:widowControl/>
              <w:spacing w:line="360" w:lineRule="exact"/>
              <w:jc w:val="left"/>
              <w:rPr>
                <w:rFonts w:ascii="宋体" w:hAnsi="宋体" w:cs="宋体" w:hint="eastAsia"/>
                <w:szCs w:val="21"/>
              </w:rPr>
            </w:pPr>
            <w:r>
              <w:rPr>
                <w:rFonts w:ascii="宋体" w:hAnsi="宋体" w:cs="宋体" w:hint="eastAsia"/>
                <w:szCs w:val="21"/>
              </w:rPr>
              <w:t>2、数据资产</w:t>
            </w:r>
          </w:p>
          <w:p>
            <w:pPr>
              <w:widowControl/>
              <w:spacing w:line="360" w:lineRule="exact"/>
              <w:jc w:val="left"/>
              <w:rPr>
                <w:rFonts w:ascii="宋体" w:hAnsi="宋体" w:cs="宋体" w:hint="eastAsia"/>
                <w:szCs w:val="21"/>
              </w:rPr>
            </w:pPr>
            <w:r>
              <w:rPr>
                <w:rFonts w:ascii="宋体" w:hAnsi="宋体" w:cs="宋体" w:hint="eastAsia"/>
                <w:szCs w:val="21"/>
              </w:rPr>
              <w:t>1）数据资产大盘：可以按照概念模型分类展示固定资产、药品耗材、业务场所、组织机构、产品服务及基础数据资产对象的数据量，并能快捷跳转。</w:t>
            </w:r>
          </w:p>
          <w:p>
            <w:pPr>
              <w:widowControl/>
              <w:spacing w:line="360" w:lineRule="exact"/>
              <w:jc w:val="left"/>
              <w:rPr>
                <w:rFonts w:ascii="宋体" w:hAnsi="宋体" w:cs="宋体" w:hint="eastAsia"/>
                <w:szCs w:val="21"/>
              </w:rPr>
            </w:pPr>
            <w:r>
              <w:rPr>
                <w:rFonts w:ascii="宋体" w:hAnsi="宋体" w:cs="宋体" w:hint="eastAsia"/>
                <w:szCs w:val="21"/>
              </w:rPr>
              <w:t>2）数据资产地图：支持资产地图数据的即时查询，提供模型、指标、标签、数据元、值域及允许值等多类资产的模糊关键词搜索。支持查看检索结果的资产详情及更新状态，支持结果对象名称及更新时间展示，并支持一键跳转至详细资产页面。</w:t>
            </w:r>
          </w:p>
          <w:p>
            <w:pPr>
              <w:widowControl/>
              <w:spacing w:line="360" w:lineRule="exact"/>
              <w:jc w:val="left"/>
              <w:rPr>
                <w:rFonts w:ascii="宋体" w:hAnsi="宋体" w:cs="宋体" w:hint="eastAsia"/>
                <w:szCs w:val="21"/>
              </w:rPr>
            </w:pPr>
            <w:r>
              <w:rPr>
                <w:rFonts w:ascii="宋体" w:hAnsi="宋体" w:cs="宋体" w:hint="eastAsia"/>
                <w:szCs w:val="21"/>
              </w:rPr>
              <w:t>3）数据建模：支持对资产对象模型的新建、编辑、删除、复制操作，支持模型审核流程，具备模型上下游影响面评估能力。支持模型元数据信息管理，包括属性定义、数据类型、长度、引用数据元等，支持模型属性新增、编辑、删除操作。支持模型自洽性检测，保障模型定义的完整性和一致性。支持根据逻辑模型信息发布并创建物理模型表，支持查看物理表DDL变更记录，具备模型变更历史版本管理和回溯能力，支持按模型变更历史版本查看和追溯。</w:t>
            </w:r>
          </w:p>
          <w:p>
            <w:pPr>
              <w:widowControl/>
              <w:spacing w:line="360" w:lineRule="exact"/>
              <w:jc w:val="left"/>
              <w:rPr>
                <w:rFonts w:ascii="宋体" w:hAnsi="宋体" w:cs="宋体" w:hint="eastAsia"/>
                <w:szCs w:val="21"/>
              </w:rPr>
            </w:pPr>
            <w:r>
              <w:rPr>
                <w:rFonts w:ascii="宋体" w:hAnsi="宋体" w:cs="宋体" w:hint="eastAsia"/>
                <w:szCs w:val="21"/>
              </w:rPr>
              <w:t>4）指标体系：提供国家发布的指标集，包括但不局限于，三级公立医院绩效考核、等级医院评审指标、医疗质量管理与控制指标。</w:t>
            </w:r>
          </w:p>
          <w:p>
            <w:pPr>
              <w:widowControl/>
              <w:spacing w:line="360" w:lineRule="exact"/>
              <w:jc w:val="left"/>
              <w:rPr>
                <w:rFonts w:ascii="宋体" w:hAnsi="宋体" w:cs="宋体" w:hint="eastAsia"/>
                <w:szCs w:val="21"/>
              </w:rPr>
            </w:pPr>
          </w:p>
          <w:p>
            <w:pPr>
              <w:widowControl/>
              <w:spacing w:line="360" w:lineRule="exact"/>
              <w:jc w:val="left"/>
              <w:rPr>
                <w:rFonts w:ascii="宋体" w:hAnsi="宋体" w:cs="宋体" w:hint="eastAsia"/>
                <w:szCs w:val="21"/>
              </w:rPr>
            </w:pPr>
            <w:r>
              <w:rPr>
                <w:rFonts w:ascii="宋体" w:hAnsi="宋体" w:cs="宋体" w:hint="eastAsia"/>
                <w:szCs w:val="21"/>
              </w:rPr>
              <w:t>3、数据安全</w:t>
            </w:r>
          </w:p>
          <w:p>
            <w:pPr>
              <w:widowControl/>
              <w:spacing w:line="360" w:lineRule="exact"/>
              <w:jc w:val="left"/>
              <w:rPr>
                <w:rFonts w:ascii="宋体" w:hAnsi="宋体" w:cs="宋体" w:hint="eastAsia"/>
                <w:szCs w:val="21"/>
              </w:rPr>
            </w:pPr>
            <w:r>
              <w:rPr>
                <w:rFonts w:ascii="宋体" w:hAnsi="宋体" w:cs="宋体" w:hint="eastAsia"/>
                <w:szCs w:val="21"/>
              </w:rPr>
              <w:t>1）支持配置水印展示样式信息；支持配置需展示水印的数据中台产品。</w:t>
            </w:r>
          </w:p>
          <w:p>
            <w:pPr>
              <w:widowControl/>
              <w:spacing w:line="360" w:lineRule="exact"/>
              <w:jc w:val="left"/>
              <w:rPr>
                <w:rFonts w:ascii="宋体" w:hAnsi="宋体" w:cs="宋体" w:hint="eastAsia"/>
                <w:szCs w:val="21"/>
              </w:rPr>
            </w:pPr>
            <w:r>
              <w:rPr>
                <w:rFonts w:ascii="宋体" w:hAnsi="宋体" w:cs="宋体" w:hint="eastAsia"/>
                <w:szCs w:val="21"/>
              </w:rPr>
              <w:t>2）支持对库表单字段、整表设置安全分级；支持批量对多库表设置安全分级；支持从安全文档、安全分类、安全级别、脱敏策略等多维度设置安全分级。</w:t>
            </w:r>
          </w:p>
          <w:p>
            <w:pPr>
              <w:widowControl/>
              <w:spacing w:line="360" w:lineRule="exact"/>
              <w:jc w:val="left"/>
              <w:rPr>
                <w:rFonts w:ascii="宋体" w:hAnsi="宋体" w:cs="宋体" w:hint="eastAsia"/>
                <w:szCs w:val="21"/>
              </w:rPr>
            </w:pPr>
          </w:p>
          <w:p>
            <w:pPr>
              <w:widowControl/>
              <w:spacing w:line="360" w:lineRule="exact"/>
              <w:jc w:val="left"/>
              <w:rPr>
                <w:rFonts w:ascii="宋体" w:hAnsi="宋体" w:cs="宋体" w:hint="eastAsia"/>
                <w:szCs w:val="21"/>
              </w:rPr>
            </w:pPr>
            <w:r>
              <w:rPr>
                <w:rFonts w:ascii="宋体" w:hAnsi="宋体" w:cs="宋体" w:hint="eastAsia"/>
                <w:szCs w:val="21"/>
              </w:rPr>
              <w:t>4、数据血缘</w:t>
            </w:r>
          </w:p>
          <w:p>
            <w:pPr>
              <w:widowControl/>
              <w:spacing w:line="360" w:lineRule="exact"/>
              <w:jc w:val="left"/>
              <w:rPr>
                <w:rFonts w:ascii="宋体" w:hAnsi="宋体" w:cs="宋体" w:hint="eastAsia"/>
                <w:szCs w:val="21"/>
              </w:rPr>
            </w:pPr>
            <w:r>
              <w:rPr>
                <w:rFonts w:ascii="宋体" w:hAnsi="宋体" w:cs="宋体" w:hint="eastAsia"/>
                <w:szCs w:val="21"/>
              </w:rPr>
              <w:t>1）支持以有向图形式展示ODS、病历文书、业务过程、业务定义、ADS、标签、原子指标、派生指标、复合指标、报表等对象之间的业务血缘关系。</w:t>
            </w:r>
          </w:p>
          <w:p>
            <w:pPr>
              <w:widowControl/>
              <w:spacing w:line="360" w:lineRule="exact"/>
              <w:jc w:val="left"/>
              <w:rPr>
                <w:rFonts w:ascii="宋体" w:hAnsi="宋体" w:cs="宋体" w:hint="eastAsia"/>
                <w:szCs w:val="21"/>
              </w:rPr>
            </w:pPr>
            <w:r>
              <w:rPr>
                <w:rFonts w:ascii="宋体" w:hAnsi="宋体" w:cs="宋体" w:hint="eastAsia"/>
                <w:szCs w:val="21"/>
              </w:rPr>
              <w:t>2）支持业务血缘单节点上下游查询，支持节点详情查看及跳转至相关业务页面。</w:t>
            </w:r>
          </w:p>
          <w:p>
            <w:pPr>
              <w:widowControl/>
              <w:spacing w:line="360" w:lineRule="exact"/>
              <w:jc w:val="left"/>
              <w:rPr>
                <w:rFonts w:ascii="宋体" w:hAnsi="宋体" w:cs="宋体" w:hint="eastAsia"/>
                <w:szCs w:val="21"/>
              </w:rPr>
            </w:pPr>
            <w:r>
              <w:rPr>
                <w:rFonts w:ascii="宋体" w:hAnsi="宋体" w:cs="宋体" w:hint="eastAsia"/>
                <w:szCs w:val="21"/>
              </w:rPr>
              <w:t>3）支持业务血缘的定时更新与手动实时刷新，保障业务全链路依赖关系清晰透明。</w:t>
            </w:r>
          </w:p>
          <w:p>
            <w:pPr>
              <w:widowControl/>
              <w:spacing w:line="360" w:lineRule="exact"/>
              <w:jc w:val="left"/>
              <w:rPr>
                <w:rFonts w:ascii="宋体" w:hAnsi="宋体" w:cs="宋体" w:hint="eastAsia"/>
                <w:szCs w:val="21"/>
              </w:rPr>
            </w:pPr>
          </w:p>
          <w:p>
            <w:pPr>
              <w:widowControl/>
              <w:spacing w:line="360" w:lineRule="exact"/>
              <w:jc w:val="left"/>
              <w:rPr>
                <w:rFonts w:ascii="宋体" w:hAnsi="宋体" w:cs="宋体" w:hint="eastAsia"/>
                <w:szCs w:val="21"/>
              </w:rPr>
            </w:pPr>
            <w:r>
              <w:rPr>
                <w:rFonts w:ascii="宋体" w:hAnsi="宋体" w:cs="宋体" w:hint="eastAsia"/>
                <w:szCs w:val="21"/>
              </w:rPr>
              <w:t>5、BI展现</w:t>
            </w:r>
          </w:p>
          <w:p>
            <w:pPr>
              <w:widowControl/>
              <w:spacing w:line="360" w:lineRule="exact"/>
              <w:jc w:val="left"/>
              <w:rPr>
                <w:rFonts w:ascii="宋体" w:hAnsi="宋体" w:cs="宋体" w:hint="eastAsia"/>
                <w:szCs w:val="21"/>
              </w:rPr>
            </w:pPr>
            <w:r>
              <w:rPr>
                <w:rFonts w:ascii="宋体" w:hAnsi="宋体" w:cs="宋体" w:hint="eastAsia"/>
                <w:szCs w:val="21"/>
              </w:rPr>
              <w:t>1）提供全面的报表与数据资源管理功能。支持对报表、看板和大屏资源进行统一管理，包括新增、编辑、复制、删除及批量操作，支持报表预览和固化开关，目录和顺序灵活调整，并支持配置内容的打包导出。数据集配置功能覆盖SQL、指标和API类型数据集的增删改查。提供公共数据字典模块，统一管理通用维度及其取值逻辑，保障数据口径一致性。</w:t>
            </w:r>
          </w:p>
          <w:p>
            <w:pPr>
              <w:widowControl/>
              <w:spacing w:line="360" w:lineRule="exact"/>
              <w:jc w:val="left"/>
              <w:rPr>
                <w:rFonts w:ascii="宋体" w:hAnsi="宋体" w:cs="宋体" w:hint="eastAsia"/>
                <w:color w:val="000000"/>
                <w:kern w:val="0"/>
                <w:szCs w:val="21"/>
              </w:rPr>
            </w:pPr>
            <w:r>
              <w:rPr>
                <w:rFonts w:ascii="宋体" w:hAnsi="宋体" w:cs="宋体" w:hint="eastAsia"/>
                <w:szCs w:val="21"/>
              </w:rPr>
              <w:t>2）支持移动端发布，并支持角色权限控制，支持用户分组管理；支持接入统一登录中心用户属性；支持按指标/维度对不同用户配置细粒度数据访问权限。</w:t>
            </w:r>
          </w:p>
          <w:p>
            <w:pPr>
              <w:widowControl/>
              <w:spacing w:line="360" w:lineRule="exact"/>
              <w:jc w:val="left"/>
              <w:rPr>
                <w:rFonts w:ascii="宋体" w:hAnsi="宋体" w:cs="宋体" w:hint="eastAsia"/>
                <w:color w:val="000000"/>
                <w:kern w:val="0"/>
                <w:szCs w:val="21"/>
              </w:rPr>
            </w:pP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（二）</w:t>
            </w:r>
            <w:r>
              <w:rPr>
                <w:rFonts w:ascii="宋体" w:hAnsi="宋体" w:cs="宋体" w:hint="eastAsia"/>
                <w:b/>
                <w:bCs/>
                <w:szCs w:val="21"/>
              </w:rPr>
              <w:t>评审标准</w:t>
            </w:r>
            <w:r>
              <w:rPr>
                <w:rFonts w:ascii="宋体" w:hAnsi="宋体" w:cs="宋体" w:hint="eastAsia"/>
                <w:color w:val="000000"/>
                <w:kern w:val="0"/>
                <w:szCs w:val="21"/>
              </w:rPr>
              <w:t>：</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每演示以上5项中任意1项内容得12分，全部演示得60分。</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在此基础上，按以下标准进行打分：</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评审为优（投标人所演示的系统或Demo功能完整，逻辑清晰）的加40分；</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评审为良（投标人所演示的系统或Demo功能比较完整，逻辑比较清晰）的加30分；</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评审为中（投标人所演示的系统或Demo功能一般，逻辑一般）的加10分；</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评审为差（投标人所演示的系统或Demo功能不满足要求，逻辑不清晰）的得0分。</w:t>
            </w:r>
          </w:p>
          <w:p>
            <w:pPr>
              <w:widowControl/>
              <w:spacing w:line="360" w:lineRule="exact"/>
              <w:jc w:val="left"/>
              <w:rPr>
                <w:rFonts w:ascii="宋体" w:eastAsia="宋体" w:hAnsi="宋体" w:cs="宋体" w:hint="eastAsia"/>
                <w:color w:val="000000"/>
                <w:kern w:val="0"/>
                <w:sz w:val="21"/>
                <w:szCs w:val="21"/>
                <w:lang w:val="en-US" w:eastAsia="zh-CN" w:bidi="ar-SA"/>
              </w:rPr>
            </w:pPr>
            <w:r>
              <w:rPr>
                <w:rFonts w:ascii="宋体" w:hAnsi="宋体" w:cs="宋体" w:hint="eastAsia"/>
                <w:color w:val="0000FF"/>
                <w:kern w:val="0"/>
                <w:szCs w:val="21"/>
              </w:rPr>
              <w:t>如果评审为差，要求专家书面说明理由，并记录在档。（具体要求详见《第一册专用条款第三章 用户需求书：七、演示要求》）</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3</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商务部分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4"/>
                <w:lang w:val="en-US" w:eastAsia="zh-CN"/>
              </w:rPr>
            </w:pPr>
            <w:r>
              <w:rPr>
                <w:rFonts w:ascii="宋体" w:hAnsi="宋体" w:cs="宋体" w:hint="eastAsia"/>
                <w:b/>
                <w:bCs/>
                <w:color w:val="0000FF"/>
                <w:sz w:val="24"/>
                <w:lang w:val="en-US" w:eastAsia="zh-CN"/>
              </w:rPr>
              <w:t>8</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投标人体系认证情况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2</w:t>
            </w:r>
          </w:p>
        </w:tc>
        <w:tc>
          <w:tcPr>
            <w:tcW w:w="4196"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rPr>
                <w:rFonts w:ascii="宋体" w:hAnsi="宋体" w:cs="宋体" w:hint="eastAsia"/>
                <w:b/>
                <w:bCs/>
                <w:color w:val="000000"/>
                <w:kern w:val="0"/>
                <w:szCs w:val="21"/>
              </w:rPr>
            </w:pPr>
            <w:r>
              <w:rPr>
                <w:rFonts w:ascii="宋体" w:hAnsi="宋体" w:cs="宋体" w:hint="eastAsia"/>
                <w:b/>
                <w:bCs/>
                <w:color w:val="000000"/>
                <w:kern w:val="0"/>
                <w:szCs w:val="21"/>
              </w:rPr>
              <w:t>（一）评审内容：</w:t>
            </w:r>
          </w:p>
          <w:p>
            <w:pPr>
              <w:widowControl/>
              <w:spacing w:line="360" w:lineRule="exact"/>
              <w:rPr>
                <w:rFonts w:ascii="宋体" w:hAnsi="宋体" w:cs="宋体" w:hint="eastAsia"/>
                <w:szCs w:val="21"/>
              </w:rPr>
            </w:pPr>
            <w:r>
              <w:rPr>
                <w:rFonts w:ascii="宋体" w:hAnsi="宋体" w:cs="宋体" w:hint="eastAsia"/>
                <w:color w:val="000000"/>
                <w:kern w:val="0"/>
                <w:szCs w:val="21"/>
              </w:rPr>
              <w:t>投标人具有</w:t>
            </w:r>
            <w:r>
              <w:rPr>
                <w:rFonts w:ascii="宋体" w:hAnsi="宋体" w:cs="宋体" w:hint="eastAsia"/>
                <w:b/>
                <w:bCs/>
                <w:color w:val="000000"/>
                <w:kern w:val="0"/>
                <w:szCs w:val="21"/>
              </w:rPr>
              <w:t>ISO9001质量管理体系认证证书</w:t>
            </w:r>
            <w:r>
              <w:rPr>
                <w:rFonts w:ascii="宋体" w:hAnsi="宋体" w:cs="宋体" w:hint="eastAsia"/>
                <w:color w:val="000000"/>
                <w:kern w:val="0"/>
                <w:szCs w:val="21"/>
              </w:rPr>
              <w:t>，得100分。</w:t>
            </w:r>
          </w:p>
          <w:p>
            <w:pPr>
              <w:widowControl/>
              <w:spacing w:line="360" w:lineRule="exact"/>
              <w:rPr>
                <w:rFonts w:ascii="宋体" w:hAnsi="宋体" w:cs="宋体" w:hint="eastAsia"/>
                <w:color w:val="000000"/>
                <w:kern w:val="0"/>
                <w:szCs w:val="21"/>
              </w:rPr>
            </w:pPr>
            <w:r>
              <w:rPr>
                <w:rFonts w:ascii="宋体" w:hAnsi="宋体" w:cs="宋体" w:hint="eastAsia"/>
                <w:color w:val="000000"/>
                <w:kern w:val="0"/>
                <w:szCs w:val="21"/>
              </w:rPr>
              <w:t>（二）</w:t>
            </w:r>
            <w:r>
              <w:rPr>
                <w:rFonts w:ascii="宋体" w:hAnsi="宋体" w:cs="宋体" w:hint="eastAsia"/>
                <w:b/>
                <w:bCs/>
                <w:szCs w:val="21"/>
              </w:rPr>
              <w:t>评审标准</w:t>
            </w:r>
            <w:r>
              <w:rPr>
                <w:rFonts w:ascii="宋体" w:hAnsi="宋体" w:cs="宋体" w:hint="eastAsia"/>
                <w:color w:val="000000"/>
                <w:kern w:val="0"/>
                <w:szCs w:val="21"/>
              </w:rPr>
              <w:t>：</w:t>
            </w:r>
          </w:p>
          <w:p>
            <w:pPr>
              <w:spacing w:line="360" w:lineRule="exact"/>
              <w:rPr>
                <w:rFonts w:ascii="宋体" w:hAnsi="宋体" w:cs="宋体" w:hint="eastAsia"/>
                <w:color w:val="0000FF"/>
                <w:szCs w:val="21"/>
              </w:rPr>
            </w:pPr>
            <w:r>
              <w:rPr>
                <w:rFonts w:ascii="宋体" w:hAnsi="宋体" w:cs="宋体" w:hint="eastAsia"/>
                <w:color w:val="0000FF"/>
                <w:szCs w:val="21"/>
              </w:rPr>
              <w:t>1、提供相关认证机构颁发的有效期内的认证证书扫描件及认证信息查询截图（截图需显示证书状态为有效）。</w:t>
            </w:r>
          </w:p>
          <w:p>
            <w:pPr>
              <w:spacing w:line="360" w:lineRule="exact"/>
              <w:rPr>
                <w:rFonts w:ascii="宋体" w:hAnsi="宋体" w:cs="宋体" w:hint="eastAsia"/>
                <w:color w:val="0000FF"/>
                <w:szCs w:val="21"/>
              </w:rPr>
            </w:pPr>
            <w:r>
              <w:rPr>
                <w:rFonts w:ascii="宋体" w:hAnsi="宋体" w:cs="宋体" w:hint="eastAsia"/>
                <w:color w:val="0000FF"/>
                <w:szCs w:val="21"/>
              </w:rPr>
              <w:t>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w:t>
            </w:r>
          </w:p>
          <w:p>
            <w:pPr>
              <w:spacing w:line="360" w:lineRule="exact"/>
              <w:rPr>
                <w:rFonts w:ascii="宋体" w:hAnsi="宋体" w:cs="宋体" w:hint="eastAsia"/>
                <w:color w:val="0000FF"/>
                <w:szCs w:val="21"/>
              </w:rPr>
            </w:pPr>
            <w:r>
              <w:rPr>
                <w:rFonts w:ascii="宋体" w:hAnsi="宋体" w:cs="宋体" w:hint="eastAsia"/>
                <w:color w:val="0000FF"/>
                <w:szCs w:val="21"/>
              </w:rPr>
              <w:t xml:space="preserve">3.质疑投诉处理中对证书是否有效的认定，以国家认监委网站【全国认证认可信息公共服务平台（//cx.cnca.cn）】查询结果为准。 </w:t>
            </w:r>
          </w:p>
          <w:p>
            <w:pPr>
              <w:widowControl/>
              <w:spacing w:line="360" w:lineRule="exact"/>
              <w:rPr>
                <w:rFonts w:ascii="宋体" w:eastAsia="宋体" w:hAnsi="宋体" w:cs="宋体" w:hint="eastAsia"/>
                <w:color w:val="000000"/>
                <w:kern w:val="0"/>
                <w:sz w:val="21"/>
                <w:szCs w:val="21"/>
                <w:lang w:val="en-US" w:eastAsia="zh-CN" w:bidi="ar-SA"/>
              </w:rPr>
            </w:pPr>
            <w:r>
              <w:rPr>
                <w:rFonts w:ascii="宋体" w:hAnsi="宋体" w:cs="宋体" w:hint="eastAsia"/>
                <w:color w:val="0000FF"/>
                <w:szCs w:val="21"/>
              </w:rPr>
              <w:t>2、未按要求提供相关证明材料（或相关证明材料无法判断是否符合评分要求）的不计得分，原件备查。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投标人同类项目业绩情况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4</w:t>
            </w:r>
          </w:p>
        </w:tc>
        <w:tc>
          <w:tcPr>
            <w:tcW w:w="4196" w:type="dxa"/>
            <w:tcBorders>
              <w:top w:val="single" w:sz="8" w:space="0" w:color="000000"/>
              <w:left w:val="single" w:sz="8" w:space="0" w:color="000000"/>
              <w:bottom w:val="single" w:sz="8" w:space="0" w:color="000000"/>
              <w:right w:val="single" w:sz="8" w:space="0" w:color="000000"/>
            </w:tcBorders>
            <w:shd w:val="clear" w:color="000000" w:fill="FFFFFF"/>
            <w:vAlign w:val="center"/>
          </w:tcPr>
          <w:p>
            <w:pPr>
              <w:widowControl/>
              <w:spacing w:line="360" w:lineRule="exact"/>
              <w:jc w:val="left"/>
              <w:rPr>
                <w:rFonts w:ascii="宋体" w:hAnsi="宋体" w:cs="宋体" w:hint="eastAsia"/>
                <w:b/>
                <w:bCs/>
                <w:color w:val="000000"/>
                <w:kern w:val="0"/>
                <w:szCs w:val="21"/>
              </w:rPr>
            </w:pPr>
            <w:r>
              <w:rPr>
                <w:rFonts w:ascii="宋体" w:hAnsi="宋体" w:cs="宋体" w:hint="eastAsia"/>
                <w:b/>
                <w:bCs/>
                <w:color w:val="000000"/>
                <w:kern w:val="0"/>
                <w:szCs w:val="21"/>
              </w:rPr>
              <w:t>（一）评审内容：</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提供投标人2022年7月1日至本项目投标截止日（以合同签订日期为准）的医疗卫健类业绩且合同内容须包含“医疗大数据”类或“信息安全”类等相关内容，</w:t>
            </w:r>
            <w:r>
              <w:rPr>
                <w:rFonts w:ascii="宋体" w:hAnsi="宋体" w:cs="宋体" w:hint="eastAsia"/>
                <w:szCs w:val="21"/>
              </w:rPr>
              <w:t>且</w:t>
            </w:r>
            <w:r>
              <w:rPr>
                <w:rFonts w:ascii="宋体" w:hAnsi="宋体" w:cs="宋体" w:hint="eastAsia"/>
                <w:color w:val="000000"/>
                <w:kern w:val="0"/>
                <w:szCs w:val="21"/>
              </w:rPr>
              <w:t>履约评价合格（或者验收合格或履约评价中最高等级）</w:t>
            </w:r>
            <w:r>
              <w:rPr>
                <w:rFonts w:ascii="宋体" w:hAnsi="宋体" w:cs="宋体" w:hint="eastAsia"/>
                <w:b/>
                <w:szCs w:val="21"/>
              </w:rPr>
              <w:t>(服务评价证明不能反映上述评价内容的不得分)</w:t>
            </w:r>
            <w:r>
              <w:rPr>
                <w:rFonts w:ascii="宋体" w:hAnsi="宋体" w:cs="宋体" w:hint="eastAsia"/>
                <w:color w:val="000000"/>
                <w:kern w:val="0"/>
                <w:szCs w:val="21"/>
              </w:rPr>
              <w:t>每提供一项符合要求的业绩，得50分，本项最高得100分。</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（二）</w:t>
            </w:r>
            <w:r>
              <w:rPr>
                <w:rFonts w:ascii="宋体" w:hAnsi="宋体" w:cs="宋体" w:hint="eastAsia"/>
                <w:b/>
                <w:bCs/>
                <w:szCs w:val="21"/>
              </w:rPr>
              <w:t>评审标准</w:t>
            </w:r>
            <w:r>
              <w:rPr>
                <w:rFonts w:ascii="宋体" w:hAnsi="宋体" w:cs="宋体" w:hint="eastAsia"/>
                <w:color w:val="000000"/>
                <w:kern w:val="0"/>
                <w:szCs w:val="21"/>
              </w:rPr>
              <w:t>：</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1.要求同时提供合同关键信息（须包含服务内容、签订日期等关键内容）及履约评价合格（或者验收合格）证明文件（须加盖公章或业务章）作为得分依据。</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2.同一项目续签合同的不重复计分。如涉及到需要判断是否为同一项目续签的情形，如项目名称相同、出具评价证明单位相同的，投标人应提供能判别为不属同一项目续签的相关证明材料。如不能判别，评标委员会有权对投标人作出不利判断。项目名称相同、出具服务评价证明单位相同，但是经过重新组织招标、招标编号不同的，不属同一项目续签。</w:t>
            </w:r>
          </w:p>
          <w:p>
            <w:pPr>
              <w:widowControl/>
              <w:spacing w:line="360" w:lineRule="exact"/>
              <w:jc w:val="left"/>
              <w:rPr>
                <w:rFonts w:ascii="宋体" w:eastAsia="宋体" w:hAnsi="宋体" w:cs="宋体" w:hint="eastAsia"/>
                <w:color w:val="000000"/>
                <w:kern w:val="0"/>
                <w:sz w:val="21"/>
                <w:szCs w:val="21"/>
                <w:lang w:val="en-US" w:eastAsia="zh-CN" w:bidi="ar-SA"/>
              </w:rPr>
            </w:pPr>
            <w:r>
              <w:rPr>
                <w:rFonts w:ascii="宋体" w:hAnsi="宋体" w:cs="宋体" w:hint="eastAsia"/>
                <w:color w:val="0000FF"/>
                <w:kern w:val="0"/>
                <w:szCs w:val="21"/>
              </w:rPr>
              <w:t>3.未按要求提供相关证明材料（或相关证明材料无法判断是否符合评分要求）的不计得分，原件备查。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投标人自主知识产权产品（创新、设计）情况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spacing w:line="360" w:lineRule="exact"/>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2</w:t>
            </w:r>
          </w:p>
        </w:tc>
        <w:tc>
          <w:tcPr>
            <w:tcW w:w="4196" w:type="dxa"/>
            <w:tcBorders>
              <w:top w:val="single" w:sz="8" w:space="0" w:color="000000"/>
              <w:left w:val="single" w:sz="8" w:space="0" w:color="000000"/>
              <w:bottom w:val="single" w:sz="8" w:space="0" w:color="000000"/>
              <w:right w:val="single" w:sz="8" w:space="0" w:color="000000"/>
            </w:tcBorders>
            <w:shd w:val="clear" w:color="000000" w:fill="FFFFFF"/>
            <w:vAlign w:val="center"/>
          </w:tcPr>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（一）评审内容：</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1、投标人具有以下类别计算机软件著作权登记证书的：</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①数据中台类；</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②数据管理类；</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③数据治理类；</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④数据分析类；</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⑤数据安全类</w:t>
            </w: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每提供以上1类（同一类证书仅计算一次）软件著作权证书得20分，最高得100分。</w:t>
            </w:r>
          </w:p>
          <w:p>
            <w:pPr>
              <w:widowControl/>
              <w:spacing w:line="360" w:lineRule="exact"/>
              <w:jc w:val="left"/>
              <w:rPr>
                <w:rFonts w:ascii="宋体" w:hAnsi="宋体" w:cs="宋体" w:hint="eastAsia"/>
                <w:color w:val="000000"/>
                <w:kern w:val="0"/>
                <w:szCs w:val="21"/>
              </w:rPr>
            </w:pPr>
          </w:p>
          <w:p>
            <w:pPr>
              <w:widowControl/>
              <w:spacing w:line="360" w:lineRule="exact"/>
              <w:jc w:val="left"/>
              <w:rPr>
                <w:rFonts w:ascii="宋体" w:hAnsi="宋体" w:cs="宋体" w:hint="eastAsia"/>
                <w:color w:val="000000"/>
                <w:kern w:val="0"/>
                <w:szCs w:val="21"/>
              </w:rPr>
            </w:pPr>
            <w:r>
              <w:rPr>
                <w:rFonts w:ascii="宋体" w:hAnsi="宋体" w:cs="宋体" w:hint="eastAsia"/>
                <w:color w:val="000000"/>
                <w:kern w:val="0"/>
                <w:szCs w:val="21"/>
              </w:rPr>
              <w:t>（二）</w:t>
            </w:r>
            <w:r>
              <w:rPr>
                <w:rFonts w:ascii="宋体" w:hAnsi="宋体" w:cs="宋体" w:hint="eastAsia"/>
                <w:b/>
                <w:bCs/>
                <w:szCs w:val="21"/>
              </w:rPr>
              <w:t>评审标准</w:t>
            </w:r>
            <w:r>
              <w:rPr>
                <w:rFonts w:ascii="宋体" w:hAnsi="宋体" w:cs="宋体" w:hint="eastAsia"/>
                <w:color w:val="000000"/>
                <w:kern w:val="0"/>
                <w:szCs w:val="21"/>
              </w:rPr>
              <w:t>：</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1、如为自有的，提供国家版权局颁发的计算机软件著作权登记证书扫描件和在中国版权登记查询服务平台(https://register.ccopyright.com.cn/query.html)的信息查询截图，需能体现供应商为著作权人;</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 xml:space="preserve">2、如为租赁(或购买)的，同时提供:①租赁(或购买)合同扫描件，需能体现供应商为租赁人或购买人;②由国家版权局颁发的计算机软件著作权登记证书扫描件和在中国版权登记查询服务平台(https://register.ccopyright.com.cn/query.html)的信息查询截图，需能体现著作权人为出租(售)人;③提供的计算机软件著作权登记证书扫描件如无法判断是否符合评分要求的，可同时提供系统或软件的功能截图辅助判断，证书及截图均无法判断的不得分; </w:t>
            </w:r>
          </w:p>
          <w:p>
            <w:pPr>
              <w:widowControl/>
              <w:spacing w:line="360" w:lineRule="exact"/>
              <w:jc w:val="left"/>
              <w:rPr>
                <w:rFonts w:ascii="宋体" w:hAnsi="宋体" w:cs="宋体" w:hint="eastAsia"/>
                <w:color w:val="0000FF"/>
                <w:kern w:val="0"/>
                <w:szCs w:val="21"/>
              </w:rPr>
            </w:pPr>
            <w:r>
              <w:rPr>
                <w:rFonts w:ascii="宋体" w:hAnsi="宋体" w:cs="宋体" w:hint="eastAsia"/>
                <w:color w:val="0000FF"/>
                <w:kern w:val="0"/>
                <w:szCs w:val="21"/>
              </w:rPr>
              <w:t>3、提供的证书如无法判断是否符合评分要求的，可同时提供一致性说明，证书及说明均无法判断的不得分;</w:t>
            </w:r>
          </w:p>
          <w:p>
            <w:pPr>
              <w:widowControl/>
              <w:spacing w:line="360" w:lineRule="exact"/>
              <w:jc w:val="left"/>
              <w:rPr>
                <w:rFonts w:ascii="宋体" w:eastAsia="宋体" w:hAnsi="宋体" w:cs="宋体" w:hint="eastAsia"/>
                <w:color w:val="000000"/>
                <w:kern w:val="0"/>
                <w:sz w:val="21"/>
                <w:szCs w:val="21"/>
                <w:lang w:val="en-US" w:eastAsia="zh-CN" w:bidi="ar-SA"/>
              </w:rPr>
            </w:pPr>
            <w:r>
              <w:rPr>
                <w:rFonts w:ascii="宋体" w:hAnsi="宋体" w:cs="宋体" w:hint="eastAsia"/>
                <w:color w:val="0000FF"/>
                <w:kern w:val="0"/>
                <w:szCs w:val="21"/>
              </w:rPr>
              <w:t>4、未按要求提供相关证明材料(或相关证明材料无法判断是否符合评分要求)的不计得分，原件备查。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4</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诚信情况</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4"/>
                <w:lang w:eastAsia="zh-CN"/>
              </w:rPr>
            </w:pPr>
            <w:r>
              <w:rPr>
                <w:rFonts w:hint="eastAsia"/>
                <w:b/>
                <w:bCs/>
                <w:color w:val="0000FF"/>
                <w:lang w:val="en-US" w:eastAsia="zh-CN"/>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hint="eastAsia"/>
                <w:szCs w:val="21"/>
                <w:lang w:eastAsia="zh-CN"/>
              </w:rPr>
            </w:pPr>
            <w:r>
              <w:rPr>
                <w:rFonts w:hint="eastAsia"/>
                <w:lang w:val="en-US" w:eastAsia="zh-CN"/>
              </w:rPr>
              <w:t>5</w:t>
            </w:r>
          </w:p>
        </w:tc>
        <w:tc>
          <w:tcPr>
            <w:tcW w:w="4196" w:type="dxa"/>
            <w:tcBorders>
              <w:top w:val="single" w:sz="8" w:space="0" w:color="000000"/>
              <w:left w:val="single" w:sz="8" w:space="0" w:color="000000"/>
              <w:bottom w:val="single" w:sz="8" w:space="0" w:color="000000"/>
              <w:right w:val="single" w:sz="8" w:space="0" w:color="000000"/>
            </w:tcBorders>
          </w:tcPr>
          <w:p>
            <w:pPr>
              <w:pStyle w:val="BodyText"/>
              <w:wordWrap w:val="0"/>
              <w:spacing w:line="240" w:lineRule="auto"/>
              <w:ind w:firstLine="420" w:firstLineChars="200"/>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lang w:val="en-US" w:eastAsia="zh-CN"/>
              </w:rPr>
              <w:t>有关</w:t>
            </w:r>
            <w:r>
              <w:rPr>
                <w:rFonts w:asciiTheme="minorEastAsia" w:eastAsiaTheme="minorEastAsia" w:hAnsiTheme="minorEastAsia" w:cstheme="minorEastAsia" w:hint="eastAsia"/>
                <w:b w:val="0"/>
                <w:bCs w:val="0"/>
                <w:sz w:val="21"/>
                <w:szCs w:val="21"/>
              </w:rPr>
              <w:t>供应商诚信查询结果。</w:t>
            </w:r>
          </w:p>
          <w:p>
            <w:pPr>
              <w:pStyle w:val="BodyText"/>
              <w:wordWrap w:val="0"/>
              <w:spacing w:line="240" w:lineRule="auto"/>
              <w:ind w:firstLine="420" w:firstLineChars="200"/>
              <w:rPr>
                <w:rFonts w:ascii="宋体" w:hAnsi="宋体" w:cs="宋体"/>
                <w:szCs w:val="21"/>
              </w:rPr>
            </w:pPr>
            <w:r>
              <w:rPr>
                <w:rFonts w:asciiTheme="minorEastAsia" w:eastAsiaTheme="minorEastAsia" w:hAnsiTheme="minorEastAsia" w:cstheme="minorEastAsia" w:hint="eastAsia"/>
                <w:b w:val="0"/>
                <w:bCs w:val="0"/>
                <w:sz w:val="21"/>
                <w:szCs w:val="21"/>
                <w:lang w:val="en-US" w:eastAsia="zh-CN"/>
              </w:rPr>
              <w:t>查询渠道为通过“信用中国”(www.creditchina.gov.cn，下载信用信息报告)、“中国政府采购网”(www.ccgp.gov.cn)、“深圳市政府采购监管网”(http://zfcg.sz.gov.cn)、“</w:t>
            </w:r>
            <w:r>
              <w:rPr>
                <w:rFonts w:asciiTheme="minorEastAsia" w:eastAsiaTheme="minorEastAsia" w:hAnsiTheme="minorEastAsia" w:cstheme="minorEastAsia" w:hint="eastAsia"/>
                <w:b w:val="0"/>
                <w:bCs w:val="0"/>
                <w:color w:val="FF0000"/>
                <w:sz w:val="21"/>
                <w:szCs w:val="21"/>
                <w:lang w:val="en-US" w:eastAsia="zh-CN"/>
              </w:rPr>
              <w:t>深圳政府采购智慧平台信用库</w:t>
            </w:r>
            <w:r>
              <w:rPr>
                <w:rFonts w:asciiTheme="minorEastAsia" w:eastAsiaTheme="minorEastAsia" w:hAnsiTheme="minorEastAsia" w:cstheme="minorEastAsia" w:hint="eastAsia"/>
                <w:b w:val="0"/>
                <w:bCs w:val="0"/>
                <w:sz w:val="21"/>
                <w:szCs w:val="21"/>
                <w:lang w:val="en-US" w:eastAsia="zh-CN"/>
              </w:rPr>
              <w:t>”查询供应商信用信息，信用信息以开标当日的查询结果为准。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num="1" w:space="425"/>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1"/>
    </w:p>
    <w:p>
      <w:pPr>
        <w:ind w:firstLine="420" w:firstLineChars="200"/>
        <w:rPr>
          <w:rFonts w:hint="eastAsia"/>
        </w:rPr>
      </w:pPr>
      <w: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合同格式"/>
      <w:bookmarkEnd w:id="3"/>
      <w:bookmarkStart w:id="4" w:name="bt投标报价汇总表"/>
      <w:bookmarkEnd w:id="4"/>
      <w:bookmarkStart w:id="5" w:name="bt合同条款及格式"/>
      <w:bookmarkEnd w:id="5"/>
      <w:bookmarkStart w:id="6" w:name="bt其他资料由投标人自定"/>
      <w:bookmarkEnd w:id="6"/>
      <w:bookmarkStart w:id="7" w:name="bt投标文件签署授权委托书"/>
      <w:bookmarkEnd w:id="7"/>
      <w:bookmarkStart w:id="8" w:name="bt项目管理班子配备情况"/>
      <w:bookmarkEnd w:id="8"/>
      <w:bookmarkStart w:id="9" w:name="bt开标一览表"/>
      <w:bookmarkEnd w:id="9"/>
      <w:bookmarkStart w:id="10" w:name="bt技术标投标文件格式"/>
      <w:bookmarkEnd w:id="10"/>
      <w:bookmarkStart w:id="11" w:name="bt说明"/>
      <w:bookmarkEnd w:id="11"/>
      <w:bookmarkStart w:id="12" w:name="bt其他资料2"/>
      <w:bookmarkEnd w:id="12"/>
      <w:bookmarkStart w:id="13" w:name="合同格式"/>
      <w:bookmarkEnd w:id="13"/>
      <w:bookmarkStart w:id="14" w:name="bt商务标投标文件格式"/>
      <w:bookmarkEnd w:id="14"/>
      <w:bookmarkStart w:id="15" w:name="bt合同条款"/>
      <w:bookmarkEnd w:id="15"/>
      <w:bookmarkStart w:id="16" w:name="bt本工程承诺书"/>
      <w:bookmarkEnd w:id="16"/>
      <w:bookmarkStart w:id="17" w:name="bt投标人须知"/>
      <w:bookmarkEnd w:id="17"/>
      <w:bookmarkStart w:id="18" w:name="bt投标人情况介绍"/>
      <w:bookmarkEnd w:id="18"/>
      <w:bookmarkStart w:id="19" w:name="bt投标函"/>
      <w:bookmarkEnd w:id="19"/>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hint="eastAsia"/>
                      <w:lang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0" w:name="_Toc73518117"/>
      <w:bookmarkStart w:id="21" w:name="_Toc101074876"/>
      <w:bookmarkStart w:id="22" w:name="_Toc60560625"/>
      <w:bookmarkStart w:id="23" w:name="_Toc60631620"/>
      <w:bookmarkStart w:id="24" w:name="_Toc73521635"/>
      <w:bookmarkStart w:id="25" w:name="_Toc73517639"/>
      <w:bookmarkStart w:id="26" w:name="_Toc100052364"/>
      <w:bookmarkStart w:id="27" w:name="_Toc73521547"/>
      <w:r>
        <w:rPr>
          <w:rFonts w:hint="eastAsia"/>
          <w:szCs w:val="24"/>
        </w:rPr>
        <w:t>一、对通用条款的补充内容</w:t>
      </w:r>
      <w:bookmarkEnd w:id="20"/>
      <w:bookmarkEnd w:id="21"/>
      <w:bookmarkEnd w:id="22"/>
      <w:bookmarkEnd w:id="23"/>
      <w:bookmarkEnd w:id="24"/>
      <w:bookmarkEnd w:id="25"/>
      <w:bookmarkEnd w:id="26"/>
      <w:bookmarkEnd w:id="27"/>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eastAsia="宋体" w:hAnsi="宋体" w:cs="Arial" w:hint="eastAsia"/>
                <w:b/>
                <w:szCs w:val="21"/>
              </w:rPr>
              <w:t>深圳市宝安区人民医院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8" w:name="_Hlk71664860"/>
            <w:r>
              <w:rPr>
                <w:rFonts w:ascii="宋体" w:hAnsi="宋体" w:hint="eastAsia"/>
              </w:rPr>
              <w:t>样品、现场演示、方案讲解</w:t>
            </w:r>
            <w:bookmarkEnd w:id="28"/>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29"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pPr>
            <w:r>
              <w:rPr>
                <w:rFonts w:hint="eastAsia"/>
              </w:rPr>
              <w:t>评标方法</w:t>
            </w:r>
          </w:p>
        </w:tc>
        <w:tc>
          <w:tcPr>
            <w:tcW w:w="3235" w:type="dxa"/>
          </w:tcPr>
          <w:p>
            <w:pPr>
              <w:jc w:val="center"/>
              <w:rPr>
                <w:rFonts w:eastAsia="宋体" w:hint="default"/>
                <w:lang w:val="en-US" w:eastAsia="zh-CN"/>
              </w:rPr>
            </w:pPr>
            <w:r>
              <w:rPr>
                <w:rFonts w:ascii="Wingdings" w:eastAsia="Wingdings" w:hAnsi="Wingdings" w:cs="Wingdings" w:hint="eastAsia"/>
              </w:rPr>
              <w:t>þ</w:t>
            </w:r>
            <w:r>
              <w:rPr>
                <w:rFonts w:hint="eastAsia"/>
              </w:rPr>
              <w:t>综合评分法</w:t>
            </w:r>
          </w:p>
        </w:tc>
        <w:tc>
          <w:tcPr>
            <w:tcW w:w="2450" w:type="dxa"/>
          </w:tcPr>
          <w:p>
            <w:pPr>
              <w:jc w:val="center"/>
              <w:rPr>
                <w:rFonts w:hint="eastAsia"/>
              </w:rPr>
            </w:pPr>
            <w:r>
              <w:rPr>
                <w:rFonts w:ascii="Wingdings" w:eastAsia="Wingdings" w:hAnsi="Wingdings" w:cs="Wingdings" w:hint="eastAsia"/>
                <w:lang w:val="en-US" w:eastAsia="zh-CN"/>
              </w:rPr>
              <w:t>¨</w:t>
            </w:r>
            <w:r>
              <w:rPr>
                <w:rFonts w:ascii="Times New Roman" w:eastAsia="宋体" w:hint="eastAsia"/>
                <w:lang w:val="en-US" w:eastAsia="zh-CN"/>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候选中标供应商家数</w:t>
            </w:r>
          </w:p>
        </w:tc>
        <w:tc>
          <w:tcPr>
            <w:tcW w:w="3235" w:type="dxa"/>
          </w:tcPr>
          <w:p>
            <w:pPr>
              <w:jc w:val="center"/>
              <w:rPr>
                <w:rFonts w:eastAsia="宋体" w:hint="default"/>
                <w:lang w:val="en-US" w:eastAsia="zh-CN"/>
              </w:rPr>
            </w:pPr>
            <w:r>
              <w:rPr>
                <w:rFonts w:hint="eastAsia"/>
              </w:rPr>
              <w:t>1</w:t>
            </w:r>
          </w:p>
        </w:tc>
        <w:tc>
          <w:tcPr>
            <w:tcW w:w="2450" w:type="dxa"/>
          </w:tcPr>
          <w:p>
            <w:pPr>
              <w:jc w:val="center"/>
              <w:rPr>
                <w:rFonts w:eastAsia="宋体" w:hint="eastAsia"/>
                <w:lang w:eastAsia="zh-CN"/>
              </w:rP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rPr>
                <w:rFonts w:hint="eastAsia"/>
              </w:rPr>
            </w:pPr>
            <w:r>
              <w:rPr>
                <w:rFonts w:hint="eastAsia"/>
              </w:rPr>
              <w:t>1</w:t>
            </w:r>
          </w:p>
        </w:tc>
      </w:tr>
    </w:tbl>
    <w:p>
      <w:pPr>
        <w:pStyle w:val="BodyText2"/>
      </w:pPr>
    </w:p>
    <w:p>
      <w:pPr>
        <w:ind w:firstLine="420" w:firstLineChars="200"/>
        <w:rPr>
          <w:rFonts w:hint="eastAsia"/>
          <w:b/>
        </w:rPr>
      </w:pPr>
      <w:bookmarkEnd w:id="29"/>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10</w:t>
      </w:r>
      <w:r>
        <w:rPr>
          <w:color w:val="FF0000"/>
          <w:u w:val="single"/>
        </w:rPr>
        <w:t xml:space="preserve">  %</w:t>
      </w:r>
      <w:r>
        <w:rPr>
          <w:rFonts w:eastAsia="宋体" w:hint="eastAsia"/>
          <w:color w:val="000000" w:themeColor="text1"/>
          <w:u w:val="none"/>
          <w:lang w:eastAsia="zh-CN"/>
          <w14:textFill>
            <w14:solidFill>
              <w14:schemeClr w14:val="tx1"/>
            </w14:solidFill>
          </w14:textFill>
        </w:rPr>
        <w:t>（</w:t>
      </w:r>
      <w:r>
        <w:rPr>
          <w:rFonts w:ascii="Times New Roman" w:eastAsia="宋体" w:hint="eastAsia"/>
          <w:color w:val="000000" w:themeColor="text1"/>
          <w:u w:val="none"/>
          <w:lang w:val="en-US" w:eastAsia="zh-CN"/>
          <w14:textFill>
            <w14:solidFill>
              <w14:schemeClr w14:val="tx1"/>
            </w14:solidFill>
          </w14:textFill>
        </w:rPr>
        <w:t>10%~20%</w:t>
      </w:r>
      <w:r>
        <w:rPr>
          <w:rFonts w:eastAsia="宋体" w:hint="eastAsia"/>
          <w:color w:val="000000" w:themeColor="text1"/>
          <w:u w:val="none"/>
          <w:lang w:eastAsia="zh-CN"/>
          <w14:textFill>
            <w14:solidFill>
              <w14:schemeClr w14:val="tx1"/>
            </w14:solidFill>
          </w14:textFill>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numPr>
          <w:ilvl w:val="0"/>
          <w:numId w:val="7"/>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7"/>
        </w:numPr>
        <w:ind w:left="0" w:firstLine="420" w:leftChars="0" w:firstLineChars="200"/>
      </w:pP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、本项目不向中标（成交）供应商收取代理服务费。</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ind w:firstLine="420" w:firstLineChars="200"/>
        <w:rPr>
          <w:rFonts w:ascii="Times New Roman" w:eastAsia="宋体" w:hAnsi="Times New Roman" w:cs="Times New Roman"/>
          <w:highlight w:val="none"/>
        </w:r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rPr>
        <w:t>0755-83948165，020-89524338</w:t>
      </w:r>
      <w:r>
        <w:t>（CA办理指引详见链接https://szggzy.com/calock/caLock.html）。</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sectPr>
          <w:pgSz w:w="11907" w:h="16840"/>
          <w:pgMar w:top="1440" w:right="1797" w:bottom="1440" w:left="1797" w:header="851" w:footer="992" w:gutter="0"/>
          <w:cols w:num="1" w:space="425"/>
          <w:titlePg/>
          <w:docGrid w:linePitch="462" w:charSpace="0"/>
        </w:sectPr>
      </w:pPr>
      <w:r>
        <w:rPr>
          <w:rFonts w:cs="Times New Roman" w:hint="eastAsia"/>
          <w:b w:val="0"/>
          <w:bCs w:val="0"/>
          <w:kern w:val="2"/>
          <w:sz w:val="21"/>
          <w:szCs w:val="24"/>
          <w:highlight w:val="yellow"/>
          <w:lang w:val="en-US" w:eastAsia="zh-CN" w:bidi="ar-SA"/>
        </w:rPr>
        <w:t>4.</w:t>
      </w:r>
      <w:r>
        <w:rPr>
          <w:rFonts w:ascii="Times New Roman" w:eastAsia="宋体" w:hAnsi="Times New Roman" w:cs="Times New Roman" w:hint="eastAsia"/>
          <w:b/>
          <w:bCs/>
          <w:kern w:val="2"/>
          <w:sz w:val="21"/>
          <w:szCs w:val="24"/>
          <w:highlight w:val="yellow"/>
          <w:lang w:val="en-US" w:eastAsia="zh-CN" w:bidi="ar-SA"/>
        </w:rPr>
        <w:t>投标供应商严格核实所提交检测报告的真实性</w:t>
      </w:r>
      <w:r>
        <w:rPr>
          <w:rFonts w:ascii="Times New Roman" w:eastAsia="宋体" w:hAnsi="Times New Roman" w:cs="Times New Roman" w:hint="eastAsia"/>
          <w:b w:val="0"/>
          <w:bCs w:val="0"/>
          <w:kern w:val="2"/>
          <w:sz w:val="21"/>
          <w:szCs w:val="24"/>
          <w:highlight w:val="yellow"/>
          <w:lang w:val="en-US" w:eastAsia="zh-CN" w:bidi="ar-SA"/>
        </w:rPr>
        <w:t>，除通过国家市场监督管理总局的全国认证认可信息公共服务平台核实报告编号、出具机构等基础信息外，还</w:t>
      </w:r>
      <w:r>
        <w:rPr>
          <w:rFonts w:ascii="Times New Roman" w:eastAsia="宋体" w:hAnsi="Times New Roman" w:cs="Times New Roman" w:hint="eastAsia"/>
          <w:b/>
          <w:bCs/>
          <w:kern w:val="2"/>
          <w:sz w:val="21"/>
          <w:szCs w:val="24"/>
          <w:highlight w:val="yellow"/>
          <w:lang w:val="en-US" w:eastAsia="zh-CN" w:bidi="ar-SA"/>
        </w:rPr>
        <w:t>应尽可能通过检测报告出具机构的官网、邮箱、电话等可靠途径查询所提交检测报告具体内容的真实性（不可轻信检测报告上载明的网址、电话、二维码等），并留存核实过程证据备查</w:t>
      </w:r>
      <w:r>
        <w:rPr>
          <w:rFonts w:ascii="Times New Roman" w:eastAsia="宋体" w:hAnsi="Times New Roman" w:cs="Times New Roman" w:hint="eastAsia"/>
          <w:b w:val="0"/>
          <w:bCs w:val="0"/>
          <w:kern w:val="2"/>
          <w:sz w:val="21"/>
          <w:szCs w:val="24"/>
          <w:highlight w:val="yellow"/>
          <w:lang w:val="en-US" w:eastAsia="zh-CN" w:bidi="ar-SA"/>
        </w:rPr>
        <w:t>，避免</w:t>
      </w:r>
      <w:r>
        <w:rPr>
          <w:rFonts w:cs="Times New Roman" w:hint="eastAsia"/>
          <w:b w:val="0"/>
          <w:bCs w:val="0"/>
          <w:kern w:val="2"/>
          <w:sz w:val="21"/>
          <w:szCs w:val="24"/>
          <w:highlight w:val="yellow"/>
          <w:lang w:val="en-US" w:eastAsia="zh-CN" w:bidi="ar-SA"/>
        </w:rPr>
        <w:t>。</w:t>
      </w:r>
      <w:r>
        <w:rPr>
          <w:rFonts w:ascii="Times New Roman" w:eastAsia="宋体" w:hAnsi="Times New Roman" w:cs="Times New Roman" w:hint="eastAsia"/>
          <w:b w:val="0"/>
          <w:bCs w:val="0"/>
          <w:kern w:val="2"/>
          <w:sz w:val="21"/>
          <w:szCs w:val="24"/>
          <w:highlight w:val="yellow"/>
          <w:lang w:val="en-US" w:eastAsia="zh-CN" w:bidi="ar-SA"/>
        </w:rPr>
        <w:t>因未尽核实义务在投标文件中提交伪造、变造的虚假检测报告而被相关部门予以行政处罚</w:t>
      </w:r>
      <w:r>
        <w:rPr>
          <w:rFonts w:cs="Times New Roman" w:hint="eastAsia"/>
          <w:b w:val="0"/>
          <w:bCs w:val="0"/>
          <w:kern w:val="2"/>
          <w:sz w:val="21"/>
          <w:szCs w:val="24"/>
          <w:highlight w:val="yellow"/>
          <w:lang w:val="en-US" w:eastAsia="zh-CN" w:bidi="ar-SA"/>
        </w:rPr>
        <w:t>。</w:t>
      </w:r>
    </w:p>
    <w:p>
      <w:pPr>
        <w:pStyle w:val="Heading2"/>
        <w:rPr>
          <w:sz w:val="28"/>
          <w:szCs w:val="28"/>
        </w:rPr>
      </w:pPr>
      <w:bookmarkStart w:id="30"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41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478"/>
        <w:gridCol w:w="2764"/>
        <w:gridCol w:w="2757"/>
      </w:tblGrid>
      <w:tr>
        <w:tblPrEx>
          <w:tblW w:w="841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3" w:type="dxa"/>
            <w:noWrap w:val="0"/>
            <w:vAlign w:val="center"/>
          </w:tcPr>
          <w:p>
            <w:pPr>
              <w:jc w:val="center"/>
              <w:rPr>
                <w:bCs/>
                <w:szCs w:val="21"/>
              </w:rPr>
            </w:pPr>
            <w:r>
              <w:rPr>
                <w:rFonts w:hint="eastAsia"/>
                <w:bCs/>
                <w:szCs w:val="21"/>
              </w:rPr>
              <w:t>序号</w:t>
            </w:r>
          </w:p>
        </w:tc>
        <w:tc>
          <w:tcPr>
            <w:tcW w:w="2478" w:type="dxa"/>
            <w:noWrap w:val="0"/>
            <w:vAlign w:val="center"/>
          </w:tcPr>
          <w:p>
            <w:pPr>
              <w:jc w:val="center"/>
              <w:rPr>
                <w:bCs/>
                <w:szCs w:val="21"/>
              </w:rPr>
            </w:pPr>
            <w:r>
              <w:rPr>
                <w:rFonts w:hint="eastAsia"/>
                <w:szCs w:val="21"/>
              </w:rPr>
              <w:t>采购计划编号</w:t>
            </w:r>
          </w:p>
        </w:tc>
        <w:tc>
          <w:tcPr>
            <w:tcW w:w="2764" w:type="dxa"/>
            <w:noWrap w:val="0"/>
            <w:vAlign w:val="center"/>
          </w:tcPr>
          <w:p>
            <w:pPr>
              <w:jc w:val="center"/>
              <w:rPr>
                <w:bCs/>
                <w:szCs w:val="21"/>
              </w:rPr>
            </w:pPr>
            <w:r>
              <w:rPr>
                <w:rFonts w:hint="eastAsia"/>
                <w:bCs/>
                <w:szCs w:val="21"/>
              </w:rPr>
              <w:t>采购项目名称</w:t>
            </w:r>
          </w:p>
        </w:tc>
        <w:tc>
          <w:tcPr>
            <w:tcW w:w="2757" w:type="dxa"/>
            <w:noWrap w:val="0"/>
            <w:vAlign w:val="center"/>
          </w:tcPr>
          <w:p>
            <w:pPr>
              <w:jc w:val="center"/>
              <w:rPr>
                <w:b/>
                <w:bCs/>
                <w:color w:val="FF0000"/>
                <w:szCs w:val="21"/>
              </w:rPr>
            </w:pPr>
            <w:r>
              <w:rPr>
                <w:rFonts w:hint="eastAsia"/>
                <w:b/>
                <w:bCs/>
                <w:color w:val="FF0000"/>
                <w:szCs w:val="21"/>
              </w:rPr>
              <w:t>预算金额</w:t>
            </w:r>
          </w:p>
          <w:p>
            <w:pPr>
              <w:jc w:val="center"/>
              <w:rPr>
                <w:b/>
                <w:bCs/>
                <w:color w:val="FF0000"/>
                <w:szCs w:val="21"/>
              </w:rPr>
            </w:pPr>
            <w:r>
              <w:rPr>
                <w:rFonts w:hint="eastAsia"/>
                <w:b/>
                <w:bCs/>
                <w:color w:val="FF0000"/>
                <w:szCs w:val="21"/>
              </w:rPr>
              <w:t>（元）</w:t>
            </w:r>
          </w:p>
        </w:tc>
      </w:tr>
      <w:tr>
        <w:tblPrEx>
          <w:tblW w:w="8412" w:type="dxa"/>
          <w:tblInd w:w="0" w:type="dxa"/>
          <w:tblLayout w:type="fixed"/>
          <w:tblCellMar>
            <w:top w:w="0" w:type="dxa"/>
            <w:left w:w="108" w:type="dxa"/>
            <w:bottom w:w="0" w:type="dxa"/>
            <w:right w:w="108" w:type="dxa"/>
          </w:tblCellMar>
        </w:tblPrEx>
        <w:trPr>
          <w:trHeight w:val="290"/>
        </w:trPr>
        <w:tc>
          <w:tcPr>
            <w:tcW w:w="413" w:type="dxa"/>
            <w:noWrap w:val="0"/>
            <w:vAlign w:val="center"/>
          </w:tcPr>
          <w:p>
            <w:pPr>
              <w:jc w:val="center"/>
              <w:rPr>
                <w:bCs/>
                <w:color w:val="FF0000"/>
                <w:szCs w:val="21"/>
              </w:rPr>
            </w:pPr>
            <w:r>
              <w:rPr>
                <w:rFonts w:hint="eastAsia"/>
                <w:bCs/>
                <w:color w:val="FF0000"/>
                <w:szCs w:val="21"/>
              </w:rPr>
              <w:t>1</w:t>
            </w:r>
          </w:p>
        </w:tc>
        <w:tc>
          <w:tcPr>
            <w:tcW w:w="2478" w:type="dxa"/>
            <w:noWrap w:val="0"/>
            <w:vAlign w:val="center"/>
          </w:tcPr>
          <w:p>
            <w:pPr>
              <w:jc w:val="center"/>
              <w:rPr>
                <w:bCs/>
                <w:color w:val="FF0000"/>
                <w:szCs w:val="21"/>
              </w:rPr>
            </w:pPr>
            <w:r>
              <w:rPr>
                <w:rFonts w:hint="eastAsia"/>
                <w:bCs/>
                <w:color w:val="FF0000"/>
                <w:szCs w:val="21"/>
              </w:rPr>
              <w:t xml:space="preserve">PLAN-2025-440306000-117002-08379 </w:t>
            </w:r>
          </w:p>
        </w:tc>
        <w:tc>
          <w:tcPr>
            <w:tcW w:w="2764" w:type="dxa"/>
            <w:noWrap w:val="0"/>
            <w:vAlign w:val="center"/>
          </w:tcPr>
          <w:p>
            <w:pPr>
              <w:jc w:val="center"/>
              <w:rPr>
                <w:rFonts w:hint="eastAsia"/>
                <w:b/>
                <w:bCs/>
                <w:color w:val="FF0000"/>
                <w:szCs w:val="21"/>
              </w:rPr>
            </w:pPr>
            <w:r>
              <w:rPr>
                <w:rFonts w:hint="eastAsia"/>
                <w:bCs/>
                <w:color w:val="FF0000"/>
                <w:szCs w:val="21"/>
              </w:rPr>
              <w:t>深圳市宝安区人民医院大数据平台、信息安全建设项目</w:t>
            </w:r>
          </w:p>
        </w:tc>
        <w:tc>
          <w:tcPr>
            <w:tcW w:w="2757" w:type="dxa"/>
            <w:noWrap w:val="0"/>
            <w:vAlign w:val="center"/>
          </w:tcPr>
          <w:p>
            <w:pPr>
              <w:jc w:val="center"/>
              <w:rPr>
                <w:rFonts w:eastAsia="宋体" w:hint="default"/>
                <w:bCs/>
                <w:color w:val="FF0000"/>
                <w:szCs w:val="21"/>
                <w:lang w:val="en-US" w:eastAsia="zh-CN"/>
              </w:rPr>
            </w:pPr>
            <w:r>
              <w:rPr>
                <w:rFonts w:hint="eastAsia"/>
                <w:bCs/>
                <w:color w:val="FF0000"/>
                <w:szCs w:val="21"/>
              </w:rPr>
              <w:t>25704700</w:t>
            </w:r>
            <w:r>
              <w:rPr>
                <w:rFonts w:hint="eastAsia"/>
                <w:bCs/>
                <w:color w:val="FF0000"/>
                <w:szCs w:val="21"/>
                <w:lang w:val="en-US" w:eastAsia="zh-CN"/>
              </w:rPr>
              <w:t>.00</w:t>
            </w:r>
          </w:p>
        </w:tc>
      </w:tr>
      <w:tr>
        <w:tblPrEx>
          <w:tblW w:w="8412" w:type="dxa"/>
          <w:tblInd w:w="0" w:type="dxa"/>
          <w:tblLayout w:type="fixed"/>
          <w:tblCellMar>
            <w:top w:w="0" w:type="dxa"/>
            <w:left w:w="108" w:type="dxa"/>
            <w:bottom w:w="0" w:type="dxa"/>
            <w:right w:w="108" w:type="dxa"/>
          </w:tblCellMar>
        </w:tblPrEx>
        <w:trPr>
          <w:trHeight w:val="290"/>
        </w:trPr>
        <w:tc>
          <w:tcPr>
            <w:tcW w:w="5655" w:type="dxa"/>
            <w:gridSpan w:val="3"/>
            <w:noWrap w:val="0"/>
            <w:vAlign w:val="center"/>
          </w:tcPr>
          <w:p>
            <w:pPr>
              <w:jc w:val="center"/>
              <w:rPr>
                <w:b/>
                <w:bCs/>
                <w:color w:val="FF0000"/>
                <w:szCs w:val="21"/>
              </w:rPr>
            </w:pPr>
            <w:r>
              <w:rPr>
                <w:b/>
                <w:bCs/>
                <w:color w:val="FF0000"/>
                <w:szCs w:val="21"/>
              </w:rPr>
              <w:t>合计</w:t>
            </w:r>
          </w:p>
        </w:tc>
        <w:tc>
          <w:tcPr>
            <w:tcW w:w="2757" w:type="dxa"/>
            <w:noWrap w:val="0"/>
            <w:vAlign w:val="center"/>
          </w:tcPr>
          <w:p>
            <w:pPr>
              <w:jc w:val="center"/>
              <w:rPr>
                <w:bCs/>
                <w:color w:val="FF0000"/>
                <w:szCs w:val="21"/>
              </w:rPr>
            </w:pPr>
            <w:r>
              <w:rPr>
                <w:rFonts w:hint="eastAsia"/>
                <w:bCs/>
                <w:color w:val="FF0000"/>
                <w:szCs w:val="21"/>
              </w:rPr>
              <w:t>25704700</w:t>
            </w:r>
            <w:r>
              <w:rPr>
                <w:rFonts w:hint="eastAsia"/>
                <w:bCs/>
                <w:color w:val="FF0000"/>
                <w:szCs w:val="21"/>
                <w:lang w:val="en-US" w:eastAsia="zh-CN"/>
              </w:rPr>
              <w:t>.00</w:t>
            </w:r>
          </w:p>
        </w:tc>
      </w:tr>
    </w:tbl>
    <w:p>
      <w:pPr>
        <w:pStyle w:val="Heading2"/>
        <w:spacing w:before="120" w:beforeLines="50" w:after="120" w:afterLines="50"/>
        <w:rPr>
          <w:szCs w:val="24"/>
        </w:rPr>
      </w:pPr>
      <w:r>
        <w:rPr>
          <w:rFonts w:hint="eastAsia"/>
          <w:szCs w:val="24"/>
        </w:rPr>
        <w:t>二、项目概况</w:t>
      </w:r>
    </w:p>
    <w:p>
      <w:pPr>
        <w:ind w:firstLine="420" w:firstLineChars="200"/>
        <w:rPr>
          <w:szCs w:val="21"/>
        </w:rPr>
      </w:pPr>
      <w:r>
        <w:rPr>
          <w:rFonts w:hint="eastAsia"/>
          <w:szCs w:val="21"/>
        </w:rPr>
        <w:t>宝安区人民医院二期项目建筑面积</w:t>
      </w:r>
      <w:r>
        <w:rPr>
          <w:szCs w:val="21"/>
        </w:rPr>
        <w:t xml:space="preserve">66 </w:t>
      </w:r>
      <w:r>
        <w:rPr>
          <w:rFonts w:hint="eastAsia"/>
          <w:szCs w:val="21"/>
        </w:rPr>
        <w:t>万平方米，建成后床位数可开放至</w:t>
      </w:r>
      <w:r>
        <w:rPr>
          <w:szCs w:val="21"/>
        </w:rPr>
        <w:t xml:space="preserve">3300 </w:t>
      </w:r>
      <w:r>
        <w:rPr>
          <w:rFonts w:hint="eastAsia"/>
          <w:szCs w:val="21"/>
        </w:rPr>
        <w:t>张，作为深圳西部规模最大的区域性综合医院，将极大缓解宝安区的就医难的问题。医院二期工程配套信息化工程是医院整体建设重要的组成部分，在充分保障和满足医院的开业运营和业务开展的同时，立足打造国内先进、独具特色、具有医疗服务和产业发展引领作用的“智慧医院”建设示范。</w:t>
      </w:r>
    </w:p>
    <w:p>
      <w:pPr>
        <w:ind w:firstLine="420" w:firstLineChars="200"/>
        <w:rPr>
          <w:szCs w:val="21"/>
        </w:rPr>
      </w:pPr>
      <w:r>
        <w:rPr>
          <w:rFonts w:hint="eastAsia"/>
          <w:szCs w:val="21"/>
        </w:rPr>
        <w:t>宝安区人民医院整体改造工程（二期）信息化配套项目是以新基建为着力点，通过构建泛在智联、安全可靠的数字基础设施，全方位推动医院基础设施能力提升。项目以电子病历为核心，建设智慧医疗、智慧服务、智慧管理“三位一体”的智慧医院，推进宝安区人民医院综合改革，实现医院高质量发展。</w:t>
      </w:r>
    </w:p>
    <w:p>
      <w:pPr>
        <w:ind w:firstLine="420" w:firstLineChars="200"/>
        <w:rPr>
          <w:szCs w:val="21"/>
        </w:rPr>
      </w:pPr>
      <w:r>
        <w:rPr>
          <w:rFonts w:hint="eastAsia"/>
          <w:szCs w:val="21"/>
        </w:rPr>
        <w:t>本项目通过创新医疗数据治理、再造医疗服务流程、智能辅助决策等医院运行机制，推动云计算、大数据、物联网、区块链、第五代移动通信（5G）等新一代信息技术与医疗服务深度融合，建设“医疗有智慧、服务有温度、运营有高效”的智慧医学中心。项目既要打基础、保基本，确保二期工程按期投入使用，又要主动对标《宝安区卫生健康事业发展“十四五”规划》中提出的“打造智慧医院先行示范区”的宏伟蓝图，高起点定位、高标准谋划，构建全新数字医院“1+3+N”的整体规划：</w:t>
      </w:r>
    </w:p>
    <w:p>
      <w:pPr>
        <w:ind w:firstLine="420" w:firstLineChars="200"/>
        <w:rPr>
          <w:szCs w:val="21"/>
        </w:rPr>
      </w:pPr>
      <w:r>
        <w:rPr>
          <w:rFonts w:hint="eastAsia"/>
          <w:szCs w:val="21"/>
        </w:rPr>
        <w:t>一个信息基础建设：构建泛在智联、安全可靠的数字基础设施，以保基础、保开业、保运营为目标，搭建支撑宝安区人民医院运营管理的信息基础支撑平台。</w:t>
      </w:r>
    </w:p>
    <w:p>
      <w:pPr>
        <w:ind w:firstLine="420" w:firstLineChars="200"/>
        <w:rPr>
          <w:szCs w:val="21"/>
        </w:rPr>
      </w:pPr>
      <w:r>
        <w:rPr>
          <w:rFonts w:hint="eastAsia"/>
          <w:szCs w:val="21"/>
        </w:rPr>
        <w:t>“三位一体” 的智慧医院体系；以电子病历为核心，建设智慧医疗、智慧服务、智慧管理“三位一体” 的智慧医院体系。对标国家测评标准和规范，补短板增弱项，建设达到电子病历应用水平分级评价6 级水平、医院信息互联互通分级测评五级乙等水平、智慧服务分级评价三级水平、智慧管理分级评价三级水平。</w:t>
      </w:r>
    </w:p>
    <w:p>
      <w:pPr>
        <w:ind w:firstLine="420" w:firstLineChars="200"/>
        <w:rPr>
          <w:szCs w:val="21"/>
        </w:rPr>
      </w:pPr>
      <w:r>
        <w:rPr>
          <w:rFonts w:hint="eastAsia"/>
          <w:szCs w:val="21"/>
        </w:rPr>
        <w:t>N个智慧应用：是以新兴技术应用为引擎，打造“N”个医工融合场景应用。围绕云、大、物、智、移、5G、VR、数字孪生等新一的代信息技术，积极探索其在医疗、服务、运营、科研、教学与后勤保障等具体场景的应用落地。</w:t>
      </w:r>
    </w:p>
    <w:p>
      <w:pPr>
        <w:ind w:firstLine="420" w:firstLineChars="200"/>
        <w:rPr>
          <w:szCs w:val="21"/>
        </w:rPr>
      </w:pPr>
      <w:r>
        <w:rPr>
          <w:rFonts w:hint="eastAsia"/>
          <w:szCs w:val="21"/>
        </w:rPr>
        <w:t>本包主要是针对医院智慧大脑大数据平台和信息安全的建设。</w:t>
      </w:r>
    </w:p>
    <w:p>
      <w:pPr>
        <w:ind w:firstLine="420" w:firstLineChars="200"/>
        <w:rPr>
          <w:sz w:val="24"/>
        </w:rPr>
      </w:pPr>
    </w:p>
    <w:p>
      <w:pPr>
        <w:ind w:firstLine="420" w:firstLineChars="200"/>
        <w:rPr>
          <w:sz w:val="24"/>
        </w:rPr>
      </w:pP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31" w:name="_Hlk72073432"/>
      <w:r>
        <w:rPr>
          <w:rFonts w:hint="eastAsia"/>
          <w:szCs w:val="24"/>
        </w:rPr>
        <w:t>服务需求明细</w:t>
      </w:r>
      <w:bookmarkEnd w:id="31"/>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5"/>
        <w:gridCol w:w="1621"/>
        <w:gridCol w:w="3722"/>
        <w:gridCol w:w="530"/>
        <w:gridCol w:w="424"/>
        <w:gridCol w:w="960"/>
        <w:gridCol w:w="842"/>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jc w:val="center"/>
        </w:trPr>
        <w:tc>
          <w:tcPr>
            <w:tcW w:w="249" w:type="pct"/>
            <w:noWrap w:val="0"/>
            <w:vAlign w:val="center"/>
          </w:tcPr>
          <w:p>
            <w:pPr>
              <w:jc w:val="center"/>
              <w:rPr>
                <w:bCs/>
                <w:szCs w:val="21"/>
              </w:rPr>
            </w:pPr>
            <w:r>
              <w:rPr>
                <w:rFonts w:hint="eastAsia"/>
                <w:bCs/>
                <w:szCs w:val="21"/>
              </w:rPr>
              <w:t>序号</w:t>
            </w:r>
          </w:p>
        </w:tc>
        <w:tc>
          <w:tcPr>
            <w:tcW w:w="949" w:type="pct"/>
            <w:noWrap w:val="0"/>
            <w:vAlign w:val="center"/>
          </w:tcPr>
          <w:p>
            <w:pPr>
              <w:jc w:val="center"/>
              <w:rPr>
                <w:bCs/>
                <w:szCs w:val="21"/>
              </w:rPr>
            </w:pPr>
            <w:r>
              <w:rPr>
                <w:rFonts w:hint="eastAsia"/>
                <w:szCs w:val="21"/>
              </w:rPr>
              <w:t>采购计划编号</w:t>
            </w:r>
          </w:p>
        </w:tc>
        <w:tc>
          <w:tcPr>
            <w:tcW w:w="2181" w:type="pct"/>
            <w:noWrap w:val="0"/>
            <w:vAlign w:val="center"/>
          </w:tcPr>
          <w:p>
            <w:pPr>
              <w:jc w:val="center"/>
              <w:rPr>
                <w:bCs/>
                <w:szCs w:val="21"/>
              </w:rPr>
            </w:pPr>
            <w:r>
              <w:rPr>
                <w:rFonts w:hint="eastAsia"/>
                <w:bCs/>
                <w:szCs w:val="21"/>
              </w:rPr>
              <w:t>服务需求名称（标的名称）</w:t>
            </w:r>
          </w:p>
        </w:tc>
        <w:tc>
          <w:tcPr>
            <w:tcW w:w="311" w:type="pct"/>
            <w:noWrap w:val="0"/>
            <w:vAlign w:val="center"/>
          </w:tcPr>
          <w:p>
            <w:pPr>
              <w:jc w:val="center"/>
              <w:rPr>
                <w:bCs/>
                <w:szCs w:val="21"/>
              </w:rPr>
            </w:pPr>
            <w:r>
              <w:rPr>
                <w:rFonts w:hint="eastAsia"/>
                <w:bCs/>
                <w:szCs w:val="21"/>
              </w:rPr>
              <w:t>数量</w:t>
            </w:r>
          </w:p>
        </w:tc>
        <w:tc>
          <w:tcPr>
            <w:tcW w:w="249" w:type="pct"/>
            <w:noWrap w:val="0"/>
            <w:vAlign w:val="center"/>
          </w:tcPr>
          <w:p>
            <w:pPr>
              <w:jc w:val="center"/>
              <w:rPr>
                <w:bCs/>
                <w:szCs w:val="21"/>
              </w:rPr>
            </w:pPr>
            <w:r>
              <w:rPr>
                <w:rFonts w:hint="eastAsia"/>
                <w:bCs/>
                <w:szCs w:val="21"/>
              </w:rPr>
              <w:t>单位</w:t>
            </w:r>
          </w:p>
        </w:tc>
        <w:tc>
          <w:tcPr>
            <w:tcW w:w="563" w:type="pct"/>
            <w:noWrap w:val="0"/>
            <w:vAlign w:val="center"/>
          </w:tcPr>
          <w:p>
            <w:pPr>
              <w:jc w:val="center"/>
              <w:rPr>
                <w:bCs/>
                <w:szCs w:val="21"/>
              </w:rPr>
            </w:pPr>
            <w:r>
              <w:rPr>
                <w:rFonts w:hint="eastAsia"/>
                <w:b/>
                <w:bCs/>
                <w:color w:val="FF0000"/>
                <w:szCs w:val="21"/>
              </w:rPr>
              <w:t>是否专门面向中小企业</w:t>
            </w:r>
          </w:p>
        </w:tc>
        <w:tc>
          <w:tcPr>
            <w:tcW w:w="494" w:type="pct"/>
            <w:noWrap w:val="0"/>
            <w:vAlign w:val="center"/>
          </w:tcPr>
          <w:p>
            <w:pPr>
              <w:jc w:val="center"/>
              <w:rPr>
                <w:b/>
                <w:bCs/>
                <w:color w:val="FF0000"/>
                <w:szCs w:val="21"/>
              </w:rPr>
            </w:pPr>
            <w:r>
              <w:rPr>
                <w:rFonts w:hint="eastAsia"/>
                <w:b/>
                <w:bCs/>
                <w:color w:val="FF0000"/>
                <w:szCs w:val="21"/>
              </w:rPr>
              <w:t>标的所属行业</w:t>
            </w:r>
          </w:p>
        </w:tc>
      </w:tr>
      <w:tr>
        <w:tblPrEx>
          <w:tblW w:w="4997" w:type="pct"/>
          <w:jc w:val="center"/>
          <w:tblLayout w:type="fixed"/>
          <w:tblCellMar>
            <w:top w:w="0" w:type="dxa"/>
            <w:left w:w="108" w:type="dxa"/>
            <w:bottom w:w="0" w:type="dxa"/>
            <w:right w:w="108" w:type="dxa"/>
          </w:tblCellMar>
        </w:tblPrEx>
        <w:trPr>
          <w:trHeight w:val="170"/>
          <w:jc w:val="center"/>
        </w:trPr>
        <w:tc>
          <w:tcPr>
            <w:tcW w:w="249" w:type="pct"/>
            <w:noWrap w:val="0"/>
            <w:vAlign w:val="center"/>
          </w:tcPr>
          <w:p>
            <w:pPr>
              <w:jc w:val="center"/>
              <w:rPr>
                <w:bCs/>
                <w:szCs w:val="21"/>
              </w:rPr>
            </w:pPr>
            <w:r>
              <w:rPr>
                <w:rFonts w:hint="eastAsia"/>
                <w:bCs/>
                <w:szCs w:val="21"/>
              </w:rPr>
              <w:t>1</w:t>
            </w:r>
          </w:p>
        </w:tc>
        <w:tc>
          <w:tcPr>
            <w:tcW w:w="949" w:type="pct"/>
            <w:noWrap w:val="0"/>
            <w:vAlign w:val="center"/>
          </w:tcPr>
          <w:p>
            <w:pPr>
              <w:jc w:val="center"/>
              <w:rPr>
                <w:bCs/>
                <w:szCs w:val="21"/>
              </w:rPr>
            </w:pPr>
            <w:r>
              <w:rPr>
                <w:rFonts w:hint="eastAsia"/>
                <w:bCs/>
                <w:szCs w:val="21"/>
              </w:rPr>
              <w:t>PLAN-2025-440306000-117002-08379</w:t>
            </w:r>
          </w:p>
        </w:tc>
        <w:tc>
          <w:tcPr>
            <w:tcW w:w="2181" w:type="pct"/>
            <w:noWrap w:val="0"/>
            <w:vAlign w:val="center"/>
          </w:tcPr>
          <w:p>
            <w:pPr>
              <w:jc w:val="center"/>
              <w:rPr>
                <w:bCs/>
                <w:szCs w:val="21"/>
              </w:rPr>
            </w:pPr>
            <w:r>
              <w:rPr>
                <w:rFonts w:hint="eastAsia"/>
                <w:bCs/>
                <w:color w:val="FF0000"/>
                <w:szCs w:val="21"/>
              </w:rPr>
              <w:t>深圳市宝安区人民医院大数据平台、信息安全建设项目</w:t>
            </w:r>
          </w:p>
        </w:tc>
        <w:tc>
          <w:tcPr>
            <w:tcW w:w="311" w:type="pct"/>
            <w:noWrap w:val="0"/>
            <w:vAlign w:val="center"/>
          </w:tcPr>
          <w:p>
            <w:pPr>
              <w:jc w:val="center"/>
              <w:rPr>
                <w:rFonts w:hint="eastAsia"/>
                <w:bCs/>
                <w:szCs w:val="21"/>
              </w:rPr>
            </w:pPr>
            <w:r>
              <w:rPr>
                <w:rFonts w:hint="eastAsia"/>
              </w:rPr>
              <w:t>1</w:t>
            </w:r>
          </w:p>
        </w:tc>
        <w:tc>
          <w:tcPr>
            <w:tcW w:w="249" w:type="pct"/>
            <w:noWrap w:val="0"/>
            <w:vAlign w:val="center"/>
          </w:tcPr>
          <w:p>
            <w:pPr>
              <w:jc w:val="center"/>
              <w:rPr>
                <w:rFonts w:hint="eastAsia"/>
                <w:bCs/>
                <w:szCs w:val="21"/>
              </w:rPr>
            </w:pPr>
            <w:r>
              <w:rPr>
                <w:rFonts w:hint="eastAsia"/>
                <w:bCs/>
                <w:szCs w:val="21"/>
              </w:rPr>
              <w:t>项</w:t>
            </w:r>
          </w:p>
        </w:tc>
        <w:tc>
          <w:tcPr>
            <w:tcW w:w="563" w:type="pct"/>
            <w:noWrap w:val="0"/>
            <w:vAlign w:val="center"/>
          </w:tcPr>
          <w:p>
            <w:pPr>
              <w:jc w:val="center"/>
              <w:rPr>
                <w:rFonts w:hint="eastAsia"/>
                <w:bCs/>
                <w:szCs w:val="21"/>
              </w:rPr>
            </w:pPr>
            <w:r>
              <w:rPr>
                <w:rFonts w:hint="eastAsia"/>
                <w:bCs/>
                <w:szCs w:val="21"/>
              </w:rPr>
              <w:t>否</w:t>
            </w:r>
          </w:p>
        </w:tc>
        <w:tc>
          <w:tcPr>
            <w:tcW w:w="494" w:type="pct"/>
            <w:noWrap w:val="0"/>
            <w:vAlign w:val="center"/>
          </w:tcPr>
          <w:p>
            <w:pPr>
              <w:jc w:val="center"/>
              <w:rPr>
                <w:bCs/>
                <w:szCs w:val="21"/>
              </w:rPr>
            </w:pPr>
            <w:r>
              <w:rPr>
                <w:rFonts w:hint="eastAsia"/>
                <w:bCs/>
                <w:szCs w:val="21"/>
              </w:rPr>
              <w:t>软件和信息技术服务</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tabs>
          <w:tab w:val="left" w:pos="765"/>
        </w:tabs>
        <w:outlineLvl w:val="9"/>
        <w:rPr>
          <w:rFonts w:ascii="黑体"/>
          <w:b w:val="0"/>
          <w:kern w:val="0"/>
          <w:sz w:val="24"/>
          <w:szCs w:val="24"/>
        </w:rPr>
      </w:pPr>
      <w:r>
        <w:rPr>
          <w:rFonts w:ascii="黑体" w:hint="eastAsia"/>
          <w:b w:val="0"/>
          <w:color w:val="FF0000"/>
          <w:kern w:val="0"/>
          <w:sz w:val="24"/>
          <w:szCs w:val="24"/>
        </w:rPr>
        <w:t>注：上表所列内容为不可负偏离条款，负偏离将视为未实质性满足招标文件要求作投标无效处理。</w:t>
      </w:r>
      <w:bookmarkEnd w:id="30"/>
      <w:r>
        <w:rPr>
          <w:rFonts w:ascii="黑体" w:hint="eastAsia"/>
          <w:b w:val="0"/>
          <w:color w:val="FF0000"/>
          <w:kern w:val="0"/>
          <w:sz w:val="24"/>
          <w:szCs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szCs w:val="24"/>
        </w:rPr>
      </w:pPr>
      <w:r>
        <w:rPr>
          <w:rFonts w:hint="eastAsia"/>
          <w:szCs w:val="24"/>
        </w:rPr>
        <w:t>五、技术要求</w:t>
      </w:r>
    </w:p>
    <w:p>
      <w:pPr>
        <w:rPr>
          <w:b/>
          <w:sz w:val="24"/>
        </w:rPr>
      </w:pPr>
    </w:p>
    <w:p>
      <w:pPr>
        <w:rPr>
          <w:b/>
          <w:sz w:val="24"/>
        </w:rPr>
      </w:pPr>
    </w:p>
    <w:p>
      <w:pPr>
        <w:ind w:firstLine="420" w:firstLineChars="200"/>
        <w:rPr>
          <w:rFonts w:ascii="宋体" w:hAnsi="宋体" w:hint="eastAsia"/>
          <w:b/>
          <w:color w:val="FF0000"/>
          <w:szCs w:val="21"/>
        </w:rPr>
      </w:pPr>
      <w:r>
        <w:rPr>
          <w:rFonts w:ascii="宋体" w:hAnsi="宋体" w:hint="eastAsia"/>
          <w:b/>
          <w:color w:val="FF0000"/>
          <w:szCs w:val="21"/>
        </w:rPr>
        <w:t>说明：</w:t>
      </w:r>
      <w:r>
        <w:rPr>
          <w:b/>
          <w:szCs w:val="21"/>
        </w:rPr>
        <w:t xml:space="preserve"> </w:t>
      </w:r>
      <w:bookmarkStart w:id="32" w:name="_Hlk72585069"/>
      <w:r>
        <w:rPr>
          <w:rFonts w:ascii="宋体" w:hAnsi="宋体" w:hint="eastAsia"/>
          <w:b/>
          <w:color w:val="FF0000"/>
          <w:szCs w:val="21"/>
        </w:rPr>
        <w:t>1、带</w:t>
      </w:r>
      <w:r>
        <w:rPr>
          <w:rFonts w:ascii="宋体" w:hAnsi="宋体" w:hint="eastAsia"/>
          <w:b/>
          <w:bCs/>
          <w:color w:val="FF0000"/>
          <w:szCs w:val="21"/>
        </w:rPr>
        <w:t>★</w:t>
      </w:r>
      <w:r>
        <w:rPr>
          <w:rFonts w:ascii="宋体" w:hAnsi="宋体" w:hint="eastAsia"/>
          <w:b/>
          <w:color w:val="FF0000"/>
          <w:szCs w:val="21"/>
        </w:rPr>
        <w:t>号要求为不可偏离要求，如出现负偏离，将导致投标无效。带▲号参数为重要参数，其他参数（非▲号参数）为普通参数，如出现负偏离，将按照评分准则做扣分处理。如注明要求提供相关佐证材料的，需以佐证材料作为是否偏离的依据。其余指标项未要求提供证明资料，无需提供相关证明资料。</w:t>
      </w:r>
    </w:p>
    <w:p>
      <w:pPr>
        <w:ind w:firstLine="420" w:firstLineChars="200"/>
        <w:jc w:val="left"/>
        <w:rPr>
          <w:rFonts w:ascii="Calibri" w:hAnsi="Calibri"/>
          <w:color w:val="FF0000"/>
          <w:szCs w:val="21"/>
        </w:rPr>
      </w:pPr>
      <w:r>
        <w:rPr>
          <w:rFonts w:ascii="Calibri" w:hAnsi="Calibri" w:hint="eastAsia"/>
          <w:color w:val="FF0000"/>
          <w:szCs w:val="21"/>
        </w:rPr>
        <w:t>2、所列的技术</w:t>
      </w:r>
      <w:r>
        <w:rPr>
          <w:rFonts w:ascii="Calibri" w:hAnsi="Calibri"/>
          <w:color w:val="FF0000"/>
          <w:szCs w:val="21"/>
        </w:rPr>
        <w:t>参数</w:t>
      </w:r>
      <w:r>
        <w:rPr>
          <w:rFonts w:ascii="Calibri" w:hAnsi="Calibri" w:hint="eastAsia"/>
          <w:color w:val="FF0000"/>
          <w:szCs w:val="21"/>
        </w:rPr>
        <w:t>需求中如出现品牌信息仅供参考，不作为参数要求，目的只为投标人更清楚地了解采购需求，投标人可提供其他品牌设备投标。</w:t>
      </w:r>
    </w:p>
    <w:p>
      <w:pPr>
        <w:ind w:firstLine="420" w:firstLineChars="200"/>
        <w:jc w:val="left"/>
        <w:rPr>
          <w:rFonts w:ascii="Calibri" w:hAnsi="Calibri"/>
          <w:color w:val="FF0000"/>
          <w:szCs w:val="21"/>
        </w:rPr>
      </w:pPr>
      <w:r>
        <w:rPr>
          <w:rFonts w:ascii="Calibri" w:hAnsi="Calibri" w:hint="eastAsia"/>
          <w:color w:val="FF0000"/>
          <w:szCs w:val="21"/>
        </w:rPr>
        <w:t>3、如有</w:t>
      </w:r>
      <w:r>
        <w:rPr>
          <w:rFonts w:ascii="Calibri" w:hAnsi="Calibri"/>
          <w:color w:val="FF0000"/>
          <w:szCs w:val="21"/>
        </w:rPr>
        <w:t>方案表述中有出现类似可实现、</w:t>
      </w:r>
      <w:r>
        <w:rPr>
          <w:rFonts w:ascii="Calibri" w:hAnsi="Calibri" w:hint="eastAsia"/>
          <w:color w:val="FF0000"/>
          <w:szCs w:val="21"/>
        </w:rPr>
        <w:t>实现</w:t>
      </w:r>
      <w:r>
        <w:rPr>
          <w:rFonts w:ascii="Calibri" w:hAnsi="Calibri"/>
          <w:color w:val="FF0000"/>
          <w:szCs w:val="21"/>
        </w:rPr>
        <w:t>、</w:t>
      </w:r>
      <w:r>
        <w:rPr>
          <w:rFonts w:ascii="Calibri" w:hAnsi="Calibri" w:hint="eastAsia"/>
          <w:color w:val="FF0000"/>
          <w:szCs w:val="21"/>
        </w:rPr>
        <w:t>可</w:t>
      </w:r>
      <w:r>
        <w:rPr>
          <w:rFonts w:ascii="Calibri" w:hAnsi="Calibri"/>
          <w:color w:val="FF0000"/>
          <w:szCs w:val="21"/>
        </w:rPr>
        <w:t>支持、支持</w:t>
      </w:r>
      <w:r>
        <w:rPr>
          <w:rFonts w:ascii="Calibri" w:hAnsi="Calibri" w:hint="eastAsia"/>
          <w:color w:val="FF0000"/>
          <w:szCs w:val="21"/>
        </w:rPr>
        <w:t>等</w:t>
      </w:r>
      <w:r>
        <w:rPr>
          <w:rFonts w:ascii="Calibri" w:hAnsi="Calibri"/>
          <w:color w:val="FF0000"/>
          <w:szCs w:val="21"/>
        </w:rPr>
        <w:t>描述的，均表示方案需要实现的功能或</w:t>
      </w:r>
      <w:r>
        <w:rPr>
          <w:rFonts w:ascii="Calibri" w:hAnsi="Calibri" w:hint="eastAsia"/>
          <w:color w:val="FF0000"/>
          <w:szCs w:val="21"/>
        </w:rPr>
        <w:t>应满足的</w:t>
      </w:r>
      <w:r>
        <w:rPr>
          <w:rFonts w:ascii="Calibri" w:hAnsi="Calibri"/>
          <w:color w:val="FF0000"/>
          <w:szCs w:val="21"/>
        </w:rPr>
        <w:t>要求，即项目在验收时无须增加其他</w:t>
      </w:r>
      <w:r>
        <w:rPr>
          <w:rFonts w:ascii="Calibri" w:hAnsi="Calibri" w:hint="eastAsia"/>
          <w:color w:val="FF0000"/>
          <w:szCs w:val="21"/>
        </w:rPr>
        <w:t>额外</w:t>
      </w:r>
      <w:r>
        <w:rPr>
          <w:rFonts w:ascii="Calibri" w:hAnsi="Calibri"/>
          <w:color w:val="FF0000"/>
          <w:szCs w:val="21"/>
        </w:rPr>
        <w:t>设备</w:t>
      </w:r>
      <w:r>
        <w:rPr>
          <w:rFonts w:ascii="Calibri" w:hAnsi="Calibri" w:hint="eastAsia"/>
          <w:color w:val="FF0000"/>
          <w:szCs w:val="21"/>
        </w:rPr>
        <w:t>或</w:t>
      </w:r>
      <w:r>
        <w:rPr>
          <w:rFonts w:ascii="Calibri" w:hAnsi="Calibri"/>
          <w:color w:val="FF0000"/>
          <w:szCs w:val="21"/>
        </w:rPr>
        <w:t>系统</w:t>
      </w:r>
      <w:r>
        <w:rPr>
          <w:rFonts w:ascii="Calibri" w:hAnsi="Calibri" w:hint="eastAsia"/>
          <w:color w:val="FF0000"/>
          <w:szCs w:val="21"/>
        </w:rPr>
        <w:t>，</w:t>
      </w:r>
      <w:r>
        <w:rPr>
          <w:rFonts w:ascii="Calibri" w:hAnsi="Calibri"/>
          <w:color w:val="FF0000"/>
          <w:szCs w:val="21"/>
        </w:rPr>
        <w:t>使用本项目中的设备或</w:t>
      </w:r>
      <w:r>
        <w:rPr>
          <w:rFonts w:ascii="Calibri" w:hAnsi="Calibri" w:hint="eastAsia"/>
          <w:color w:val="FF0000"/>
          <w:szCs w:val="21"/>
        </w:rPr>
        <w:t>系统</w:t>
      </w:r>
      <w:r>
        <w:rPr>
          <w:rFonts w:ascii="Calibri" w:hAnsi="Calibri"/>
          <w:color w:val="FF0000"/>
          <w:szCs w:val="21"/>
        </w:rPr>
        <w:t>即能实现</w:t>
      </w:r>
      <w:r>
        <w:rPr>
          <w:rFonts w:ascii="Calibri" w:hAnsi="Calibri" w:hint="eastAsia"/>
          <w:color w:val="FF0000"/>
          <w:szCs w:val="21"/>
        </w:rPr>
        <w:t>相应功能</w:t>
      </w:r>
      <w:r>
        <w:rPr>
          <w:rFonts w:ascii="Calibri" w:hAnsi="Calibri"/>
          <w:color w:val="FF0000"/>
          <w:szCs w:val="21"/>
        </w:rPr>
        <w:t>或</w:t>
      </w:r>
      <w:r>
        <w:rPr>
          <w:rFonts w:ascii="Calibri" w:hAnsi="Calibri" w:hint="eastAsia"/>
          <w:color w:val="FF0000"/>
          <w:szCs w:val="21"/>
        </w:rPr>
        <w:t>满足相关</w:t>
      </w:r>
      <w:r>
        <w:rPr>
          <w:rFonts w:ascii="Calibri" w:hAnsi="Calibri"/>
          <w:color w:val="FF0000"/>
          <w:szCs w:val="21"/>
        </w:rPr>
        <w:t>要求。</w:t>
      </w:r>
    </w:p>
    <w:p>
      <w:pPr>
        <w:ind w:firstLine="420" w:firstLineChars="200"/>
        <w:jc w:val="left"/>
        <w:rPr>
          <w:rFonts w:ascii="Calibri" w:hAnsi="Calibri"/>
          <w:color w:val="FF0000"/>
          <w:szCs w:val="21"/>
        </w:rPr>
      </w:pPr>
      <w:r>
        <w:rPr>
          <w:rFonts w:ascii="Calibri" w:hAnsi="Calibri" w:hint="eastAsia"/>
          <w:color w:val="FF0000"/>
          <w:szCs w:val="21"/>
          <w:shd w:val="clear" w:color="auto" w:fill="FFFF00"/>
        </w:rPr>
        <w:t>4、评分时，如对一项招标技术要求（以划分框为准）中的内容存在两处（或以上）负偏离的，在评分时只作一项负偏离扣分。</w:t>
      </w:r>
    </w:p>
    <w:p>
      <w:pPr>
        <w:ind w:firstLine="420" w:firstLineChars="200"/>
        <w:jc w:val="left"/>
        <w:rPr>
          <w:rFonts w:ascii="Calibri" w:hAnsi="Calibri"/>
          <w:color w:val="FF0000"/>
          <w:szCs w:val="21"/>
        </w:rPr>
      </w:pPr>
      <w:r>
        <w:rPr>
          <w:rFonts w:ascii="Calibri" w:hAnsi="Calibri" w:hint="eastAsia"/>
          <w:color w:val="FF0000"/>
          <w:szCs w:val="21"/>
        </w:rPr>
        <w:t>5</w:t>
      </w:r>
      <w:r>
        <w:rPr>
          <w:rFonts w:ascii="Calibri" w:hAnsi="Calibri"/>
          <w:color w:val="FF0000"/>
          <w:szCs w:val="21"/>
        </w:rPr>
        <w:t>、针对招标文件产品技术参数如涉及相关既定值、单向范围值、区间范围值的，投标技术参数响应方式举例说明如下：</w:t>
      </w:r>
    </w:p>
    <w:p>
      <w:pPr>
        <w:ind w:firstLine="420" w:firstLineChars="200"/>
        <w:jc w:val="left"/>
        <w:rPr>
          <w:rFonts w:ascii="Calibri" w:hAnsi="Calibri"/>
          <w:color w:val="FF0000"/>
          <w:szCs w:val="21"/>
        </w:rPr>
      </w:pPr>
      <w:r>
        <w:rPr>
          <w:rFonts w:ascii="Calibri" w:hAnsi="Calibri"/>
          <w:color w:val="FF0000"/>
          <w:szCs w:val="21"/>
        </w:rPr>
        <w:t>（1）涉及相关既定值的，例：招标技术参数要求值为“20L”，投标技术参数响应值与“20L”不一致的，均视为负偏离；</w:t>
      </w:r>
    </w:p>
    <w:p>
      <w:pPr>
        <w:ind w:firstLine="420" w:firstLineChars="200"/>
        <w:jc w:val="left"/>
        <w:rPr>
          <w:rFonts w:ascii="Calibri" w:hAnsi="Calibri"/>
          <w:color w:val="FF0000"/>
          <w:szCs w:val="21"/>
        </w:rPr>
      </w:pPr>
      <w:r>
        <w:rPr>
          <w:rFonts w:ascii="Calibri" w:hAnsi="Calibri"/>
          <w:color w:val="FF0000"/>
          <w:szCs w:val="21"/>
        </w:rPr>
        <w:t>（2）涉及相关单向范围值的，例：招标技术参数要求的单向范围值为“≥6m”，除有特别注明以外，投标技术参数响应值与招标技术参数要求范围值完全一致的（如响应为“≥6m”）或投标技术参数响应值大于招标技术参数要求范围值的（如响应为“≥</w:t>
      </w:r>
      <w:r>
        <w:rPr>
          <w:rFonts w:ascii="Calibri" w:hAnsi="Calibri" w:hint="eastAsia"/>
          <w:color w:val="FF0000"/>
          <w:szCs w:val="21"/>
        </w:rPr>
        <w:t>5</w:t>
      </w:r>
      <w:r>
        <w:rPr>
          <w:rFonts w:ascii="Calibri" w:hAnsi="Calibri"/>
          <w:color w:val="FF0000"/>
          <w:szCs w:val="21"/>
        </w:rPr>
        <w:t>”或“＞</w:t>
      </w:r>
      <w:r>
        <w:rPr>
          <w:rFonts w:ascii="Calibri" w:hAnsi="Calibri" w:hint="eastAsia"/>
          <w:color w:val="FF0000"/>
          <w:szCs w:val="21"/>
        </w:rPr>
        <w:t>5</w:t>
      </w:r>
      <w:r>
        <w:rPr>
          <w:rFonts w:ascii="Calibri" w:hAnsi="Calibri"/>
          <w:color w:val="FF0000"/>
          <w:szCs w:val="21"/>
        </w:rPr>
        <w:t>”等）或投标技术参数响应值为招标技术参数要求范围值内的任意值的（如响应为“7m”或“6.5m”等）均视为符合要求，投标技术参数响应值小于招标技术参数要求的（如响应为"＜6m"或“＜</w:t>
      </w:r>
      <w:r>
        <w:rPr>
          <w:rFonts w:ascii="Calibri" w:hAnsi="Calibri" w:hint="eastAsia"/>
          <w:color w:val="FF0000"/>
          <w:szCs w:val="21"/>
        </w:rPr>
        <w:t>6</w:t>
      </w:r>
      <w:r>
        <w:rPr>
          <w:rFonts w:ascii="Calibri" w:hAnsi="Calibri"/>
          <w:color w:val="FF0000"/>
          <w:szCs w:val="21"/>
        </w:rPr>
        <w:t>m”或“</w:t>
      </w:r>
      <w:r>
        <w:rPr>
          <w:rFonts w:ascii="Calibri" w:hAnsi="Calibri" w:hint="eastAsia"/>
          <w:color w:val="FF0000"/>
          <w:szCs w:val="21"/>
        </w:rPr>
        <w:t>6</w:t>
      </w:r>
      <w:r>
        <w:rPr>
          <w:rFonts w:ascii="Calibri" w:hAnsi="Calibri"/>
          <w:color w:val="FF0000"/>
          <w:szCs w:val="21"/>
        </w:rPr>
        <w:t>m”等）均视为负偏离；</w:t>
      </w:r>
    </w:p>
    <w:p>
      <w:pPr>
        <w:ind w:firstLine="420" w:firstLineChars="200"/>
        <w:jc w:val="left"/>
        <w:rPr>
          <w:rFonts w:ascii="Calibri" w:hAnsi="Calibri"/>
          <w:color w:val="FF0000"/>
          <w:szCs w:val="21"/>
        </w:rPr>
      </w:pPr>
      <w:r>
        <w:rPr>
          <w:rFonts w:ascii="Calibri" w:hAnsi="Calibri"/>
          <w:color w:val="FF0000"/>
          <w:szCs w:val="21"/>
        </w:rPr>
        <w:t>（3）涉及相关区间范围值的，例：招标技术参数要求的区间范围值为“0-20ML”，除有特别注明以外，投标技术参数响应值与招标技术参数要求范围值完全一致的（如响应为“0-20ML”）或投标技术参数响应值大于招标技术参数要求范围值的（如响应为“0-21ML”或“-1-20ML”或“0-25ML”等）均视为符合要求，投标技术参数响应值小于招标技术参数要求范围值的（如响应为“0-15ML”或“1-12ML ”或 “9-20ML”或“9ML” 等）均视为负偏离。</w:t>
      </w:r>
    </w:p>
    <w:p>
      <w:pPr>
        <w:rPr>
          <w:b/>
          <w:sz w:val="24"/>
        </w:rPr>
      </w:pPr>
      <w:bookmarkEnd w:id="32"/>
    </w:p>
    <w:p>
      <w:pPr>
        <w:tabs>
          <w:tab w:val="left" w:pos="312"/>
        </w:tabs>
        <w:adjustRightInd w:val="0"/>
        <w:snapToGrid w:val="0"/>
        <w:spacing w:line="360" w:lineRule="auto"/>
        <w:ind w:firstLine="420" w:firstLineChars="200"/>
        <w:jc w:val="left"/>
        <w:outlineLvl w:val="2"/>
        <w:rPr>
          <w:rFonts w:ascii="宋体" w:hAnsi="宋体" w:cs="仿宋_GB2312" w:hint="eastAsia"/>
          <w:b/>
          <w:bCs/>
          <w:szCs w:val="21"/>
        </w:rPr>
      </w:pPr>
      <w:r>
        <w:rPr>
          <w:rFonts w:ascii="宋体" w:hAnsi="宋体" w:cs="仿宋_GB2312" w:hint="eastAsia"/>
          <w:b/>
          <w:bCs/>
          <w:szCs w:val="21"/>
        </w:rPr>
        <w:t>1.服务内容</w:t>
      </w:r>
    </w:p>
    <w:p>
      <w:pPr>
        <w:adjustRightInd w:val="0"/>
        <w:snapToGrid w:val="0"/>
        <w:spacing w:line="360" w:lineRule="auto"/>
        <w:jc w:val="left"/>
        <w:rPr>
          <w:rFonts w:ascii="宋体" w:hAnsi="宋体" w:cs="仿宋_GB2312" w:hint="eastAsia"/>
          <w:bCs/>
          <w:szCs w:val="21"/>
        </w:rPr>
      </w:pPr>
      <w:r>
        <w:rPr>
          <w:rFonts w:ascii="宋体" w:hAnsi="宋体" w:hint="eastAsia"/>
          <w:b/>
          <w:bCs/>
          <w:color w:val="FF0000"/>
          <w:szCs w:val="21"/>
        </w:rPr>
        <w:t>★</w:t>
      </w:r>
      <w:r>
        <w:rPr>
          <w:rFonts w:ascii="宋体" w:hAnsi="宋体" w:cs="仿宋_GB2312" w:hint="eastAsia"/>
          <w:bCs/>
          <w:szCs w:val="21"/>
        </w:rPr>
        <w:t>（1）采购清单</w:t>
      </w:r>
    </w:p>
    <w:p>
      <w:pPr>
        <w:pStyle w:val="BodyText"/>
        <w:rPr>
          <w:b w:val="0"/>
          <w:bCs w:val="0"/>
          <w:sz w:val="21"/>
          <w:szCs w:val="21"/>
        </w:rPr>
      </w:pPr>
      <w:r>
        <w:rPr>
          <w:rFonts w:hint="eastAsia"/>
          <w:b w:val="0"/>
          <w:bCs w:val="0"/>
          <w:sz w:val="21"/>
          <w:szCs w:val="21"/>
        </w:rPr>
        <w:t>1、大数据平台软件开发服务清单</w:t>
      </w:r>
    </w:p>
    <w:tbl>
      <w:tblPr>
        <w:tblStyle w:val="TableNormal"/>
        <w:tblW w:w="5000" w:type="pct"/>
        <w:tblInd w:w="0" w:type="dxa"/>
        <w:tblCellMar>
          <w:top w:w="0" w:type="dxa"/>
          <w:left w:w="108" w:type="dxa"/>
          <w:bottom w:w="0" w:type="dxa"/>
          <w:right w:w="108" w:type="dxa"/>
        </w:tblCellMar>
      </w:tblPr>
      <w:tblGrid>
        <w:gridCol w:w="925"/>
        <w:gridCol w:w="4809"/>
        <w:gridCol w:w="930"/>
        <w:gridCol w:w="930"/>
        <w:gridCol w:w="935"/>
      </w:tblGrid>
      <w:tr>
        <w:tblPrEx>
          <w:tblW w:w="5000" w:type="pct"/>
          <w:tblInd w:w="0" w:type="dxa"/>
          <w:tblCellMar>
            <w:top w:w="0" w:type="dxa"/>
            <w:left w:w="108" w:type="dxa"/>
            <w:bottom w:w="0" w:type="dxa"/>
            <w:right w:w="108" w:type="dxa"/>
          </w:tblCellMar>
        </w:tblPrEx>
        <w:trPr>
          <w:trHeight w:val="312"/>
        </w:trPr>
        <w:tc>
          <w:tcPr>
            <w:tcW w:w="543" w:type="pct"/>
            <w:tcBorders>
              <w:top w:val="single" w:sz="4" w:space="0" w:color="auto"/>
              <w:left w:val="single" w:sz="4" w:space="0" w:color="auto"/>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2819" w:type="pct"/>
            <w:tcBorders>
              <w:top w:val="single" w:sz="4" w:space="0" w:color="auto"/>
              <w:left w:val="nil"/>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建设内容</w:t>
            </w:r>
          </w:p>
        </w:tc>
        <w:tc>
          <w:tcPr>
            <w:tcW w:w="545" w:type="pct"/>
            <w:tcBorders>
              <w:top w:val="single" w:sz="4" w:space="0" w:color="auto"/>
              <w:left w:val="nil"/>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数量</w:t>
            </w:r>
          </w:p>
        </w:tc>
        <w:tc>
          <w:tcPr>
            <w:tcW w:w="545" w:type="pct"/>
            <w:tcBorders>
              <w:top w:val="single" w:sz="4" w:space="0" w:color="auto"/>
              <w:left w:val="nil"/>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单位</w:t>
            </w:r>
          </w:p>
        </w:tc>
        <w:tc>
          <w:tcPr>
            <w:tcW w:w="547" w:type="pct"/>
            <w:tcBorders>
              <w:top w:val="single" w:sz="4" w:space="0" w:color="auto"/>
              <w:left w:val="nil"/>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备注</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一</w:t>
            </w:r>
          </w:p>
        </w:tc>
        <w:tc>
          <w:tcPr>
            <w:tcW w:w="4457" w:type="pct"/>
            <w:gridSpan w:val="4"/>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数据应用展示</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Start w:id="33" w:name="_Hlk209626216"/>
            <w:r>
              <w:rPr>
                <w:rFonts w:ascii="宋体" w:hAnsi="宋体" w:cs="宋体" w:hint="eastAsia"/>
                <w:color w:val="000000"/>
                <w:kern w:val="0"/>
                <w:szCs w:val="21"/>
              </w:rPr>
              <w:t>1</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数据资产综合分析</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全院运营监测</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全院医疗质量管理监测</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全院医疗效率监测</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全院医疗安全监测</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患者服务画像分析</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专科实时业务分析</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员工画像分析</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IT基础设施运行监测集成</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智慧后勤集成</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数字化手术室集成</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2819"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智慧医院物联网平台集成</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End w:id="33"/>
            <w:r>
              <w:rPr>
                <w:rFonts w:ascii="宋体" w:hAnsi="宋体" w:cs="宋体" w:hint="eastAsia"/>
                <w:color w:val="000000"/>
                <w:kern w:val="0"/>
                <w:szCs w:val="21"/>
              </w:rPr>
              <w:t>二</w:t>
            </w:r>
          </w:p>
        </w:tc>
        <w:tc>
          <w:tcPr>
            <w:tcW w:w="4457" w:type="pct"/>
            <w:gridSpan w:val="4"/>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Start w:id="34" w:name="_Hlk209622647"/>
            <w:r>
              <w:rPr>
                <w:rFonts w:ascii="宋体" w:hAnsi="宋体" w:cs="宋体" w:hint="eastAsia"/>
                <w:color w:val="000000"/>
                <w:kern w:val="0"/>
                <w:szCs w:val="21"/>
              </w:rPr>
              <w:t>医院智慧大脑数据资产建设</w:t>
            </w:r>
            <w:bookmarkEnd w:id="34"/>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Start w:id="35" w:name="_Hlk209626247"/>
            <w:r>
              <w:rPr>
                <w:rFonts w:ascii="宋体" w:hAnsi="宋体" w:cs="宋体" w:hint="eastAsia"/>
                <w:color w:val="000000"/>
                <w:kern w:val="0"/>
                <w:szCs w:val="21"/>
              </w:rPr>
              <w:t>1</w:t>
            </w:r>
          </w:p>
        </w:tc>
        <w:tc>
          <w:tcPr>
            <w:tcW w:w="281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数据目录编制</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281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数据接入管理</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281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数据治理管理</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281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数据解析管理</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3"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281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资源库管理</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top"/>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bl>
    <w:p>
      <w:pPr>
        <w:pStyle w:val="BodyText"/>
      </w:pPr>
      <w:bookmarkEnd w:id="35"/>
    </w:p>
    <w:p>
      <w:pPr>
        <w:pStyle w:val="BodyText"/>
        <w:rPr>
          <w:b w:val="0"/>
          <w:bCs w:val="0"/>
          <w:sz w:val="21"/>
          <w:szCs w:val="21"/>
        </w:rPr>
      </w:pPr>
      <w:r>
        <w:rPr>
          <w:rFonts w:hint="eastAsia"/>
          <w:b w:val="0"/>
          <w:bCs w:val="0"/>
          <w:sz w:val="21"/>
          <w:szCs w:val="21"/>
        </w:rPr>
        <w:t>2、大数据平台软件采购清单</w:t>
      </w:r>
    </w:p>
    <w:tbl>
      <w:tblPr>
        <w:tblStyle w:val="TableNormal"/>
        <w:tblW w:w="5000" w:type="pct"/>
        <w:tblInd w:w="0" w:type="dxa"/>
        <w:tblCellMar>
          <w:top w:w="0" w:type="dxa"/>
          <w:left w:w="108" w:type="dxa"/>
          <w:bottom w:w="0" w:type="dxa"/>
          <w:right w:w="108" w:type="dxa"/>
        </w:tblCellMar>
      </w:tblPr>
      <w:tblGrid>
        <w:gridCol w:w="929"/>
        <w:gridCol w:w="4807"/>
        <w:gridCol w:w="930"/>
        <w:gridCol w:w="930"/>
        <w:gridCol w:w="933"/>
      </w:tblGrid>
      <w:tr>
        <w:tblPrEx>
          <w:tblW w:w="5000" w:type="pct"/>
          <w:tblInd w:w="0" w:type="dxa"/>
          <w:tblCellMar>
            <w:top w:w="0" w:type="dxa"/>
            <w:left w:w="108" w:type="dxa"/>
            <w:bottom w:w="0" w:type="dxa"/>
            <w:right w:w="108" w:type="dxa"/>
          </w:tblCellMar>
        </w:tblPrEx>
        <w:trPr>
          <w:trHeight w:val="312"/>
        </w:trPr>
        <w:tc>
          <w:tcPr>
            <w:tcW w:w="545" w:type="pct"/>
            <w:tcBorders>
              <w:top w:val="single" w:sz="4" w:space="0" w:color="auto"/>
              <w:left w:val="single" w:sz="4" w:space="0" w:color="auto"/>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2818" w:type="pct"/>
            <w:tcBorders>
              <w:top w:val="single" w:sz="4" w:space="0" w:color="auto"/>
              <w:left w:val="nil"/>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建设内容</w:t>
            </w:r>
          </w:p>
        </w:tc>
        <w:tc>
          <w:tcPr>
            <w:tcW w:w="545" w:type="pct"/>
            <w:tcBorders>
              <w:top w:val="single" w:sz="4" w:space="0" w:color="auto"/>
              <w:left w:val="nil"/>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数量</w:t>
            </w:r>
          </w:p>
        </w:tc>
        <w:tc>
          <w:tcPr>
            <w:tcW w:w="545" w:type="pct"/>
            <w:tcBorders>
              <w:top w:val="single" w:sz="4" w:space="0" w:color="auto"/>
              <w:left w:val="nil"/>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单位</w:t>
            </w:r>
          </w:p>
        </w:tc>
        <w:tc>
          <w:tcPr>
            <w:tcW w:w="547" w:type="pct"/>
            <w:tcBorders>
              <w:top w:val="single" w:sz="4" w:space="0" w:color="auto"/>
              <w:left w:val="nil"/>
              <w:bottom w:val="single" w:sz="4" w:space="0" w:color="auto"/>
              <w:right w:val="single" w:sz="4" w:space="0" w:color="auto"/>
            </w:tcBorders>
            <w:shd w:val="clear" w:color="auto" w:fill="DBE5F1"/>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备注</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一</w:t>
            </w:r>
          </w:p>
        </w:tc>
        <w:tc>
          <w:tcPr>
            <w:tcW w:w="4455" w:type="pct"/>
            <w:gridSpan w:val="4"/>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Start w:id="36" w:name="_Hlk209622652"/>
            <w:r>
              <w:rPr>
                <w:rFonts w:ascii="宋体" w:hAnsi="宋体" w:cs="宋体" w:hint="eastAsia"/>
                <w:color w:val="000000"/>
                <w:kern w:val="0"/>
                <w:szCs w:val="21"/>
              </w:rPr>
              <w:t>智慧大脑数据中台</w:t>
            </w:r>
            <w:bookmarkEnd w:id="36"/>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Start w:id="37" w:name="_Hlk209626276"/>
            <w:r>
              <w:rPr>
                <w:rFonts w:ascii="宋体" w:hAnsi="宋体" w:cs="宋体" w:hint="eastAsia"/>
                <w:color w:val="000000"/>
                <w:kern w:val="0"/>
                <w:szCs w:val="21"/>
              </w:rPr>
              <w:t>1</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数据集成子系统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281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数据治理子系统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数据开发子系统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数据资产子系统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数据服务子系统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数据安全子系统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数据分析子系统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指标管理子系统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2818" w:type="pct"/>
            <w:tcBorders>
              <w:top w:val="nil"/>
              <w:left w:val="nil"/>
              <w:bottom w:val="single" w:sz="4" w:space="0" w:color="auto"/>
              <w:right w:val="single" w:sz="4" w:space="0" w:color="auto"/>
            </w:tcBorders>
            <w:noWrap/>
            <w:vAlign w:val="center"/>
          </w:tcPr>
          <w:p>
            <w:pPr>
              <w:widowControl/>
              <w:jc w:val="left"/>
              <w:rPr>
                <w:rFonts w:ascii="宋体" w:hAnsi="宋体" w:cs="宋体" w:hint="eastAsia"/>
                <w:kern w:val="0"/>
                <w:szCs w:val="21"/>
              </w:rPr>
            </w:pPr>
            <w:r>
              <w:rPr>
                <w:rFonts w:ascii="宋体" w:hAnsi="宋体" w:cs="宋体" w:hint="eastAsia"/>
                <w:kern w:val="0"/>
                <w:szCs w:val="21"/>
              </w:rPr>
              <w:t>平台综合管理子系统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应用集成子系统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End w:id="37"/>
            <w:r>
              <w:rPr>
                <w:rFonts w:ascii="宋体" w:hAnsi="宋体" w:cs="宋体" w:hint="eastAsia"/>
                <w:color w:val="000000"/>
                <w:kern w:val="0"/>
                <w:szCs w:val="21"/>
              </w:rPr>
              <w:t>二</w:t>
            </w:r>
          </w:p>
        </w:tc>
        <w:tc>
          <w:tcPr>
            <w:tcW w:w="4455" w:type="pct"/>
            <w:gridSpan w:val="4"/>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Start w:id="38" w:name="_Hlk209622660"/>
            <w:r>
              <w:rPr>
                <w:rFonts w:ascii="宋体" w:hAnsi="宋体" w:cs="宋体" w:hint="eastAsia"/>
                <w:color w:val="000000"/>
                <w:kern w:val="0"/>
                <w:szCs w:val="21"/>
              </w:rPr>
              <w:t>湖仓一体化存算引擎</w:t>
            </w:r>
            <w:bookmarkEnd w:id="38"/>
          </w:p>
        </w:tc>
      </w:tr>
      <w:tr>
        <w:tblPrEx>
          <w:tblW w:w="5000" w:type="pct"/>
          <w:tblInd w:w="0" w:type="dxa"/>
          <w:tblCellMar>
            <w:top w:w="0" w:type="dxa"/>
            <w:left w:w="108" w:type="dxa"/>
            <w:bottom w:w="0" w:type="dxa"/>
            <w:right w:w="108" w:type="dxa"/>
          </w:tblCellMar>
        </w:tblPrEx>
        <w:trPr>
          <w:trHeight w:val="68"/>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湖仓一体化存算引擎</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7"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bl>
    <w:p>
      <w:pPr>
        <w:pStyle w:val="BodyText2"/>
      </w:pPr>
    </w:p>
    <w:p>
      <w:pPr>
        <w:pStyle w:val="BodyText"/>
        <w:rPr>
          <w:b w:val="0"/>
          <w:bCs w:val="0"/>
          <w:sz w:val="21"/>
          <w:szCs w:val="21"/>
        </w:rPr>
      </w:pPr>
      <w:r>
        <w:rPr>
          <w:rFonts w:hint="eastAsia"/>
          <w:b w:val="0"/>
          <w:bCs w:val="0"/>
          <w:sz w:val="21"/>
          <w:szCs w:val="21"/>
        </w:rPr>
        <w:t>3、</w:t>
      </w:r>
      <w:bookmarkStart w:id="39" w:name="OLE_LINK7"/>
      <w:r>
        <w:rPr>
          <w:rFonts w:hint="eastAsia"/>
          <w:b w:val="0"/>
          <w:bCs w:val="0"/>
          <w:sz w:val="21"/>
          <w:szCs w:val="21"/>
        </w:rPr>
        <w:t>信息安全和商用密码</w:t>
      </w:r>
      <w:bookmarkEnd w:id="39"/>
      <w:r>
        <w:rPr>
          <w:rFonts w:hint="eastAsia"/>
          <w:b w:val="0"/>
          <w:bCs w:val="0"/>
          <w:sz w:val="21"/>
          <w:szCs w:val="21"/>
        </w:rPr>
        <w:t>清单</w:t>
      </w:r>
    </w:p>
    <w:tbl>
      <w:tblPr>
        <w:tblStyle w:val="TableNormal"/>
        <w:tblW w:w="5000" w:type="pct"/>
        <w:tblInd w:w="0" w:type="dxa"/>
        <w:tblCellMar>
          <w:top w:w="0" w:type="dxa"/>
          <w:left w:w="108" w:type="dxa"/>
          <w:bottom w:w="0" w:type="dxa"/>
          <w:right w:w="108" w:type="dxa"/>
        </w:tblCellMar>
      </w:tblPr>
      <w:tblGrid>
        <w:gridCol w:w="929"/>
        <w:gridCol w:w="4807"/>
        <w:gridCol w:w="930"/>
        <w:gridCol w:w="930"/>
        <w:gridCol w:w="933"/>
      </w:tblGrid>
      <w:tr>
        <w:tblPrEx>
          <w:tblW w:w="5000" w:type="pct"/>
          <w:tblInd w:w="0" w:type="dxa"/>
          <w:tblCellMar>
            <w:top w:w="0" w:type="dxa"/>
            <w:left w:w="108" w:type="dxa"/>
            <w:bottom w:w="0" w:type="dxa"/>
            <w:right w:w="108" w:type="dxa"/>
          </w:tblCellMar>
        </w:tblPrEx>
        <w:trPr>
          <w:trHeight w:val="312"/>
        </w:trPr>
        <w:tc>
          <w:tcPr>
            <w:tcW w:w="545" w:type="pct"/>
            <w:tcBorders>
              <w:top w:val="single" w:sz="4" w:space="0" w:color="auto"/>
              <w:left w:val="single" w:sz="4" w:space="0" w:color="auto"/>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2818"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设备名称</w:t>
            </w:r>
          </w:p>
        </w:tc>
        <w:tc>
          <w:tcPr>
            <w:tcW w:w="545"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数量</w:t>
            </w:r>
          </w:p>
        </w:tc>
        <w:tc>
          <w:tcPr>
            <w:tcW w:w="545"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单位</w:t>
            </w:r>
          </w:p>
        </w:tc>
        <w:tc>
          <w:tcPr>
            <w:tcW w:w="545"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备注</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一</w:t>
            </w:r>
          </w:p>
        </w:tc>
        <w:tc>
          <w:tcPr>
            <w:tcW w:w="4455" w:type="pct"/>
            <w:gridSpan w:val="4"/>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Start w:id="40" w:name="_Hlk209622672"/>
            <w:r>
              <w:rPr>
                <w:rFonts w:ascii="宋体" w:hAnsi="宋体" w:cs="宋体" w:hint="eastAsia"/>
                <w:color w:val="000000"/>
                <w:kern w:val="0"/>
                <w:szCs w:val="21"/>
              </w:rPr>
              <w:t>信息安全</w:t>
            </w:r>
            <w:bookmarkEnd w:id="40"/>
          </w:p>
        </w:tc>
      </w:tr>
      <w:tr>
        <w:tblPrEx>
          <w:tblW w:w="5000" w:type="pct"/>
          <w:tblInd w:w="0" w:type="dxa"/>
          <w:tblCellMar>
            <w:top w:w="0" w:type="dxa"/>
            <w:left w:w="108" w:type="dxa"/>
            <w:bottom w:w="0" w:type="dxa"/>
            <w:right w:w="108" w:type="dxa"/>
          </w:tblCellMar>
        </w:tblPrEx>
        <w:trPr>
          <w:trHeight w:val="90"/>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bookmarkStart w:id="41" w:name="_Hlk209626494"/>
            <w:r>
              <w:rPr>
                <w:rFonts w:ascii="宋体" w:hAnsi="宋体" w:cs="宋体" w:hint="eastAsia"/>
                <w:color w:val="000000"/>
                <w:kern w:val="0"/>
                <w:szCs w:val="21"/>
              </w:rPr>
              <w:t>（一）石岩灾备中心</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数据中心防火墙（石岩灾备中心)</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（二）二期数据中心</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数据中心防火墙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（三）原门诊数据中心</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281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数据中心防火墙（原门诊楼数据中心）</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（四）内网出口区</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网络入侵防护系统 </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281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出口防火墙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防毒墙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（五）非业务外网出口区</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防火墙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防毒墙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负载均衡</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上网行为管理</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（六)业务外网出口区</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防火墙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上网行为管理</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抗拒绝服务系统</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防毒墙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沙箱</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网络入侵防护系统 </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w:t>
            </w:r>
          </w:p>
        </w:tc>
        <w:tc>
          <w:tcPr>
            <w:tcW w:w="281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零信任网关</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(七） 外网DMZ服务区</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WEB应用防火墙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w:t>
            </w:r>
          </w:p>
        </w:tc>
        <w:tc>
          <w:tcPr>
            <w:tcW w:w="281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Web应用防火墙</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w:t>
            </w:r>
          </w:p>
        </w:tc>
        <w:tc>
          <w:tcPr>
            <w:tcW w:w="281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网页防篡改</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蜜罐</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（八）党政专网出口区</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防火墙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（九）外网运维管理区</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态势感知探针</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w:t>
            </w:r>
          </w:p>
        </w:tc>
        <w:tc>
          <w:tcPr>
            <w:tcW w:w="281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日志审计系统(信创)</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（十）内网运维管理区</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漏洞扫描系统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API风险监测预警系统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APT威胁检测 </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沙箱分析系统 </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w:t>
            </w:r>
          </w:p>
        </w:tc>
        <w:tc>
          <w:tcPr>
            <w:tcW w:w="281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日志审计系统(信创)</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281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堡垒机</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服务器安全管理系统</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32</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终端安全管理系统</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33</w:t>
            </w:r>
          </w:p>
        </w:tc>
        <w:tc>
          <w:tcPr>
            <w:tcW w:w="281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超融合配套AV+DPI软件授权</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34</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虚拟桌面终端安全管理系统</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1000</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点</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35</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态势感知探针</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36</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跨网文件交换系统</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37</w:t>
            </w:r>
          </w:p>
        </w:tc>
        <w:tc>
          <w:tcPr>
            <w:tcW w:w="281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网络质量感知系统</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38</w:t>
            </w:r>
          </w:p>
        </w:tc>
        <w:tc>
          <w:tcPr>
            <w:tcW w:w="281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网络数据防泄漏</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39</w:t>
            </w:r>
          </w:p>
        </w:tc>
        <w:tc>
          <w:tcPr>
            <w:tcW w:w="281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数据安全分类分级系统</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40</w:t>
            </w:r>
          </w:p>
        </w:tc>
        <w:tc>
          <w:tcPr>
            <w:tcW w:w="281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数据库安全审计</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41</w:t>
            </w:r>
          </w:p>
        </w:tc>
        <w:tc>
          <w:tcPr>
            <w:tcW w:w="281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数据动态脱敏系统</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42</w:t>
            </w:r>
          </w:p>
        </w:tc>
        <w:tc>
          <w:tcPr>
            <w:tcW w:w="281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数据库防火墙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43</w:t>
            </w:r>
          </w:p>
        </w:tc>
        <w:tc>
          <w:tcPr>
            <w:tcW w:w="281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企业安全验证平台</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44</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企业终端安全管理系统</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3000</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点</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（十一）内网核心交换机与外网核心交换机之间</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45</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防火墙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（十二）物联网安全</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46</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物联网安全网关</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000" w:type="pct"/>
            <w:gridSpan w:val="5"/>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（十三）网络及安全运营平台</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47</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安全监测与响应管理平台</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48</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安全GPT智能运营</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年</w:t>
            </w:r>
          </w:p>
        </w:tc>
        <w:tc>
          <w:tcPr>
            <w:tcW w:w="545"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bookmarkEnd w:id="41"/>
            <w:r>
              <w:rPr>
                <w:rFonts w:ascii="宋体" w:hAnsi="宋体" w:cs="宋体" w:hint="eastAsia"/>
                <w:color w:val="000000"/>
                <w:kern w:val="0"/>
                <w:szCs w:val="21"/>
              </w:rPr>
              <w:t>二</w:t>
            </w:r>
          </w:p>
        </w:tc>
        <w:tc>
          <w:tcPr>
            <w:tcW w:w="4455" w:type="pct"/>
            <w:gridSpan w:val="4"/>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bookmarkStart w:id="42" w:name="_Hlk209622681"/>
            <w:r>
              <w:rPr>
                <w:rFonts w:ascii="宋体" w:hAnsi="宋体" w:cs="宋体" w:hint="eastAsia"/>
                <w:color w:val="000000"/>
                <w:kern w:val="0"/>
                <w:szCs w:val="21"/>
              </w:rPr>
              <w:t>商业密码</w:t>
            </w:r>
            <w:bookmarkEnd w:id="42"/>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bookmarkStart w:id="43" w:name="_Hlk209626592"/>
            <w:r>
              <w:rPr>
                <w:rFonts w:ascii="宋体" w:hAnsi="宋体" w:cs="宋体" w:hint="eastAsia"/>
                <w:color w:val="000000"/>
                <w:kern w:val="0"/>
                <w:szCs w:val="21"/>
              </w:rPr>
              <w:t>1</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IPSec/SSL VPN综合安全网关</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服务器密码机</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协同签名系统</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协同签名密码模块</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密码服务平台</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智能密码钥匙</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个</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SM2站点证书</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张</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RSA2048站点证书</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张</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国密浏览器</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个</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接口集成对接服务</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个人数字证书</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张</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545"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281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手机端协同个人数字证书</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张</w:t>
            </w:r>
          </w:p>
        </w:tc>
        <w:tc>
          <w:tcPr>
            <w:tcW w:w="5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r>
    </w:tbl>
    <w:p>
      <w:pPr>
        <w:pStyle w:val="BodyText"/>
      </w:pPr>
      <w:bookmarkEnd w:id="43"/>
    </w:p>
    <w:p>
      <w:pPr>
        <w:adjustRightInd w:val="0"/>
        <w:snapToGrid w:val="0"/>
        <w:spacing w:line="360" w:lineRule="auto"/>
        <w:jc w:val="left"/>
        <w:rPr>
          <w:rFonts w:ascii="宋体" w:hAnsi="宋体" w:cs="仿宋_GB2312" w:hint="eastAsia"/>
          <w:bCs/>
          <w:szCs w:val="21"/>
        </w:rPr>
      </w:pPr>
      <w:r>
        <w:rPr>
          <w:rFonts w:ascii="宋体" w:hAnsi="宋体" w:cs="仿宋_GB2312" w:hint="eastAsia"/>
          <w:bCs/>
          <w:szCs w:val="21"/>
        </w:rPr>
        <w:t>（2）采购内容技术需求</w:t>
      </w:r>
    </w:p>
    <w:p>
      <w:pPr>
        <w:pStyle w:val="NormalIndent"/>
        <w:ind w:firstLine="0"/>
      </w:pPr>
      <w:r>
        <w:rPr>
          <w:rFonts w:hint="eastAsia"/>
        </w:rPr>
        <w:t>1、大数据平台</w:t>
      </w:r>
      <w:bookmarkStart w:id="44" w:name="OLE_LINK2"/>
      <w:r>
        <w:rPr>
          <w:rFonts w:hint="eastAsia"/>
        </w:rPr>
        <w:t>技术需求</w:t>
      </w:r>
      <w:bookmarkEnd w:id="44"/>
    </w:p>
    <w:p>
      <w:pPr>
        <w:pStyle w:val="NormalIndent"/>
        <w:ind w:firstLine="0"/>
      </w:pPr>
      <w:bookmarkStart w:id="45" w:name="_Toc2020885461"/>
      <w:r>
        <w:rPr>
          <w:rFonts w:hint="eastAsia"/>
        </w:rPr>
        <w:t>1）数据应用展示技术需求</w:t>
      </w:r>
    </w:p>
    <w:tbl>
      <w:tblPr>
        <w:tblStyle w:val="TableNormal"/>
        <w:tblW w:w="8657" w:type="dxa"/>
        <w:tblInd w:w="0" w:type="dxa"/>
        <w:tblLayout w:type="fixed"/>
        <w:tblCellMar>
          <w:top w:w="0" w:type="dxa"/>
          <w:left w:w="108" w:type="dxa"/>
          <w:bottom w:w="0" w:type="dxa"/>
          <w:right w:w="108" w:type="dxa"/>
        </w:tblCellMar>
      </w:tblPr>
      <w:tblGrid>
        <w:gridCol w:w="562"/>
        <w:gridCol w:w="993"/>
        <w:gridCol w:w="992"/>
        <w:gridCol w:w="1701"/>
        <w:gridCol w:w="4409"/>
      </w:tblGrid>
      <w:tr>
        <w:tblPrEx>
          <w:tblW w:w="8657"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993"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系统名称</w:t>
            </w:r>
          </w:p>
        </w:tc>
        <w:tc>
          <w:tcPr>
            <w:tcW w:w="992"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系统功能</w:t>
            </w:r>
          </w:p>
        </w:tc>
        <w:tc>
          <w:tcPr>
            <w:tcW w:w="1701"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子模块</w:t>
            </w:r>
          </w:p>
        </w:tc>
        <w:tc>
          <w:tcPr>
            <w:tcW w:w="4409"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功能参数</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993" w:type="dxa"/>
            <w:vMerge w:val="restart"/>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数据资产综合分析</w:t>
            </w:r>
          </w:p>
        </w:tc>
        <w:tc>
          <w:tcPr>
            <w:tcW w:w="992" w:type="dxa"/>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湖仓一体化平台监控</w:t>
            </w:r>
          </w:p>
        </w:tc>
        <w:tc>
          <w:tcPr>
            <w:tcW w:w="1701" w:type="dxa"/>
            <w:tcBorders>
              <w:top w:val="single" w:sz="4" w:space="0" w:color="000000"/>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数据查询</w:t>
            </w:r>
          </w:p>
        </w:tc>
        <w:tc>
          <w:tcPr>
            <w:tcW w:w="4409"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支持实时在线数据查询，用户可选择指定数据库和数据表，自定义编写SQL语句进行实时数据查询。系统可提供查询历史管理及结果导出功能。</w:t>
            </w:r>
          </w:p>
        </w:tc>
      </w:tr>
      <w:tr>
        <w:tblPrEx>
          <w:tblW w:w="8657" w:type="dxa"/>
          <w:tblInd w:w="0" w:type="dxa"/>
          <w:tblLayout w:type="fixed"/>
          <w:tblCellMar>
            <w:top w:w="0" w:type="dxa"/>
            <w:left w:w="108" w:type="dxa"/>
            <w:bottom w:w="0" w:type="dxa"/>
            <w:right w:w="108" w:type="dxa"/>
          </w:tblCellMar>
        </w:tblPrEx>
        <w:trPr>
          <w:trHeight w:val="117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贴源层</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将ODS层数据表按照来源系统和业务类型进行分层分类展示，可展示数据表的来源、采集方式、存储状态、质控规则、血缘关系等元数据信息。提供快捷跳转和属性维护功能。系统支持多维度的元数据过滤和检索。（</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资产层</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支持将BIZ层数据表按照业务类型及概念模型进行分类分层展示，展示每个数据表的存储状态、质控结果、异常信息及血缘关系。系统提供模型结构和物理表信息查看功能，支持快捷跳转及分类属性维护。</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宽表层</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支持对原子指标层(atommetric层)数据表按照业务类型进行分类管理和展示，提供详细的表结构、质控规则、质控异常及血缘关系查看。</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应用层</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支持将ADS层数据表按照应用系统和业务类型进行分类分层展示，详细展示存储状态、质控规则、异常数据和血缘关系。支持模型信息、明细数据、物理表信息的查看。</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指标一览</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业务指标按照评价主体、评价事项及来源文件进行多维分类展示，提供指标名称、口径、分类属性等详细信息，支持指标定义查看和分类属性维护。支持指标值的多周期趋势展示（如日、周、月、季、年），包含同比、环比增长率和趋势图表。支持查看指标计算SQL。</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标签一览</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标签按照业务分类及概念模型分类分层展示，展示标签名称、数据类型、描述及分类属性。支持标签值分布及定义查看。支持分层展示标签的上游依赖（包括贴源层、资产层对象、数据范围等）及下游应用（如指标、数据服务等），并支持上下游对象详情跳转。</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资产大盘</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资产层总体数据量和异常数据量展示，支持按照概念模型分类展示固定资产、药品耗材、业务场所、组织机构、产品服务及基础数据资产对象的数据量和异常数据量情况。支持快速跳转至资产对象详情，实现资产异常的即时识别和响应。</w:t>
            </w:r>
          </w:p>
        </w:tc>
      </w:tr>
      <w:tr>
        <w:tblPrEx>
          <w:tblW w:w="8657" w:type="dxa"/>
          <w:tblInd w:w="0" w:type="dxa"/>
          <w:tblLayout w:type="fixed"/>
          <w:tblCellMar>
            <w:top w:w="0" w:type="dxa"/>
            <w:left w:w="108" w:type="dxa"/>
            <w:bottom w:w="0" w:type="dxa"/>
            <w:right w:w="108" w:type="dxa"/>
          </w:tblCellMar>
        </w:tblPrEx>
        <w:trPr>
          <w:trHeight w:val="66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资产地图</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资产地图数据的即时查询，提供模型、指标、标签、数据元、值域及允许值等多类资产的模糊关键词搜索。支持查看检索结果的资产详情及更新状态，支持结果对象名称及更新时间展示，并支持一键跳转至详细资产页面。</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湖仓一体平台基础监控</w:t>
            </w: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元数管理功能</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支持元数据的标准化管理。支持对系统内元数据对象进行新增、编辑、删除操作。支持与具体业务场景绑定，形成元数据与实际业务间的关联映射。</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提供元数据的模糊查询功能，支持对绑定的元数据进行快速检索，并能展示元数据相关的字段信息、所属库表、使用场景等关键内容，方便用户快速定位与分析。</w:t>
            </w:r>
          </w:p>
        </w:tc>
      </w:tr>
      <w:tr>
        <w:tblPrEx>
          <w:tblW w:w="8657" w:type="dxa"/>
          <w:tblInd w:w="0" w:type="dxa"/>
          <w:tblLayout w:type="fixed"/>
          <w:tblCellMar>
            <w:top w:w="0" w:type="dxa"/>
            <w:left w:w="108" w:type="dxa"/>
            <w:bottom w:w="0" w:type="dxa"/>
            <w:right w:w="108" w:type="dxa"/>
          </w:tblCellMar>
        </w:tblPrEx>
        <w:trPr>
          <w:trHeight w:val="126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数据总览</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▲支持数据存储总览与核心指标监测。系统支持对平台内总表数量、总存储量、磁盘使用率等关键指标的实时统计与展示，提供数据资产总体概况，辅助用户进行容量预警与资源管理。（</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视图管理功能</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支持视图表统一管理与数据查看。支持系统内视图对象的集中管理，包括所有视图表的查询、新建视图定义及视图数据预览等功能。</w:t>
            </w:r>
          </w:p>
        </w:tc>
      </w:tr>
      <w:tr>
        <w:tblPrEx>
          <w:tblW w:w="8657" w:type="dxa"/>
          <w:tblInd w:w="0" w:type="dxa"/>
          <w:tblLayout w:type="fixed"/>
          <w:tblCellMar>
            <w:top w:w="0" w:type="dxa"/>
            <w:left w:w="108" w:type="dxa"/>
            <w:bottom w:w="0" w:type="dxa"/>
            <w:right w:w="108" w:type="dxa"/>
          </w:tblCellMar>
        </w:tblPrEx>
        <w:trPr>
          <w:trHeight w:val="177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库表管理功能</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▲支持库表信息集中展示与配置。系统支持按数据库与表之间的组织关系，展示各数据层的数据库配置、表的存储空间、记录数、字段定义、数据预览等内容，并支持数据表的创建与配置操作。（</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70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存储监控功能</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▲支持资源监控与SQL执行统计。（</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支持对系统资源（包括内存使用、磁盘空间、IO读写速率等）进行实时监控。支持按时间维度统计各用户自定义 SQ的执行情况，包括执行次数、数据扫描量、资源使用情况（CPU、内存等）及慢 SQ分析等。</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支持SQL执行明细与系统进程查询。提供用户自定义SQL的执行明细查询功能，支持按用户、时间范围查看每次执行的具体信息；支持查询当前所有SQL执行进程状态。</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支持SQL性能分析辅助功能。用户可输入自定义SQL语句，系统可对其执行性能进行分析并提供优化建议，辅助用户提升SQL质量和系统整体运行效率。</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冷热分离管理功能</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▲支持冷热库分层展示与查询。系统支持将平台内数据按冷热分层展示，支持对热库、冷库表的搜索与查询，并支持配置热库数据保留策略及告警规则。（</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409"/>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冷库调度任务配置与运维管理。支持对冷库迁移、建表、结构比对等任务进行配置，并可按全部、任务调度异常、待执行、执行中、成功、失败等状态分类查询任务执行情况。同时支持对异常任务进行重启、失败任务重跑、待执行任务终止等操作。</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支持结构比对与数据迁移任务执行。支持发起冷表结构对比任务，系统可提供比对结果明细，支持按表名、时间等条件对热库表当前数据量及阈值超限情况进行分析，并可手动发起冷库迁移任务。</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存储质控功能</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支持多维存储异常检测与展示。系统支持自动检测并展示模型异常、字段扩展异常、副本异常、分桶数异常、持久化配置异常、系统批次号缺失、起始时间异常、行数异常、tablets异常等多类存储质控项。</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系统配置</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支持数据源与系统资源配置管理。支持新增数据源库信息，并可设置额外字段、分桶策略、报警阈值等元配置项。支持对指定源表设置报警阈值，实现指标化监控。</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资源分组与角色授权管理。支持新增、编辑、删除SR资源分组，包括CPU、内存、最大并发数等配置；支持按系统角色进行资源授权，并将角色授权关系分配给用户，实现资源使用管控；亦支持直接将资源组授权至用户。</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支持系统缓存信息展示与维护。系统支持查看当前缓存状态，并提供一键手动清理缓存的能力。</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数据治理可视化</w:t>
            </w: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清洗配置</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提供ODS层数据表及字段结构的可视化浏览能力。</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支持通过图形化操作界面或自定义SQL方式配置源表与目标表之间的数据过滤规则。</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支持基于字段级别设置清洗规则，可通过SQL脚本灵活定义，系统支持规则预览功能，并可同步查看业务字段说明、值域映射等基础信息。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支持清洗规则的保存、版本管理与人工触发执行。</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支持对配置完成的清洗规则进行启用操作。</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支持对生效的清洗规则进行打包管理。</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支持上传导入新的规则包，实现清洗规则快速更新和环境部署。</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支持根据清洗任务执行明细追溯相关规则配置，辅助进行异常排查与规则优化。</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映射配置</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支持以目录结构方式对主数据进行分类管理，提升主数据组织与查询效率。</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支持主数据及其明细内容的新增、修改与删除操作。</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支持通过标准化文件模板对主数据及明细进行批量导入与导出。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支持主数据及明细与采集源主数据之间映射关系的新增、编辑与删除。</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支持主数据映射关系的文件导入与导出。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支持以目录形式对业务值域进行分类管理，支持值域组织与可视化管理。</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支持业务值域及允许值的新增、编辑、删除等维护操作。</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支持业务值域及允许值的文件批量导入与导出。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支持配置业务值域及允许值与采集源值域之间的映射关系，支持新增、编辑与删除操作。</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支持值域映射关系通过文件进行批量导入与导出。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43</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映射失败数据处理（OE数据）</w:t>
            </w: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支持清洗数据表结构信息及数据明细的查询。</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44</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▲支持配置清洗任务的自动重跑策略，实现数据处理的容错机制。（</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45</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支持手动发起清洗数据的重跑任务。</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46</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清洗任务重跑（消息队列回溯）</w:t>
            </w: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▲支持通过定时任务或手动方式触发消息队列的数据回溯处理任务。（</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47</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支持根据指定时间区间执行消息队列数据回溯操作。</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48</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支持针对测试数据执行消息队列回溯任务，辅助规则验证与流程调试。</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49</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全量重采</w:t>
            </w: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▲支持基于指定ODS表手动发起全量数据的重新采集与清洗处理。（</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50</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支持设置全量重采任务对应的Topic名称及数据入库规则。</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51</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清洗任务管理</w:t>
            </w: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支持根据表名、任务状态等条件查询OE任务的执行情况及子任务详细信息。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52</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支持查询消息队列回溯任务的执行状态，支持失败任务明细的追踪与分析。</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53</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支持查询全量重采任务的执行状态，支持展示任务采集配置及相关运行信息。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54</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系统配置</w:t>
            </w: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支持通过值域允许值反查对应物理表字段，并可配置表级白名单权限。</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55</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支持配置OE数据的目标写入规则。</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56</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支持系统内置函数的信息查询。</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57</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支持对指定数据源表的过滤规则进行启用或停用控制。</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58</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支持数据过滤规则的新增、编辑、查询、启用与停用，支持图形化与SQL脚本双方式配置。</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59</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提供清洗任务、异常信息、消息队列积压等关键指标的集中监控界面。</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60</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运维监控</w:t>
            </w: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支持集中展示数据清洗相关的运维监控信息。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61</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支持消息队列积压数据的可视化查询及其影响表的关联分析。</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62</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支持查询存在写入异常的ODS表及其详细信息。</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63</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支持数据解析过程中异常信息的记录与查询。</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64</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支持展示清洗执行过程中的异常清单。</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65</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支持查询目标表写入失败等异常情况的信息。</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66</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支持消费者任务状态的实时查询，可在界面发起临时增量任务。</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67</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支持统计分析目标表的写入操作情况，提供数据处理趋势与负载参考。</w:t>
            </w:r>
          </w:p>
        </w:tc>
      </w:tr>
      <w:tr>
        <w:tblPrEx>
          <w:tblW w:w="8657" w:type="dxa"/>
          <w:tblInd w:w="0" w:type="dxa"/>
          <w:tblLayout w:type="fixed"/>
          <w:tblCellMar>
            <w:top w:w="0" w:type="dxa"/>
            <w:left w:w="108" w:type="dxa"/>
            <w:bottom w:w="0" w:type="dxa"/>
            <w:right w:w="108" w:type="dxa"/>
          </w:tblCellMar>
        </w:tblPrEx>
        <w:trPr>
          <w:trHeight w:val="363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数据溯源</w:t>
            </w: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任务诊断与补数</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支持统一平台内多种任务类型的全局诊断管理，涵盖表采集任务、自定义SQL采集任务、消息队列任务、清洗任务、数据开发任务、标签任务、指标固化任务等。</w:t>
            </w:r>
            <w:r>
              <w:rPr>
                <w:rFonts w:ascii="宋体" w:hAnsi="宋体" w:cs="宋体" w:hint="eastAsia"/>
                <w:color w:val="000000"/>
                <w:kern w:val="0"/>
                <w:szCs w:val="21"/>
              </w:rPr>
              <w:br/>
            </w:r>
            <w:r>
              <w:rPr>
                <w:rFonts w:ascii="宋体" w:hAnsi="宋体" w:cs="宋体" w:hint="eastAsia"/>
                <w:color w:val="000000"/>
                <w:kern w:val="0"/>
                <w:szCs w:val="21"/>
              </w:rPr>
              <w:t>2. 支持通过任务名称、ID、目标表、源表等关键字段进行模糊/精准查询，支持高亮关键字命中信息展示。</w:t>
            </w:r>
            <w:r>
              <w:rPr>
                <w:rFonts w:ascii="宋体" w:hAnsi="宋体" w:cs="宋体" w:hint="eastAsia"/>
                <w:color w:val="000000"/>
                <w:kern w:val="0"/>
                <w:szCs w:val="21"/>
              </w:rPr>
              <w:br/>
            </w:r>
            <w:r>
              <w:rPr>
                <w:rFonts w:ascii="宋体" w:hAnsi="宋体" w:cs="宋体" w:hint="eastAsia"/>
                <w:color w:val="000000"/>
                <w:kern w:val="0"/>
                <w:szCs w:val="21"/>
              </w:rPr>
              <w:t>3. 支持任务类型、名称、配置ID、实例ID等多维度组合查询。</w:t>
            </w:r>
            <w:r>
              <w:rPr>
                <w:rFonts w:ascii="宋体" w:hAnsi="宋体" w:cs="宋体" w:hint="eastAsia"/>
                <w:color w:val="000000"/>
                <w:kern w:val="0"/>
                <w:szCs w:val="21"/>
              </w:rPr>
              <w:br/>
            </w:r>
            <w:r>
              <w:rPr>
                <w:rFonts w:ascii="宋体" w:hAnsi="宋体" w:cs="宋体" w:hint="eastAsia"/>
                <w:color w:val="000000"/>
                <w:kern w:val="0"/>
                <w:szCs w:val="21"/>
              </w:rPr>
              <w:t>4. 支持在统一界面展示任务配置详情、历史及实时执行状态、任务血缘信息。</w:t>
            </w:r>
            <w:r>
              <w:rPr>
                <w:rFonts w:ascii="宋体" w:hAnsi="宋体" w:cs="宋体" w:hint="eastAsia"/>
                <w:color w:val="000000"/>
                <w:kern w:val="0"/>
                <w:szCs w:val="21"/>
              </w:rPr>
              <w:br/>
            </w:r>
            <w:r>
              <w:rPr>
                <w:rFonts w:ascii="宋体" w:hAnsi="宋体" w:cs="宋体" w:hint="eastAsia"/>
                <w:color w:val="000000"/>
                <w:kern w:val="0"/>
                <w:szCs w:val="21"/>
              </w:rPr>
              <w:t>5. 支持链路级别补数与重跑操作，针对业务表结构调整（如字段新增）场景，支持链路下游数据表字段补齐、补数及数据重跑。</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系统问题诊断</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支持全链路任务运行状态实时检测，基于参数阈值自动识别潜在问题任务，辅助运维人员提前干预。支持问题项智能提示及优化建议。</w:t>
            </w:r>
          </w:p>
        </w:tc>
      </w:tr>
      <w:tr>
        <w:tblPrEx>
          <w:tblW w:w="8657"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数据血缘分析</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支持图形化展示数据表上下游依赖关系，支持表级血缘、字段级血缘的可视化查询，图形方式直观展现链路拓扑。</w:t>
            </w:r>
            <w:r>
              <w:rPr>
                <w:rFonts w:ascii="宋体" w:hAnsi="宋体" w:cs="宋体" w:hint="eastAsia"/>
                <w:color w:val="000000"/>
                <w:kern w:val="0"/>
                <w:szCs w:val="21"/>
              </w:rPr>
              <w:br/>
            </w:r>
            <w:r>
              <w:rPr>
                <w:rFonts w:ascii="宋体" w:hAnsi="宋体" w:cs="宋体" w:hint="eastAsia"/>
                <w:color w:val="000000"/>
                <w:kern w:val="0"/>
                <w:szCs w:val="21"/>
              </w:rPr>
              <w:t>2. 支持血缘关系来源SQL追溯，支持字段级血缘按字段关键字查询指定链路。</w:t>
            </w:r>
            <w:r>
              <w:rPr>
                <w:rFonts w:ascii="宋体" w:hAnsi="宋体" w:cs="宋体" w:hint="eastAsia"/>
                <w:color w:val="000000"/>
                <w:kern w:val="0"/>
                <w:szCs w:val="21"/>
              </w:rPr>
              <w:br/>
            </w:r>
            <w:r>
              <w:rPr>
                <w:rFonts w:ascii="宋体" w:hAnsi="宋体" w:cs="宋体" w:hint="eastAsia"/>
                <w:color w:val="000000"/>
                <w:kern w:val="0"/>
                <w:szCs w:val="21"/>
              </w:rPr>
              <w:t>3. 支持手动刷新血缘信息，系统支持异常SQL解析失败自动告警，保障血缘信息的时效性与准确性。</w:t>
            </w:r>
            <w:r>
              <w:rPr>
                <w:rFonts w:ascii="宋体" w:hAnsi="宋体" w:cs="宋体" w:hint="eastAsia"/>
                <w:color w:val="000000"/>
                <w:kern w:val="0"/>
                <w:szCs w:val="21"/>
              </w:rPr>
              <w:br/>
            </w:r>
            <w:r>
              <w:rPr>
                <w:rFonts w:ascii="宋体" w:hAnsi="宋体" w:cs="宋体" w:hint="eastAsia"/>
                <w:color w:val="000000"/>
                <w:kern w:val="0"/>
                <w:szCs w:val="21"/>
              </w:rPr>
              <w:t>4.支持孤岛节点和异常SQL的自动检测。</w:t>
            </w:r>
          </w:p>
        </w:tc>
      </w:tr>
      <w:tr>
        <w:tblPrEx>
          <w:tblW w:w="8657" w:type="dxa"/>
          <w:tblInd w:w="0" w:type="dxa"/>
          <w:tblLayout w:type="fixed"/>
          <w:tblCellMar>
            <w:top w:w="0" w:type="dxa"/>
            <w:left w:w="108" w:type="dxa"/>
            <w:bottom w:w="0" w:type="dxa"/>
            <w:right w:w="108" w:type="dxa"/>
          </w:tblCellMar>
        </w:tblPrEx>
        <w:trPr>
          <w:trHeight w:val="21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任务血缘分析</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支持以有向图形式展示整链路任务依赖关系，包括采集、清洗、业务过程、业务定义、ADS、标签任务、固化任务等任务间的依赖链路。</w:t>
            </w:r>
            <w:r>
              <w:rPr>
                <w:rFonts w:ascii="宋体" w:hAnsi="宋体" w:cs="宋体" w:hint="eastAsia"/>
                <w:color w:val="000000"/>
                <w:kern w:val="0"/>
                <w:szCs w:val="21"/>
              </w:rPr>
              <w:br/>
            </w:r>
            <w:r>
              <w:rPr>
                <w:rFonts w:ascii="宋体" w:hAnsi="宋体" w:cs="宋体" w:hint="eastAsia"/>
                <w:color w:val="000000"/>
                <w:kern w:val="0"/>
                <w:szCs w:val="21"/>
              </w:rPr>
              <w:t>2. 支持按单节点查询其上下游依赖关系，支持点击节点查看详情，支持一键跳转至任务配置与实例查看页面。</w:t>
            </w:r>
            <w:r>
              <w:rPr>
                <w:rFonts w:ascii="宋体" w:hAnsi="宋体" w:cs="宋体" w:hint="eastAsia"/>
                <w:color w:val="000000"/>
                <w:kern w:val="0"/>
                <w:szCs w:val="21"/>
              </w:rPr>
              <w:br/>
            </w:r>
            <w:r>
              <w:rPr>
                <w:rFonts w:ascii="宋体" w:hAnsi="宋体" w:cs="宋体" w:hint="eastAsia"/>
                <w:color w:val="000000"/>
                <w:kern w:val="0"/>
                <w:szCs w:val="21"/>
              </w:rPr>
              <w:t>3. 支持任务血缘定时刷新及手动实时刷新。</w:t>
            </w:r>
          </w:p>
        </w:tc>
      </w:tr>
      <w:tr>
        <w:tblPrEx>
          <w:tblW w:w="8657"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业务血缘分析</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支持以有向图形式展示ODS、病历文书、业务过程、业务定义、ADS、标签、原子指标、派生指标、复合指标、报表等对象之间的业务血缘关系。</w:t>
            </w:r>
            <w:r>
              <w:rPr>
                <w:rFonts w:ascii="宋体" w:hAnsi="宋体" w:cs="宋体" w:hint="eastAsia"/>
                <w:color w:val="000000"/>
                <w:kern w:val="0"/>
                <w:szCs w:val="21"/>
              </w:rPr>
              <w:br/>
            </w:r>
            <w:r>
              <w:rPr>
                <w:rFonts w:ascii="宋体" w:hAnsi="宋体" w:cs="宋体" w:hint="eastAsia"/>
                <w:color w:val="000000"/>
                <w:kern w:val="0"/>
                <w:szCs w:val="21"/>
              </w:rPr>
              <w:t>2. 支持业务血缘单节点上下游查询，支持节点详情查看及跳转至相关业务页面。</w:t>
            </w:r>
            <w:r>
              <w:rPr>
                <w:rFonts w:ascii="宋体" w:hAnsi="宋体" w:cs="宋体" w:hint="eastAsia"/>
                <w:color w:val="000000"/>
                <w:kern w:val="0"/>
                <w:szCs w:val="21"/>
              </w:rPr>
              <w:br/>
            </w:r>
            <w:r>
              <w:rPr>
                <w:rFonts w:ascii="宋体" w:hAnsi="宋体" w:cs="宋体" w:hint="eastAsia"/>
                <w:color w:val="000000"/>
                <w:kern w:val="0"/>
                <w:szCs w:val="21"/>
              </w:rPr>
              <w:t>3. 支持业务血缘的定时更新与手动实时刷新。</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数据质量概览</w:t>
            </w: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质控配置</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按业务目录查询表及其字段信息；支持字段级质控规则的新增、编辑、删除，规则维度包括完整性、规范性、一致性、及时性、有效性等；支持引用规则库模板进行快速配置；支持配置各质控维度的权重占比。（</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自定义目录管理表级质控信息；支持表结构变更、表写入实效、汇总类/明细类自定义SQL、表数据量、数据波动性等规则的新增、编辑、删除、启用/停用；支持基于单表手动或调度执行质控任务，并查看质控结果。</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自定义目录维护跨源表间的质控信息；支持表结构对比、数据量一致性、自定义数据量对比、抽样/全量明细数据对比等规则配置；支持任务的新增、编辑、删除、启用/停用、手动执行和调度设置；支持质控结果查看。</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质控任务管理</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任务调度状态分类查询，包括全部、调度异常、待执行、执行中、执行成功、执行失败等状态；支持失败任务重跑、异常任务重启、待执行任务终止等操作；支持字段级、表级、跨源质控任务的分类管理与批量调度。</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质控结果分析</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支持查看字段级、表级、跨源质控整体结果与趋势变化；支持异常数据明细下钻查看；支持多维度（如字段、表、源、质控规则）聚合分析与趋势图展示。</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全局质控报告输出</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▲支持对全院所有质控表的质控结果进行汇总与趋势展示，输出统一质控报告。（</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208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数据资产管理</w:t>
            </w: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资产模型管理</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资产对象模型的新建、编辑、删除、复制操作，支持模型审核流程，具备模型上下游影响面评估能力。支持模型元数据信息管理，包括属性定义、数据类型、长度、引用数据元等，支持模型属性新增、编辑、删除操作。支持模型自洽性检测。支持根据逻辑模型信息发布并创建物理模型表，支持查看物理表DDL变更记录，具备模型变更历史版本管理和回溯能力，支持按模型变更历史版本查看和追溯。支持建立模型对象之间的关联关系，包括资产对象之间、资产对象与不同版本主数据及值域的关联关系，支持模型属性间单一及多对多关联，支持关联跨模型分类主键。</w:t>
            </w:r>
          </w:p>
        </w:tc>
      </w:tr>
      <w:tr>
        <w:tblPrEx>
          <w:tblW w:w="8657" w:type="dxa"/>
          <w:tblInd w:w="0" w:type="dxa"/>
          <w:tblLayout w:type="fixed"/>
          <w:tblCellMar>
            <w:top w:w="0" w:type="dxa"/>
            <w:left w:w="108" w:type="dxa"/>
            <w:bottom w:w="0" w:type="dxa"/>
            <w:right w:w="108" w:type="dxa"/>
          </w:tblCellMar>
        </w:tblPrEx>
        <w:trPr>
          <w:trHeight w:val="37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宽表模型管理</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按照逻辑模型配置创建对应的物理宽表，支持构建跨模型的宽表结构。应支持创建3个及以内模型关联关系的逻辑宽表，亦支持3个以上模型关联关系的物理宽表。支持用户灵活选择物理模型字段，并通过SQL配置模型间关联关系。支持对象模型的新增、编辑、删除、复制操作。支持对对象模型的修改自动评估其对下游原子指标的影响。</w:t>
            </w:r>
          </w:p>
        </w:tc>
      </w:tr>
      <w:tr>
        <w:tblPrEx>
          <w:tblW w:w="8657"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应用模型管理</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系统支持创建符合医疗业务场景的标准应用模型，例如与360全景数据、互联互通相关的业务模型。支持根据逻辑模型信息自动发布并创建对应的物理模型表。应支持查看物理表DDL变更记录。支持模型对象的新增、编辑、删除、复制等全生命周期管理，并支持模型审核流程以保障模型变更质量。支持设置模型属性的数据类型、长度及引用的数据元。系统应支持模型自洽性检测，防止模型定义存在逻辑冲突。（</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数据元管理</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对国家发布的标准数据元进行全面管理，包括新增、编辑、删除操作，并支持数据元的审核机制。支持数据元的元数据信息配置，如来源、来源文件、生效值域、数据类型和数据长度。系统支持国家标准数据元的导入功能。支持数据元的自洽检测，自动检查数据元之间的逻辑一致性，减少配置错误。支持对枚举类型数据元的值域关联管理，能够灵活切换并维护对应的生效值域，满足多场景应用需求。</w:t>
            </w:r>
          </w:p>
        </w:tc>
      </w:tr>
      <w:tr>
        <w:tblPrEx>
          <w:tblW w:w="8657"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值域管理</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对国家发布的标准值域进行全面管理，涵盖值域的新增、编辑、删除等操作。支持对值域的来源及来源文件信息的详细配置。支持国家标准值域的导入功能。系统支持值域允许值的完整生命周期管理，包括允许值的新增、编辑、删除及批量导入操作。支持对值域关联的允许值进行灵活维护，满足业务多样化需求。</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84</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全院运营监测</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门急诊管理首页 </w:t>
            </w:r>
          </w:p>
        </w:tc>
        <w:tc>
          <w:tcPr>
            <w:tcW w:w="1701" w:type="dxa"/>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支持按照多种条件，对门急诊数据进行查询、检索，实现对不同时间段、不同科室等多维度数据的统计分析。</w:t>
            </w:r>
          </w:p>
        </w:tc>
      </w:tr>
      <w:tr>
        <w:tblPrEx>
          <w:tblW w:w="8657" w:type="dxa"/>
          <w:tblInd w:w="0" w:type="dxa"/>
          <w:tblLayout w:type="fixed"/>
          <w:tblCellMar>
            <w:top w:w="0" w:type="dxa"/>
            <w:left w:w="108" w:type="dxa"/>
            <w:bottom w:w="0" w:type="dxa"/>
            <w:right w:w="108" w:type="dxa"/>
          </w:tblCellMar>
        </w:tblPrEx>
        <w:trPr>
          <w:trHeight w:val="45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门急诊管理关键指标监测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▲支持对指标的本期数据、上期数据、同期数据、环比增长率、同比增长率进行展示，并支持统计报表的导出功能。主要包含以下指标：</w:t>
            </w:r>
            <w:r>
              <w:rPr>
                <w:rFonts w:ascii="宋体" w:hAnsi="宋体" w:cs="宋体" w:hint="eastAsia"/>
                <w:b/>
                <w:bCs/>
                <w:color w:val="000000"/>
                <w:kern w:val="0"/>
                <w:szCs w:val="21"/>
              </w:rPr>
              <w:br/>
            </w:r>
            <w:r>
              <w:rPr>
                <w:rFonts w:ascii="宋体" w:hAnsi="宋体" w:cs="宋体" w:hint="eastAsia"/>
                <w:b/>
                <w:bCs/>
                <w:color w:val="000000"/>
                <w:kern w:val="0"/>
                <w:szCs w:val="21"/>
              </w:rPr>
              <w:t>1.门急诊总人次</w:t>
            </w:r>
            <w:r>
              <w:rPr>
                <w:rFonts w:ascii="宋体" w:hAnsi="宋体" w:cs="宋体" w:hint="eastAsia"/>
                <w:b/>
                <w:bCs/>
                <w:color w:val="000000"/>
                <w:kern w:val="0"/>
                <w:szCs w:val="21"/>
              </w:rPr>
              <w:br/>
            </w:r>
            <w:r>
              <w:rPr>
                <w:rFonts w:ascii="宋体" w:hAnsi="宋体" w:cs="宋体" w:hint="eastAsia"/>
                <w:b/>
                <w:bCs/>
                <w:color w:val="000000"/>
                <w:kern w:val="0"/>
                <w:szCs w:val="21"/>
              </w:rPr>
              <w:t>2.日均门诊人次</w:t>
            </w:r>
            <w:r>
              <w:rPr>
                <w:rFonts w:ascii="宋体" w:hAnsi="宋体" w:cs="宋体" w:hint="eastAsia"/>
                <w:b/>
                <w:bCs/>
                <w:color w:val="000000"/>
                <w:kern w:val="0"/>
                <w:szCs w:val="21"/>
              </w:rPr>
              <w:br/>
            </w:r>
            <w:r>
              <w:rPr>
                <w:rFonts w:ascii="宋体" w:hAnsi="宋体" w:cs="宋体" w:hint="eastAsia"/>
                <w:b/>
                <w:bCs/>
                <w:color w:val="000000"/>
                <w:kern w:val="0"/>
                <w:szCs w:val="21"/>
              </w:rPr>
              <w:t>3.急诊抢救成功率</w:t>
            </w:r>
            <w:r>
              <w:rPr>
                <w:rFonts w:ascii="宋体" w:hAnsi="宋体" w:cs="宋体" w:hint="eastAsia"/>
                <w:b/>
                <w:bCs/>
                <w:color w:val="000000"/>
                <w:kern w:val="0"/>
                <w:szCs w:val="21"/>
              </w:rPr>
              <w:br/>
            </w:r>
            <w:r>
              <w:rPr>
                <w:rFonts w:ascii="宋体" w:hAnsi="宋体" w:cs="宋体" w:hint="eastAsia"/>
                <w:b/>
                <w:bCs/>
                <w:color w:val="000000"/>
                <w:kern w:val="0"/>
                <w:szCs w:val="21"/>
              </w:rPr>
              <w:t>4.急诊患者滞留&gt;24小时人次</w:t>
            </w:r>
            <w:r>
              <w:rPr>
                <w:rFonts w:ascii="宋体" w:hAnsi="宋体" w:cs="宋体" w:hint="eastAsia"/>
                <w:b/>
                <w:bCs/>
                <w:color w:val="000000"/>
                <w:kern w:val="0"/>
                <w:szCs w:val="21"/>
              </w:rPr>
              <w:br/>
            </w:r>
            <w:r>
              <w:rPr>
                <w:rFonts w:ascii="宋体" w:hAnsi="宋体" w:cs="宋体" w:hint="eastAsia"/>
                <w:b/>
                <w:bCs/>
                <w:color w:val="000000"/>
                <w:kern w:val="0"/>
                <w:szCs w:val="21"/>
              </w:rPr>
              <w:t>5.三级分诊准确率</w:t>
            </w:r>
            <w:r>
              <w:rPr>
                <w:rFonts w:ascii="宋体" w:hAnsi="宋体" w:cs="宋体" w:hint="eastAsia"/>
                <w:b/>
                <w:bCs/>
                <w:color w:val="000000"/>
                <w:kern w:val="0"/>
                <w:szCs w:val="21"/>
              </w:rPr>
              <w:br/>
            </w:r>
            <w:r>
              <w:rPr>
                <w:rFonts w:ascii="宋体" w:hAnsi="宋体" w:cs="宋体" w:hint="eastAsia"/>
                <w:b/>
                <w:bCs/>
                <w:color w:val="000000"/>
                <w:kern w:val="0"/>
                <w:szCs w:val="21"/>
              </w:rPr>
              <w:t>6.首诊负责制执行率</w:t>
            </w:r>
            <w:r>
              <w:rPr>
                <w:rFonts w:ascii="宋体" w:hAnsi="宋体" w:cs="宋体" w:hint="eastAsia"/>
                <w:b/>
                <w:bCs/>
                <w:color w:val="000000"/>
                <w:kern w:val="0"/>
                <w:szCs w:val="21"/>
              </w:rPr>
              <w:br/>
            </w:r>
            <w:r>
              <w:rPr>
                <w:rFonts w:ascii="宋体" w:hAnsi="宋体" w:cs="宋体" w:hint="eastAsia"/>
                <w:b/>
                <w:bCs/>
                <w:color w:val="000000"/>
                <w:kern w:val="0"/>
                <w:szCs w:val="21"/>
              </w:rPr>
              <w:t>7.门诊挂号到就诊平均等待时长</w:t>
            </w:r>
            <w:r>
              <w:rPr>
                <w:rFonts w:ascii="宋体" w:hAnsi="宋体" w:cs="宋体" w:hint="eastAsia"/>
                <w:b/>
                <w:bCs/>
                <w:color w:val="000000"/>
                <w:kern w:val="0"/>
                <w:szCs w:val="21"/>
              </w:rPr>
              <w:br/>
            </w:r>
            <w:r>
              <w:rPr>
                <w:rFonts w:ascii="宋体" w:hAnsi="宋体" w:cs="宋体" w:hint="eastAsia"/>
                <w:b/>
                <w:bCs/>
                <w:color w:val="000000"/>
                <w:kern w:val="0"/>
                <w:szCs w:val="21"/>
              </w:rPr>
              <w:t>8.门诊患者满意度</w:t>
            </w:r>
            <w:r>
              <w:rPr>
                <w:rFonts w:ascii="宋体" w:hAnsi="宋体" w:cs="宋体" w:hint="eastAsia"/>
                <w:b/>
                <w:bCs/>
                <w:color w:val="000000"/>
                <w:kern w:val="0"/>
                <w:szCs w:val="21"/>
              </w:rPr>
              <w:br/>
            </w:r>
            <w:r>
              <w:rPr>
                <w:rFonts w:ascii="宋体" w:hAnsi="宋体" w:cs="宋体" w:hint="eastAsia"/>
                <w:b/>
                <w:bCs/>
                <w:color w:val="000000"/>
                <w:kern w:val="0"/>
                <w:szCs w:val="21"/>
              </w:rPr>
              <w:t>9门急诊抗菌药物使用率</w:t>
            </w:r>
            <w:r>
              <w:rPr>
                <w:rFonts w:ascii="宋体" w:hAnsi="宋体" w:cs="宋体" w:hint="eastAsia"/>
                <w:b/>
                <w:bCs/>
                <w:color w:val="000000"/>
                <w:kern w:val="0"/>
                <w:szCs w:val="21"/>
              </w:rPr>
              <w:br/>
            </w:r>
            <w:r>
              <w:rPr>
                <w:rFonts w:ascii="宋体" w:hAnsi="宋体" w:cs="宋体" w:hint="eastAsia"/>
                <w:b/>
                <w:bCs/>
                <w:color w:val="000000"/>
                <w:kern w:val="0"/>
                <w:szCs w:val="21"/>
              </w:rPr>
              <w:t>10.门诊退号率/重复挂号率。</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支持采用环形图、柱状图等更直观的方式对门急诊人次构成、门急诊次均费用构成及全院门急诊次均费用前10位的科室进行展示。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支持从全院-科室-医疗组-医生的层级下钻分析，整体监控门急诊业务运营情况。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住院管理首页 </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支持按照多种条件，对住院数据进行查询、检索，实现对不同时间段、不同科室等多维度数据的统计分析。</w:t>
            </w:r>
          </w:p>
        </w:tc>
      </w:tr>
      <w:tr>
        <w:tblPrEx>
          <w:tblW w:w="8657" w:type="dxa"/>
          <w:tblInd w:w="0" w:type="dxa"/>
          <w:tblLayout w:type="fixed"/>
          <w:tblCellMar>
            <w:top w:w="0" w:type="dxa"/>
            <w:left w:w="108" w:type="dxa"/>
            <w:bottom w:w="0" w:type="dxa"/>
            <w:right w:w="108" w:type="dxa"/>
          </w:tblCellMar>
        </w:tblPrEx>
        <w:trPr>
          <w:trHeight w:val="45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住院管理关键指标监测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▲支持对指标的本期数据、上期数据、同期数据、环比增长率、同比增长率进行展示，并支持统计报表的导出功能。主要包含以下指标：</w:t>
            </w:r>
            <w:r>
              <w:rPr>
                <w:rFonts w:ascii="宋体" w:hAnsi="宋体" w:cs="宋体" w:hint="eastAsia"/>
                <w:b/>
                <w:bCs/>
                <w:color w:val="000000"/>
                <w:kern w:val="0"/>
                <w:szCs w:val="21"/>
              </w:rPr>
              <w:br/>
            </w:r>
            <w:r>
              <w:rPr>
                <w:rFonts w:ascii="宋体" w:hAnsi="宋体" w:cs="宋体" w:hint="eastAsia"/>
                <w:b/>
                <w:bCs/>
                <w:color w:val="000000"/>
                <w:kern w:val="0"/>
                <w:szCs w:val="21"/>
              </w:rPr>
              <w:t>1.出院患者总人数</w:t>
            </w:r>
            <w:r>
              <w:rPr>
                <w:rFonts w:ascii="宋体" w:hAnsi="宋体" w:cs="宋体" w:hint="eastAsia"/>
                <w:b/>
                <w:bCs/>
                <w:color w:val="000000"/>
                <w:kern w:val="0"/>
                <w:szCs w:val="21"/>
              </w:rPr>
              <w:br/>
            </w:r>
            <w:r>
              <w:rPr>
                <w:rFonts w:ascii="宋体" w:hAnsi="宋体" w:cs="宋体" w:hint="eastAsia"/>
                <w:b/>
                <w:bCs/>
                <w:color w:val="000000"/>
                <w:kern w:val="0"/>
                <w:szCs w:val="21"/>
              </w:rPr>
              <w:t>2.出院患者平均住院日</w:t>
            </w:r>
            <w:r>
              <w:rPr>
                <w:rFonts w:ascii="宋体" w:hAnsi="宋体" w:cs="宋体" w:hint="eastAsia"/>
                <w:b/>
                <w:bCs/>
                <w:color w:val="000000"/>
                <w:kern w:val="0"/>
                <w:szCs w:val="21"/>
              </w:rPr>
              <w:br/>
            </w:r>
            <w:r>
              <w:rPr>
                <w:rFonts w:ascii="宋体" w:hAnsi="宋体" w:cs="宋体" w:hint="eastAsia"/>
                <w:b/>
                <w:bCs/>
                <w:color w:val="000000"/>
                <w:kern w:val="0"/>
                <w:szCs w:val="21"/>
              </w:rPr>
              <w:t>3.病床使用率</w:t>
            </w:r>
            <w:r>
              <w:rPr>
                <w:rFonts w:ascii="宋体" w:hAnsi="宋体" w:cs="宋体" w:hint="eastAsia"/>
                <w:b/>
                <w:bCs/>
                <w:color w:val="000000"/>
                <w:kern w:val="0"/>
                <w:szCs w:val="21"/>
              </w:rPr>
              <w:br/>
            </w:r>
            <w:r>
              <w:rPr>
                <w:rFonts w:ascii="宋体" w:hAnsi="宋体" w:cs="宋体" w:hint="eastAsia"/>
                <w:b/>
                <w:bCs/>
                <w:color w:val="000000"/>
                <w:kern w:val="0"/>
                <w:szCs w:val="21"/>
              </w:rPr>
              <w:t>4.床位周转次数</w:t>
            </w:r>
            <w:r>
              <w:rPr>
                <w:rFonts w:ascii="宋体" w:hAnsi="宋体" w:cs="宋体" w:hint="eastAsia"/>
                <w:b/>
                <w:bCs/>
                <w:color w:val="000000"/>
                <w:kern w:val="0"/>
                <w:szCs w:val="21"/>
              </w:rPr>
              <w:br/>
            </w:r>
            <w:r>
              <w:rPr>
                <w:rFonts w:ascii="宋体" w:hAnsi="宋体" w:cs="宋体" w:hint="eastAsia"/>
                <w:b/>
                <w:bCs/>
                <w:color w:val="000000"/>
                <w:kern w:val="0"/>
                <w:szCs w:val="21"/>
              </w:rPr>
              <w:t>5.出入院人数比</w:t>
            </w:r>
            <w:r>
              <w:rPr>
                <w:rFonts w:ascii="宋体" w:hAnsi="宋体" w:cs="宋体" w:hint="eastAsia"/>
                <w:b/>
                <w:bCs/>
                <w:color w:val="000000"/>
                <w:kern w:val="0"/>
                <w:szCs w:val="21"/>
              </w:rPr>
              <w:br/>
            </w:r>
            <w:r>
              <w:rPr>
                <w:rFonts w:ascii="宋体" w:hAnsi="宋体" w:cs="宋体" w:hint="eastAsia"/>
                <w:b/>
                <w:bCs/>
                <w:color w:val="000000"/>
                <w:kern w:val="0"/>
                <w:szCs w:val="21"/>
              </w:rPr>
              <w:t>6.住院抗菌药物使用强度（DDDs）</w:t>
            </w:r>
            <w:r>
              <w:rPr>
                <w:rFonts w:ascii="宋体" w:hAnsi="宋体" w:cs="宋体" w:hint="eastAsia"/>
                <w:b/>
                <w:bCs/>
                <w:color w:val="000000"/>
                <w:kern w:val="0"/>
                <w:szCs w:val="21"/>
              </w:rPr>
              <w:br/>
            </w:r>
            <w:r>
              <w:rPr>
                <w:rFonts w:ascii="宋体" w:hAnsi="宋体" w:cs="宋体" w:hint="eastAsia"/>
                <w:b/>
                <w:bCs/>
                <w:color w:val="000000"/>
                <w:kern w:val="0"/>
                <w:szCs w:val="21"/>
              </w:rPr>
              <w:t>7.重返住院率（7天、30天）</w:t>
            </w:r>
            <w:r>
              <w:rPr>
                <w:rFonts w:ascii="宋体" w:hAnsi="宋体" w:cs="宋体" w:hint="eastAsia"/>
                <w:b/>
                <w:bCs/>
                <w:color w:val="000000"/>
                <w:kern w:val="0"/>
                <w:szCs w:val="21"/>
              </w:rPr>
              <w:br/>
            </w:r>
            <w:r>
              <w:rPr>
                <w:rFonts w:ascii="宋体" w:hAnsi="宋体" w:cs="宋体" w:hint="eastAsia"/>
                <w:b/>
                <w:bCs/>
                <w:color w:val="000000"/>
                <w:kern w:val="0"/>
                <w:szCs w:val="21"/>
              </w:rPr>
              <w:t>8.住院死亡率</w:t>
            </w:r>
            <w:r>
              <w:rPr>
                <w:rFonts w:ascii="宋体" w:hAnsi="宋体" w:cs="宋体" w:hint="eastAsia"/>
                <w:b/>
                <w:bCs/>
                <w:color w:val="000000"/>
                <w:kern w:val="0"/>
                <w:szCs w:val="21"/>
              </w:rPr>
              <w:br/>
            </w:r>
            <w:r>
              <w:rPr>
                <w:rFonts w:ascii="宋体" w:hAnsi="宋体" w:cs="宋体" w:hint="eastAsia"/>
                <w:b/>
                <w:bCs/>
                <w:color w:val="000000"/>
                <w:kern w:val="0"/>
                <w:szCs w:val="21"/>
              </w:rPr>
              <w:t>9.住院手术占比</w:t>
            </w:r>
            <w:r>
              <w:rPr>
                <w:rFonts w:ascii="宋体" w:hAnsi="宋体" w:cs="宋体" w:hint="eastAsia"/>
                <w:b/>
                <w:bCs/>
                <w:color w:val="000000"/>
                <w:kern w:val="0"/>
                <w:szCs w:val="21"/>
              </w:rPr>
              <w:br/>
            </w:r>
            <w:r>
              <w:rPr>
                <w:rFonts w:ascii="宋体" w:hAnsi="宋体" w:cs="宋体" w:hint="eastAsia"/>
                <w:b/>
                <w:bCs/>
                <w:color w:val="000000"/>
                <w:kern w:val="0"/>
                <w:szCs w:val="21"/>
              </w:rPr>
              <w:t>10.DRG出院组数/CMI值。</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采用环形图、柱状图等更直观的方式对出院人次构成、住院次均费用构成及全院住院结账次均费用前10位的科室进行展示，且支持采用柱状图对全院住院次均费用前5、前10、前20、后5、后10、后20的科室及全院所有科室（升序、降序）进行排列展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支持实现从全院-科室-医疗组-医生的层级下钻分析，整体监控住院业务运营情况。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医保控费分析 </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支持按照多种条件，对医保数据进行查询、检索，实现对不同时间段、不同科室等多维度数据的统计分析。</w:t>
            </w:r>
          </w:p>
        </w:tc>
      </w:tr>
      <w:tr>
        <w:tblPrEx>
          <w:tblW w:w="8657" w:type="dxa"/>
          <w:tblInd w:w="0" w:type="dxa"/>
          <w:tblLayout w:type="fixed"/>
          <w:tblCellMar>
            <w:top w:w="0" w:type="dxa"/>
            <w:left w:w="108" w:type="dxa"/>
            <w:bottom w:w="0" w:type="dxa"/>
            <w:right w:w="108" w:type="dxa"/>
          </w:tblCellMar>
        </w:tblPrEx>
        <w:trPr>
          <w:trHeight w:val="417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医保控费关键指标监测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▲支持对指标的本期数据、上期数据、同期数据、环比增长率、同比增长率进行展示，并支持统计报表的导出功能。主要包含以下指标：</w:t>
            </w:r>
            <w:r>
              <w:rPr>
                <w:rFonts w:ascii="宋体" w:hAnsi="宋体" w:cs="宋体" w:hint="eastAsia"/>
                <w:b/>
                <w:bCs/>
                <w:color w:val="000000"/>
                <w:kern w:val="0"/>
                <w:szCs w:val="21"/>
              </w:rPr>
              <w:br/>
            </w:r>
            <w:r>
              <w:rPr>
                <w:rFonts w:ascii="宋体" w:hAnsi="宋体" w:cs="宋体" w:hint="eastAsia"/>
                <w:b/>
                <w:bCs/>
                <w:color w:val="000000"/>
                <w:kern w:val="0"/>
                <w:szCs w:val="21"/>
              </w:rPr>
              <w:t>1.人均医保费用（门诊/住院）</w:t>
            </w:r>
            <w:r>
              <w:rPr>
                <w:rFonts w:ascii="宋体" w:hAnsi="宋体" w:cs="宋体" w:hint="eastAsia"/>
                <w:b/>
                <w:bCs/>
                <w:color w:val="000000"/>
                <w:kern w:val="0"/>
                <w:szCs w:val="21"/>
              </w:rPr>
              <w:br/>
            </w:r>
            <w:r>
              <w:rPr>
                <w:rFonts w:ascii="宋体" w:hAnsi="宋体" w:cs="宋体" w:hint="eastAsia"/>
                <w:b/>
                <w:bCs/>
                <w:color w:val="000000"/>
                <w:kern w:val="0"/>
                <w:szCs w:val="21"/>
              </w:rPr>
              <w:t>2.病组点数/DRG总分值</w:t>
            </w:r>
            <w:r>
              <w:rPr>
                <w:rFonts w:ascii="宋体" w:hAnsi="宋体" w:cs="宋体" w:hint="eastAsia"/>
                <w:b/>
                <w:bCs/>
                <w:color w:val="000000"/>
                <w:kern w:val="0"/>
                <w:szCs w:val="21"/>
              </w:rPr>
              <w:br/>
            </w:r>
            <w:r>
              <w:rPr>
                <w:rFonts w:ascii="宋体" w:hAnsi="宋体" w:cs="宋体" w:hint="eastAsia"/>
                <w:b/>
                <w:bCs/>
                <w:color w:val="000000"/>
                <w:kern w:val="0"/>
                <w:szCs w:val="21"/>
              </w:rPr>
              <w:t>3.费用结构占比（三大项）</w:t>
            </w:r>
            <w:r>
              <w:rPr>
                <w:rFonts w:ascii="宋体" w:hAnsi="宋体" w:cs="宋体" w:hint="eastAsia"/>
                <w:b/>
                <w:bCs/>
                <w:color w:val="000000"/>
                <w:kern w:val="0"/>
                <w:szCs w:val="21"/>
              </w:rPr>
              <w:br/>
            </w:r>
            <w:r>
              <w:rPr>
                <w:rFonts w:ascii="宋体" w:hAnsi="宋体" w:cs="宋体" w:hint="eastAsia"/>
                <w:b/>
                <w:bCs/>
                <w:color w:val="000000"/>
                <w:kern w:val="0"/>
                <w:szCs w:val="21"/>
              </w:rPr>
              <w:t>4.高值耗材使用频次及占比</w:t>
            </w:r>
            <w:r>
              <w:rPr>
                <w:rFonts w:ascii="宋体" w:hAnsi="宋体" w:cs="宋体" w:hint="eastAsia"/>
                <w:b/>
                <w:bCs/>
                <w:color w:val="000000"/>
                <w:kern w:val="0"/>
                <w:szCs w:val="21"/>
              </w:rPr>
              <w:br/>
            </w:r>
            <w:r>
              <w:rPr>
                <w:rFonts w:ascii="宋体" w:hAnsi="宋体" w:cs="宋体" w:hint="eastAsia"/>
                <w:b/>
                <w:bCs/>
                <w:color w:val="000000"/>
                <w:kern w:val="0"/>
                <w:szCs w:val="21"/>
              </w:rPr>
              <w:t>5.医保基金支付比例</w:t>
            </w:r>
            <w:r>
              <w:rPr>
                <w:rFonts w:ascii="宋体" w:hAnsi="宋体" w:cs="宋体" w:hint="eastAsia"/>
                <w:b/>
                <w:bCs/>
                <w:color w:val="000000"/>
                <w:kern w:val="0"/>
                <w:szCs w:val="21"/>
              </w:rPr>
              <w:br/>
            </w:r>
            <w:r>
              <w:rPr>
                <w:rFonts w:ascii="宋体" w:hAnsi="宋体" w:cs="宋体" w:hint="eastAsia"/>
                <w:b/>
                <w:bCs/>
                <w:color w:val="000000"/>
                <w:kern w:val="0"/>
                <w:szCs w:val="21"/>
              </w:rPr>
              <w:t>6.医保不合规费用占比</w:t>
            </w:r>
            <w:r>
              <w:rPr>
                <w:rFonts w:ascii="宋体" w:hAnsi="宋体" w:cs="宋体" w:hint="eastAsia"/>
                <w:b/>
                <w:bCs/>
                <w:color w:val="000000"/>
                <w:kern w:val="0"/>
                <w:szCs w:val="21"/>
              </w:rPr>
              <w:br/>
            </w:r>
            <w:r>
              <w:rPr>
                <w:rFonts w:ascii="宋体" w:hAnsi="宋体" w:cs="宋体" w:hint="eastAsia"/>
                <w:b/>
                <w:bCs/>
                <w:color w:val="000000"/>
                <w:kern w:val="0"/>
                <w:szCs w:val="21"/>
              </w:rPr>
              <w:t>7.次均费用变动趋势</w:t>
            </w:r>
            <w:r>
              <w:rPr>
                <w:rFonts w:ascii="宋体" w:hAnsi="宋体" w:cs="宋体" w:hint="eastAsia"/>
                <w:b/>
                <w:bCs/>
                <w:color w:val="000000"/>
                <w:kern w:val="0"/>
                <w:szCs w:val="21"/>
              </w:rPr>
              <w:br/>
            </w:r>
            <w:r>
              <w:rPr>
                <w:rFonts w:ascii="宋体" w:hAnsi="宋体" w:cs="宋体" w:hint="eastAsia"/>
                <w:b/>
                <w:bCs/>
                <w:color w:val="000000"/>
                <w:kern w:val="0"/>
                <w:szCs w:val="21"/>
              </w:rPr>
              <w:t>8.违规费用追回金额</w:t>
            </w:r>
            <w:r>
              <w:rPr>
                <w:rFonts w:ascii="宋体" w:hAnsi="宋体" w:cs="宋体" w:hint="eastAsia"/>
                <w:b/>
                <w:bCs/>
                <w:color w:val="000000"/>
                <w:kern w:val="0"/>
                <w:szCs w:val="21"/>
              </w:rPr>
              <w:br/>
            </w:r>
            <w:r>
              <w:rPr>
                <w:rFonts w:ascii="宋体" w:hAnsi="宋体" w:cs="宋体" w:hint="eastAsia"/>
                <w:b/>
                <w:bCs/>
                <w:color w:val="000000"/>
                <w:kern w:val="0"/>
                <w:szCs w:val="21"/>
              </w:rPr>
              <w:t>9.DRG病例组数/出院人数。</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支持采用环形图、柱状图等更直观的方式对出院人次构成、住院次均费用构成及全院住自费比例前10位的科室进行展示，可实现从全院-科室-医疗组-医生的层级下钻分析，整体监控医保费用情况。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手术管理首页 </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支持按照多种条件，对手术数据进行查询、检索，实现对不同时间段、不同科室等多维度数据的统计分析。</w:t>
            </w:r>
          </w:p>
        </w:tc>
      </w:tr>
      <w:tr>
        <w:tblPrEx>
          <w:tblW w:w="8657" w:type="dxa"/>
          <w:tblInd w:w="0" w:type="dxa"/>
          <w:tblLayout w:type="fixed"/>
          <w:tblCellMar>
            <w:top w:w="0" w:type="dxa"/>
            <w:left w:w="108" w:type="dxa"/>
            <w:bottom w:w="0" w:type="dxa"/>
            <w:right w:w="108" w:type="dxa"/>
          </w:tblCellMar>
        </w:tblPrEx>
        <w:trPr>
          <w:trHeight w:val="45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手术管理关键指标监测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▲支持对指标的本期数据、上期数据、同期数据、环比增长率、同比增长率进行展示，并支持统计报表的导出功能。主要包含以下指标：</w:t>
            </w:r>
            <w:r>
              <w:rPr>
                <w:rFonts w:ascii="宋体" w:hAnsi="宋体" w:cs="宋体" w:hint="eastAsia"/>
                <w:b/>
                <w:bCs/>
                <w:color w:val="000000"/>
                <w:kern w:val="0"/>
                <w:szCs w:val="21"/>
              </w:rPr>
              <w:br/>
            </w:r>
            <w:r>
              <w:rPr>
                <w:rFonts w:ascii="宋体" w:hAnsi="宋体" w:cs="宋体" w:hint="eastAsia"/>
                <w:b/>
                <w:bCs/>
                <w:color w:val="000000"/>
                <w:kern w:val="0"/>
                <w:szCs w:val="21"/>
              </w:rPr>
              <w:t>1.总手术台数</w:t>
            </w:r>
            <w:r>
              <w:rPr>
                <w:rFonts w:ascii="宋体" w:hAnsi="宋体" w:cs="宋体" w:hint="eastAsia"/>
                <w:b/>
                <w:bCs/>
                <w:color w:val="000000"/>
                <w:kern w:val="0"/>
                <w:szCs w:val="21"/>
              </w:rPr>
              <w:br/>
            </w:r>
            <w:r>
              <w:rPr>
                <w:rFonts w:ascii="宋体" w:hAnsi="宋体" w:cs="宋体" w:hint="eastAsia"/>
                <w:b/>
                <w:bCs/>
                <w:color w:val="000000"/>
                <w:kern w:val="0"/>
                <w:szCs w:val="21"/>
              </w:rPr>
              <w:t>2.手术种类分布（一级/二级/三级）</w:t>
            </w:r>
            <w:r>
              <w:rPr>
                <w:rFonts w:ascii="宋体" w:hAnsi="宋体" w:cs="宋体" w:hint="eastAsia"/>
                <w:b/>
                <w:bCs/>
                <w:color w:val="000000"/>
                <w:kern w:val="0"/>
                <w:szCs w:val="21"/>
              </w:rPr>
              <w:br/>
            </w:r>
            <w:r>
              <w:rPr>
                <w:rFonts w:ascii="宋体" w:hAnsi="宋体" w:cs="宋体" w:hint="eastAsia"/>
                <w:b/>
                <w:bCs/>
                <w:color w:val="000000"/>
                <w:kern w:val="0"/>
                <w:szCs w:val="21"/>
              </w:rPr>
              <w:t>3.非计划再次手术率</w:t>
            </w:r>
            <w:r>
              <w:rPr>
                <w:rFonts w:ascii="宋体" w:hAnsi="宋体" w:cs="宋体" w:hint="eastAsia"/>
                <w:b/>
                <w:bCs/>
                <w:color w:val="000000"/>
                <w:kern w:val="0"/>
                <w:szCs w:val="21"/>
              </w:rPr>
              <w:br/>
            </w:r>
            <w:r>
              <w:rPr>
                <w:rFonts w:ascii="宋体" w:hAnsi="宋体" w:cs="宋体" w:hint="eastAsia"/>
                <w:b/>
                <w:bCs/>
                <w:color w:val="000000"/>
                <w:kern w:val="0"/>
                <w:szCs w:val="21"/>
              </w:rPr>
              <w:t>4.手术取消率</w:t>
            </w:r>
            <w:r>
              <w:rPr>
                <w:rFonts w:ascii="宋体" w:hAnsi="宋体" w:cs="宋体" w:hint="eastAsia"/>
                <w:b/>
                <w:bCs/>
                <w:color w:val="000000"/>
                <w:kern w:val="0"/>
                <w:szCs w:val="21"/>
              </w:rPr>
              <w:br/>
            </w:r>
            <w:r>
              <w:rPr>
                <w:rFonts w:ascii="宋体" w:hAnsi="宋体" w:cs="宋体" w:hint="eastAsia"/>
                <w:b/>
                <w:bCs/>
                <w:color w:val="000000"/>
                <w:kern w:val="0"/>
                <w:szCs w:val="21"/>
              </w:rPr>
              <w:t>5.手术部位感染率</w:t>
            </w:r>
            <w:r>
              <w:rPr>
                <w:rFonts w:ascii="宋体" w:hAnsi="宋体" w:cs="宋体" w:hint="eastAsia"/>
                <w:b/>
                <w:bCs/>
                <w:color w:val="000000"/>
                <w:kern w:val="0"/>
                <w:szCs w:val="21"/>
              </w:rPr>
              <w:br/>
            </w:r>
            <w:r>
              <w:rPr>
                <w:rFonts w:ascii="宋体" w:hAnsi="宋体" w:cs="宋体" w:hint="eastAsia"/>
                <w:b/>
                <w:bCs/>
                <w:color w:val="000000"/>
                <w:kern w:val="0"/>
                <w:szCs w:val="21"/>
              </w:rPr>
              <w:t>6.术中输血率</w:t>
            </w:r>
            <w:r>
              <w:rPr>
                <w:rFonts w:ascii="宋体" w:hAnsi="宋体" w:cs="宋体" w:hint="eastAsia"/>
                <w:b/>
                <w:bCs/>
                <w:color w:val="000000"/>
                <w:kern w:val="0"/>
                <w:szCs w:val="21"/>
              </w:rPr>
              <w:br/>
            </w:r>
            <w:r>
              <w:rPr>
                <w:rFonts w:ascii="宋体" w:hAnsi="宋体" w:cs="宋体" w:hint="eastAsia"/>
                <w:b/>
                <w:bCs/>
                <w:color w:val="000000"/>
                <w:kern w:val="0"/>
                <w:szCs w:val="21"/>
              </w:rPr>
              <w:t>7.术前病例讨论执行率</w:t>
            </w:r>
            <w:r>
              <w:rPr>
                <w:rFonts w:ascii="宋体" w:hAnsi="宋体" w:cs="宋体" w:hint="eastAsia"/>
                <w:b/>
                <w:bCs/>
                <w:color w:val="000000"/>
                <w:kern w:val="0"/>
                <w:szCs w:val="21"/>
              </w:rPr>
              <w:br/>
            </w:r>
            <w:r>
              <w:rPr>
                <w:rFonts w:ascii="宋体" w:hAnsi="宋体" w:cs="宋体" w:hint="eastAsia"/>
                <w:b/>
                <w:bCs/>
                <w:color w:val="000000"/>
                <w:kern w:val="0"/>
                <w:szCs w:val="21"/>
              </w:rPr>
              <w:t>8.手术前知情同意签署率</w:t>
            </w:r>
            <w:r>
              <w:rPr>
                <w:rFonts w:ascii="宋体" w:hAnsi="宋体" w:cs="宋体" w:hint="eastAsia"/>
                <w:b/>
                <w:bCs/>
                <w:color w:val="000000"/>
                <w:kern w:val="0"/>
                <w:szCs w:val="21"/>
              </w:rPr>
              <w:br/>
            </w:r>
            <w:r>
              <w:rPr>
                <w:rFonts w:ascii="宋体" w:hAnsi="宋体" w:cs="宋体" w:hint="eastAsia"/>
                <w:b/>
                <w:bCs/>
                <w:color w:val="000000"/>
                <w:kern w:val="0"/>
                <w:szCs w:val="21"/>
              </w:rPr>
              <w:t>9.手术患者死亡率</w:t>
            </w:r>
            <w:r>
              <w:rPr>
                <w:rFonts w:ascii="宋体" w:hAnsi="宋体" w:cs="宋体" w:hint="eastAsia"/>
                <w:b/>
                <w:bCs/>
                <w:color w:val="000000"/>
                <w:kern w:val="0"/>
                <w:szCs w:val="21"/>
              </w:rPr>
              <w:br/>
            </w:r>
            <w:r>
              <w:rPr>
                <w:rFonts w:ascii="宋体" w:hAnsi="宋体" w:cs="宋体" w:hint="eastAsia"/>
                <w:b/>
                <w:bCs/>
                <w:color w:val="000000"/>
                <w:kern w:val="0"/>
                <w:szCs w:val="21"/>
              </w:rPr>
              <w:t>10.日间手术占比。</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用仪表盘、环形图、柱状图等更直观的方式对四级手术占比、不同等级手术人次占比及手术费用构成进行展示，且支持采用柱状图对全院住院次均费用以所有科室（升序、降序）进行排列展示。可实现从全院-科室-医疗组-医生的层级下钻分析，整体监控手术业务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护理质量管理首页 </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支持按照多种条件，对护理质量数据进行查询、检索，实现对不同时间段、不同科室等多维度数据的统计分析。</w:t>
            </w:r>
          </w:p>
        </w:tc>
      </w:tr>
      <w:tr>
        <w:tblPrEx>
          <w:tblW w:w="8657"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护理质量关键指标监测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护理人力资源配置（床护比）、护理记录合格率、压疮发生率（含新发）等关键指标监测。（</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支持实现从全院-科室-护理单元-护理人员的层级下钻分析，整体监控护理质量情况。</w:t>
            </w:r>
          </w:p>
        </w:tc>
      </w:tr>
      <w:tr>
        <w:tblPrEx>
          <w:tblW w:w="8657" w:type="dxa"/>
          <w:tblInd w:w="0" w:type="dxa"/>
          <w:tblLayout w:type="fixed"/>
          <w:tblCellMar>
            <w:top w:w="0" w:type="dxa"/>
            <w:left w:w="108" w:type="dxa"/>
            <w:bottom w:w="0" w:type="dxa"/>
            <w:right w:w="108" w:type="dxa"/>
          </w:tblCellMar>
        </w:tblPrEx>
        <w:trPr>
          <w:trHeight w:val="1971"/>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系统设置 </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指标库设置</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▲业务指标管理：</w:t>
            </w:r>
            <w:r>
              <w:rPr>
                <w:rFonts w:ascii="宋体" w:hAnsi="宋体" w:cs="宋体" w:hint="eastAsia"/>
                <w:b/>
                <w:bCs/>
                <w:color w:val="000000"/>
                <w:kern w:val="0"/>
                <w:szCs w:val="21"/>
              </w:rPr>
              <w:br/>
            </w:r>
            <w:r>
              <w:rPr>
                <w:rFonts w:ascii="宋体" w:hAnsi="宋体" w:cs="宋体" w:hint="eastAsia"/>
                <w:b/>
                <w:bCs/>
                <w:color w:val="000000"/>
                <w:kern w:val="0"/>
                <w:szCs w:val="21"/>
              </w:rPr>
              <w:t>系统支持根据业务活动、度量视角选取原子指标，构建业务指标体系，具备派生指标、复合指标的定义与管理能力。</w:t>
            </w:r>
            <w:r>
              <w:rPr>
                <w:rFonts w:ascii="宋体" w:hAnsi="宋体" w:cs="宋体" w:hint="eastAsia"/>
                <w:b/>
                <w:bCs/>
                <w:color w:val="000000"/>
                <w:kern w:val="0"/>
                <w:szCs w:val="21"/>
              </w:rPr>
              <w:br/>
            </w:r>
            <w:r>
              <w:rPr>
                <w:rFonts w:ascii="宋体" w:hAnsi="宋体" w:cs="宋体" w:hint="eastAsia"/>
                <w:b/>
                <w:bCs/>
                <w:color w:val="000000"/>
                <w:kern w:val="0"/>
                <w:szCs w:val="21"/>
              </w:rPr>
              <w:t>支持业务定义与计算逻辑分离，系统可通过配置实时计算业务指标结果。</w:t>
            </w:r>
            <w:r>
              <w:rPr>
                <w:rFonts w:ascii="宋体" w:hAnsi="宋体" w:cs="宋体" w:hint="eastAsia"/>
                <w:b/>
                <w:bCs/>
                <w:color w:val="000000"/>
                <w:kern w:val="0"/>
                <w:szCs w:val="21"/>
              </w:rPr>
              <w:br/>
            </w:r>
            <w:r>
              <w:rPr>
                <w:rFonts w:ascii="宋体" w:hAnsi="宋体" w:cs="宋体" w:hint="eastAsia"/>
                <w:b/>
                <w:bCs/>
                <w:color w:val="000000"/>
                <w:kern w:val="0"/>
                <w:szCs w:val="21"/>
              </w:rPr>
              <w:t>系统支持业务指标的血缘关系追溯，能够清晰展示指标的上游原子指标、标签、资产对象等依赖关系。</w:t>
            </w:r>
            <w:r>
              <w:rPr>
                <w:rFonts w:ascii="宋体" w:hAnsi="宋体" w:cs="宋体" w:hint="eastAsia"/>
                <w:b/>
                <w:bCs/>
                <w:color w:val="000000"/>
                <w:kern w:val="0"/>
                <w:szCs w:val="21"/>
              </w:rPr>
              <w:br/>
            </w:r>
            <w:r>
              <w:rPr>
                <w:rFonts w:ascii="宋体" w:hAnsi="宋体" w:cs="宋体" w:hint="eastAsia"/>
                <w:b/>
                <w:bCs/>
                <w:color w:val="000000"/>
                <w:kern w:val="0"/>
                <w:szCs w:val="21"/>
              </w:rPr>
              <w:t>支持业务指标的检索功能，查询参数包括唯一ID、指标名称、指标来源、业务标识（如通用名）等。</w:t>
            </w:r>
            <w:r>
              <w:rPr>
                <w:rFonts w:ascii="宋体" w:hAnsi="宋体" w:cs="宋体" w:hint="eastAsia"/>
                <w:b/>
                <w:bCs/>
                <w:color w:val="000000"/>
                <w:kern w:val="0"/>
                <w:szCs w:val="21"/>
              </w:rPr>
              <w:br/>
            </w:r>
            <w:r>
              <w:rPr>
                <w:rFonts w:ascii="宋体" w:hAnsi="宋体" w:cs="宋体" w:hint="eastAsia"/>
                <w:b/>
                <w:bCs/>
                <w:color w:val="000000"/>
                <w:kern w:val="0"/>
                <w:szCs w:val="21"/>
              </w:rPr>
              <w:t>系统应支持单个指标结果值、口径及对应SQL的查询，支持Debug模式下调试SQL。</w:t>
            </w:r>
            <w:r>
              <w:rPr>
                <w:rFonts w:ascii="宋体" w:hAnsi="宋体" w:cs="宋体" w:hint="eastAsia"/>
                <w:b/>
                <w:bCs/>
                <w:color w:val="000000"/>
                <w:kern w:val="0"/>
                <w:szCs w:val="21"/>
              </w:rPr>
              <w:br/>
            </w:r>
            <w:r>
              <w:rPr>
                <w:rFonts w:ascii="宋体" w:hAnsi="宋体" w:cs="宋体" w:hint="eastAsia"/>
                <w:b/>
                <w:bCs/>
                <w:color w:val="000000"/>
                <w:kern w:val="0"/>
                <w:szCs w:val="21"/>
              </w:rPr>
              <w:t>原子指标管理：</w:t>
            </w:r>
            <w:r>
              <w:rPr>
                <w:rFonts w:ascii="宋体" w:hAnsi="宋体" w:cs="宋体" w:hint="eastAsia"/>
                <w:b/>
                <w:bCs/>
                <w:color w:val="000000"/>
                <w:kern w:val="0"/>
                <w:szCs w:val="21"/>
              </w:rPr>
              <w:br/>
            </w:r>
            <w:r>
              <w:rPr>
                <w:rFonts w:ascii="宋体" w:hAnsi="宋体" w:cs="宋体" w:hint="eastAsia"/>
                <w:b/>
                <w:bCs/>
                <w:color w:val="000000"/>
                <w:kern w:val="0"/>
                <w:szCs w:val="21"/>
              </w:rPr>
              <w:t>系统支持基于数据范围创建原子指标，具备对原子指标的公用维度、关联逻辑的统一管理能力。</w:t>
            </w:r>
            <w:r>
              <w:rPr>
                <w:rFonts w:ascii="宋体" w:hAnsi="宋体" w:cs="宋体" w:hint="eastAsia"/>
                <w:b/>
                <w:bCs/>
                <w:color w:val="000000"/>
                <w:kern w:val="0"/>
                <w:szCs w:val="21"/>
              </w:rPr>
              <w:br/>
            </w:r>
            <w:r>
              <w:rPr>
                <w:rFonts w:ascii="宋体" w:hAnsi="宋体" w:cs="宋体" w:hint="eastAsia"/>
                <w:b/>
                <w:bCs/>
                <w:color w:val="000000"/>
                <w:kern w:val="0"/>
                <w:szCs w:val="21"/>
              </w:rPr>
              <w:t>支持原子指标的编辑、删除、复制操作，便于指标的维护与复用。</w:t>
            </w:r>
            <w:r>
              <w:rPr>
                <w:rFonts w:ascii="宋体" w:hAnsi="宋体" w:cs="宋体" w:hint="eastAsia"/>
                <w:b/>
                <w:bCs/>
                <w:color w:val="000000"/>
                <w:kern w:val="0"/>
                <w:szCs w:val="21"/>
              </w:rPr>
              <w:br/>
            </w:r>
            <w:r>
              <w:rPr>
                <w:rFonts w:ascii="宋体" w:hAnsi="宋体" w:cs="宋体" w:hint="eastAsia"/>
                <w:b/>
                <w:bCs/>
                <w:color w:val="000000"/>
                <w:kern w:val="0"/>
                <w:szCs w:val="21"/>
              </w:rPr>
              <w:t>系统具备处理单字段关联多适用对象的能力，支持复杂业务场景下的指标配置。</w:t>
            </w:r>
            <w:r>
              <w:rPr>
                <w:rFonts w:ascii="宋体" w:hAnsi="宋体" w:cs="宋体" w:hint="eastAsia"/>
                <w:b/>
                <w:bCs/>
                <w:color w:val="000000"/>
                <w:kern w:val="0"/>
                <w:szCs w:val="21"/>
              </w:rPr>
              <w:br/>
            </w:r>
            <w:r>
              <w:rPr>
                <w:rFonts w:ascii="宋体" w:hAnsi="宋体" w:cs="宋体" w:hint="eastAsia"/>
                <w:b/>
                <w:bCs/>
                <w:color w:val="000000"/>
                <w:kern w:val="0"/>
                <w:szCs w:val="21"/>
              </w:rPr>
              <w:t>在管理工具中提供原子指标检索功能，支持多维度查询，提升查找效率。</w:t>
            </w:r>
            <w:r>
              <w:rPr>
                <w:rFonts w:ascii="宋体" w:hAnsi="宋体" w:cs="宋体" w:hint="eastAsia"/>
                <w:b/>
                <w:bCs/>
                <w:color w:val="000000"/>
                <w:kern w:val="0"/>
                <w:szCs w:val="21"/>
              </w:rPr>
              <w:br/>
            </w:r>
            <w:r>
              <w:rPr>
                <w:rFonts w:ascii="宋体" w:hAnsi="宋体" w:cs="宋体" w:hint="eastAsia"/>
                <w:b/>
                <w:bCs/>
                <w:color w:val="000000"/>
                <w:kern w:val="0"/>
                <w:szCs w:val="21"/>
              </w:rPr>
              <w:t>同时提供原子指标矩阵，帮助用户根据业务活动与度量关系快速检索、理解原子指标体系，降低使用门槛。</w:t>
            </w:r>
            <w:r>
              <w:rPr>
                <w:rFonts w:ascii="宋体" w:hAnsi="宋体" w:cs="宋体" w:hint="eastAsia"/>
                <w:b/>
                <w:bCs/>
                <w:color w:val="000000"/>
                <w:kern w:val="0"/>
                <w:szCs w:val="21"/>
              </w:rPr>
              <w:br/>
            </w:r>
            <w:r>
              <w:rPr>
                <w:rFonts w:ascii="宋体" w:hAnsi="宋体" w:cs="宋体" w:hint="eastAsia"/>
                <w:b/>
                <w:bCs/>
                <w:color w:val="000000"/>
                <w:kern w:val="0"/>
                <w:szCs w:val="21"/>
              </w:rPr>
              <w:t>系统支持数据范围管理，明确原子指标所依赖的大宽表结构。</w:t>
            </w:r>
            <w:r>
              <w:rPr>
                <w:rFonts w:ascii="宋体" w:hAnsi="宋体" w:cs="宋体" w:hint="eastAsia"/>
                <w:b/>
                <w:bCs/>
                <w:color w:val="000000"/>
                <w:kern w:val="0"/>
                <w:szCs w:val="21"/>
              </w:rPr>
              <w:br/>
            </w:r>
            <w:r>
              <w:rPr>
                <w:rFonts w:ascii="宋体" w:hAnsi="宋体" w:cs="宋体" w:hint="eastAsia"/>
                <w:b/>
                <w:bCs/>
                <w:color w:val="000000"/>
                <w:kern w:val="0"/>
                <w:szCs w:val="21"/>
              </w:rPr>
              <w:t>标签管理：</w:t>
            </w:r>
            <w:r>
              <w:rPr>
                <w:rFonts w:ascii="宋体" w:hAnsi="宋体" w:cs="宋体" w:hint="eastAsia"/>
                <w:b/>
                <w:bCs/>
                <w:color w:val="000000"/>
                <w:kern w:val="0"/>
                <w:szCs w:val="21"/>
              </w:rPr>
              <w:br/>
            </w:r>
            <w:r>
              <w:rPr>
                <w:rFonts w:ascii="宋体" w:hAnsi="宋体" w:cs="宋体" w:hint="eastAsia"/>
                <w:b/>
                <w:bCs/>
                <w:color w:val="000000"/>
                <w:kern w:val="0"/>
                <w:szCs w:val="21"/>
              </w:rPr>
              <w:t>系统支持展示机构数据资产中心内全部标签信息，包含标签ID、标签Code、标签对象、标签名称、业务分类等。</w:t>
            </w:r>
            <w:r>
              <w:rPr>
                <w:rFonts w:ascii="宋体" w:hAnsi="宋体" w:cs="宋体" w:hint="eastAsia"/>
                <w:b/>
                <w:bCs/>
                <w:color w:val="000000"/>
                <w:kern w:val="0"/>
                <w:szCs w:val="21"/>
              </w:rPr>
              <w:br/>
            </w:r>
            <w:r>
              <w:rPr>
                <w:rFonts w:ascii="宋体" w:hAnsi="宋体" w:cs="宋体" w:hint="eastAsia"/>
                <w:b/>
                <w:bCs/>
                <w:color w:val="000000"/>
                <w:kern w:val="0"/>
                <w:szCs w:val="21"/>
              </w:rPr>
              <w:t>支持通过多维条件（如标签ID、标签Code、标签对象、标签名称、业务分类）进行标签搜索。</w:t>
            </w:r>
            <w:r>
              <w:rPr>
                <w:rFonts w:ascii="宋体" w:hAnsi="宋体" w:cs="宋体" w:hint="eastAsia"/>
                <w:b/>
                <w:bCs/>
                <w:color w:val="000000"/>
                <w:kern w:val="0"/>
                <w:szCs w:val="21"/>
              </w:rPr>
              <w:br/>
            </w:r>
            <w:r>
              <w:rPr>
                <w:rFonts w:ascii="宋体" w:hAnsi="宋体" w:cs="宋体" w:hint="eastAsia"/>
                <w:b/>
                <w:bCs/>
                <w:color w:val="000000"/>
                <w:kern w:val="0"/>
                <w:szCs w:val="21"/>
              </w:rPr>
              <w:t>支持新增标签功能，配置包括基本信息、增量/全量配置及计算逻辑。支持通过SQL转换与试跑方式调试标签。</w:t>
            </w:r>
            <w:r>
              <w:rPr>
                <w:rFonts w:ascii="宋体" w:hAnsi="宋体" w:cs="宋体" w:hint="eastAsia"/>
                <w:b/>
                <w:bCs/>
                <w:color w:val="000000"/>
                <w:kern w:val="0"/>
                <w:szCs w:val="21"/>
              </w:rPr>
              <w:br/>
            </w:r>
            <w:r>
              <w:rPr>
                <w:rFonts w:ascii="宋体" w:hAnsi="宋体" w:cs="宋体" w:hint="eastAsia"/>
                <w:b/>
                <w:bCs/>
                <w:color w:val="000000"/>
                <w:kern w:val="0"/>
                <w:szCs w:val="21"/>
              </w:rPr>
              <w:t>对于全量运行的标签，支持分片执行，支持查看每个分片的执行结果。</w:t>
            </w:r>
            <w:r>
              <w:rPr>
                <w:rFonts w:ascii="宋体" w:hAnsi="宋体" w:cs="宋体" w:hint="eastAsia"/>
                <w:b/>
                <w:bCs/>
                <w:color w:val="000000"/>
                <w:kern w:val="0"/>
                <w:szCs w:val="21"/>
              </w:rPr>
              <w:br/>
            </w:r>
            <w:r>
              <w:rPr>
                <w:rFonts w:ascii="宋体" w:hAnsi="宋体" w:cs="宋体" w:hint="eastAsia"/>
                <w:b/>
                <w:bCs/>
                <w:color w:val="000000"/>
                <w:kern w:val="0"/>
                <w:szCs w:val="21"/>
              </w:rPr>
              <w:t>支持通过便捷操作实现标签复制，快速创建复杂标签，降低重复配置工作量。</w:t>
            </w:r>
            <w:r>
              <w:rPr>
                <w:rFonts w:ascii="宋体" w:hAnsi="宋体" w:cs="宋体" w:hint="eastAsia"/>
                <w:b/>
                <w:bCs/>
                <w:color w:val="000000"/>
                <w:kern w:val="0"/>
                <w:szCs w:val="21"/>
              </w:rPr>
              <w:br/>
            </w:r>
            <w:r>
              <w:rPr>
                <w:rFonts w:ascii="宋体" w:hAnsi="宋体" w:cs="宋体" w:hint="eastAsia"/>
                <w:b/>
                <w:bCs/>
                <w:color w:val="000000"/>
                <w:kern w:val="0"/>
                <w:szCs w:val="21"/>
              </w:rPr>
              <w:t>支持对既有标签的定义修改，查看标签定义、计算代码及实例运行日志，掌握运行状况。</w:t>
            </w:r>
            <w:r>
              <w:rPr>
                <w:rFonts w:ascii="宋体" w:hAnsi="宋体" w:cs="宋体" w:hint="eastAsia"/>
                <w:b/>
                <w:bCs/>
                <w:color w:val="000000"/>
                <w:kern w:val="0"/>
                <w:szCs w:val="21"/>
              </w:rPr>
              <w:br/>
            </w:r>
            <w:r>
              <w:rPr>
                <w:rFonts w:ascii="宋体" w:hAnsi="宋体" w:cs="宋体" w:hint="eastAsia"/>
                <w:b/>
                <w:bCs/>
                <w:color w:val="000000"/>
                <w:kern w:val="0"/>
                <w:szCs w:val="21"/>
              </w:rPr>
              <w:t>具备标签引用追溯功能，展示标签被原子指标、复合指标等下游对象的引用情况，保障数据血缘清晰。</w:t>
            </w:r>
            <w:r>
              <w:rPr>
                <w:rFonts w:ascii="宋体" w:hAnsi="宋体" w:cs="宋体" w:hint="eastAsia"/>
                <w:b/>
                <w:bCs/>
                <w:color w:val="000000"/>
                <w:kern w:val="0"/>
                <w:szCs w:val="21"/>
              </w:rPr>
              <w:br/>
            </w:r>
            <w:r>
              <w:rPr>
                <w:rFonts w:ascii="宋体" w:hAnsi="宋体" w:cs="宋体" w:hint="eastAsia"/>
                <w:b/>
                <w:bCs/>
                <w:color w:val="000000"/>
                <w:kern w:val="0"/>
                <w:szCs w:val="21"/>
              </w:rPr>
              <w:t>支持通过文件导入方式批量创建标签。</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348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分析维度设置</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支持根据医院实际业务需求配置所需关注的管理指标，可对指标库进行如下操作：</w:t>
            </w:r>
            <w:r>
              <w:rPr>
                <w:rFonts w:ascii="宋体" w:hAnsi="宋体" w:cs="宋体" w:hint="eastAsia"/>
                <w:color w:val="000000"/>
                <w:kern w:val="0"/>
                <w:szCs w:val="21"/>
              </w:rPr>
              <w:br/>
            </w:r>
            <w:r>
              <w:rPr>
                <w:rFonts w:ascii="宋体" w:hAnsi="宋体" w:cs="宋体" w:hint="eastAsia"/>
                <w:color w:val="000000"/>
                <w:kern w:val="0"/>
                <w:szCs w:val="21"/>
              </w:rPr>
              <w:t>（1）指标查询</w:t>
            </w:r>
            <w:r>
              <w:rPr>
                <w:rFonts w:ascii="宋体" w:hAnsi="宋体" w:cs="宋体" w:hint="eastAsia"/>
                <w:color w:val="000000"/>
                <w:kern w:val="0"/>
                <w:szCs w:val="21"/>
              </w:rPr>
              <w:br/>
            </w:r>
            <w:r>
              <w:rPr>
                <w:rFonts w:ascii="宋体" w:hAnsi="宋体" w:cs="宋体" w:hint="eastAsia"/>
                <w:color w:val="000000"/>
                <w:kern w:val="0"/>
                <w:szCs w:val="21"/>
              </w:rPr>
              <w:t>支持按照指标编码、指标名称、指标显示名称、指标类型、指标状态进行指标检索查询，并展示指标明细信息列表。</w:t>
            </w:r>
            <w:r>
              <w:rPr>
                <w:rFonts w:ascii="宋体" w:hAnsi="宋体" w:cs="宋体" w:hint="eastAsia"/>
                <w:color w:val="000000"/>
                <w:kern w:val="0"/>
                <w:szCs w:val="21"/>
              </w:rPr>
              <w:br/>
            </w:r>
            <w:r>
              <w:rPr>
                <w:rFonts w:ascii="宋体" w:hAnsi="宋体" w:cs="宋体" w:hint="eastAsia"/>
                <w:color w:val="000000"/>
                <w:kern w:val="0"/>
                <w:szCs w:val="21"/>
              </w:rPr>
              <w:t>（2）新增/维护指标</w:t>
            </w:r>
            <w:r>
              <w:rPr>
                <w:rFonts w:ascii="宋体" w:hAnsi="宋体" w:cs="宋体" w:hint="eastAsia"/>
                <w:color w:val="000000"/>
                <w:kern w:val="0"/>
                <w:szCs w:val="21"/>
              </w:rPr>
              <w:br/>
            </w:r>
            <w:r>
              <w:rPr>
                <w:rFonts w:ascii="宋体" w:hAnsi="宋体" w:cs="宋体" w:hint="eastAsia"/>
                <w:color w:val="000000"/>
                <w:kern w:val="0"/>
                <w:szCs w:val="21"/>
              </w:rPr>
              <w:t>支持新增/维护指标信息，包括指标编码、指标名称、指标显示名称、计算列、计算分子、计算分母、类型、日期维度、默认筛选条件、默认值、单位、精度、状态、特殊取值、采集方式（系统采集、人工填报、综合计算）、来源文献、指标导向、同比环比显示设置、指标性质、联合指标。</w:t>
            </w:r>
            <w:r>
              <w:rPr>
                <w:rFonts w:ascii="宋体" w:hAnsi="宋体" w:cs="宋体" w:hint="eastAsia"/>
                <w:color w:val="000000"/>
                <w:kern w:val="0"/>
                <w:szCs w:val="21"/>
              </w:rPr>
              <w:br/>
            </w:r>
            <w:r>
              <w:rPr>
                <w:rFonts w:ascii="宋体" w:hAnsi="宋体" w:cs="宋体" w:hint="eastAsia"/>
                <w:color w:val="000000"/>
                <w:kern w:val="0"/>
                <w:szCs w:val="21"/>
              </w:rPr>
              <w:t>（3）删除指标</w:t>
            </w:r>
            <w:r>
              <w:rPr>
                <w:rFonts w:ascii="宋体" w:hAnsi="宋体" w:cs="宋体" w:hint="eastAsia"/>
                <w:color w:val="000000"/>
                <w:kern w:val="0"/>
                <w:szCs w:val="21"/>
              </w:rPr>
              <w:br/>
            </w:r>
            <w:r>
              <w:rPr>
                <w:rFonts w:ascii="宋体" w:hAnsi="宋体" w:cs="宋体" w:hint="eastAsia"/>
                <w:color w:val="000000"/>
                <w:kern w:val="0"/>
                <w:szCs w:val="21"/>
              </w:rPr>
              <w:t>支持删除指定指标。</w:t>
            </w:r>
          </w:p>
        </w:tc>
      </w:tr>
      <w:tr>
        <w:tblPrEx>
          <w:tblW w:w="8657" w:type="dxa"/>
          <w:tblInd w:w="0" w:type="dxa"/>
          <w:tblLayout w:type="fixed"/>
          <w:tblCellMar>
            <w:top w:w="0" w:type="dxa"/>
            <w:left w:w="108" w:type="dxa"/>
            <w:bottom w:w="0" w:type="dxa"/>
            <w:right w:w="108" w:type="dxa"/>
          </w:tblCellMar>
        </w:tblPrEx>
        <w:trPr>
          <w:trHeight w:val="21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筛选项设置</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支持根据医院实际业务需求配置所需关注的管理分析维度，可对分析维度进行如下操作：</w:t>
            </w:r>
            <w:r>
              <w:rPr>
                <w:rFonts w:ascii="宋体" w:hAnsi="宋体" w:cs="宋体" w:hint="eastAsia"/>
                <w:color w:val="000000"/>
                <w:kern w:val="0"/>
                <w:szCs w:val="21"/>
              </w:rPr>
              <w:br/>
            </w:r>
            <w:r>
              <w:rPr>
                <w:rFonts w:ascii="宋体" w:hAnsi="宋体" w:cs="宋体" w:hint="eastAsia"/>
                <w:color w:val="000000"/>
                <w:kern w:val="0"/>
                <w:szCs w:val="21"/>
              </w:rPr>
              <w:t>（1）筛选项查询</w:t>
            </w:r>
            <w:r>
              <w:rPr>
                <w:rFonts w:ascii="宋体" w:hAnsi="宋体" w:cs="宋体" w:hint="eastAsia"/>
                <w:color w:val="000000"/>
                <w:kern w:val="0"/>
                <w:szCs w:val="21"/>
              </w:rPr>
              <w:br/>
            </w:r>
            <w:r>
              <w:rPr>
                <w:rFonts w:ascii="宋体" w:hAnsi="宋体" w:cs="宋体" w:hint="eastAsia"/>
                <w:color w:val="000000"/>
                <w:kern w:val="0"/>
                <w:szCs w:val="21"/>
              </w:rPr>
              <w:t>支持按照编码、名称、类型、状态进行筛选项检索查询，并展示筛选项明细信息列表。</w:t>
            </w:r>
            <w:r>
              <w:rPr>
                <w:rFonts w:ascii="宋体" w:hAnsi="宋体" w:cs="宋体" w:hint="eastAsia"/>
                <w:color w:val="000000"/>
                <w:kern w:val="0"/>
                <w:szCs w:val="21"/>
              </w:rPr>
              <w:br/>
            </w:r>
            <w:r>
              <w:rPr>
                <w:rFonts w:ascii="宋体" w:hAnsi="宋体" w:cs="宋体" w:hint="eastAsia"/>
                <w:color w:val="000000"/>
                <w:kern w:val="0"/>
                <w:szCs w:val="21"/>
              </w:rPr>
              <w:t>（2）删除维度</w:t>
            </w:r>
            <w:r>
              <w:rPr>
                <w:rFonts w:ascii="宋体" w:hAnsi="宋体" w:cs="宋体" w:hint="eastAsia"/>
                <w:color w:val="000000"/>
                <w:kern w:val="0"/>
                <w:szCs w:val="21"/>
              </w:rPr>
              <w:br/>
            </w:r>
            <w:r>
              <w:rPr>
                <w:rFonts w:ascii="宋体" w:hAnsi="宋体" w:cs="宋体" w:hint="eastAsia"/>
                <w:color w:val="000000"/>
                <w:kern w:val="0"/>
                <w:szCs w:val="21"/>
              </w:rPr>
              <w:t>支持删除指定筛选项。</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权限设置</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支持根据医院实际业务需求配置各用户查看、导入、管理权限。</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105</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全院医疗质量管理监测</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住院死亡类指标</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支持按照多种条件，对住院死亡类数据进行查询、检索，实现对不同时间段、不同科室等多维度数据的统计分析。</w:t>
            </w:r>
          </w:p>
        </w:tc>
      </w:tr>
      <w:tr>
        <w:tblPrEx>
          <w:tblW w:w="8657"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住院死亡类关键指标监测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支持对住院患者死亡例数、住院患者死亡率的本期数据、上期数据、同期数据、环比增长率、同比增长率进行展示，主要包含新生儿患者、手术患者、重点手术住院等死亡指标监测。</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支持从全院-科室-医疗组-医生的层级下钻，整体监控住院死亡类指标情况。</w:t>
            </w:r>
          </w:p>
        </w:tc>
      </w:tr>
      <w:tr>
        <w:tblPrEx>
          <w:tblW w:w="8657"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重返类指标</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重返类关键指标监测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支持按照多种条件，对重返类数据进行查询、检索，实现对不同时间段、不同科室等多维度数据的统计分析。主要包含住院患者、重点病种患者、重点手术患者等重返类关键指标监测。</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 支持从全院-科室-医疗组-医生的层级下钻分析，整体监控重返类指标情况。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医院感染类指标</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 xml:space="preserve"> 支持按照多种条件，对医院感染类数据进行查询、检索，实现对不同时间段、不同院区、不同科室等多维度数据的统计分析。</w:t>
            </w:r>
          </w:p>
        </w:tc>
      </w:tr>
      <w:tr>
        <w:tblPrEx>
          <w:tblW w:w="8657" w:type="dxa"/>
          <w:tblInd w:w="0" w:type="dxa"/>
          <w:tblLayout w:type="fixed"/>
          <w:tblCellMar>
            <w:top w:w="0" w:type="dxa"/>
            <w:left w:w="108" w:type="dxa"/>
            <w:bottom w:w="0" w:type="dxa"/>
            <w:right w:w="108" w:type="dxa"/>
          </w:tblCellMar>
        </w:tblPrEx>
        <w:trPr>
          <w:trHeight w:val="1529"/>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医院感染类关键指标监测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支持对指标的本期数据、上期数据、同期数据、环比增长率、同比增长率进行展示，并支持统计报表的导出功能。主要包含与手术相关、手术患者肺部感染、新生儿患者医院感染等感染类关键指标监测。</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支持从全院-科室的层级下钻分析，并提供指标日趋势图分析，整体监控医院感染类指标情况。</w:t>
            </w:r>
          </w:p>
        </w:tc>
      </w:tr>
      <w:tr>
        <w:tblPrEx>
          <w:tblW w:w="8657"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手术并发症类指标</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手术并发症关键指标监测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支持按照多种条件，对手术并发症类数据进行查询、检索，实现对不同时间段、不同科室等多维度数据的统计分析。主要包含手术患者手术后肺栓塞、深静脉血栓、败血症、出血或血肿等关键指标监测。</w:t>
            </w:r>
          </w:p>
        </w:tc>
      </w:tr>
      <w:tr>
        <w:tblPrEx>
          <w:tblW w:w="8657"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主要包含以下指标：手术患者并发症分析、手术患者手术后肺栓塞分析、手术患者手术后深静脉血栓分析、 手术患者手术后败血症分析、手术患者手术后出血或血肿分析、 手术患者手术后手术伤口裂开分析、手术患者手术后猝死发生分析、手术患者手术后手术并发症分析、手术患者手术后呼吸衰竭分析、手术患者手术后生理/代谢紊乱分析、手术患者手术后麻醉并发症分析。</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支持从全院-科室的层级下钻分析，并提供指标日趋势图分析，整体监控手术并发症类指标情况。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患者安全类指标</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支持按照多种条件，对患者安全类数据进行查询、检索，实现对不同时间段、不同科室等多维度数据的统计分析。</w:t>
            </w:r>
          </w:p>
        </w:tc>
      </w:tr>
      <w:tr>
        <w:tblPrEx>
          <w:tblW w:w="8657" w:type="dxa"/>
          <w:tblInd w:w="0" w:type="dxa"/>
          <w:tblLayout w:type="fixed"/>
          <w:tblCellMar>
            <w:top w:w="0" w:type="dxa"/>
            <w:left w:w="108" w:type="dxa"/>
            <w:bottom w:w="0" w:type="dxa"/>
            <w:right w:w="108" w:type="dxa"/>
          </w:tblCellMar>
        </w:tblPrEx>
        <w:trPr>
          <w:trHeight w:val="1543"/>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患者安全类关键指标监测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支持对指标的本期数据、上期数据、同期数据、环比增长率、同比增长率进行展示，并支持统计报表的导出功能。主要包含住院患者压疮、新生儿产伤、阴道分娩产妇产伤等关键指标监测。</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支持从全院-科室的层级下钻分析，整体监控患者安全类指标情况。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合理用药类指标</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支持按照多种条件，对合理用药数据进行查询、检索，实现对不同时间段、不同院区、不同科室等多维度数据的统计分析。</w:t>
            </w:r>
          </w:p>
        </w:tc>
      </w:tr>
      <w:tr>
        <w:tblPrEx>
          <w:tblW w:w="8657" w:type="dxa"/>
          <w:tblInd w:w="0" w:type="dxa"/>
          <w:tblLayout w:type="fixed"/>
          <w:tblCellMar>
            <w:top w:w="0" w:type="dxa"/>
            <w:left w:w="108" w:type="dxa"/>
            <w:bottom w:w="0" w:type="dxa"/>
            <w:right w:w="108" w:type="dxa"/>
          </w:tblCellMar>
        </w:tblPrEx>
        <w:trPr>
          <w:trHeight w:val="149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合理用药类关键指标监测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支持对指标的本期数据、上期数据、同期数据、环比增长率、同比增长率进行展示，并支持统计报表的导出功能。主要包含业务量、次均费用、医疗费用等关键指标监测。</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支持从全院-科室-医生的层级下钻分析，整体监控合理用药指标情况。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医院运行管理类指标</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支持按照多种条件，对医院运行管理数据进行查询、检索，实现对不同时间段、不同科室等多维度数据的统计分析。</w:t>
            </w:r>
          </w:p>
        </w:tc>
      </w:tr>
      <w:tr>
        <w:tblPrEx>
          <w:tblW w:w="8657" w:type="dxa"/>
          <w:tblInd w:w="0" w:type="dxa"/>
          <w:tblLayout w:type="fixed"/>
          <w:tblCellMar>
            <w:top w:w="0" w:type="dxa"/>
            <w:left w:w="108" w:type="dxa"/>
            <w:bottom w:w="0" w:type="dxa"/>
            <w:right w:w="108" w:type="dxa"/>
          </w:tblCellMar>
        </w:tblPrEx>
        <w:trPr>
          <w:trHeight w:val="138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医院运行管理类关键指标监测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对指标的本期数据、上期数据、同期数据、环比增长率、同比增长率进行展示，并支持统计报表的导出功能。主要包含工作负荷、治疗质量、工作效率等关键指标监测。</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支持从全院-科室-医生的层级下钻分析，整体监控医院运行管理类指标情况。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系统设置</w:t>
            </w:r>
          </w:p>
        </w:tc>
        <w:tc>
          <w:tcPr>
            <w:tcW w:w="1701"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脚本配置</w:t>
            </w:r>
          </w:p>
        </w:tc>
        <w:tc>
          <w:tcPr>
            <w:tcW w:w="4409"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支持按业务目录、元数据目录方式查询目标表信息，并维护数据开发相关配置规则。</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支持新增增量、全量及临时类型的目标表开发配置，可设定脚本执行模式与运行SQL触发表等信息。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支持对开发规则进行查看、编辑、删除、启用与停用管理，并可查询历史变更记录。</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支持配置开发任务的调度方式，适用于增量和全量任务场景。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支持查询与当前开发任务相关的上游数据变更记录。</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支持查询开发规则对应的实际任务执行情况，并支持对失败任务发起手动重试。</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支持查看与当前规则相关的下游任务数据变更记录。</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支持记录并查询开发规则的操作日志信息。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支持查询开发规则中各任务节点之间的血缘关系，提升任务间依赖可视性。</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任务流配置</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支持创建、修改与删除数据开发任务流。</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支持在任务流中配置执行节点、依赖节点、执行脚本、异常处理策略及参数传递逻辑。</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支持为任务流配置调度策略，实现周期性执行或特定条件触发。</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支持任务流的执行记录查询，展示每次运行的明细信息。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支持手动执行任务流，用于临时调试或人工干预执行场景。</w:t>
            </w:r>
          </w:p>
        </w:tc>
      </w:tr>
      <w:tr>
        <w:tblPrEx>
          <w:tblW w:w="8657" w:type="dxa"/>
          <w:tblInd w:w="0" w:type="dxa"/>
          <w:tblLayout w:type="fixed"/>
          <w:tblCellMar>
            <w:top w:w="0" w:type="dxa"/>
            <w:left w:w="108" w:type="dxa"/>
            <w:bottom w:w="0" w:type="dxa"/>
            <w:right w:w="108" w:type="dxa"/>
          </w:tblCellMar>
        </w:tblPrEx>
        <w:trPr>
          <w:trHeight w:val="3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增量变更管理</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▲支持全局范围内查看增量任务所关联的上游数据变更记录。（</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▲支持全局范围内查看增量任务自身配置变更记录。（</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支持全局范围内查看增量任务触发的下游任务变更记录。</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任务流管理</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支持查询数据开发任务实例的执行清单，提供运行时间、状态等关键信息。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支持按任务调度状态分类查询，包括全部任务、调度异常、待执行、执行中、执行成功、执行失败等类别。</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支持对异常调度任务发起重启、终止待执行任务、对失败任务进行补运行操作。</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自定义补数</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▲支持按指定时间或数据批次维度发起补数任务，满足历史数据补录、重处理等场景需要。（</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3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监控运维</w:t>
            </w: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支持对全量任务的运行信息进行集中展示与监控。</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支持对增量任务的运行状态进行集中展示与监控，提供任务执行视图与状态跟踪能力。</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分析维度设置</w:t>
            </w:r>
          </w:p>
        </w:tc>
        <w:tc>
          <w:tcPr>
            <w:tcW w:w="4409"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支持按照维度编码、维度名称、维度类型、备注、维度状态进行维度检索查询，并展示维度明细信息列表。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支持新增/维护维度信息，包括分析维度、默认计算列、计算分子、计算分母、类型、日期维度、默认筛选条件、精度、排序、周期限制、日期维度自动切换、状态等明细信息。</w:t>
            </w:r>
          </w:p>
        </w:tc>
      </w:tr>
      <w:tr>
        <w:tblPrEx>
          <w:tblW w:w="8657"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报表工具</w:t>
            </w:r>
            <w:r>
              <w:rPr>
                <w:rFonts w:ascii="宋体" w:hAnsi="宋体" w:cs="宋体" w:hint="eastAsia"/>
                <w:color w:val="000000"/>
                <w:kern w:val="0"/>
                <w:szCs w:val="21"/>
              </w:rPr>
              <w:br/>
            </w:r>
            <w:r>
              <w:rPr>
                <w:rFonts w:ascii="宋体" w:hAnsi="宋体" w:cs="宋体" w:hint="eastAsia"/>
                <w:color w:val="000000"/>
                <w:kern w:val="0"/>
                <w:szCs w:val="21"/>
              </w:rPr>
              <w:t>（1）支持数据连接和导入：允许用户连接到不同的数据源，支持多种数据格式和来源。如MySQL、Oracle、SQL Server、PostgreSQL等。</w:t>
            </w:r>
            <w:r>
              <w:rPr>
                <w:rFonts w:ascii="宋体" w:hAnsi="宋体" w:cs="宋体" w:hint="eastAsia"/>
                <w:color w:val="000000"/>
                <w:kern w:val="0"/>
                <w:szCs w:val="21"/>
              </w:rPr>
              <w:br/>
            </w:r>
            <w:r>
              <w:rPr>
                <w:rFonts w:ascii="宋体" w:hAnsi="宋体" w:cs="宋体" w:hint="eastAsia"/>
                <w:color w:val="000000"/>
                <w:kern w:val="0"/>
                <w:szCs w:val="21"/>
              </w:rPr>
              <w:t>（2）允许用户对数据进行筛选和排序，以便在报表中显示特定范围或顺序的数据，并支持动态交互式筛选。</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筛选项设置</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支持按照编码、名称、类型、状态进行筛选项检索查询，并展示筛选项明细信息列表。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支持新增/维护筛选项信息，包括筛选条件编码、筛选条件名称、筛选条件显示名称、类型、筛选维度、默认筛选条件、状态、备注等明细信息。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权限设置</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支持根据医院实际业务需求配置各用户查看、导入、管理权限。</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155</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全院医疗效率监测</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门诊主题</w:t>
            </w: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门诊精细化监测大屏首页</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支持医生出诊监测：展示各科室排班医生数量、出诊医生数量、综合出诊率。</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支持年度门诊指标监测：展示年门诊人次、互联网就诊人次、门诊总收入。</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支持门诊就诊患者监测：展示近1小时内全院预约人次、挂号人次、候诊人次、接诊人次、平均等待时间，并以折线图展示挂号人次及接诊人次趋势。</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支持预约来源监测：以环形图展示当日各预约渠道人次分布情况。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支持门诊接诊监测：以环形图展示当日各科室接诊人次分布情况。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支持患者性别构成监测：以环形图展示当日门诊患者性别构成情况。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支持医保类型构成监测：以环形图展示当日门诊患者医保类型构成情况。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支持患者年龄构成监测：以环形图展示当日门诊患者年龄构成情况。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支持各科室接诊情况监测：以环形图展示各科室候诊人次、接诊人次、平均等待时长、平均就诊时长。</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支持门诊收费监测：以环形图展示当日门诊收费渠道分布情况、各楼层自助机收费占比分布情况。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各诊间医生出诊情况监测</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b/>
                <w:bCs/>
                <w:color w:val="000000"/>
                <w:kern w:val="0"/>
                <w:szCs w:val="21"/>
              </w:rPr>
              <w:t>▲支持分析各诊间医生的工作情况，包括出诊时间、结束时间、挂号人次、预约人次、候诊人次、接诊人次、平均诊疗时间、次均收费情况、药占比情况。（</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挂号收费窗口工作量监测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支持分析挂号收费窗口工作情况，包括工作人员的开始时间、结束时间、挂号人次、退号人次等数据。</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医疗服务质量指标</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支持对门诊患者满意度进行统计分析。</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支持从全院-科室-医生的层级下钻分析，整体监控医院运行管理类指标情况。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r>
      <w:tr>
        <w:tblPrEx>
          <w:tblW w:w="8657" w:type="dxa"/>
          <w:tblInd w:w="0" w:type="dxa"/>
          <w:tblLayout w:type="fixed"/>
          <w:tblCellMar>
            <w:top w:w="0" w:type="dxa"/>
            <w:left w:w="108" w:type="dxa"/>
            <w:bottom w:w="0" w:type="dxa"/>
            <w:right w:w="108" w:type="dxa"/>
          </w:tblCellMar>
        </w:tblPrEx>
        <w:trPr>
          <w:trHeight w:val="1423"/>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住院主题</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住院关键效率指标监测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▲支持对医疗效率住院主题相关指标进行统计分析展示，主要包括出院患者平均住院日、入出院人数比、床位使用率等关键指标监测。</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支持从全院-科室-医生的层级下钻分析，整体监控医院运行管理类指标情况。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r>
      <w:tr>
        <w:tblPrEx>
          <w:tblW w:w="8657" w:type="dxa"/>
          <w:tblInd w:w="0" w:type="dxa"/>
          <w:tblLayout w:type="fixed"/>
          <w:tblCellMar>
            <w:top w:w="0" w:type="dxa"/>
            <w:left w:w="108" w:type="dxa"/>
            <w:bottom w:w="0" w:type="dxa"/>
            <w:right w:w="108" w:type="dxa"/>
          </w:tblCellMar>
        </w:tblPrEx>
        <w:trPr>
          <w:trHeight w:val="22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手术主题</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手术关键效率指标监测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支持对医疗效率手术主题相关指标进行统计分析展示。</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r>
      <w:tr>
        <w:tblPrEx>
          <w:tblW w:w="8657" w:type="dxa"/>
          <w:tblInd w:w="0" w:type="dxa"/>
          <w:tblLayout w:type="fixed"/>
          <w:tblCellMar>
            <w:top w:w="0" w:type="dxa"/>
            <w:left w:w="108" w:type="dxa"/>
            <w:bottom w:w="0" w:type="dxa"/>
            <w:right w:w="108" w:type="dxa"/>
          </w:tblCellMar>
        </w:tblPrEx>
        <w:trPr>
          <w:trHeight w:val="3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支持从全院-科室-医生的层级下钻分析，整体监控医院运行管理类指标情况。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r>
      <w:tr>
        <w:tblPrEx>
          <w:tblW w:w="8657" w:type="dxa"/>
          <w:tblInd w:w="0" w:type="dxa"/>
          <w:tblLayout w:type="fixed"/>
          <w:tblCellMar>
            <w:top w:w="0" w:type="dxa"/>
            <w:left w:w="108" w:type="dxa"/>
            <w:bottom w:w="0" w:type="dxa"/>
            <w:right w:w="108" w:type="dxa"/>
          </w:tblCellMar>
        </w:tblPrEx>
        <w:trPr>
          <w:trHeight w:val="58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护理主题</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护理关键效率指标监测</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b/>
                <w:bCs/>
                <w:color w:val="000000"/>
                <w:kern w:val="0"/>
                <w:szCs w:val="21"/>
              </w:rPr>
              <w:t>▲支持对医疗效率护理主题相关指标进行统计分析展示，主要包括病床/护士比（床护比）、护理工作量指数、护理交接班效率等关键指标分析。</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支持从全院-科室的层级下钻分析，整体监控医院运行管理类指标情况。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r>
      <w:tr>
        <w:tblPrEx>
          <w:tblW w:w="8657" w:type="dxa"/>
          <w:tblInd w:w="0" w:type="dxa"/>
          <w:tblLayout w:type="fixed"/>
          <w:tblCellMar>
            <w:top w:w="0" w:type="dxa"/>
            <w:left w:w="108" w:type="dxa"/>
            <w:bottom w:w="0" w:type="dxa"/>
            <w:right w:w="108" w:type="dxa"/>
          </w:tblCellMar>
        </w:tblPrEx>
        <w:trPr>
          <w:trHeight w:val="78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医技主题</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医技关键效率指标监测</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支持对医疗效率医技主题相关指标进行统计分析展示。</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支持从全院-科室的层级下钻分析，整体监控医院运行管理类指标情况。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r>
      <w:tr>
        <w:tblPrEx>
          <w:tblW w:w="8657" w:type="dxa"/>
          <w:tblInd w:w="0" w:type="dxa"/>
          <w:tblLayout w:type="fixed"/>
          <w:tblCellMar>
            <w:top w:w="0" w:type="dxa"/>
            <w:left w:w="108" w:type="dxa"/>
            <w:bottom w:w="0" w:type="dxa"/>
            <w:right w:w="108" w:type="dxa"/>
          </w:tblCellMar>
        </w:tblPrEx>
        <w:trPr>
          <w:trHeight w:val="41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专科专病主题</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专科专病关键效率指标监测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支持对医疗效率专科专病主题相关指标进行统计分析展示。</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支持从全院-科室的层级下钻分析，整体监控医院运行管理类指标情况。</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专项监控大屏</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监控大屏</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▲支持通过大屏实时显示医院关键指标和运营数据，供管理层监控和决策支持，包括总体涵盖业务辐射范围、业务量指标、收入指标等方面。（</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业务辐射范围</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支持分析门急诊患者来源以及住院患者来源。</w:t>
            </w:r>
          </w:p>
        </w:tc>
      </w:tr>
      <w:tr>
        <w:tblPrEx>
          <w:tblW w:w="8657" w:type="dxa"/>
          <w:tblInd w:w="0" w:type="dxa"/>
          <w:tblLayout w:type="fixed"/>
          <w:tblCellMar>
            <w:top w:w="0" w:type="dxa"/>
            <w:left w:w="108" w:type="dxa"/>
            <w:bottom w:w="0" w:type="dxa"/>
            <w:right w:w="108" w:type="dxa"/>
          </w:tblCellMar>
        </w:tblPrEx>
        <w:trPr>
          <w:trHeight w:val="45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业务量指标</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手术效率与安全监控：手术取消率（每日/科室）、非计划重返手术室率等指标。</w:t>
            </w:r>
          </w:p>
        </w:tc>
      </w:tr>
      <w:tr>
        <w:tblPrEx>
          <w:tblW w:w="8657" w:type="dxa"/>
          <w:tblInd w:w="0" w:type="dxa"/>
          <w:tblLayout w:type="fixed"/>
          <w:tblCellMar>
            <w:top w:w="0" w:type="dxa"/>
            <w:left w:w="108" w:type="dxa"/>
            <w:bottom w:w="0" w:type="dxa"/>
            <w:right w:w="108" w:type="dxa"/>
          </w:tblCellMar>
        </w:tblPrEx>
        <w:trPr>
          <w:trHeight w:val="78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住院流程与床位利用监控：平均住院日异常增长、出院后重返住院率高等指标。</w:t>
            </w:r>
          </w:p>
        </w:tc>
      </w:tr>
      <w:tr>
        <w:tblPrEx>
          <w:tblW w:w="8657" w:type="dxa"/>
          <w:tblInd w:w="0" w:type="dxa"/>
          <w:tblLayout w:type="fixed"/>
          <w:tblCellMar>
            <w:top w:w="0" w:type="dxa"/>
            <w:left w:w="108" w:type="dxa"/>
            <w:bottom w:w="0" w:type="dxa"/>
            <w:right w:w="108" w:type="dxa"/>
          </w:tblCellMar>
        </w:tblPrEx>
        <w:trPr>
          <w:trHeight w:val="429"/>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医技检查效率与协同监控：危急值报告超时率、检验TAT超时率等指标。</w:t>
            </w:r>
          </w:p>
        </w:tc>
      </w:tr>
      <w:tr>
        <w:tblPrEx>
          <w:tblW w:w="8657" w:type="dxa"/>
          <w:tblInd w:w="0" w:type="dxa"/>
          <w:tblLayout w:type="fixed"/>
          <w:tblCellMar>
            <w:top w:w="0" w:type="dxa"/>
            <w:left w:w="108" w:type="dxa"/>
            <w:bottom w:w="0" w:type="dxa"/>
            <w:right w:w="108" w:type="dxa"/>
          </w:tblCellMar>
        </w:tblPrEx>
        <w:trPr>
          <w:trHeight w:val="883"/>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用药合理性与抗菌药物监控：超说明书用药占比高、临床药师干预未采纳率&gt;阈值等指标。</w:t>
            </w:r>
          </w:p>
        </w:tc>
      </w:tr>
      <w:tr>
        <w:tblPrEx>
          <w:tblW w:w="8657" w:type="dxa"/>
          <w:tblInd w:w="0" w:type="dxa"/>
          <w:tblLayout w:type="fixed"/>
          <w:tblCellMar>
            <w:top w:w="0" w:type="dxa"/>
            <w:left w:w="108" w:type="dxa"/>
            <w:bottom w:w="0" w:type="dxa"/>
            <w:right w:w="108" w:type="dxa"/>
          </w:tblCellMar>
        </w:tblPrEx>
        <w:trPr>
          <w:trHeight w:val="5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患者安全与不良事件监控：不良事件上报异常波动、手术部位错误/漏核查事件等指标。</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收入指标</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全院总费用：支持统计全院总费用及药占比、门急诊总费用及药占比等指标。</w:t>
            </w:r>
          </w:p>
        </w:tc>
      </w:tr>
      <w:tr>
        <w:tblPrEx>
          <w:tblW w:w="8657" w:type="dxa"/>
          <w:tblInd w:w="0" w:type="dxa"/>
          <w:tblLayout w:type="fixed"/>
          <w:tblCellMar>
            <w:top w:w="0" w:type="dxa"/>
            <w:left w:w="108" w:type="dxa"/>
            <w:bottom w:w="0" w:type="dxa"/>
            <w:right w:w="108" w:type="dxa"/>
          </w:tblCellMar>
        </w:tblPrEx>
        <w:trPr>
          <w:trHeight w:val="3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医保费用：支持全面统计全院、门急诊及住院结账的医保总费用等指标。</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均次费用：支持统计门急诊次均费用、门急诊次均药品费用等指标。</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数据收集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支持从门诊系统、住院系统、手术系统、收费系统等收集数据。</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支持实时更新数据。</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支持对收集到的数据进行清洗和整合。</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精细化回顾分析</w:t>
            </w:r>
          </w:p>
        </w:tc>
        <w:tc>
          <w:tcPr>
            <w:tcW w:w="1701" w:type="dxa"/>
            <w:vMerge w:val="restart"/>
            <w:tcBorders>
              <w:top w:val="nil"/>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运营效率分析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支持为深入分析医院的服务和运营数据提供工具，以识别改进机会。</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支持记录门诊量、住院量、手术量、费用等数据，并按时间序列进行整理。</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患者信息收集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支持收集患者个体的详细信息，包括基本信息、诊疗过程、治疗效果等。</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科室数据收集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支持按科室收集数据。</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数据趋势分析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支持分析数据的变化趋势，如门诊量的增长或下降趋势、住院费用的增减情况等。</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医疗风险分析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支持对患者病情严重程度、治疗过程中的并发症发生情况、医院感染率等数据进行分析，为制定风险防范措施和应急预案提供依据。</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资源配置分析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支持对医院的运营数据和资源利用情况进行统计分析，辅助进行合理的资源配置调整。</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医生任务安排</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支持对医生的工作负载和专业特长进行统计，辅助进行合理安排医生出诊时间和诊疗任务。</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212</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全院医疗安全监测</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住院重点疾病 </w:t>
            </w:r>
          </w:p>
        </w:tc>
        <w:tc>
          <w:tcPr>
            <w:tcW w:w="1701" w:type="dxa"/>
            <w:vMerge w:val="restart"/>
            <w:tcBorders>
              <w:top w:val="nil"/>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住院疾病监测指标</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适用于高发、高风险或国家重点监控病种，包含急性心梗、脑卒中、肺栓塞、胃出血、COPD、恶性肿瘤。</w:t>
            </w:r>
          </w:p>
        </w:tc>
      </w:tr>
      <w:tr>
        <w:tblPrEx>
          <w:tblW w:w="8657" w:type="dxa"/>
          <w:tblInd w:w="0" w:type="dxa"/>
          <w:tblLayout w:type="fixed"/>
          <w:tblCellMar>
            <w:top w:w="0" w:type="dxa"/>
            <w:left w:w="108" w:type="dxa"/>
            <w:bottom w:w="0" w:type="dxa"/>
            <w:right w:w="108" w:type="dxa"/>
          </w:tblCellMar>
        </w:tblPrEx>
        <w:trPr>
          <w:trHeight w:val="66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包括不限于以下指标：(1)病种发病率趋势（按月）、(2)病种入院死亡率、(3)平均住院日、(4)病种再入院率（30天内）等指标。</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住院重点手术 </w:t>
            </w:r>
          </w:p>
        </w:tc>
        <w:tc>
          <w:tcPr>
            <w:tcW w:w="1701"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住院手术监测指标</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聚焦高风险手术类型，包含颅脑手术、心胸外科、器官移植、胰十二指肠切除术、大血管手术、髋膝关节置换术。</w:t>
            </w:r>
          </w:p>
        </w:tc>
      </w:tr>
      <w:tr>
        <w:tblPrEx>
          <w:tblW w:w="8657" w:type="dxa"/>
          <w:tblInd w:w="0" w:type="dxa"/>
          <w:tblLayout w:type="fixed"/>
          <w:tblCellMar>
            <w:top w:w="0" w:type="dxa"/>
            <w:left w:w="108" w:type="dxa"/>
            <w:bottom w:w="0" w:type="dxa"/>
            <w:right w:w="108" w:type="dxa"/>
          </w:tblCellMar>
        </w:tblPrEx>
        <w:trPr>
          <w:trHeight w:val="140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包括不限于以下指标：（1）手术量与死亡率、（2）手术相关并发症发生率、（3）手术后住院天数、（4）非计划重返手术室率等指标。</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麻醉相关专题统计住院重点疾病 </w:t>
            </w:r>
          </w:p>
        </w:tc>
        <w:tc>
          <w:tcPr>
            <w:tcW w:w="1701"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麻醉监测指标</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结合术种、麻醉方式，监测高风险点（尤其适用于ASA评分≥3患者）。</w:t>
            </w:r>
          </w:p>
        </w:tc>
      </w:tr>
      <w:tr>
        <w:tblPrEx>
          <w:tblW w:w="8657"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包括不限于以下指标：（1）麻醉类型构成占比、（2）高风险患者（ASA≥3）麻醉占比、（3）麻醉中不良事件发生率、（4）醒后镇痛满意度等指标。</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手术并发与患者安全类 </w:t>
            </w:r>
          </w:p>
        </w:tc>
        <w:tc>
          <w:tcPr>
            <w:tcW w:w="1701"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手术并发与患者安全类指标</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与患者直接安全事件相关的监测，适用于临床安全闭环、质量控制与JCI/CQI类工作。</w:t>
            </w:r>
          </w:p>
        </w:tc>
      </w:tr>
      <w:tr>
        <w:tblPrEx>
          <w:tblW w:w="8657" w:type="dxa"/>
          <w:tblInd w:w="0" w:type="dxa"/>
          <w:tblLayout w:type="fixed"/>
          <w:tblCellMar>
            <w:top w:w="0" w:type="dxa"/>
            <w:left w:w="108" w:type="dxa"/>
            <w:bottom w:w="0" w:type="dxa"/>
            <w:right w:w="108" w:type="dxa"/>
          </w:tblCellMar>
        </w:tblPrEx>
        <w:trPr>
          <w:trHeight w:val="116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包括不限于以下指标：（1）手术部位错误事件发生率、（2）未执行手术核查流程比率、（3）手术切口感染率（SSI）、（4）非计划转ICU率等指标。</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单病种质量 </w:t>
            </w:r>
          </w:p>
        </w:tc>
        <w:tc>
          <w:tcPr>
            <w:tcW w:w="1701"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单病种质量监测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常见单病种包含肺癌、胃癌、急性阑尾炎、冠心病PCI、髋部骨折。</w:t>
            </w:r>
          </w:p>
        </w:tc>
      </w:tr>
      <w:tr>
        <w:tblPrEx>
          <w:tblW w:w="8657" w:type="dxa"/>
          <w:tblInd w:w="0" w:type="dxa"/>
          <w:tblLayout w:type="fixed"/>
          <w:tblCellMar>
            <w:top w:w="0" w:type="dxa"/>
            <w:left w:w="108" w:type="dxa"/>
            <w:bottom w:w="0" w:type="dxa"/>
            <w:right w:w="108" w:type="dxa"/>
          </w:tblCellMar>
        </w:tblPrEx>
        <w:trPr>
          <w:trHeight w:val="155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包括不限于以下指标：（1）单病种入组率、</w:t>
            </w:r>
            <w:r>
              <w:rPr>
                <w:rFonts w:ascii="宋体" w:hAnsi="宋体" w:cs="宋体" w:hint="eastAsia"/>
                <w:color w:val="000000"/>
                <w:kern w:val="0"/>
                <w:szCs w:val="21"/>
              </w:rPr>
              <w:br/>
            </w:r>
            <w:r>
              <w:rPr>
                <w:rFonts w:ascii="宋体" w:hAnsi="宋体" w:cs="宋体" w:hint="eastAsia"/>
                <w:color w:val="000000"/>
                <w:kern w:val="0"/>
                <w:szCs w:val="21"/>
              </w:rPr>
              <w:t>（2）单病种死亡率、（3）单病种平均住院日、（4）单病种住院费用中位数等指标。</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222</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患者服务画像分析</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患者大屏</w:t>
            </w: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患者信息互通-患者360</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支持依靠患者ID实现全部门急诊就诊记录、住院病史、检验检查结果、治疗方案及扫描文档等信息的连通共享。</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用户只需访问单一来源，即可调取所要的全部信息。临床基础视图的数据项可根据需求进行定义。</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患者多业务域聚合展示-患者360</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支持患者多业务域统一聚合展示：</w:t>
            </w:r>
            <w:r>
              <w:rPr>
                <w:rFonts w:ascii="宋体" w:hAnsi="宋体" w:cs="宋体" w:hint="eastAsia"/>
                <w:color w:val="000000"/>
                <w:kern w:val="0"/>
                <w:szCs w:val="21"/>
              </w:rPr>
              <w:br/>
            </w:r>
            <w:r>
              <w:rPr>
                <w:rFonts w:ascii="宋体" w:hAnsi="宋体" w:cs="宋体" w:hint="eastAsia"/>
                <w:color w:val="000000"/>
                <w:kern w:val="0"/>
                <w:szCs w:val="21"/>
              </w:rPr>
              <w:t>展示包括：患者就诊信息、就诊记录、检查、检验等业务域数据。</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患者360视图</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患者360视图：</w:t>
            </w:r>
            <w:r>
              <w:rPr>
                <w:rFonts w:ascii="宋体" w:hAnsi="宋体" w:cs="宋体" w:hint="eastAsia"/>
                <w:color w:val="000000"/>
                <w:kern w:val="0"/>
                <w:szCs w:val="21"/>
              </w:rPr>
              <w:br/>
            </w:r>
            <w:r>
              <w:rPr>
                <w:rFonts w:ascii="宋体" w:hAnsi="宋体" w:cs="宋体" w:hint="eastAsia"/>
                <w:color w:val="000000"/>
                <w:kern w:val="0"/>
                <w:szCs w:val="21"/>
              </w:rPr>
              <w:t>(1)支持患者在院内不同科室就诊的分布统计，支持点击弹窗展示更多详细信息，</w:t>
            </w:r>
            <w:r>
              <w:rPr>
                <w:rFonts w:ascii="宋体" w:hAnsi="宋体" w:cs="宋体" w:hint="eastAsia"/>
                <w:color w:val="000000"/>
                <w:kern w:val="0"/>
                <w:szCs w:val="21"/>
              </w:rPr>
              <w:br/>
            </w:r>
            <w:r>
              <w:rPr>
                <w:rFonts w:ascii="宋体" w:hAnsi="宋体" w:cs="宋体" w:hint="eastAsia"/>
                <w:color w:val="000000"/>
                <w:kern w:val="0"/>
                <w:szCs w:val="21"/>
              </w:rPr>
              <w:t>(2)支持针对单次就诊，对检验、检查异常的就诊记录进行展示。</w:t>
            </w:r>
          </w:p>
        </w:tc>
      </w:tr>
      <w:tr>
        <w:tblPrEx>
          <w:tblW w:w="8657"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患者基本信息</w:t>
            </w:r>
          </w:p>
        </w:tc>
        <w:tc>
          <w:tcPr>
            <w:tcW w:w="1701"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患者基本信息展示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在同一个界面展示患者基本信息，内容包括：姓名、出生年月日、年龄、卡号、身份证号等信息，并且必须提供设置脱敏权限，可以对患者的姓名、就诊卡号、身份证等信息，及医生的姓名、科室信息设置是否在页面显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支持标记门诊、急诊、住院、体检历史就诊次数。</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支持通过下钻指标，快速查阅患者门诊/急诊/住院详情。</w:t>
            </w:r>
            <w:r>
              <w:rPr>
                <w:rFonts w:ascii="宋体" w:hAnsi="宋体" w:cs="宋体" w:hint="eastAsia"/>
                <w:color w:val="000000"/>
                <w:kern w:val="0"/>
                <w:szCs w:val="21"/>
              </w:rPr>
              <w:br/>
            </w:r>
            <w:r>
              <w:rPr>
                <w:rFonts w:ascii="宋体" w:hAnsi="宋体" w:cs="宋体" w:hint="eastAsia"/>
                <w:color w:val="000000"/>
                <w:kern w:val="0"/>
                <w:szCs w:val="21"/>
              </w:rPr>
              <w:t>支持诊断词云统一展示，并且对具体的诊断作浮窗展示相关信息。</w:t>
            </w:r>
            <w:r>
              <w:rPr>
                <w:rFonts w:ascii="宋体" w:hAnsi="宋体" w:cs="宋体" w:hint="eastAsia"/>
                <w:color w:val="000000"/>
                <w:kern w:val="0"/>
                <w:szCs w:val="21"/>
              </w:rPr>
              <w:br/>
            </w:r>
            <w:r>
              <w:rPr>
                <w:rFonts w:ascii="宋体" w:hAnsi="宋体" w:cs="宋体" w:hint="eastAsia"/>
                <w:color w:val="000000"/>
                <w:kern w:val="0"/>
                <w:szCs w:val="21"/>
              </w:rPr>
              <w:t>支持展示就诊时间轴，内容至少包括：医生姓名、诊断、科室。</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就诊记录</w:t>
            </w: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就诊记录展示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支持查看总览、门诊、急诊、住院、体检、互联网诊疗摘要记录，按照就诊时间对记录进行排序，可通过滑动选择不同就诊记录。</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按照检验、检查、手术、病理、治疗、用药等类别分类展示患者诊疗记录</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检查视图</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检查记录展示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检查视图：</w:t>
            </w:r>
            <w:r>
              <w:rPr>
                <w:rFonts w:ascii="宋体" w:hAnsi="宋体" w:cs="宋体" w:hint="eastAsia"/>
                <w:color w:val="000000"/>
                <w:kern w:val="0"/>
                <w:szCs w:val="21"/>
              </w:rPr>
              <w:br/>
            </w:r>
            <w:r>
              <w:rPr>
                <w:rFonts w:ascii="宋体" w:hAnsi="宋体" w:cs="宋体" w:hint="eastAsia"/>
                <w:color w:val="000000"/>
                <w:kern w:val="0"/>
                <w:szCs w:val="21"/>
              </w:rPr>
              <w:t>(1)支持多种类别查询检查报告，至少包括：全部、心电图、ECG、放射、超声等，报告接入影像及图文查看入口。</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时间轴展示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支持按照时间轴及列表等多种展示方式。</w:t>
            </w:r>
          </w:p>
        </w:tc>
      </w:tr>
      <w:tr>
        <w:tblPrEx>
          <w:tblW w:w="8657"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检验视图</w:t>
            </w:r>
          </w:p>
        </w:tc>
        <w:tc>
          <w:tcPr>
            <w:tcW w:w="1701"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检验记录展示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检验视图：</w:t>
            </w:r>
            <w:r>
              <w:rPr>
                <w:rFonts w:ascii="宋体" w:hAnsi="宋体" w:cs="宋体" w:hint="eastAsia"/>
                <w:color w:val="000000"/>
                <w:kern w:val="0"/>
                <w:szCs w:val="21"/>
              </w:rPr>
              <w:br/>
            </w:r>
            <w:r>
              <w:rPr>
                <w:rFonts w:ascii="宋体" w:hAnsi="宋体" w:cs="宋体" w:hint="eastAsia"/>
                <w:color w:val="000000"/>
                <w:kern w:val="0"/>
                <w:szCs w:val="21"/>
              </w:rPr>
              <w:t>(1)支持按照全部、血清、尿液、抗凝血、血浆、粪便、其他等检验类别查询检验报告单。</w:t>
            </w:r>
            <w:r>
              <w:rPr>
                <w:rFonts w:ascii="宋体" w:hAnsi="宋体" w:cs="宋体" w:hint="eastAsia"/>
                <w:color w:val="000000"/>
                <w:kern w:val="0"/>
                <w:szCs w:val="21"/>
              </w:rPr>
              <w:br/>
            </w:r>
            <w:r>
              <w:rPr>
                <w:rFonts w:ascii="宋体" w:hAnsi="宋体" w:cs="宋体" w:hint="eastAsia"/>
                <w:color w:val="000000"/>
                <w:kern w:val="0"/>
                <w:szCs w:val="21"/>
              </w:rPr>
              <w:t>（2）提供总览视图、结果正常视图、结果异常视图。</w:t>
            </w:r>
            <w:r>
              <w:rPr>
                <w:rFonts w:ascii="宋体" w:hAnsi="宋体" w:cs="宋体" w:hint="eastAsia"/>
                <w:color w:val="000000"/>
                <w:kern w:val="0"/>
                <w:szCs w:val="21"/>
              </w:rPr>
              <w:br/>
            </w:r>
            <w:r>
              <w:rPr>
                <w:rFonts w:ascii="宋体" w:hAnsi="宋体" w:cs="宋体" w:hint="eastAsia"/>
                <w:color w:val="000000"/>
                <w:kern w:val="0"/>
                <w:szCs w:val="21"/>
              </w:rPr>
              <w:t>（3）支持多次数据趋势展示。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病理视图</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病理记录展示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支持就诊记录查询病理报告单</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病历文书</w:t>
            </w: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病历文书查询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支持按照就诊类型、就诊日期及就诊科室查询病历文书，并按照病程提供病历文书目录，就诊类型包括门诊、住院。</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支持全文关键字检索。</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医嘱视图</w:t>
            </w: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医嘱记录展示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支持按照医嘱类型、就诊类型查询医嘱记录，医嘱类型包括出院带药、药品医嘱、治疗医嘱、检查医嘱等。</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以列表的形式展示医嘱明细，包括医嘱时效、医嘱名称、套餐名称、单次剂量、频次等。</w:t>
            </w:r>
          </w:p>
        </w:tc>
      </w:tr>
      <w:tr>
        <w:tblPrEx>
          <w:tblW w:w="8657"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手术视图</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手术信息展示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手术视图：</w:t>
            </w:r>
            <w:r>
              <w:rPr>
                <w:rFonts w:ascii="宋体" w:hAnsi="宋体" w:cs="宋体" w:hint="eastAsia"/>
                <w:color w:val="000000"/>
                <w:kern w:val="0"/>
                <w:szCs w:val="21"/>
              </w:rPr>
              <w:br/>
            </w:r>
            <w:r>
              <w:rPr>
                <w:rFonts w:ascii="宋体" w:hAnsi="宋体" w:cs="宋体" w:hint="eastAsia"/>
                <w:color w:val="000000"/>
                <w:kern w:val="0"/>
                <w:szCs w:val="21"/>
              </w:rPr>
              <w:t>(1)支持按照时间轴或者列表的方式展示患者手术信息。</w:t>
            </w:r>
            <w:r>
              <w:rPr>
                <w:rFonts w:ascii="宋体" w:hAnsi="宋体" w:cs="宋体" w:hint="eastAsia"/>
                <w:color w:val="000000"/>
                <w:kern w:val="0"/>
                <w:szCs w:val="21"/>
              </w:rPr>
              <w:br/>
            </w:r>
            <w:r>
              <w:rPr>
                <w:rFonts w:ascii="宋体" w:hAnsi="宋体" w:cs="宋体" w:hint="eastAsia"/>
                <w:color w:val="000000"/>
                <w:kern w:val="0"/>
                <w:szCs w:val="21"/>
              </w:rPr>
              <w:t>(2)展示患者手术信息内容包括：操作编码、操作名称、主刀医生、开始时间、结束时间等。</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报告查询</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支持患者检验、检查、病理等报告的查询。</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护理视图</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支持按照护理文书类型、就诊日期、就诊类型查询医嘱记录。</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费用视图</w:t>
            </w: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患者费用展示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支持按照就诊日期、就诊类型查询费用记录。</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以列表的形式展示费用类型、费用名称、单价、数量，并统计单次就诊的药品费用、材料费用诊疗费用、化验费用、检查费用等费用构成。</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244</w:t>
            </w:r>
          </w:p>
        </w:tc>
        <w:tc>
          <w:tcPr>
            <w:tcW w:w="993" w:type="dxa"/>
            <w:vMerge w:val="restart"/>
            <w:tcBorders>
              <w:top w:val="nil"/>
              <w:left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专科实时业务分析</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病种信息维护</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病种规则维护</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支持病种信息维护，维护需要上报的病种信息逻辑规则，涵盖疾病诊断、患者基本信息、就诊信息等规则。</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245</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患者信息添加</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支持增加患者过敏史信息，包括药物过敏、食物过敏等情况；家族病史信息；生活习惯信息等信息。</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246</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逻辑规则设置</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具备逻辑规则设置，对于疾病诊断，支持设置多种诊断方式的关联规则。对于患者基本信息和就诊信息，可根据医院的实际管理需求和数据分析要求，自定义信息的必填项和选填项规则，以及不同信息之间的逻辑验证规则。</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247</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运营数据采集</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病种上报</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提供卫健及其他上级单位要求上报诊断的功能，或支持和病种上报相关的其他场景，为医护人员提供标准且规范的填报格式。</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248</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病种模版设计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支持模版设计符合不同上报特点与国家相关规定，涵盖病案号、姓名、就诊流水号以及就诊日期等关键内容。</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249</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未上报查询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支持查询未上报数据，允许医护人员针对查询结果对数据进行上报或标记为无需上报操作。</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250</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填报指导</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支持为医护人员提供详细填报要求指导，帮助医护人员按照模版要求逐一填写相应数据和信，填报完成后可直接提交审核。</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251</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无需上报</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支持填报人员详细说明无需上报的原因。</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252</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支持该模块记录展示、科室、患者信息、填写原因人相关关键信息。</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253</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上报查询</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支持上报查询功能，为用户提供专属的工作区域。</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254</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病种记录汇总</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支持查看涵盖疾病类型、状态、填报时间、病案号、状态等内容。</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255</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运营数据补录</w:t>
            </w: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科室漏报查看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支持科室漏报查看，为科室管理人员提供有效的监督工具。</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256</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支持管理员随时查看科室应报而未报的病种信息，并能及时督促相关人员进行填报。</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257</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漏报病例筛选</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支持根据预设的规则和时间节点自动筛选出漏报病例的要求，如设置漏报数据每天进行统计更新。</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258</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漏报统计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支持按不同年份进行查询，记录展示科室名称、漏报数量、已上报数量和上报率等信息，支持对漏报情况进行查看并直达指定单病种上报页面，帮助科室管理人员快速定位问题并采取相应措施。</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259</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科室未报汇总</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支持导出科室未上报情况、导出科室未上报病种汇总。</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260</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运营数据审核</w:t>
            </w:r>
          </w:p>
        </w:tc>
        <w:tc>
          <w:tcPr>
            <w:tcW w:w="1701"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填报审核</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支持填报审核，在医护人员完成填报后，数据自动提交给上级审核人员，审核人员可对填报内容进行详细审查，涵盖数据的真实性、完整性、逻辑性等方面。</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261</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支持在填报审核界面:通过疾病类型、填报时间、病案号等条件进行筛选查询。</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262</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支持对病种进行多种操作，包括导出 excel、立刻上报、提交审核、暂存、取消、退回等操作。</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263</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填报查看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支持查看病种的病案号、病种、出院科室、出院时间、填报人、填报时间、上报人、上报时间、上报结果以及查看已填报的详情信息等。</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264</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运营指标监控、数据分析</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病种质控统计分析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支持对不同病种质控进行统计分析。</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265</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病种下钻分析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支持对具体病种进行下钻详细分析，可以筛选病种名称、科室、出院时间区间，包括对病种、质控指标、上报例数、达标例数等进行统计展示。</w:t>
            </w:r>
          </w:p>
        </w:tc>
      </w:tr>
      <w:tr>
        <w:tblPrEx>
          <w:tblW w:w="8657"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266</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病种医疗组汇总统计分析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支持对病种医疗组汇总统计分析及统计展示。</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267</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全院质控统计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支持多维度、多形式的指标监控，支持不同系统如呼吸系统、神经系统、生殖系统、口腔系统等的数据进行综合分析。</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268</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病种质控率统计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支持对病种质控率统计，支持统计展示病种质控指标、符合例数、完成例数、完成率，支持导出。</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269</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病种年度汇总统计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支持对病种进行年度汇总统计。</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270</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病种质量指标统计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支持病种质量指标统计，可以筛选出院日期范围进行查询，统计展示病种质量指标情况，包括总例数、总费用、平均费用、平均住院日、死亡例数、医保人数。</w:t>
            </w:r>
          </w:p>
        </w:tc>
      </w:tr>
      <w:tr>
        <w:tblPrEx>
          <w:tblW w:w="8657"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271</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病种数据统计</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支持对所有病种数据进行综合统计和分析。</w:t>
            </w:r>
            <w:r>
              <w:rPr>
                <w:rFonts w:ascii="宋体" w:hAnsi="宋体" w:cs="宋体" w:hint="eastAsia"/>
                <w:color w:val="000000"/>
                <w:kern w:val="0"/>
                <w:szCs w:val="21"/>
              </w:rPr>
              <w:br/>
            </w:r>
            <w:r>
              <w:rPr>
                <w:rFonts w:ascii="宋体" w:hAnsi="宋体" w:cs="宋体" w:hint="eastAsia"/>
                <w:color w:val="000000"/>
                <w:kern w:val="0"/>
                <w:szCs w:val="21"/>
              </w:rPr>
              <w:t>支持按照不同的维度，如病案号、病种名称、出院科室、出院时间、填报人、填报时间、上报时间、上报结果等进行展示；</w:t>
            </w:r>
            <w:r>
              <w:rPr>
                <w:rFonts w:ascii="宋体" w:hAnsi="宋体" w:cs="宋体" w:hint="eastAsia"/>
                <w:color w:val="000000"/>
                <w:kern w:val="0"/>
                <w:szCs w:val="21"/>
              </w:rPr>
              <w:br/>
            </w:r>
            <w:r>
              <w:rPr>
                <w:rFonts w:ascii="宋体" w:hAnsi="宋体" w:cs="宋体" w:hint="eastAsia"/>
                <w:color w:val="000000"/>
                <w:kern w:val="0"/>
                <w:szCs w:val="21"/>
              </w:rPr>
              <w:t>支持查看上报详情和支持导出详细的汇总报表。</w:t>
            </w:r>
            <w:r>
              <w:rPr>
                <w:rFonts w:ascii="宋体" w:hAnsi="宋体" w:cs="宋体" w:hint="eastAsia"/>
                <w:color w:val="000000"/>
                <w:kern w:val="0"/>
                <w:szCs w:val="21"/>
              </w:rPr>
              <w:br/>
            </w:r>
            <w:r>
              <w:rPr>
                <w:rFonts w:ascii="宋体" w:hAnsi="宋体" w:cs="宋体" w:hint="eastAsia"/>
                <w:color w:val="000000"/>
                <w:kern w:val="0"/>
                <w:szCs w:val="21"/>
              </w:rPr>
              <w:t>支持对每个记录查看详情。</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272</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统计报表导出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支持对运营指标各种统计报表进行导出。</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273</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专科发展指标总分</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专科发展统计分析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支持专科发展统计分析，分析专科发展指标在不同时间段的变化趋势，专科发展指标与医院其他科室之间的关联关系</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274</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专科发展指标下钻</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支持专科发展指标下钻，不仅可以下钻到科室层面，还能下钻到医生层面</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275</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专科指标总分统计</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支持专科指标总分统计报表提供详细的信息展示，展示指标总分、展示各项指标的明细数据</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276</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系统基础维护</w:t>
            </w: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用户管理</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支持用户角色管理功能为不同类型的用户分配相应的权限和职责。</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277</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支持系统管理员创建多种用户角色，如医生、护士、科室主任、上报管理员等，对于每个角色，可以设定名称、登录名、状态、说明等，满足查询、新增、编辑、删除以及批量删除角色、用户等操作需求。</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278</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接口管理</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支持系统严格把控与连接接口，对每一个接口进行配置和监控，包括接口的地址、描述、设置激活或禁用状态等，可记录展示接口的创建时间、创建者、状态等信息的需求。</w:t>
            </w:r>
          </w:p>
        </w:tc>
      </w:tr>
      <w:tr>
        <w:tblPrEx>
          <w:tblW w:w="8657"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279</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菜单管理</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支持为用户提供操作界面，对系统中的菜单或按钮进行分类组织和优化布局，使其符合医护人员的工作流程和习惯，可根据不同的业务需求灵活定制菜单结构，查询、新增、编辑或删除菜单选项的需求。</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280</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支持对菜单名称、菜单类型、路由地址、描述、状态、排序、是否按钮、按钮事件、隐藏菜单、keepAlive、父级菜单以及 API 接口等进行维护。</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281</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权限分配</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支持根据用户的角色和职责，设定其在系统中的操作权限，包括对特定菜单的访问权限，如查询、新增、编辑、删除等，以及对某些关键操作的授权许可，如对菜单数、导航、保存权限等的操作。</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282</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对接国家单病种质量监测平台接口</w:t>
            </w:r>
          </w:p>
        </w:tc>
        <w:tc>
          <w:tcPr>
            <w:tcW w:w="170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接口对接</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支持系统通过专用接口与国家单病种质量监测平台相连，或与院内现有上报系统对接。</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283</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支持双方系统信息反馈与交互。</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284</w:t>
            </w:r>
          </w:p>
        </w:tc>
        <w:tc>
          <w:tcPr>
            <w:tcW w:w="993" w:type="dxa"/>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实时性要求</w:t>
            </w:r>
          </w:p>
        </w:tc>
        <w:tc>
          <w:tcPr>
            <w:tcW w:w="6110" w:type="dxa"/>
            <w:gridSpan w:val="2"/>
            <w:tcBorders>
              <w:top w:val="nil"/>
              <w:left w:val="single" w:sz="4" w:space="0" w:color="auto"/>
              <w:bottom w:val="single" w:sz="4" w:space="0" w:color="auto"/>
              <w:right w:val="single" w:sz="4" w:space="0" w:color="auto"/>
            </w:tcBorders>
            <w:noWrap w:val="0"/>
            <w:vAlign w:val="center"/>
          </w:tcPr>
          <w:p>
            <w:pPr>
              <w:widowControl/>
              <w:jc w:val="left"/>
            </w:pPr>
            <w:r>
              <w:rPr>
                <w:rFonts w:ascii="宋体" w:hAnsi="宋体" w:cs="宋体" w:hint="eastAsia"/>
                <w:color w:val="000000"/>
                <w:kern w:val="0"/>
                <w:szCs w:val="21"/>
              </w:rPr>
              <w:t>专科实时业务要求符合医保等监管单位上报时效性要求。</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285</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员工画像分析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员工大屏</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员工大屏展示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支持综合呈现员工工作成果、技能水平、协作能力等，以图表形式展示各项指标数据及发展趋势。</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基础信息</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基础信息查看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支持查看个人的各项基本信息，包括性别、年龄、出生日期、最高学历、最高学位、最高资质、岗位聘任信息、来院时间、工作时间等。</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我的资质</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资质信息管理</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支持查看、更新最高学历信息、最高学位信息、取得职称信息、聘用职称信息，同时显示相关证书详细信息（编号、颁发机构、有效期等）。</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证书管理</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支持上传、查看、更新初级职称证书、中级职称证书、执业证附件，支持jpg、png、pdf等常见格式。</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教育培训</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个人教育及培训</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支持录入个人教育及培训经历，内容包括教育或者培训名称、获得证书、培训机构、培训开始日期、培训结束日期等信息，并展示明细列表。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院内培训</w:t>
            </w:r>
          </w:p>
        </w:tc>
        <w:tc>
          <w:tcPr>
            <w:tcW w:w="4409"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支持录入个人院内培训经历，内容包括教育或者培训名称、获得证书、培训部门等信息，并展示明细列表。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工作经历</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工作经历管理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支持录入个人的工作经历，包括工作单位名称、工作地点、开始日期、结束日期等信息，并展示明细列表。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学术任职</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学术任职管理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支持录入个人的学术任职信息，包括社会任职单位、聘任职务、任期等信息，并展示明细列表。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学术论文</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学术论文管理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支持录入个人的学术论文信息，包括论文名称、网站地址、杂志名称等信息，并展示明细列表。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专著教材</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专著教材管理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支持录入个人的专著教材信息，包括编号、教材名称、教材类型、教材主编等信息，并展示明细列表。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重大医疗活动</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重大医疗活动管理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支持录入个人的医疗活动信息，包括活动主题、主办方、活动规模、活动详情等信息，并展示明细列表。</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社会荣誉</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社会荣誉管理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支持录入个人的社会荣誉信息，包括荣誉名称、颁奖单位、荣誉类型、获奖日期等信息，并展示明细列表。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重要学术活动</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重要学术活动管理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支持录入个人的学术活动信息，包括活动主题、主办方、活动规模、活动详情等信息，并展示明细列表。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考核管理</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考核信息管理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支持录入个人的考核管理信息，包括考核项目、考核类型、考核日期等信息，并展示明细列表。</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统计分析</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员工多维分析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支持对员工多个维度进行统计分析，包括医疗效率、医疗质量、费用控制、门急诊工作量等多个维度的多个指标。</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300</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IT基础设施运行监测集成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评估集成</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运行评估集成</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支持对整个 IT 基础设施运行状态的综合评估情况进行集成</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监测方式</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关键部分监测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支持采用全院集成的监测方式，涵盖医院 IT 基础设施的各个关键部分</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集成监测</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运行监测</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支持全院集成的 IT 基础设施运行监测</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303</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智慧后勤集成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后勤可视化</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支持将智慧院区内的重点后勤进行可视化展示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统计图表</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图表配置</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支持配备各种统计图表</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后勤集成</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日常运维指标监控</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支持通过全院集成的智慧后勤系统，对医院日常运维指标进行监控</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后勤信息统一管理</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大屏展示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支持集成多张大屏呈现页面，满足实现全院后勤信息的集中展示和统一管理</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307</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数字化手术室集成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手术室集成</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手术室驾驶舱</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支持围绕院领导手术间状况掌控、手术资源配置决策、手术运营指标监管要求进行集成</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手术管理可视化</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支持应用数据可视化技术，通过大屏和手机等方式，全面展示手术量、手术效率、手术质量指标</w:t>
            </w:r>
          </w:p>
        </w:tc>
      </w:tr>
      <w:tr>
        <w:tblPrEx>
          <w:tblW w:w="8657"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手术室统一管理</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手术运营管理</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支持全院集成的数字化手术室系统，整合医院各个相关系统的数据</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310</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智慧医院物联网平台集成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物联网集成</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物联网平台</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支持集成智慧医院物联网平台</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物联网可视化</w:t>
            </w:r>
          </w:p>
        </w:tc>
        <w:tc>
          <w:tcPr>
            <w:tcW w:w="1701"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可视化展示</w:t>
            </w:r>
          </w:p>
        </w:tc>
        <w:tc>
          <w:tcPr>
            <w:tcW w:w="44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支持通过全院集成的智慧医院物联网平台，将医院内部环节的信息进行整合和可视化展示</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bookmarkStart w:id="46" w:name="_Hlk209626982"/>
            <w:r>
              <w:rPr>
                <w:rFonts w:ascii="宋体" w:hAnsi="宋体" w:cs="宋体" w:hint="eastAsia"/>
                <w:color w:val="000000"/>
                <w:kern w:val="0"/>
                <w:szCs w:val="21"/>
              </w:rPr>
              <w:t>312</w:t>
            </w:r>
          </w:p>
        </w:tc>
        <w:tc>
          <w:tcPr>
            <w:tcW w:w="993" w:type="dxa"/>
            <w:vMerge w:val="restart"/>
            <w:tcBorders>
              <w:top w:val="single" w:sz="4" w:space="0" w:color="auto"/>
              <w:left w:val="nil"/>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AI驾驶舱</w:t>
            </w: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可视化大屏</w:t>
            </w:r>
          </w:p>
        </w:tc>
        <w:tc>
          <w:tcPr>
            <w:tcW w:w="6110"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源数据接入、数据处理、可视化设计的大数据可视化平台，通过图形化拖拽及配置的方式。支持提供可视化设计器、可视化渲染引擎、工程管理、组件管理、基础可视化组件、交互式组件、适量地图组件、高级图表组件、动画体系、人机交互事件、数据源接入、流程式数据集构建、分布式查询与计算等能力。</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jc w:val="right"/>
              <w:rPr>
                <w:rFonts w:ascii="宋体" w:hAnsi="宋体" w:cs="宋体" w:hint="eastAsia"/>
                <w:color w:val="000000"/>
                <w:kern w:val="0"/>
                <w:szCs w:val="21"/>
              </w:rPr>
            </w:pPr>
            <w:bookmarkEnd w:id="46"/>
            <w:r>
              <w:rPr>
                <w:rFonts w:ascii="宋体" w:hAnsi="宋体" w:cs="宋体" w:hint="eastAsia"/>
                <w:color w:val="000000"/>
                <w:kern w:val="0"/>
                <w:szCs w:val="21"/>
              </w:rPr>
              <w:t>313</w:t>
            </w:r>
          </w:p>
        </w:tc>
        <w:tc>
          <w:tcPr>
            <w:tcW w:w="993" w:type="dxa"/>
            <w:vMerge/>
            <w:tcBorders>
              <w:left w:val="nil"/>
              <w:bottom w:val="single" w:sz="4" w:space="0" w:color="auto"/>
              <w:right w:val="single" w:sz="4" w:space="0" w:color="auto"/>
            </w:tcBorders>
            <w:noWrap/>
            <w:vAlign w:val="center"/>
          </w:tcPr>
          <w:p>
            <w:pPr>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智能问数</w:t>
            </w:r>
          </w:p>
        </w:tc>
        <w:tc>
          <w:tcPr>
            <w:tcW w:w="6110"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探索基于AI大模型领导驾驶舱的交互应用场景，实现语音智能问数、知识问答、统计分析等。</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314</w:t>
            </w:r>
          </w:p>
        </w:tc>
        <w:tc>
          <w:tcPr>
            <w:tcW w:w="993" w:type="dxa"/>
            <w:vMerge w:val="restart"/>
            <w:tcBorders>
              <w:top w:val="single" w:sz="4" w:space="0" w:color="auto"/>
              <w:left w:val="nil"/>
              <w:right w:val="single" w:sz="4" w:space="0" w:color="auto"/>
            </w:tcBorders>
            <w:noWrap/>
            <w:vAlign w:val="center"/>
          </w:tcPr>
          <w:p>
            <w:pPr>
              <w:widowControl/>
              <w:jc w:val="left"/>
              <w:rPr>
                <w:rFonts w:ascii="宋体" w:hAnsi="宋体" w:cs="宋体" w:hint="eastAsia"/>
                <w:color w:val="000000"/>
                <w:kern w:val="0"/>
                <w:szCs w:val="21"/>
              </w:rPr>
            </w:pPr>
            <w:bookmarkStart w:id="47" w:name="_Hlk209626992"/>
            <w:r>
              <w:rPr>
                <w:rFonts w:ascii="宋体" w:hAnsi="宋体" w:cs="宋体" w:hint="eastAsia"/>
                <w:color w:val="000000"/>
                <w:kern w:val="0"/>
                <w:szCs w:val="21"/>
              </w:rPr>
              <w:t>中小屏展示</w:t>
            </w:r>
            <w:bookmarkEnd w:id="47"/>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PC端（中屏）</w:t>
            </w:r>
          </w:p>
        </w:tc>
        <w:tc>
          <w:tcPr>
            <w:tcW w:w="6110"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FF0000"/>
                <w:kern w:val="0"/>
                <w:szCs w:val="21"/>
              </w:rPr>
            </w:pPr>
            <w:r>
              <w:rPr>
                <w:rFonts w:ascii="宋体" w:hAnsi="宋体" w:cs="宋体" w:hint="eastAsia"/>
                <w:color w:val="000000"/>
                <w:kern w:val="0"/>
                <w:szCs w:val="21"/>
              </w:rPr>
              <w:t>支持</w:t>
            </w:r>
            <w:r>
              <w:rPr>
                <w:rFonts w:ascii="宋体" w:hAnsi="宋体" w:cs="宋体" w:hint="eastAsia"/>
                <w:kern w:val="0"/>
                <w:szCs w:val="21"/>
              </w:rPr>
              <w:t>PC端展示。</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支持指标卡形式展示指标数据，及指标年同比和环比数据，支持查看当前登录用户拥有权限的所有指标。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支持切换指标默认统计时间颗粒度，包含：日、周、月、季、年。</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支持按名称模糊匹配搜索指标。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支持按业务域、业务分类、自定义标签等多个维度筛选指标。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支持查看指标详情数据，包含当前周期的指标值、同环比数据、指标统计口径、指标趋势图、年度趋势图。</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支持切换指标值统计周期，包含：日、周、月、季、年，统计周期切换后，趋势图和年度趋势图时间单位会跟随切换。</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支持自定义趋势图的时间范围。</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支持以折线图方式查看选中日期范围内的指标数据趋势。</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支持以折线图方式查看最近3年相同时间点不同年份的数据对比情况。</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支持全屏查看数据趋势图。</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315</w:t>
            </w:r>
          </w:p>
        </w:tc>
        <w:tc>
          <w:tcPr>
            <w:tcW w:w="993" w:type="dxa"/>
            <w:vMerge/>
            <w:tcBorders>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移动端（小屏）</w:t>
            </w:r>
          </w:p>
        </w:tc>
        <w:tc>
          <w:tcPr>
            <w:tcW w:w="6110"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hint="eastAsia"/>
                <w:kern w:val="0"/>
                <w:szCs w:val="21"/>
              </w:rPr>
              <w:t>移动端集成，将移动BI集成到H5，以门户作为统一入口查看数据。</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支持指标卡形式展示指标数据，及指标年同比和环比数据，支持查看当前登录用户拥有权限的所有指标。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支持切换指标默认统计时间颗粒度，包含：日、周、月、季、年。</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支持按名称模糊匹配搜索指标。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支持按业务域、业务分类、自定义标签等多个维度筛选指标。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支持查看指标详情数据，包含当前周期的指标值、同环比数据、指标统计口径、指标趋势图、年度趋势图。</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支持切换指标值统计周期，包含：日、周、月、季、年，统计周期切换后，趋势图和年度趋势图时间单位会跟随切换。</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支持自定义趋势图的时间范围。</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支持以折线图方式查看选中日期范围内的指标数据趋势。</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支持以折线图方式查看最近3年相同时间点不同年份的数据对比情况。</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支持全屏查看数据趋势图。</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316</w:t>
            </w:r>
          </w:p>
        </w:tc>
        <w:tc>
          <w:tcPr>
            <w:tcW w:w="993" w:type="dxa"/>
            <w:vMerge w:val="restart"/>
            <w:tcBorders>
              <w:top w:val="single" w:sz="4" w:space="0" w:color="auto"/>
              <w:left w:val="nil"/>
              <w:right w:val="single" w:sz="4" w:space="0" w:color="auto"/>
            </w:tcBorders>
            <w:noWrap/>
            <w:vAlign w:val="center"/>
          </w:tcPr>
          <w:p>
            <w:pPr>
              <w:widowControl/>
              <w:jc w:val="left"/>
              <w:rPr>
                <w:rFonts w:ascii="宋体" w:hAnsi="宋体" w:cs="宋体" w:hint="eastAsia"/>
                <w:color w:val="000000"/>
                <w:kern w:val="0"/>
                <w:szCs w:val="21"/>
              </w:rPr>
            </w:pPr>
            <w:bookmarkStart w:id="48" w:name="_Hlk209627011"/>
            <w:r>
              <w:rPr>
                <w:rFonts w:ascii="宋体" w:hAnsi="宋体" w:cs="宋体" w:hint="eastAsia"/>
                <w:color w:val="000000"/>
                <w:kern w:val="0"/>
                <w:szCs w:val="21"/>
              </w:rPr>
              <w:t>数据实时性要求</w:t>
            </w:r>
            <w:bookmarkEnd w:id="48"/>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t>核心运营指标（实时监控类）</w:t>
            </w:r>
          </w:p>
        </w:tc>
        <w:tc>
          <w:tcPr>
            <w:tcW w:w="6110"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更新频率：秒级更新≤</w:t>
            </w:r>
            <w:r>
              <w:rPr>
                <w:rFonts w:ascii="宋体" w:hAnsi="宋体" w:cs="宋体" w:hint="eastAsia"/>
                <w:color w:val="000000"/>
                <w:kern w:val="0"/>
                <w:szCs w:val="21"/>
              </w:rPr>
              <w:t>60</w:t>
            </w:r>
            <w:r>
              <w:rPr>
                <w:rFonts w:ascii="宋体" w:hAnsi="宋体" w:cs="宋体"/>
                <w:color w:val="000000"/>
                <w:kern w:val="0"/>
                <w:szCs w:val="21"/>
              </w:rPr>
              <w:t>秒</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数据延迟：端到端延迟≤</w:t>
            </w:r>
            <w:r>
              <w:rPr>
                <w:rFonts w:ascii="宋体" w:hAnsi="宋体" w:cs="宋体" w:hint="eastAsia"/>
                <w:color w:val="000000"/>
                <w:kern w:val="0"/>
                <w:szCs w:val="21"/>
              </w:rPr>
              <w:t>2分钟</w:t>
            </w:r>
            <w:r>
              <w:rPr>
                <w:rFonts w:ascii="宋体" w:hAnsi="宋体" w:cs="宋体"/>
                <w:color w:val="000000"/>
                <w:kern w:val="0"/>
                <w:szCs w:val="21"/>
              </w:rPr>
              <w:t xml:space="preserve"> </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317</w:t>
            </w:r>
          </w:p>
        </w:tc>
        <w:tc>
          <w:tcPr>
            <w:tcW w:w="993" w:type="dxa"/>
            <w:vMerge/>
            <w:tcBorders>
              <w:left w:val="nil"/>
              <w:right w:val="single" w:sz="4" w:space="0" w:color="auto"/>
            </w:tcBorders>
            <w:noWrap/>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t>临床质量指标（准实时监控类）</w:t>
            </w:r>
          </w:p>
        </w:tc>
        <w:tc>
          <w:tcPr>
            <w:tcW w:w="6110"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 xml:space="preserve">更新频率：分钟级更新≤5分钟 </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 xml:space="preserve">数据延迟：≤30分钟 </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318</w:t>
            </w:r>
          </w:p>
        </w:tc>
        <w:tc>
          <w:tcPr>
            <w:tcW w:w="993" w:type="dxa"/>
            <w:vMerge/>
            <w:tcBorders>
              <w:left w:val="nil"/>
              <w:right w:val="single" w:sz="4" w:space="0" w:color="auto"/>
            </w:tcBorders>
            <w:noWrap/>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t>资源管理指标（定时更新类）</w:t>
            </w:r>
          </w:p>
        </w:tc>
        <w:tc>
          <w:tcPr>
            <w:tcW w:w="6110"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更新频率：小时级更新≤1小时</w:t>
            </w:r>
          </w:p>
        </w:tc>
      </w:tr>
      <w:tr>
        <w:tblPrEx>
          <w:tblW w:w="8657"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319</w:t>
            </w:r>
          </w:p>
        </w:tc>
        <w:tc>
          <w:tcPr>
            <w:tcW w:w="993" w:type="dxa"/>
            <w:vMerge/>
            <w:tcBorders>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t>管理分析指标（周期性更新类）</w:t>
            </w:r>
          </w:p>
        </w:tc>
        <w:tc>
          <w:tcPr>
            <w:tcW w:w="6110"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更新频率：日级 / 周级更新</w:t>
            </w:r>
          </w:p>
        </w:tc>
      </w:tr>
    </w:tbl>
    <w:p>
      <w:pPr>
        <w:pStyle w:val="NormalIndent"/>
        <w:ind w:firstLine="0"/>
      </w:pPr>
    </w:p>
    <w:p>
      <w:pPr>
        <w:pStyle w:val="NormalIndent"/>
        <w:ind w:firstLine="0"/>
      </w:pPr>
      <w:r>
        <w:rPr>
          <w:rFonts w:hint="eastAsia"/>
        </w:rPr>
        <w:t>2）数据资产建设技术需求</w:t>
      </w:r>
      <w:bookmarkEnd w:id="45"/>
    </w:p>
    <w:tbl>
      <w:tblPr>
        <w:tblStyle w:val="TableNormal"/>
        <w:tblW w:w="0" w:type="auto"/>
        <w:tblInd w:w="0" w:type="dxa"/>
        <w:tblCellMar>
          <w:top w:w="0" w:type="dxa"/>
          <w:left w:w="108" w:type="dxa"/>
          <w:bottom w:w="0" w:type="dxa"/>
          <w:right w:w="108" w:type="dxa"/>
        </w:tblCellMar>
      </w:tblPr>
      <w:tblGrid>
        <w:gridCol w:w="638"/>
        <w:gridCol w:w="1104"/>
        <w:gridCol w:w="1148"/>
        <w:gridCol w:w="981"/>
        <w:gridCol w:w="4658"/>
      </w:tblGrid>
      <w:tr>
        <w:tblPrEx>
          <w:tblW w:w="0" w:type="auto"/>
          <w:tblInd w:w="0" w:type="dxa"/>
          <w:tblCellMar>
            <w:top w:w="0" w:type="dxa"/>
            <w:left w:w="108" w:type="dxa"/>
            <w:bottom w:w="0" w:type="dxa"/>
            <w:right w:w="108" w:type="dxa"/>
          </w:tblCellMar>
        </w:tblPrEx>
        <w:trPr>
          <w:trHeight w:val="312"/>
        </w:trPr>
        <w:tc>
          <w:tcPr>
            <w:tcW w:w="0" w:type="auto"/>
            <w:tcBorders>
              <w:top w:val="single" w:sz="4" w:space="0" w:color="auto"/>
              <w:left w:val="single" w:sz="4" w:space="0" w:color="auto"/>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0" w:type="auto"/>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系统名称</w:t>
            </w:r>
          </w:p>
        </w:tc>
        <w:tc>
          <w:tcPr>
            <w:tcW w:w="0" w:type="auto"/>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系统功能</w:t>
            </w:r>
          </w:p>
        </w:tc>
        <w:tc>
          <w:tcPr>
            <w:tcW w:w="0" w:type="auto"/>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子模块</w:t>
            </w:r>
          </w:p>
        </w:tc>
        <w:tc>
          <w:tcPr>
            <w:tcW w:w="0" w:type="auto"/>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功能参数</w:t>
            </w:r>
          </w:p>
        </w:tc>
      </w:tr>
      <w:tr>
        <w:tblPrEx>
          <w:tblW w:w="0" w:type="auto"/>
          <w:tblInd w:w="0" w:type="dxa"/>
          <w:tblCellMar>
            <w:top w:w="0" w:type="dxa"/>
            <w:left w:w="108" w:type="dxa"/>
            <w:bottom w:w="0" w:type="dxa"/>
            <w:right w:w="108" w:type="dxa"/>
          </w:tblCellMar>
        </w:tblPrEx>
        <w:trPr>
          <w:trHeight w:val="1248"/>
        </w:trPr>
        <w:tc>
          <w:tcPr>
            <w:tcW w:w="0" w:type="auto"/>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0" w:type="auto"/>
            <w:vMerge w:val="restart"/>
            <w:tcBorders>
              <w:top w:val="single" w:sz="4" w:space="0" w:color="auto"/>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数据目录编制</w:t>
            </w:r>
          </w:p>
        </w:tc>
        <w:tc>
          <w:tcPr>
            <w:tcW w:w="0" w:type="auto"/>
            <w:vMerge w:val="restart"/>
            <w:tcBorders>
              <w:top w:val="single" w:sz="4" w:space="0" w:color="auto"/>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目录编制</w:t>
            </w:r>
          </w:p>
        </w:tc>
        <w:tc>
          <w:tcPr>
            <w:tcW w:w="0" w:type="auto"/>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目录梳理</w:t>
            </w:r>
          </w:p>
        </w:tc>
        <w:tc>
          <w:tcPr>
            <w:tcW w:w="0" w:type="auto"/>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提供数据资源目录编目服务，</w:t>
            </w:r>
            <w:r>
              <w:rPr>
                <w:rFonts w:ascii="宋体" w:hAnsi="宋体" w:cs="宋体" w:hint="eastAsia"/>
                <w:color w:val="000000"/>
                <w:kern w:val="0"/>
              </w:rPr>
              <w:t>实现对</w:t>
            </w:r>
            <w:r>
              <w:rPr>
                <w:rFonts w:hAnsi="宋体" w:hint="eastAsia"/>
                <w:kern w:val="0"/>
                <w:lang w:val="en-GB"/>
              </w:rPr>
              <w:t>各部门数据资源的完整梳理。</w:t>
            </w:r>
          </w:p>
        </w:tc>
      </w:tr>
      <w:tr>
        <w:tblPrEx>
          <w:tblW w:w="0" w:type="auto"/>
          <w:tblInd w:w="0" w:type="dxa"/>
          <w:tblCellMar>
            <w:top w:w="0" w:type="dxa"/>
            <w:left w:w="108" w:type="dxa"/>
            <w:bottom w:w="0" w:type="dxa"/>
            <w:right w:w="108" w:type="dxa"/>
          </w:tblCellMar>
        </w:tblPrEx>
        <w:trPr>
          <w:trHeight w:val="1248"/>
        </w:trPr>
        <w:tc>
          <w:tcPr>
            <w:tcW w:w="0" w:type="auto"/>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0" w:type="auto"/>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0" w:type="auto"/>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0" w:type="auto"/>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目录生成</w:t>
            </w:r>
          </w:p>
        </w:tc>
        <w:tc>
          <w:tcPr>
            <w:tcW w:w="0" w:type="auto"/>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基于数据中台工具，</w:t>
            </w:r>
            <w:r>
              <w:rPr>
                <w:rFonts w:hAnsi="宋体"/>
                <w:kern w:val="0"/>
                <w:lang w:val="en-GB"/>
              </w:rPr>
              <w:t>按照业务信息目录和信息资源目录要求</w:t>
            </w:r>
            <w:r>
              <w:rPr>
                <w:rFonts w:hAnsi="宋体" w:hint="eastAsia"/>
                <w:kern w:val="0"/>
                <w:lang w:val="en-GB"/>
              </w:rPr>
              <w:t>生成</w:t>
            </w:r>
            <w:r>
              <w:rPr>
                <w:rFonts w:hAnsi="宋体"/>
                <w:kern w:val="0"/>
                <w:lang w:val="en-GB"/>
              </w:rPr>
              <w:t>目录</w:t>
            </w:r>
            <w:r>
              <w:rPr>
                <w:rFonts w:hAnsi="宋体" w:hint="eastAsia"/>
                <w:kern w:val="0"/>
                <w:lang w:val="en-GB"/>
              </w:rPr>
              <w:t>。</w:t>
            </w:r>
          </w:p>
        </w:tc>
      </w:tr>
      <w:tr>
        <w:tblPrEx>
          <w:tblW w:w="0" w:type="auto"/>
          <w:tblInd w:w="0" w:type="dxa"/>
          <w:tblCellMar>
            <w:top w:w="0" w:type="dxa"/>
            <w:left w:w="108" w:type="dxa"/>
            <w:bottom w:w="0" w:type="dxa"/>
            <w:right w:w="108" w:type="dxa"/>
          </w:tblCellMar>
        </w:tblPrEx>
        <w:trPr>
          <w:trHeight w:val="1248"/>
        </w:trPr>
        <w:tc>
          <w:tcPr>
            <w:tcW w:w="0" w:type="auto"/>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0" w:type="auto"/>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0" w:type="auto"/>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0" w:type="auto"/>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目录审核</w:t>
            </w:r>
          </w:p>
        </w:tc>
        <w:tc>
          <w:tcPr>
            <w:tcW w:w="0" w:type="auto"/>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hAnsi="宋体" w:hint="eastAsia"/>
                <w:kern w:val="0"/>
                <w:lang w:val="en-GB"/>
              </w:rPr>
              <w:t>对梳理好的</w:t>
            </w:r>
            <w:r>
              <w:rPr>
                <w:rFonts w:hAnsi="宋体"/>
                <w:kern w:val="0"/>
              </w:rPr>
              <w:t>医疗</w:t>
            </w:r>
            <w:r>
              <w:rPr>
                <w:rFonts w:hAnsi="宋体" w:hint="eastAsia"/>
                <w:kern w:val="0"/>
                <w:lang w:val="en-GB"/>
              </w:rPr>
              <w:t>信息资源目录进行审核，出具资源目录审核报告，达到</w:t>
            </w:r>
            <w:r>
              <w:rPr>
                <w:rFonts w:hAnsi="宋体"/>
                <w:kern w:val="0"/>
              </w:rPr>
              <w:t>医疗</w:t>
            </w:r>
            <w:r>
              <w:rPr>
                <w:rFonts w:hAnsi="宋体" w:hint="eastAsia"/>
                <w:kern w:val="0"/>
                <w:lang w:val="en-GB"/>
              </w:rPr>
              <w:t>信息资源目录质量要求。</w:t>
            </w:r>
          </w:p>
        </w:tc>
      </w:tr>
      <w:tr>
        <w:tblPrEx>
          <w:tblW w:w="0" w:type="auto"/>
          <w:tblInd w:w="0" w:type="dxa"/>
          <w:tblCellMar>
            <w:top w:w="0" w:type="dxa"/>
            <w:left w:w="108" w:type="dxa"/>
            <w:bottom w:w="0" w:type="dxa"/>
            <w:right w:w="108" w:type="dxa"/>
          </w:tblCellMar>
        </w:tblPrEx>
        <w:trPr>
          <w:trHeight w:val="1248"/>
        </w:trPr>
        <w:tc>
          <w:tcPr>
            <w:tcW w:w="0" w:type="auto"/>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0" w:type="auto"/>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0" w:type="auto"/>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0" w:type="auto"/>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目录整理</w:t>
            </w:r>
          </w:p>
        </w:tc>
        <w:tc>
          <w:tcPr>
            <w:tcW w:w="0" w:type="auto"/>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hAnsi="宋体" w:hint="eastAsia"/>
                <w:kern w:val="0"/>
                <w:lang w:val="en-GB"/>
              </w:rPr>
              <w:t>整理</w:t>
            </w:r>
            <w:r>
              <w:rPr>
                <w:rFonts w:hAnsi="宋体"/>
                <w:kern w:val="0"/>
              </w:rPr>
              <w:t>医疗</w:t>
            </w:r>
            <w:r>
              <w:rPr>
                <w:rFonts w:hAnsi="宋体" w:hint="eastAsia"/>
                <w:kern w:val="0"/>
                <w:lang w:val="en-GB"/>
              </w:rPr>
              <w:t>信息资源目录，</w:t>
            </w:r>
            <w:r>
              <w:rPr>
                <w:rFonts w:hAnsi="宋体"/>
                <w:kern w:val="0"/>
                <w:lang w:val="en-GB"/>
              </w:rPr>
              <w:t>明确信息资源的共享范围、共享频率、共享方式等内容</w:t>
            </w:r>
            <w:r>
              <w:rPr>
                <w:rFonts w:hAnsi="宋体" w:hint="eastAsia"/>
                <w:kern w:val="0"/>
                <w:lang w:val="en-GB"/>
              </w:rPr>
              <w:t>。</w:t>
            </w:r>
          </w:p>
        </w:tc>
      </w:tr>
      <w:tr>
        <w:tblPrEx>
          <w:tblW w:w="0" w:type="auto"/>
          <w:tblInd w:w="0" w:type="dxa"/>
          <w:tblCellMar>
            <w:top w:w="0" w:type="dxa"/>
            <w:left w:w="108" w:type="dxa"/>
            <w:bottom w:w="0" w:type="dxa"/>
            <w:right w:w="108" w:type="dxa"/>
          </w:tblCellMar>
        </w:tblPrEx>
        <w:trPr>
          <w:trHeight w:val="1248"/>
        </w:trPr>
        <w:tc>
          <w:tcPr>
            <w:tcW w:w="0" w:type="auto"/>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0" w:type="auto"/>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0" w:type="auto"/>
            <w:vMerge/>
            <w:tcBorders>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p>
        </w:tc>
        <w:tc>
          <w:tcPr>
            <w:tcW w:w="0" w:type="auto"/>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质量管理</w:t>
            </w:r>
          </w:p>
        </w:tc>
        <w:tc>
          <w:tcPr>
            <w:tcW w:w="0" w:type="auto"/>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hAnsi="宋体" w:hint="eastAsia"/>
                <w:kern w:val="0"/>
                <w:lang w:val="en-GB"/>
              </w:rPr>
              <w:t>根据标准规范对普查的</w:t>
            </w:r>
            <w:r>
              <w:rPr>
                <w:rFonts w:hAnsi="宋体"/>
                <w:kern w:val="0"/>
              </w:rPr>
              <w:t>医疗</w:t>
            </w:r>
            <w:r>
              <w:rPr>
                <w:rFonts w:hAnsi="宋体" w:hint="eastAsia"/>
                <w:kern w:val="0"/>
                <w:lang w:val="en-GB"/>
              </w:rPr>
              <w:t>信息资源目录进行核验、补充、完善，辅助提升目录编制质量。</w:t>
            </w:r>
          </w:p>
        </w:tc>
      </w:tr>
      <w:tr>
        <w:tblPrEx>
          <w:tblW w:w="0" w:type="auto"/>
          <w:tblInd w:w="0" w:type="dxa"/>
          <w:tblCellMar>
            <w:top w:w="0" w:type="dxa"/>
            <w:left w:w="108" w:type="dxa"/>
            <w:bottom w:w="0" w:type="dxa"/>
            <w:right w:w="108" w:type="dxa"/>
          </w:tblCellMar>
        </w:tblPrEx>
        <w:trPr>
          <w:trHeight w:val="1248"/>
        </w:trPr>
        <w:tc>
          <w:tcPr>
            <w:tcW w:w="0" w:type="auto"/>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0" w:type="auto"/>
            <w:vMerge/>
            <w:tcBorders>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0" w:type="auto"/>
            <w:tcBorders>
              <w:top w:val="single" w:sz="4" w:space="0" w:color="auto"/>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目录分类</w:t>
            </w:r>
          </w:p>
        </w:tc>
        <w:tc>
          <w:tcPr>
            <w:tcW w:w="0" w:type="auto"/>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目录分类</w:t>
            </w:r>
          </w:p>
        </w:tc>
        <w:tc>
          <w:tcPr>
            <w:tcW w:w="0" w:type="auto"/>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对数据资源目录进行分类，包括但不限于</w:t>
            </w:r>
            <w:r>
              <w:rPr>
                <w:rFonts w:hAnsi="宋体" w:cs="宋体" w:hint="eastAsia"/>
                <w:color w:val="000000"/>
              </w:rPr>
              <w:t>就诊概要信息、门急诊业务信息、住院业务信息、医技业务信息、病历文书信息等。</w:t>
            </w:r>
          </w:p>
        </w:tc>
      </w:tr>
      <w:tr>
        <w:tblPrEx>
          <w:tblW w:w="0" w:type="auto"/>
          <w:tblInd w:w="0" w:type="dxa"/>
          <w:tblCellMar>
            <w:top w:w="0" w:type="dxa"/>
            <w:left w:w="108" w:type="dxa"/>
            <w:bottom w:w="0" w:type="dxa"/>
            <w:right w:w="108" w:type="dxa"/>
          </w:tblCellMar>
        </w:tblPrEx>
        <w:trPr>
          <w:trHeight w:val="1248"/>
        </w:trPr>
        <w:tc>
          <w:tcPr>
            <w:tcW w:w="0" w:type="auto"/>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0" w:type="auto"/>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数据接入管理</w:t>
            </w:r>
          </w:p>
        </w:tc>
        <w:tc>
          <w:tcPr>
            <w:tcW w:w="0" w:type="auto"/>
            <w:vMerge w:val="restart"/>
            <w:tcBorders>
              <w:top w:val="single" w:sz="4" w:space="0" w:color="auto"/>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数据来源梳理服务</w:t>
            </w:r>
          </w:p>
        </w:tc>
        <w:tc>
          <w:tcPr>
            <w:tcW w:w="0" w:type="auto"/>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HIS系统数据</w:t>
            </w:r>
          </w:p>
        </w:tc>
        <w:tc>
          <w:tcPr>
            <w:tcW w:w="0" w:type="auto"/>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支持采集HIS系统数据，汇聚HIS系统数据到数据湖，涉及的表单主要包括医疗机构信息、科室字典、医护人员信息、收费项目、药品目录、医嘱项目、病人基本信息等。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PACS系统数据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支持采集PACS系统数据，汇聚PACS系统数据到数据湖，涉及的表单主要包括检查报告、病理检查报告、检查危急值等。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LIS系统数据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支持采集LIS系统数据，汇聚LIS系统数据到数据湖，涉及的表单主要包括检验报告主表、检验结果明细表、检验危急值记录等。</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HRP系统数据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支持采集HRP系统数据，汇聚HRP系统数据到数据湖，涉及的表单主要包括人员基本信息、人员教育情况信息、人员工作情况信息、药品库存、药品出入库等。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病案系统数据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支持采集病案系统数据，汇聚病案系统数据到数据湖，涉及的表单主要包括中医病案首页、西医病案首页、手术等。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医疗管理系统数据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支持采集医疗管理系统数据，汇聚医疗管理系统数据到数据湖，涉及的表单主要包括院内感染信息、传染病上报等。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手麻系统数据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支持采集手麻系统数据，汇聚手麻系统数据到数据湖，涉及的表单主要包括手术记录、麻醉记录等。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体检系统数据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支持采集体检系统数据，汇聚体检系统数据到数据湖，涉及的表单主要包括体检报告、分科体检及功能检查等。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输血系统数据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支持采集输血系统数据，汇聚输血系统数据到数据湖，涉及的表单主要包括患者输血申请、血液物资进出库存等。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EMR系统数据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支持采集EMR系统数据，汇聚EMR系统数据到数据湖，涉及的表单主要包括知情告知书、出入院记录、住院病程记录、病历概要等。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后勤系统数据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支持采集后勤系统数据，汇聚后勤系统数据到数据湖，涉及的表单主要包括设备数据、资产数据、耗材等。</w:t>
            </w:r>
          </w:p>
        </w:tc>
      </w:tr>
      <w:tr>
        <w:tblPrEx>
          <w:tblW w:w="0" w:type="auto"/>
          <w:tblInd w:w="0" w:type="dxa"/>
          <w:tblCellMar>
            <w:top w:w="0" w:type="dxa"/>
            <w:left w:w="108" w:type="dxa"/>
            <w:bottom w:w="0" w:type="dxa"/>
            <w:right w:w="108" w:type="dxa"/>
          </w:tblCellMar>
        </w:tblPrEx>
        <w:trPr>
          <w:trHeight w:val="624"/>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其他系统数据</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支持采集本次项目建设场景所需的其他业务系统数据。</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w:t>
            </w:r>
          </w:p>
        </w:tc>
        <w:tc>
          <w:tcPr>
            <w:tcW w:w="0" w:type="auto"/>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 采集服务</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采集服务对接方式</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支持对接离线数据或实时数据，尽量避免或者减少直接对业务生产系统进行调整，根据实际场景需求采用实时解决方案和离线解决方案的对接方式。</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w:t>
            </w:r>
          </w:p>
        </w:tc>
        <w:tc>
          <w:tcPr>
            <w:tcW w:w="0" w:type="auto"/>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数据治理管理</w:t>
            </w:r>
          </w:p>
        </w:tc>
        <w:tc>
          <w:tcPr>
            <w:tcW w:w="0" w:type="auto"/>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数据标准化服务</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数据标准化处理</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支持对国标数据、行标数据、院标数据进行数据标准化处理，对院内数据进行标准化映射管理。</w:t>
            </w:r>
          </w:p>
        </w:tc>
      </w:tr>
      <w:tr>
        <w:tblPrEx>
          <w:tblW w:w="0" w:type="auto"/>
          <w:tblInd w:w="0" w:type="dxa"/>
          <w:tblCellMar>
            <w:top w:w="0" w:type="dxa"/>
            <w:left w:w="108" w:type="dxa"/>
            <w:bottom w:w="0" w:type="dxa"/>
            <w:right w:w="108" w:type="dxa"/>
          </w:tblCellMar>
        </w:tblPrEx>
        <w:trPr>
          <w:trHeight w:val="624"/>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医学术语处理</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支持对ICD10、ICD-9-CM-3、药品数据、术语等进行处理。</w:t>
            </w:r>
          </w:p>
        </w:tc>
      </w:tr>
      <w:tr>
        <w:tblPrEx>
          <w:tblW w:w="0" w:type="auto"/>
          <w:tblInd w:w="0" w:type="dxa"/>
          <w:tblCellMar>
            <w:top w:w="0" w:type="dxa"/>
            <w:left w:w="108" w:type="dxa"/>
            <w:bottom w:w="0" w:type="dxa"/>
            <w:right w:w="108" w:type="dxa"/>
          </w:tblCellMar>
        </w:tblPrEx>
        <w:trPr>
          <w:trHeight w:val="1872"/>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EMPI管理</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院内的EMPI进行管理，通过建立统一的患者主索引，支撑多源、多模态的临床数据、组学数据、影像数据、其他行业数据的融合。可以高效智能地管理人员对患者数据进行搜索，同时便于展现统一、完整、连续的患者诊疗信息。</w:t>
            </w:r>
          </w:p>
        </w:tc>
      </w:tr>
      <w:tr>
        <w:tblPrEx>
          <w:tblW w:w="0" w:type="auto"/>
          <w:tblInd w:w="0" w:type="dxa"/>
          <w:tblCellMar>
            <w:top w:w="0" w:type="dxa"/>
            <w:left w:w="108" w:type="dxa"/>
            <w:bottom w:w="0" w:type="dxa"/>
            <w:right w:w="108" w:type="dxa"/>
          </w:tblCellMar>
        </w:tblPrEx>
        <w:trPr>
          <w:trHeight w:val="1560"/>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数据模型管理服务</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数据模型展示</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支持可视化的方式展示各数据模型（患者入出转、患者费用、病历文书、检验、病案、护理、医嘱、病理、检查、手术等）的主要信息，展示信息至少包括：领域名称、增量条数、总条数、更新时间。</w:t>
            </w:r>
          </w:p>
        </w:tc>
      </w:tr>
      <w:tr>
        <w:tblPrEx>
          <w:tblW w:w="0" w:type="auto"/>
          <w:tblInd w:w="0" w:type="dxa"/>
          <w:tblCellMar>
            <w:top w:w="0" w:type="dxa"/>
            <w:left w:w="108" w:type="dxa"/>
            <w:bottom w:w="0" w:type="dxa"/>
            <w:right w:w="108" w:type="dxa"/>
          </w:tblCellMar>
        </w:tblPrEx>
        <w:trPr>
          <w:trHeight w:val="1872"/>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数据模型分布</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可视化的方式展示每个数据模型中（患者入出转、患者费用、病历文书、检验、病案、护理、医嘱、病理、检查、手术等）各个表的主要信息，展现形式包括：饼图、折线图。展示内容至少包括：表中数据总行数、占比、24小时内表中数据的增量分布情况。</w:t>
            </w:r>
          </w:p>
        </w:tc>
      </w:tr>
      <w:tr>
        <w:tblPrEx>
          <w:tblW w:w="0" w:type="auto"/>
          <w:tblInd w:w="0" w:type="dxa"/>
          <w:tblCellMar>
            <w:top w:w="0" w:type="dxa"/>
            <w:left w:w="108" w:type="dxa"/>
            <w:bottom w:w="0" w:type="dxa"/>
            <w:right w:w="108" w:type="dxa"/>
          </w:tblCellMar>
        </w:tblPrEx>
        <w:trPr>
          <w:trHeight w:val="1560"/>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 元数据管理</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元数据可视化管理</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元数据的标准化管理。支持对系统内元数据对象进行新增、编辑、删除操作，确保各类元数据的有效组织与维护。支持与具体业务场景绑定，形成元数据与实际业务间的关联映射，提升元数据使用的准确性和实用性。</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元数查询</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提供元数据的模糊查询功能，支持对绑定的元数据进行快速检索，并能展示元数据相关的字段信息、所属库表、使用场景等关键内容，方便用户快速定位与分析。</w:t>
            </w:r>
          </w:p>
        </w:tc>
      </w:tr>
      <w:tr>
        <w:tblPrEx>
          <w:tblW w:w="0" w:type="auto"/>
          <w:tblInd w:w="0" w:type="dxa"/>
          <w:tblCellMar>
            <w:top w:w="0" w:type="dxa"/>
            <w:left w:w="108" w:type="dxa"/>
            <w:bottom w:w="0" w:type="dxa"/>
            <w:right w:w="108" w:type="dxa"/>
          </w:tblCellMar>
        </w:tblPrEx>
        <w:trPr>
          <w:trHeight w:val="1560"/>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数据结构化</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支持对非结构化的数据（如：HTML、XML类型的电子病历/检查报告/病理报告）进行结构化的转化，形成具有结构化、一致化的提取结果，形成可以直接进行检索或二次利用的数据。</w:t>
            </w:r>
          </w:p>
        </w:tc>
      </w:tr>
      <w:tr>
        <w:tblPrEx>
          <w:tblW w:w="0" w:type="auto"/>
          <w:tblInd w:w="0" w:type="dxa"/>
          <w:tblCellMar>
            <w:top w:w="0" w:type="dxa"/>
            <w:left w:w="108" w:type="dxa"/>
            <w:bottom w:w="0" w:type="dxa"/>
            <w:right w:w="108" w:type="dxa"/>
          </w:tblCellMar>
        </w:tblPrEx>
        <w:trPr>
          <w:trHeight w:val="3432"/>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数据解析管理</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文本类数据结构化</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建设原始库</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建设原始库（ODS镜像库）能够保存业务系统的原始数据，能够提供最真实、最全面的信息，对于后续的数据分析提供支持。原始库作为数据仓库的入口，能够对进入的数据进行初步的校验和筛选，确保数据的准确性和可靠性。提高整个数据仓库的数据质量。同时建设原始库，可以将医院现在使用的电子病历、HIS系统的数据与数据分析系统隔离开来，降低数据风险。即使数据分析系统出现故障或遭受攻击，也不会影响到医院核心业务系统的正常运行和数据安全。</w:t>
            </w:r>
          </w:p>
        </w:tc>
      </w:tr>
      <w:tr>
        <w:tblPrEx>
          <w:tblW w:w="0" w:type="auto"/>
          <w:tblInd w:w="0" w:type="dxa"/>
          <w:tblCellMar>
            <w:top w:w="0" w:type="dxa"/>
            <w:left w:w="108" w:type="dxa"/>
            <w:bottom w:w="0" w:type="dxa"/>
            <w:right w:w="108" w:type="dxa"/>
          </w:tblCellMar>
        </w:tblPrEx>
        <w:trPr>
          <w:trHeight w:val="624"/>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w:t>
            </w:r>
          </w:p>
        </w:tc>
        <w:tc>
          <w:tcPr>
            <w:tcW w:w="0" w:type="auto"/>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资源库管理</w:t>
            </w:r>
          </w:p>
        </w:tc>
        <w:tc>
          <w:tcPr>
            <w:tcW w:w="0" w:type="auto"/>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医院数据原始库</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原始库设计</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支持原始库的设计中要考虑规范性、可扩展性、性能优化和完全性。</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原始库扩展和维护</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支持原始库的设计具有可扩展性和可维护性，能够快速地适应这些变化，确保数据仓库的稳定性和可靠性。</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保持数据原貌</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支持保持数据原貌：原始库的主要目标是存储业务系统的原始数据，确保数据的完整性、真实性和原始性。在数据抽取和加载过程中直接按照业务系统的数据结构进行存储。</w:t>
            </w:r>
          </w:p>
        </w:tc>
      </w:tr>
      <w:tr>
        <w:tblPrEx>
          <w:tblW w:w="0" w:type="auto"/>
          <w:tblInd w:w="0" w:type="dxa"/>
          <w:tblCellMar>
            <w:top w:w="0" w:type="dxa"/>
            <w:left w:w="108" w:type="dxa"/>
            <w:bottom w:w="0" w:type="dxa"/>
            <w:right w:w="108" w:type="dxa"/>
          </w:tblCellMar>
        </w:tblPrEx>
        <w:trPr>
          <w:trHeight w:val="1872"/>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数据结构和存储</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考虑数据结构和存储：根据业务系统的数据类型、数据量以及数据访问模式，合理设计贴源数据层的数据结构。例如，对于结构化数据，可以使用关系型数据库进行存储；对于非结构化数据，可以使用文件存储或对象存储等方式。</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33</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数据抽取和加载</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支持建立高效的数据抽取和加载机制：为了保障数据的实时性和准确性，建立高效的数据抽取和加载机制。这可以通过使用ETL工具、数据库复制技术方式实现。</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34</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易于扩展和维护</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支持易于扩展和维护：原始库的设计应该具有可扩展性和可维护性，以适应业务系统的变化和增长。这可以通过使用分布式数据库、容器化技术等手段实现。</w:t>
            </w:r>
          </w:p>
        </w:tc>
      </w:tr>
      <w:tr>
        <w:tblPrEx>
          <w:tblW w:w="0" w:type="auto"/>
          <w:tblInd w:w="0" w:type="dxa"/>
          <w:tblCellMar>
            <w:top w:w="0" w:type="dxa"/>
            <w:left w:w="108" w:type="dxa"/>
            <w:bottom w:w="0" w:type="dxa"/>
            <w:right w:w="108" w:type="dxa"/>
          </w:tblCellMar>
        </w:tblPrEx>
        <w:trPr>
          <w:trHeight w:val="624"/>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35</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原始库模型设计</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支持原始库模型设计，包括：临床原始库、绩效考核原始库等。</w:t>
            </w:r>
          </w:p>
        </w:tc>
      </w:tr>
      <w:tr>
        <w:tblPrEx>
          <w:tblW w:w="0" w:type="auto"/>
          <w:tblInd w:w="0" w:type="dxa"/>
          <w:tblCellMar>
            <w:top w:w="0" w:type="dxa"/>
            <w:left w:w="108" w:type="dxa"/>
            <w:bottom w:w="0" w:type="dxa"/>
            <w:right w:w="108" w:type="dxa"/>
          </w:tblCellMar>
        </w:tblPrEx>
        <w:trPr>
          <w:trHeight w:val="1560"/>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36</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主题库资源</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支持主题库为医院提供临床、运营、科研等不同业务域的专业性信息和知识资源。在基础库的基础上构建而成，对基础库中特定主题领域进行深入挖掘和整理，形成具有特定主题领域信息资源的集合体。</w:t>
            </w:r>
          </w:p>
        </w:tc>
      </w:tr>
      <w:tr>
        <w:tblPrEx>
          <w:tblW w:w="0" w:type="auto"/>
          <w:tblInd w:w="0" w:type="dxa"/>
          <w:tblCellMar>
            <w:top w:w="0" w:type="dxa"/>
            <w:left w:w="108" w:type="dxa"/>
            <w:bottom w:w="0" w:type="dxa"/>
            <w:right w:w="108" w:type="dxa"/>
          </w:tblCellMar>
        </w:tblPrEx>
        <w:trPr>
          <w:trHeight w:val="1872"/>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37</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医院数据主题库</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主题库模型设计</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题课模型设计，包括：门诊接诊、住院登记、住院病人基本、门诊预约、门诊挂号、门诊诊断、门诊病人基本信息、住院诊断、门诊费用明细、出院结账明细、电子医嘱、病历文书、检验、检查、病理、手术麻醉管理、病案管理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38</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医院专题库建设</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支持医院专题库建设，为前端应用实现高效率的查询对数据进行轻度汇总表和大宽表设计，满足应用快速查询性能的需要。</w:t>
            </w:r>
          </w:p>
        </w:tc>
      </w:tr>
      <w:tr>
        <w:tblPrEx>
          <w:tblW w:w="0" w:type="auto"/>
          <w:tblInd w:w="0" w:type="dxa"/>
          <w:tblCellMar>
            <w:top w:w="0" w:type="dxa"/>
            <w:left w:w="108" w:type="dxa"/>
            <w:bottom w:w="0" w:type="dxa"/>
            <w:right w:w="108" w:type="dxa"/>
          </w:tblCellMar>
        </w:tblPrEx>
        <w:trPr>
          <w:trHeight w:val="2184"/>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39</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医院数据专题库</w:t>
            </w: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设计理念</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业务指标为核心的设计理念：模型构建紧密围绕医院业务中需要呈现的各类指标展开。在专题层面，深入剖析指标需求，对主题相关的数据进行预先加工处理，将处理结果妥善保存在专题层。这种设计方式确保了数据在专题层面能够直接满足业务指标的呈现需求，为前端应用提供了精准的数据支持。</w:t>
            </w:r>
          </w:p>
        </w:tc>
      </w:tr>
      <w:tr>
        <w:tblPrEx>
          <w:tblW w:w="0" w:type="auto"/>
          <w:tblInd w:w="0" w:type="dxa"/>
          <w:tblCellMar>
            <w:top w:w="0" w:type="dxa"/>
            <w:left w:w="108" w:type="dxa"/>
            <w:bottom w:w="0" w:type="dxa"/>
            <w:right w:w="108" w:type="dxa"/>
          </w:tblCellMar>
        </w:tblPrEx>
        <w:trPr>
          <w:trHeight w:val="1872"/>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40</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大宽表设计</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大宽表的设计理论，为了最大程度地提高数据服务效率，专题设计强调尽量采用大宽表结构。在数据服务查询过程中，大宽表能够显著减少表关联操作，从而加快查询速度，提升数据服务的响应性能，满足医院应用对快速查询的严格要求。</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41</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业务检测专题库</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支持业务检测专题库设计，主要是为了对医院开展的业务进行实时监测而建立的专题库，主要包括：检查业务、检验业务、住院业务、医生工作业务、门诊号源等。</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42</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数据资产管理专题库</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支持数据资产管理专题库设计，主要是为了梳理医院数据治理的情况，帮助医院理清数据要素建设情况，主要包括：固定资产业务、人员业务、耗材业务、数据资产等。</w:t>
            </w:r>
          </w:p>
        </w:tc>
      </w:tr>
      <w:tr>
        <w:tblPrEx>
          <w:tblW w:w="0" w:type="auto"/>
          <w:tblInd w:w="0" w:type="dxa"/>
          <w:tblCellMar>
            <w:top w:w="0" w:type="dxa"/>
            <w:left w:w="108" w:type="dxa"/>
            <w:bottom w:w="0" w:type="dxa"/>
            <w:right w:w="108" w:type="dxa"/>
          </w:tblCellMar>
        </w:tblPrEx>
        <w:trPr>
          <w:trHeight w:val="624"/>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43</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运营分析库</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支持运营分析库设计，主要是为了分析医院的人、财、设备、医保、成本、业务量等。</w:t>
            </w:r>
          </w:p>
        </w:tc>
      </w:tr>
      <w:tr>
        <w:tblPrEx>
          <w:tblW w:w="0" w:type="auto"/>
          <w:tblInd w:w="0" w:type="dxa"/>
          <w:tblCellMar>
            <w:top w:w="0" w:type="dxa"/>
            <w:left w:w="108" w:type="dxa"/>
            <w:bottom w:w="0" w:type="dxa"/>
            <w:right w:w="108" w:type="dxa"/>
          </w:tblCellMar>
        </w:tblPrEx>
        <w:trPr>
          <w:trHeight w:val="936"/>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44</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临床管理库</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支持临床管理库设计，主要是针对诊疗过程中行为进行管理分析，设定指标规则，进行临床业务的质量管理。</w:t>
            </w:r>
          </w:p>
        </w:tc>
      </w:tr>
    </w:tbl>
    <w:p>
      <w:pPr>
        <w:pStyle w:val="NormalIndent"/>
        <w:ind w:firstLine="0"/>
      </w:pPr>
    </w:p>
    <w:p>
      <w:pPr>
        <w:pStyle w:val="NormalIndent"/>
        <w:ind w:firstLine="0"/>
      </w:pPr>
      <w:r>
        <w:rPr>
          <w:rFonts w:hint="eastAsia"/>
        </w:rPr>
        <w:t>3）大脑数据中台技术需求</w:t>
      </w:r>
    </w:p>
    <w:tbl>
      <w:tblPr>
        <w:tblStyle w:val="TableNormal"/>
        <w:tblW w:w="0" w:type="auto"/>
        <w:tblInd w:w="0" w:type="dxa"/>
        <w:tblLayout w:type="fixed"/>
        <w:tblCellMar>
          <w:top w:w="0" w:type="dxa"/>
          <w:left w:w="108" w:type="dxa"/>
          <w:bottom w:w="0" w:type="dxa"/>
          <w:right w:w="108" w:type="dxa"/>
        </w:tblCellMar>
      </w:tblPr>
      <w:tblGrid>
        <w:gridCol w:w="618"/>
        <w:gridCol w:w="663"/>
        <w:gridCol w:w="699"/>
        <w:gridCol w:w="709"/>
        <w:gridCol w:w="1275"/>
        <w:gridCol w:w="4339"/>
      </w:tblGrid>
      <w:tr>
        <w:tblPrEx>
          <w:tblW w:w="0" w:type="auto"/>
          <w:tblInd w:w="0" w:type="dxa"/>
          <w:tblLayout w:type="fixed"/>
          <w:tblCellMar>
            <w:top w:w="0" w:type="dxa"/>
            <w:left w:w="108" w:type="dxa"/>
            <w:bottom w:w="0" w:type="dxa"/>
            <w:right w:w="108" w:type="dxa"/>
          </w:tblCellMar>
        </w:tblPrEx>
        <w:trPr>
          <w:trHeight w:val="312"/>
        </w:trPr>
        <w:tc>
          <w:tcPr>
            <w:tcW w:w="618" w:type="dxa"/>
            <w:tcBorders>
              <w:top w:val="single" w:sz="4" w:space="0" w:color="auto"/>
              <w:left w:val="single" w:sz="4" w:space="0" w:color="auto"/>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663"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系统名称</w:t>
            </w:r>
          </w:p>
        </w:tc>
        <w:tc>
          <w:tcPr>
            <w:tcW w:w="1408" w:type="dxa"/>
            <w:gridSpan w:val="2"/>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功能模块</w:t>
            </w:r>
          </w:p>
        </w:tc>
        <w:tc>
          <w:tcPr>
            <w:tcW w:w="1275"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子模块</w:t>
            </w:r>
          </w:p>
        </w:tc>
        <w:tc>
          <w:tcPr>
            <w:tcW w:w="4339"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功能参数</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数据集成子系统</w:t>
            </w:r>
          </w:p>
        </w:tc>
        <w:tc>
          <w:tcPr>
            <w:tcW w:w="1408"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控制台</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控制台</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提供用户登录的控制台首页，实时查看任务配置情况，当日任务运行实例情况，以及异常处理情况。同时提供可快速配置任务的快捷入口。</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任务配置</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任务配置-向导模式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可视化配置数据表映射、数据字段映射和任务调度来完成数据集成，支持自动建表和批量建表，配置字段映射关系。</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任务配置-脚本模式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编写SQL脚本，以目标表来定位数据集成范围，支持SQL脚本语法校验，满足复杂场景的数据集成。</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任务配置-API模式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通过维护API接口信息和自动翻页、自动轮询、智能解析返回参数结构的能力，实现APT接口数据集成到数据表中。</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任务配置-文件解析</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通过智能解析能力，实现Excel、csv、txt、json半结构化文件类数据的集成和存储。</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任务配置-文件集成</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▲提供对非结构化数据传输的快速配置能力，同时提供对数据类文件的智能解析，快速结构化存储能力。（</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任务配置-整库迁移</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提供简单的配置步骤，通过配置数据来源、数据目标，勾选数据范围，配置任务调度即可完成整库的数据迁移。</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任务统计</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运行监控</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图形化监控，以任务数量、集成数据量维度统计分析，展示数据集成任务的执行情况。</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集成清册</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提供以数据来源和数据目标为统计维度，统计数据采集情况，同时支持查看每张表在业务日期采集的数据量。</w:t>
            </w:r>
          </w:p>
        </w:tc>
      </w:tr>
      <w:tr>
        <w:tblPrEx>
          <w:tblW w:w="0" w:type="auto"/>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任务运维</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任务运维</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管控已配置完成的集成任务，对运行的任务监控其状态，对已完成和未运行的任务进行重跑、终止操作，同时支持查看任务基本信息、运行日志、运行脚本及任务运行产生的结果信息。</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任务监控</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报警信息</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统一展示预警规则触发预警后的信息。</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报警规则</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自定义任务预警条件（完成、未完成，超时、出错），并定义预警参数，确定任务接收人。</w:t>
            </w:r>
          </w:p>
        </w:tc>
      </w:tr>
      <w:tr>
        <w:tblPrEx>
          <w:tblW w:w="0" w:type="auto"/>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异常核检</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数据异常检测</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▲任务运行成功后，任务运行完成后，通过比对源端数据量和目标端数据量，列出产生脏数据的任务清单，支持查看对应的脏数据明细信息以及造成脏数据的原因，并支持补数据功能。（</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0" w:type="auto"/>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表结构一致性检测</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定时比对数据集成任务中源端表和目标端表的表结构，判断源端表结构是否发生变化，列出表结构异常清单，并标明表结构变化类型以及是否影响对应集成任务的运行，并支持自动和手动修复。</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字段类型映射配置</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字段类型映射配置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支持对异构数据源的字段类型映射关系进行自定义配置，在自动构建目标表时，系统能够依据源端数据表的结构，智能且精准地生成目标端数据表的建表语句。</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w:t>
            </w:r>
          </w:p>
        </w:tc>
        <w:tc>
          <w:tcPr>
            <w:tcW w:w="66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数据治理子系统</w:t>
            </w:r>
          </w:p>
        </w:tc>
        <w:tc>
          <w:tcPr>
            <w:tcW w:w="699"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数据标准管理</w:t>
            </w: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数据标准管理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基础标准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支持基于在线模板配置，提供界面动态渲染的能力。</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代码标准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支持基于在线模板配置，提供界面动态渲染的能力。</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审批中心</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支持对基础数据标准、标准代码、指标标准修订申请进行审批，支持对审批历史进行查询。</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数据标准清洗</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代码映射</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支持在线维护业务系统代码与标准代码之间的映射关系，为后续标准化清洗任务中业务代码标准化处理，提供转换规则。支持多业务代码对应单个标准代码，同时代码映射支持批量导入功能。</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清洗规则</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支持将标准化清洗业务逻辑抽取为通用清洗规则，在标准化清洗时选择清洗规则即可完成标准化清洗，同时帮助用户沉淀行业级标准化清洗业务规则资产。</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支持配置标准化清洗任务，实现对源端数据标准化清洗，任务模式包含高度可视化的向导模式和应对复杂场景的自定义模式。</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任务运维</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支持对运行实例明细的查看，对任务进行终止、重跑、解冻和运行日志查看操作。</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任务概览</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支持多维度对标准化任务监控，图表结合展示当前任务的运行情况，帮助用户全面了解当前标准化任务运行状况。</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任务预警</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支持统一展示预警规则触发预警后的信息，自定义任务预警条件（完成、未完成，超时、出错），并定义预警参数，确定任务接收人，当系统检测到对应任务有触发预定规则的，将向相关接收人推送预警信息。</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智能辅助</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智能识别</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▲支持通过对元数据的分析，挖掘数据项间的紧密关系，帮忙用户在快速甄别核心数据项，提取基础数据标准。（</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冗余检测</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支持利用机器学习算法，扫描现有数据标准体系，输出冗余检测结果，并为用户提供查询与分析检测功能，帮助用户有效管理现行数据标准，提升数据标准质量。</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基础配置</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基础代码</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支持通过可视化方式在线维护代码集合，为后续数据标准模板配置中的组件提供数据来源，实现基础配置数据在线可视化维护。</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数据质量管理</w:t>
            </w: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总览</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总览</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支持按照不同的时间维度，查看表异常数据量排名、作业告警排名、平台质量问题趋势、质量维度的分布情况。</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作业配置</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质量检核作业管理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支持对质量检核作业统一管理能力，聚合分散功能入口，构建统一质量检核作业管理中心。</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新建作业（向导模式）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可适用于数据库的基础检核作业，无需编码，支持基于规则模板，通过可视化配置，实现数据质量检核。</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新建作业（自定义模式）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支持个性化、面向具体业务场景，实现较为复杂的检核作业。</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质量作业详情</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支持质量检核作业对不同时间多次检核，并进行统计和分析。</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作业草稿</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支持系统将未编辑完成的作业保存为草稿。新建作业时，系统会提示是否应用上次编辑的作业草稿。</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作业调度配置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作业调度可分为定时调度和手工调度。作业任务支持设置依赖任务，任务的执行依赖于上游其他平台任务的执行情况。</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异常数据备份</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支持异常数据备份默认系统自动进行，系统自动建备份库和备份表，系统按规则命名，无需用户配置。</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作业版本管理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支持每一次成功编辑，系统都会生成一个独立版本，记录版本对应的运营代码。</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检核管理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检核实例管理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支持作业每一次运行生成一个检核实例，对检核实例的运行进度、状态、检核结果进行实时监控和管理。</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库检核视图</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以库为维度支持运维人员查看对指定数据库质量检核任务实例的运行情况，支持任务实例运行状态监控以及实例终止、异常确认、实例查询、暂停操作。</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表检核视图</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支持以表为维度，对表质量检核详情进行全维度展示，通过质量一张图让数据治理人员能对单表的质量情况进行全盘掌握。</w:t>
            </w:r>
          </w:p>
        </w:tc>
      </w:tr>
      <w:tr>
        <w:tblPrEx>
          <w:tblW w:w="0" w:type="auto"/>
          <w:tblInd w:w="0" w:type="dxa"/>
          <w:tblLayout w:type="fixed"/>
          <w:tblCellMar>
            <w:top w:w="0" w:type="dxa"/>
            <w:left w:w="108" w:type="dxa"/>
            <w:bottom w:w="0" w:type="dxa"/>
            <w:right w:w="108" w:type="dxa"/>
          </w:tblCellMar>
        </w:tblPrEx>
        <w:trPr>
          <w:trHeight w:val="18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异常确认机制</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为了实现数据质量管理的闭环，平台应构建异常数据确认机制。对于运行成功的作业实例，质量检核人员可以进行异常确认，作业检核的结果与实际相符，需要确认治理，从而推送给相应的责任人，让责任人了解质量情况及时治理。</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作业运行实例详情</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支持跟踪每一个检核对象的每一次规则检核，独立的记录运行的状态信息和结果信息。</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异常数据查看</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支持查看到每一个字段每一个的检核规则的异常数据情况，并关联整条数据，支持下载。</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作业检核结果查看</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支持作业运行过程中，跟踪每一个检核对象的每一次规则检核，独立的记录运行的状态信息和结果信息。</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检核实例生成报告</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支持作业运行成功后，支持一键生成当前检核检核的质量检核报告。</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支持构建质量报告统一管理界面，用于查看并管理已经生成的质量报告，并进行推送和下载操作。</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质量报告配置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系统支持对单库多表进行质量分析，基于选定的运行时间区间，汇总报告配置范围内符合条件的最新数据，进行综合分析。</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质量报告分析</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支持从质量评分、作业分析、规则维度分析、异常数据分析四个维度进行数据质量报告分析。</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质量报告预览</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数据治理支持在线预览，同时支持质量报告下载，支持下载成PDF、Word形式到本地，便于打印和分发传阅。</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质量报告推送</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支持质量管理员把报告推送给有该数据库权限的用户，一份报告可以多次推送给不同用户，系统记录并跟踪每一次报告推送的签收状态。</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质量报告签收</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支持系统用户通过门户消息，点击链接查看报告并签收，非系统用户可以直接邮件查阅并邮件签收回执。</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规则管理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规则函数管理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支持高效定义规则模板，支持内置大数据平台常用函数，支持函数的查询、详情查看以及启停控制。</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规则目录维护</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支持质量规则管理人员基于业务场景创建业务目录，对质量规则进行目录化管理。</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自定义规则模板</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支持将业务中提炼的数据质量规则，通过自定义脚本的方式，创建到系统中，进行高效复用和灵活配置。支持查看规则模板配置信息及版本记录。</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质量规则模板管理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支持质量检核规则定义好后，系统基于列表对规则进行管理。质量规则管理人员自定义的规则，系统支持编辑、停用和启用。每一次成功编辑，记录版本。</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规则详情查看</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支持对规则模板配置信息及版本记录的查看功能。核心应包含规则模板名称、规则模板说明、质量规则分类、质量规则维度、规则模板定义以及输出结果说明等。</w:t>
            </w:r>
          </w:p>
        </w:tc>
      </w:tr>
      <w:tr>
        <w:tblPrEx>
          <w:tblW w:w="0" w:type="auto"/>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元数据管理</w:t>
            </w:r>
          </w:p>
        </w:tc>
        <w:tc>
          <w:tcPr>
            <w:tcW w:w="1984"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元数据总览</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利用可视化图标，从不同颗粒度、不同维度分析元数据的各项指标以及变化趋势。展示当前元模型、元数据的统计信息，包括：已发布模型数量、元数据数量、元数据采集实例数量；展示不同元模型包下的元模型数量及元数据数量；按照最新和定版元数据统计元数据数量及占比、元模型下元数据数量top5；支持查看元数据采集任务成功、失败的数量趋势。</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元模型管理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元模型设计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支持对元模型的基本信息、属性、父子关系、依赖关系、组合关系的增删改查操作。</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关系匹配</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支持设置多个元模型之间的组合、依赖关系。</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元模型审批</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支持元模型发布审批操作。</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元数据采集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支持内置采集适配器，让用户通过配置数据源参数及定时采集任务，进行自动化采集。实现直连数据源的端到端元数据采集。</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采集适配器管理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支持配置适配器来保证自动化采集，支持对适配器进行扩展。</w:t>
            </w:r>
          </w:p>
        </w:tc>
      </w:tr>
      <w:tr>
        <w:tblPrEx>
          <w:tblW w:w="0" w:type="auto"/>
          <w:tblInd w:w="0" w:type="dxa"/>
          <w:tblLayout w:type="fixed"/>
          <w:tblCellMar>
            <w:top w:w="0" w:type="dxa"/>
            <w:left w:w="108" w:type="dxa"/>
            <w:bottom w:w="0" w:type="dxa"/>
            <w:right w:w="108" w:type="dxa"/>
          </w:tblCellMar>
        </w:tblPrEx>
        <w:trPr>
          <w:trHeight w:val="18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元数据分析</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元数据检索</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支持通过元数据关键字进行搜索，同时支持高级检索，可根据元模型类型、元数据范围、修改时间进行搜索。</w:t>
            </w:r>
            <w:r>
              <w:rPr>
                <w:rFonts w:ascii="宋体" w:hAnsi="宋体" w:cs="宋体" w:hint="eastAsia"/>
                <w:color w:val="000000"/>
                <w:kern w:val="0"/>
                <w:szCs w:val="21"/>
              </w:rPr>
              <w:br/>
            </w:r>
            <w:r>
              <w:rPr>
                <w:rFonts w:ascii="宋体" w:hAnsi="宋体" w:cs="宋体" w:hint="eastAsia"/>
                <w:color w:val="000000"/>
                <w:kern w:val="0"/>
                <w:szCs w:val="21"/>
              </w:rPr>
              <w:t>支持通过元数据目录、关键字、数据源、元数据类型多个维度组合对元数据进行快速筛选。</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血缘分析</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支持选择定版元数据进行血缘分析，查看元数据的上游元数据。</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影响分析</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支持选择定版元数据进行影响分析，查看元数据的下游元数据。</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全链分析</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支持选择定版元数据进行全链分析，查看元数据的上下游元数据。</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元数据版本管理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支持元数据版本管理，记录。</w:t>
            </w:r>
          </w:p>
        </w:tc>
      </w:tr>
      <w:tr>
        <w:tblPrEx>
          <w:tblW w:w="0" w:type="auto"/>
          <w:tblInd w:w="0" w:type="dxa"/>
          <w:tblLayout w:type="fixed"/>
          <w:tblCellMar>
            <w:top w:w="0" w:type="dxa"/>
            <w:left w:w="108" w:type="dxa"/>
            <w:bottom w:w="0" w:type="dxa"/>
            <w:right w:w="108" w:type="dxa"/>
          </w:tblCellMar>
        </w:tblPrEx>
        <w:trPr>
          <w:trHeight w:val="249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主数据管理</w:t>
            </w: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字典管理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机构信息管理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1．支持组织机构管理：维护院区、分院等医疗机构的信息；</w:t>
            </w:r>
            <w:r>
              <w:rPr>
                <w:rFonts w:ascii="宋体" w:hAnsi="宋体" w:cs="宋体" w:hint="eastAsia"/>
                <w:color w:val="000000"/>
                <w:kern w:val="0"/>
                <w:szCs w:val="21"/>
              </w:rPr>
              <w:br/>
            </w:r>
            <w:r>
              <w:rPr>
                <w:rFonts w:ascii="宋体" w:hAnsi="宋体" w:cs="宋体" w:hint="eastAsia"/>
                <w:color w:val="000000"/>
                <w:kern w:val="0"/>
                <w:szCs w:val="21"/>
              </w:rPr>
              <w:t>2．支持位置信息管理：维护楼层、区域、病房位置；</w:t>
            </w:r>
            <w:r>
              <w:rPr>
                <w:rFonts w:ascii="宋体" w:hAnsi="宋体" w:cs="宋体" w:hint="eastAsia"/>
                <w:color w:val="000000"/>
                <w:kern w:val="0"/>
                <w:szCs w:val="21"/>
              </w:rPr>
              <w:br/>
            </w:r>
            <w:r>
              <w:rPr>
                <w:rFonts w:ascii="宋体" w:hAnsi="宋体" w:cs="宋体" w:hint="eastAsia"/>
                <w:color w:val="000000"/>
                <w:kern w:val="0"/>
                <w:szCs w:val="21"/>
              </w:rPr>
              <w:t>3．支持科室管理：维护科室信息；</w:t>
            </w:r>
            <w:r>
              <w:rPr>
                <w:rFonts w:ascii="宋体" w:hAnsi="宋体" w:cs="宋体" w:hint="eastAsia"/>
                <w:color w:val="000000"/>
                <w:kern w:val="0"/>
                <w:szCs w:val="21"/>
              </w:rPr>
              <w:br/>
            </w:r>
            <w:r>
              <w:rPr>
                <w:rFonts w:ascii="宋体" w:hAnsi="宋体" w:cs="宋体" w:hint="eastAsia"/>
                <w:color w:val="000000"/>
                <w:kern w:val="0"/>
                <w:szCs w:val="21"/>
              </w:rPr>
              <w:t>4．支持应用系统管理：维护医疗机构所使用的医疗系统信息（生产厂商，系统类型，版本号等）。</w:t>
            </w:r>
          </w:p>
        </w:tc>
      </w:tr>
      <w:tr>
        <w:tblPrEx>
          <w:tblW w:w="0" w:type="auto"/>
          <w:tblInd w:w="0" w:type="dxa"/>
          <w:tblLayout w:type="fixed"/>
          <w:tblCellMar>
            <w:top w:w="0" w:type="dxa"/>
            <w:left w:w="108" w:type="dxa"/>
            <w:bottom w:w="0" w:type="dxa"/>
            <w:right w:w="108" w:type="dxa"/>
          </w:tblCellMar>
        </w:tblPrEx>
        <w:trPr>
          <w:trHeight w:val="249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人员信息管理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1．支持人员管理：管理医疗人员的基本信息和启用/停用；</w:t>
            </w:r>
            <w:r>
              <w:rPr>
                <w:rFonts w:ascii="宋体" w:hAnsi="宋体" w:cs="宋体" w:hint="eastAsia"/>
                <w:color w:val="000000"/>
                <w:kern w:val="0"/>
                <w:szCs w:val="21"/>
              </w:rPr>
              <w:br/>
            </w:r>
            <w:r>
              <w:rPr>
                <w:rFonts w:ascii="宋体" w:hAnsi="宋体" w:cs="宋体" w:hint="eastAsia"/>
                <w:color w:val="000000"/>
                <w:kern w:val="0"/>
                <w:szCs w:val="21"/>
              </w:rPr>
              <w:t>2．支持维护人员所属多科室信息；</w:t>
            </w:r>
            <w:r>
              <w:rPr>
                <w:rFonts w:ascii="宋体" w:hAnsi="宋体" w:cs="宋体" w:hint="eastAsia"/>
                <w:color w:val="000000"/>
                <w:kern w:val="0"/>
                <w:szCs w:val="21"/>
              </w:rPr>
              <w:br/>
            </w:r>
            <w:r>
              <w:rPr>
                <w:rFonts w:ascii="宋体" w:hAnsi="宋体" w:cs="宋体" w:hint="eastAsia"/>
                <w:color w:val="000000"/>
                <w:kern w:val="0"/>
                <w:szCs w:val="21"/>
              </w:rPr>
              <w:t>3．支持职称管理：维护人员对应的职称级别；</w:t>
            </w:r>
            <w:r>
              <w:rPr>
                <w:rFonts w:ascii="宋体" w:hAnsi="宋体" w:cs="宋体" w:hint="eastAsia"/>
                <w:color w:val="000000"/>
                <w:kern w:val="0"/>
                <w:szCs w:val="21"/>
              </w:rPr>
              <w:br/>
            </w:r>
            <w:r>
              <w:rPr>
                <w:rFonts w:ascii="宋体" w:hAnsi="宋体" w:cs="宋体" w:hint="eastAsia"/>
                <w:color w:val="000000"/>
                <w:kern w:val="0"/>
                <w:szCs w:val="21"/>
              </w:rPr>
              <w:t>4．支持人员类型管理：管理人员类别信息；</w:t>
            </w:r>
            <w:r>
              <w:rPr>
                <w:rFonts w:ascii="宋体" w:hAnsi="宋体" w:cs="宋体" w:hint="eastAsia"/>
                <w:color w:val="000000"/>
                <w:kern w:val="0"/>
                <w:szCs w:val="21"/>
              </w:rPr>
              <w:br/>
            </w:r>
            <w:r>
              <w:rPr>
                <w:rFonts w:ascii="宋体" w:hAnsi="宋体" w:cs="宋体" w:hint="eastAsia"/>
                <w:color w:val="000000"/>
                <w:kern w:val="0"/>
                <w:szCs w:val="21"/>
              </w:rPr>
              <w:t>5．医疗组管理：维护人员分组信息以及医疗组关联人员信息。</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代码系统管理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1．支持对代码系统进行新增、删除、导出、查看操作；</w:t>
            </w:r>
            <w:r>
              <w:rPr>
                <w:rFonts w:ascii="宋体" w:hAnsi="宋体" w:cs="宋体" w:hint="eastAsia"/>
                <w:color w:val="000000"/>
                <w:kern w:val="0"/>
                <w:szCs w:val="21"/>
              </w:rPr>
              <w:br/>
            </w:r>
            <w:r>
              <w:rPr>
                <w:rFonts w:ascii="宋体" w:hAnsi="宋体" w:cs="宋体" w:hint="eastAsia"/>
                <w:color w:val="000000"/>
                <w:kern w:val="0"/>
                <w:szCs w:val="21"/>
              </w:rPr>
              <w:t>2．支持批量导入字典项；</w:t>
            </w:r>
            <w:r>
              <w:rPr>
                <w:rFonts w:ascii="宋体" w:hAnsi="宋体" w:cs="宋体" w:hint="eastAsia"/>
                <w:color w:val="000000"/>
                <w:kern w:val="0"/>
                <w:szCs w:val="21"/>
              </w:rPr>
              <w:br/>
            </w:r>
            <w:r>
              <w:rPr>
                <w:rFonts w:ascii="宋体" w:hAnsi="宋体" w:cs="宋体" w:hint="eastAsia"/>
                <w:color w:val="000000"/>
                <w:kern w:val="0"/>
                <w:szCs w:val="21"/>
              </w:rPr>
              <w:t>3．支持对字典项拆分、合并、修改等操作。</w:t>
            </w:r>
          </w:p>
        </w:tc>
      </w:tr>
      <w:tr>
        <w:tblPrEx>
          <w:tblW w:w="0" w:type="auto"/>
          <w:tblInd w:w="0" w:type="dxa"/>
          <w:tblLayout w:type="fixed"/>
          <w:tblCellMar>
            <w:top w:w="0" w:type="dxa"/>
            <w:left w:w="108" w:type="dxa"/>
            <w:bottom w:w="0" w:type="dxa"/>
            <w:right w:w="108" w:type="dxa"/>
          </w:tblCellMar>
        </w:tblPrEx>
        <w:trPr>
          <w:trHeight w:val="18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主数据流程</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1．支持主数据变更审核：对变更的主数据进行查看和审核；</w:t>
            </w:r>
            <w:r>
              <w:rPr>
                <w:rFonts w:ascii="宋体" w:hAnsi="宋体" w:cs="宋体" w:hint="eastAsia"/>
                <w:color w:val="000000"/>
                <w:kern w:val="0"/>
                <w:szCs w:val="21"/>
              </w:rPr>
              <w:br/>
            </w:r>
            <w:r>
              <w:rPr>
                <w:rFonts w:ascii="宋体" w:hAnsi="宋体" w:cs="宋体" w:hint="eastAsia"/>
                <w:color w:val="000000"/>
                <w:kern w:val="0"/>
                <w:szCs w:val="21"/>
              </w:rPr>
              <w:t>2．支持主数据发布：对已经通过审核的数据进行发布；</w:t>
            </w:r>
            <w:r>
              <w:rPr>
                <w:rFonts w:ascii="宋体" w:hAnsi="宋体" w:cs="宋体" w:hint="eastAsia"/>
                <w:color w:val="000000"/>
                <w:kern w:val="0"/>
                <w:szCs w:val="21"/>
              </w:rPr>
              <w:br/>
            </w:r>
            <w:r>
              <w:rPr>
                <w:rFonts w:ascii="宋体" w:hAnsi="宋体" w:cs="宋体" w:hint="eastAsia"/>
                <w:color w:val="000000"/>
                <w:kern w:val="0"/>
                <w:szCs w:val="21"/>
              </w:rPr>
              <w:t>3．支持主数据变更管理：查看主数据变更情况，可进行查询。</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数据同步</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支持维护数据订阅关系，支持通过消息队列、接口、ESB等方式订阅主数据分发。</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日志查询</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支持按照自动同步和手动同步方式筛选查看来源系统字典的同步状态。</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主数据模型</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支持代码值、代码名称自行增加扩展列，扩展列可设置独立字段或对其他字典进行引用；</w:t>
            </w:r>
            <w:r>
              <w:rPr>
                <w:rFonts w:ascii="宋体" w:hAnsi="宋体" w:cs="宋体" w:hint="eastAsia"/>
                <w:color w:val="000000"/>
                <w:kern w:val="0"/>
                <w:szCs w:val="21"/>
              </w:rPr>
              <w:br/>
            </w:r>
            <w:r>
              <w:rPr>
                <w:rFonts w:ascii="宋体" w:hAnsi="宋体" w:cs="宋体" w:hint="eastAsia"/>
                <w:color w:val="000000"/>
                <w:kern w:val="0"/>
                <w:szCs w:val="21"/>
              </w:rPr>
              <w:t>要求支持配置数据模型基础信息，如字典是否需要审核和是否启用等。</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字典对照</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代码系统归一</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1.支持配置基准代码系统和对照代码系统并设置是否需要AI智能推荐；</w:t>
            </w:r>
            <w:r>
              <w:rPr>
                <w:rFonts w:ascii="宋体" w:hAnsi="宋体" w:cs="宋体" w:hint="eastAsia"/>
                <w:color w:val="000000"/>
                <w:kern w:val="0"/>
                <w:szCs w:val="21"/>
              </w:rPr>
              <w:br/>
            </w:r>
            <w:r>
              <w:rPr>
                <w:rFonts w:ascii="宋体" w:hAnsi="宋体" w:cs="宋体" w:hint="eastAsia"/>
                <w:color w:val="000000"/>
                <w:kern w:val="0"/>
                <w:szCs w:val="21"/>
              </w:rPr>
              <w:t>2.展示基准代码系统和对照代码系统中已对照的字典项比例。</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AI智能推荐</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支持基于通用文本相似度算法实现的字典自动对照并显示出推荐结果，可以设置对推荐结果的数量进行设置。</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76</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数据开发子系统</w:t>
            </w: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离线数据开发</w:t>
            </w: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项目管理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项目管理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需提供项目空间的维护管理，包括级联关系维护、基础信息维护、成员管理（含成员权限分配）；提供引擎信息查看功能、数据源查看、资源访问权限查看。</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开发中心</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单节点任务_脚本模式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支持编写 HSQL脚本实现数据加工作业。</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单节点任务_DAG模式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支持通过组件的拖拽方式实现数据加工任务的开发。</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单节点任务_数据同步任务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支持面向数据开发者提供的可视化数据同步配置功能，用于将加工结果集向目标数据库的单次/周期推送。</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MR任务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支持面向数据开发者提供基于MR的jar包资源引用，用于解析jar包。</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spark任务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支持面向数据开发者提供java语言、pyhton语言的资源包引用，实现加工任务的处理。</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pyspark任务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支持面向数据开发者提供在线pyhton脚本编辑实现加工任务的开发。</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任务流</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支持通过DAG图（有向无环图）描述节点任务的依赖关系，开发者轻松拖拽实现数据加工逻辑的设计。</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脚本管理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支持提供脚本的新增、编辑、删除、查询功能。</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SQL脚本编辑器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支持提供智能提醒、关键字高亮、选中执行功能。</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资源列表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支持资源详情查看及资源删除操作。</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资源上传</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支持面向数据开发者提供的资源上传功能。开发者可上传本地自定义的jar、txt文本文件作为资源，在节点运行时使用（如创建自定义函数）。</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函数列表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支持将系统函数及开发者自定义函数以列表形式进行展示，便于开发者在脚本编写时开始查找引用完成一定的计算和计数功能。</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自定义函数</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支持自定义函数（User Defined Function，简称UDF），UDF的使用方式与普通的系统函数相同。</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表查询</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支持查询表字段，分区信息，数据预览，支持多选字段引用，支持跳转数据资产管理模块进行表详情查看。</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字段引用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支持选中给定字段后，通过字段字段引用，快速生成Select语句。</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在线建表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需实现可视化基于字段标准建表，修改表，复制表操作。</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运维中心</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运维总览</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▲可实现针对平台全局任务的执行情况进行监控，主要监控项包括任务完成情况、任务运行情况、任务执行时长排行、调度任务数量趋势、近一月出错排行以及当前项目空间中任务类型分布。（</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任务(流)管理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支持通过列表形式展示已发布任务的基本信息，支持对任务的冻结、解冻、修改责任人操作。</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任务运维管理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支持查看每个任务每次运行产生的任务实例的执行状态，支持对任务的停止、重跑操作；点击单个任务实例可以查看任务DAG图，节点脚本、运行日志信息。</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预警监控</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预警信息</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支持通过图表和列表的形式查看平台的预警情况。</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预警规则管理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可实现针对单个或多个任务可自定义预警项目（未完成，超时、出错），并定义预警参数，确定任务接收人，当系统检测到对应任务有触发预定规则的，将向相关接收人推送预警信息。</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发布中心</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发布管理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支持通过发布包的形式将待发布的任务、资源、函数以打包的形式发布到生产环境。</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发布记录</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支持提供整个发布包的查看、撤回、审批功能，提供发布包的历史记录查看、发布详情查看。</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实时数据开发</w:t>
            </w: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项目管理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项目管理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支持提供项目空间的维护管理，提供项目空间的基础信息维护、成员管理（含成员权限分配）；提供引擎信息查看功能、数据源查看、资源权限查看。</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开发中心</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实时采集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支持采集业务系统或数据库归档日志(Oracle 归档日志，MySQLMysql BinLog）实时的传输至 Kafka ，用于后续的流计算处理。</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实时计算_脚本模式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支持面向数据开发者提供的基于FlinkStreamSQL的流式数据处理功能。</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实时计算_DAG模式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▲支持在脚本模式基础上面对数据引入、数据加工、数据导出过程进行组件化封装，实现轻松拖拽实流数据处理。（</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实时计算_高级脚本模式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支持开发者基于Flink API编写Java、Scala处理脚本（.jar）作为资源上传，并调用资源包中的类实现流式数据处理。</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资源列表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支持资源详情查看及资源删除操作。</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资源上传</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支持开发者可上传本地自定义的jar作为资源，在节点运行时使用（如创建自定义函数）。</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函数列表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支持将系统函数及开发者自定义函数以列表形式进行展示，便于开发者在脚本编写时开始查找引用完成一定的计算和计数功能。</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自定义函数</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支持用户开发自定义函数（User Defined Function，简称UDF），UDF的使用方式与普通的系统函数相同。</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监控预警</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支持针对单个任务可自定义预警项目（任务失败，任务延时），确定任务接收人，当系统检测到对应任务有触发预定规则的，将通过邮件、系统消息、短信及微信（可选）告警方式向相关接收人推送预警信息。</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运维中心</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运维管理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支持通过列表形式展示任务任务执行状态，支持对任务的修改、提交，停止、续跑及重跑操作。点击单个任务可以查看任务数据曲线，运行日志，告警信息。</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消息队列管理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支持可视化界面创建topic，并对topic授权、管理。支持连接鉴权，安全性更高，用户需要有指定topic的生产或者消费权限，通过账号、密码方可连接。</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112</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数据资产子系统</w:t>
            </w: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数据规划</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计算引擎管理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支持通过前端界面配置的方式实现对计算引擎的维护，支持管理的计算引擎类型包含：Hive、Flink、DataX、达梦和Greenplum等。</w:t>
            </w:r>
          </w:p>
        </w:tc>
      </w:tr>
      <w:tr>
        <w:tblPrEx>
          <w:tblW w:w="0" w:type="auto"/>
          <w:tblInd w:w="0" w:type="dxa"/>
          <w:tblLayout w:type="fixed"/>
          <w:tblCellMar>
            <w:top w:w="0" w:type="dxa"/>
            <w:left w:w="108" w:type="dxa"/>
            <w:bottom w:w="0" w:type="dxa"/>
            <w:right w:w="108" w:type="dxa"/>
          </w:tblCellMar>
        </w:tblPrEx>
        <w:trPr>
          <w:trHeight w:val="9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数据资产规划</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支持提供多层级数仓规划能力，以组织为单位构建专属领域，提供数据专属域隔离，实现规划自有的、私密的、个性化数据架构。</w:t>
            </w:r>
            <w:r>
              <w:rPr>
                <w:rFonts w:ascii="宋体" w:hAnsi="宋体" w:cs="宋体" w:hint="eastAsia"/>
                <w:color w:val="000000"/>
                <w:kern w:val="0"/>
                <w:szCs w:val="21"/>
              </w:rPr>
              <w:br/>
            </w:r>
            <w:r>
              <w:rPr>
                <w:rFonts w:ascii="宋体" w:hAnsi="宋体" w:cs="宋体" w:hint="eastAsia"/>
                <w:color w:val="000000"/>
                <w:kern w:val="0"/>
                <w:szCs w:val="21"/>
              </w:rPr>
              <w:t>在线规划数据架构，通过可视化方式在线维护数据分层、数据分区以及数据流向关系，帮助用户实现数据架构规划和管理功能。</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数据权限管理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支持对组织或项目空间的数据权限进行管理，既支持分区级别权限管理，又支持单表级别权限管理。</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数据地图</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资产总览</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支持用图形化呈现形式展示资源总览情况，包括数据源数量、项目空间数量、表数量、存储占用量、项目空间存储分区情况、库容量变化趋势、数据表按月增长趋势、大存储数据表。</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数据智搜</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▲可提供智能、便捷的搜索服务。检索范围涵盖多种渠道数据，支持对数据表、表字段、数据标准、数据质量、数据加工脚本以及标签的检索，帮助用户快速获取目标资源。（</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资产目录</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支持从技术和业务两个视角对数据资源进行分门别类，以目录导引的方式来展示数据资产，同时提供快速检索功能，用户可以通过目录加筛选条件组合的形式，快速获取目标资源。</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表详情</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支持以图表结合的形式展示数据表信息详情，包含基本信息、存储信息、字段、分区、变更历史、血缘、数据预览功能。用直观明了的形式帮助用户了解单张数据表各项属性。</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我的数据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支持展示用户所属组织拥有和登录用户收藏的表，提供快捷操作支持对数据表进行编辑。帮助用户快速检索和管理组织拥有的数据表。</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资产目录管理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支持在线维护资产目录结构，将本组织下的数据资产发布到合适的资产目录下；支持在线创建资产目录，支持通过资产目录和关键信息检索数据表；支持对用户组织下管辖的数据表移入、移出目录操作。</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数据权限授权</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支持管理或分配数据分区、数据表使用权限，数据分区权限包含完全权限和查询权限。</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数据权限审批</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可对其他组织发起的资源使用申请进行审批，支持对历史记录查询，支持权限回收操作，帮忙用户合理管控数据资源权限。</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资产评估</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增值性评估</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支持分析用户数据资产增长量、增长幅度，预测未来资产增长。</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冗余性评估</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支持通过机器学习算法定时扫描用户数据资源，自动识别冗余表，帮助用户优化模型设计，调整数据加工链路，合理使用资源。</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重要性评估</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支持从访问热度、影响力、关注度、服务能力、依赖集中度及收益成本六个维度对数据资产进行评估，判断其在资源池中的重要程度。帮助用户分析、测量资产价值。</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资产分析</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技术维度</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支持按照贴源库、标准库、主题库和专题库等不同层级对数据资源进行统计分析，展示数据表数量、数据表对应的数据条数及存储空间大小等信息。</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组织维度</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支持按照组织层级关系，对数据资源进行统计分析。对每个组织单元中的数据库数量、数据表数量、数据表对应的数据条数及存储空间进行统计。</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业务维度</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支持按照不同的业务域、主题域、业务分类等对数据资源统计分析。对不同业务分类中数据库数量、数据表数量、数据表对应的数据条数及存储空间进行统计。</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数据血缘</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数据源血缘</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采集并展示数据源、来源业务系统、供数部门等节点的血缘关系，便于管理人员统计分析数据提供方的产出，并在发生数据问题时追溯到数据源头。</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数据治理血缘</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支持采集并展示数据集成、离线计算、实时计算、数据标准化等数据治理过程中数据库、数据表及字段之间的血缘关系。</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数据应用血缘</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支持采集并展示数据对外提供服务或进行共享交换活动过程中数据服务、数据应用系统、用数部门等节点的血缘关系。</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132</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数据服务子系统</w:t>
            </w: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服务集市</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API服务列表展示</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支持展示API的基本信息，包括API类型、数据分类、所属组织、更新时间、使用权限、计费模式。</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API服务详情</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支持查看当前API的具体内容，包括API基础属性、API请求参数、API返回参数、请求实例、返回实例。</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API服务调用申请</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支持API调用区分使用权限，包含“需申请”和“免申请”两种类型。</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API服务在线测试</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申请API服务在线测试时，系统支持按照用户给每个API分配一个独立的测试API_token。</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API服务概览</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支持当前组织的运营者，按照时间维度，查看当前组织下，服务创建和消费情况。按照时间维度：最近24小时，最近一周、最近一个月，展示当前组织下API的调用情况和排名情况。</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调用中心</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应用管理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应用创建成功后，默认启用状态，通过卡片的形式直观进行展示，支持对应用进行编辑、禁用操作。</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服务计量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支持统计当前登录账号下所有应用调用API的汇总数据。</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服务调用申请</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支持服务调用者在申请“需审批”的API服务时，绑定调用应用，每次调用申请生成一条审批单，发送给调用的API服务所属组织的运营者进行审批。</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我的收藏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支持已收藏服务的检索、移除操作，同时也支持对已收藏服务便捷发起服务申请操作。</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服务管理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服务列表管理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支持服务创建者基于所在组织的数据权限和业务标签，按照业务开放需要，创建API服务，并进行动态管理。</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自定义服务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支持提供将自定义SQL数据集发布为数据服务的能力，以满足复杂结果集发布数据服务需求。</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数据表服务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系统支持将已有的数据库表资源通过可视化简单配置发布为数据服务的能力。</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外部接口服务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系统需具备对外部数据接口在平台进行注册，在平台进行统一管理，并对外提供数据服务的能力。</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API服务详情</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支持多维度展示单个API服务的综合信息，包括API的基础信息、调用监控、授权应用和安全组信息，从API的调用情况、接入应用、报错日志、报错原因维度进行统计分析汇总和展示。</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支持对应用进行禁用操作，应用禁用操作执行后，该应用绑定的API的APItoken即告失效，无法调用该应用。</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运营中心</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运营审批</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支持审批和管理运营者所在组织下数据服务申请，特殊情况下可撤销服务授权。</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黑名单</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支持根据调用者IP地址设置服务调用黑名单，将黑名单与服务绑定，在系统校验时拒绝来自黑名单IP地址的请求。</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计费模式</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可提供API调用的计费模式和计费策略。支持三级阶梯定价模式，并且支持对定价进行编辑。</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150</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数据安全子系统</w:t>
            </w: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敏感数据发现</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支持通过多种敏感识别策略实现敏感数据的主动扫描，辅助脱敏作业人员掌握敏感信息分布情况。</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敏感词管理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敏感词在线定义及其对应的识别规则维护功能。支持敏感词名称、所属敏感分类及分级基本属性的维护，支持通过字段英文名、字段中文名以及业务数据三个维度配置对应的敏感识别规则，同时支持敏感规则的在线测试。</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规则模板</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可提供规则模板功能，可由业务专家将多个分类分级规则合并为一个规则模板。</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任务运维</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支持实例运行状态、运行耗时的监控，支持运行日志的查看，支持运行实例运行进行重跑及终止操作，支持扫描结果的查看，经过人工复核，符合预期的扫描结果可添加进入分类分级结果库。</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结果库</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支持实现精细化的安全管控。支持多元化条件组合的分级分类结果检索，支持分级分类属性的人工修订。</w:t>
            </w:r>
          </w:p>
        </w:tc>
      </w:tr>
      <w:tr>
        <w:tblPrEx>
          <w:tblW w:w="0" w:type="auto"/>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脱敏算法管理</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配置脱敏规则</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▲脱敏规则的在线定义及维护功能。支持字符遮盖、关键字替换、取整脱敏、字符移位脱敏、加密脱敏、哈希脱敏以及脚本自定义多种类型的脱敏方式。支持脱敏规则的自由定义及在线测试。（</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配置脱敏模板</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行业或待脱敏数据集的数据特性以及具体场景下的脱敏需求对常用的敏感词及其对应的脱敏算法维护成脱敏模板，沉淀行业类或者数据源维度的算法模板，以便脱敏任务配置时便捷复用，降低脱敏任务配置时对人员业务理解程度，提升数据脱敏任务配置效率。</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静态脱敏</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字段类型映射关系</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支持配置异构数据库的字段类型映射关系，用于自动建表时的依据。</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脱敏任务配置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系统支持向导模式脱敏及文件解析模式脱敏两种模式，全面覆盖静态脱敏场景需要。</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脱敏任务运维</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支持脱敏任务运行状态以及任务运行日志的查询及多元化检索操作。同时支持对脱敏任务启停、终止操作。支持脱敏异常发现告警。</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动态脱敏</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动态脱敏策略维护</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支持配置及维护针对指定数据集的动态脱敏策略，实现相应数据集在被访问时按照相应的策略进行脱敏处理后返回查询结果，实现展现层的脱敏。</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白名单管理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支持系统提供白名单管理功能，实现对特定用户不受已配置动态脱敏策略的限制的个性化设置。</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脱敏日志</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支持操作用户、操作脚本、访问数据表信息的便捷查询操作，实现对敏感数据访问审计及溯源。</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能力开放</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支持对动态脱敏服务的核心能力进行集中展示，对服务的接入进行说明，同时可提供动态脱敏服务的在线测试功能，便于动态脱敏服务接入方能够直观感受动态脱敏效果及根据指引快速接入动态脱敏服务。</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数据分类分级</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支持用户在线定义维护数据分级及分类的具体科目，实现数据分级分类科目的动态可配置可维护。</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水印溯源</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数据库水印</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支持管理并创建水印策略，配置源端配置和水印配置信息。</w:t>
            </w:r>
          </w:p>
        </w:tc>
      </w:tr>
      <w:tr>
        <w:tblPrEx>
          <w:tblW w:w="0" w:type="auto"/>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水印溯源</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▲在不破坏业务数据的情况下，往平台导出的数据文件中自动添加溯源水印。当用户通过水印溯源功能上传文件时，通过水印可识别数据流出时间、操作人信息。（</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数据授权</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权限管控</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支持不同用户、不同业务系统运维人员或系统管理员的权限不同，登录平台看到的业务系统的数据亦不同。支持单独用户群组、角色及权限管理；</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用户行为日志</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支持记录用户在系统上的操作行为。</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用户登录统计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支持记录用户登录平台的行为。</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数据库操作日志</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记录提交到数据库执行的SQL，目前支持Hive。</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数据加密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支持执行加密部分信息的操作。</w:t>
            </w:r>
          </w:p>
        </w:tc>
      </w:tr>
      <w:tr>
        <w:tblPrEx>
          <w:tblW w:w="0" w:type="auto"/>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访问控制</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1.支持根据不同单位、不同科室、不同人员岗位、角色进行访问权限控制。</w:t>
            </w:r>
            <w:r>
              <w:rPr>
                <w:rFonts w:ascii="宋体" w:hAnsi="宋体" w:cs="宋体" w:hint="eastAsia"/>
                <w:color w:val="000000"/>
                <w:kern w:val="0"/>
                <w:szCs w:val="21"/>
              </w:rPr>
              <w:br/>
            </w:r>
            <w:r>
              <w:rPr>
                <w:rFonts w:ascii="宋体" w:hAnsi="宋体" w:cs="宋体" w:hint="eastAsia"/>
                <w:color w:val="000000"/>
                <w:kern w:val="0"/>
                <w:szCs w:val="21"/>
              </w:rPr>
              <w:t>2.提供安全溯源机制，对数据异常流出可通过水印进行溯源于追溯。</w:t>
            </w:r>
          </w:p>
        </w:tc>
      </w:tr>
      <w:tr>
        <w:tblPrEx>
          <w:tblW w:w="0" w:type="auto"/>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脱敏脱密管理服务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1.可提供给对大量敏感词的分类和台账管理服务，通过提供导入模板，提供敏感词的批量导入能力。</w:t>
            </w:r>
            <w:r>
              <w:rPr>
                <w:rFonts w:ascii="宋体" w:hAnsi="宋体" w:cs="宋体" w:hint="eastAsia"/>
                <w:color w:val="000000"/>
                <w:kern w:val="0"/>
                <w:szCs w:val="21"/>
              </w:rPr>
              <w:br/>
            </w:r>
            <w:r>
              <w:rPr>
                <w:rFonts w:ascii="宋体" w:hAnsi="宋体" w:cs="宋体" w:hint="eastAsia"/>
                <w:color w:val="000000"/>
                <w:kern w:val="0"/>
                <w:szCs w:val="21"/>
              </w:rPr>
              <w:t>2.可提供基于元数据的敏感词扫描服务，根据扫描结果对字段需要配置脱敏进行提示，提供基于元数据字段粒度的脱敏规则配置，配置规则的字段，实现基于规则的脱敏。</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安全级别管理服务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支持对数据进行分级管理服务，设置数据安全级别，保障数据访问安全。</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安全审计服务</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可提供对敏感词、安全词的增长统计以及元数据安全级别统计分布服务，提供按照时间序列统计元数据变更趋势，统计数据量变更趋势，服务调用趋势和数据访问量趋势。</w:t>
            </w:r>
          </w:p>
        </w:tc>
      </w:tr>
      <w:tr>
        <w:tblPrEx>
          <w:tblW w:w="0" w:type="auto"/>
          <w:tblInd w:w="0" w:type="dxa"/>
          <w:tblLayout w:type="fixed"/>
          <w:tblCellMar>
            <w:top w:w="0" w:type="dxa"/>
            <w:left w:w="108" w:type="dxa"/>
            <w:bottom w:w="0" w:type="dxa"/>
            <w:right w:w="108" w:type="dxa"/>
          </w:tblCellMar>
        </w:tblPrEx>
        <w:trPr>
          <w:trHeight w:val="9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176</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数据分析子系统</w:t>
            </w: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数据源管理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支持数据库管理帮助系统用户快速建立各种业务库、文件数据连接到自助分析平台上作为分析的数据来源。</w:t>
            </w:r>
            <w:r>
              <w:rPr>
                <w:rFonts w:ascii="宋体" w:hAnsi="宋体" w:cs="宋体" w:hint="eastAsia"/>
                <w:color w:val="000000"/>
                <w:kern w:val="0"/>
                <w:szCs w:val="21"/>
              </w:rPr>
              <w:br/>
            </w:r>
            <w:r>
              <w:rPr>
                <w:rFonts w:ascii="宋体" w:hAnsi="宋体" w:cs="宋体" w:hint="eastAsia"/>
                <w:color w:val="000000"/>
                <w:kern w:val="0"/>
                <w:szCs w:val="21"/>
              </w:rPr>
              <w:t>除了常规的Mysql、Oracle、Postgresql、Sqlserver、DB2、TIDB等关系型数据源、多维数据源外，还支持Java数据源和大数据（BigData）平台，同时也支持国内的数据源，如达梦、金仓、南大等。</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基础权限管理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可实现功能级权限管理及数据级权限管理能够完全自我掌控，为系统安全保驾护航。</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数据准备</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支持数据建模、数据计算、自助ETL、跨库联合数据源等功能。</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数据分析与展现</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支持即席查询、透视分析、交互仪表盘、可视化组件、组件模板、交互效果和布局管理等功能。</w:t>
            </w:r>
          </w:p>
        </w:tc>
      </w:tr>
      <w:tr>
        <w:tblPrEx>
          <w:tblW w:w="0" w:type="auto"/>
          <w:tblInd w:w="0" w:type="dxa"/>
          <w:tblLayout w:type="fixed"/>
          <w:tblCellMar>
            <w:top w:w="0" w:type="dxa"/>
            <w:left w:w="108" w:type="dxa"/>
            <w:bottom w:w="0" w:type="dxa"/>
            <w:right w:w="108" w:type="dxa"/>
          </w:tblCellMar>
        </w:tblPrEx>
        <w:trPr>
          <w:trHeight w:val="18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运维监控</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可提供统一的运维监控视图：</w:t>
            </w:r>
            <w:r>
              <w:rPr>
                <w:rFonts w:ascii="宋体" w:hAnsi="宋体" w:cs="宋体" w:hint="eastAsia"/>
                <w:color w:val="000000"/>
                <w:kern w:val="0"/>
                <w:szCs w:val="21"/>
              </w:rPr>
              <w:br/>
            </w:r>
            <w:r>
              <w:rPr>
                <w:rFonts w:ascii="宋体" w:hAnsi="宋体" w:cs="宋体" w:hint="eastAsia"/>
                <w:color w:val="000000"/>
                <w:kern w:val="0"/>
                <w:szCs w:val="21"/>
              </w:rPr>
              <w:t>支持SQL分析、日志分析、会话分析、网络分析、内存分析、CPU分析、缓存分析、线程分析等；</w:t>
            </w:r>
            <w:r>
              <w:rPr>
                <w:rFonts w:ascii="宋体" w:hAnsi="宋体" w:cs="宋体" w:hint="eastAsia"/>
                <w:color w:val="000000"/>
                <w:kern w:val="0"/>
                <w:szCs w:val="21"/>
              </w:rPr>
              <w:br/>
            </w:r>
            <w:r>
              <w:rPr>
                <w:rFonts w:ascii="宋体" w:hAnsi="宋体" w:cs="宋体" w:hint="eastAsia"/>
                <w:color w:val="000000"/>
                <w:kern w:val="0"/>
                <w:szCs w:val="21"/>
              </w:rPr>
              <w:t>支持远程监控，数据集监控，以及多维引擎的监控；</w:t>
            </w:r>
            <w:r>
              <w:rPr>
                <w:rFonts w:ascii="宋体" w:hAnsi="宋体" w:cs="宋体" w:hint="eastAsia"/>
                <w:color w:val="000000"/>
                <w:kern w:val="0"/>
                <w:szCs w:val="21"/>
              </w:rPr>
              <w:br/>
            </w:r>
            <w:r>
              <w:rPr>
                <w:rFonts w:ascii="宋体" w:hAnsi="宋体" w:cs="宋体" w:hint="eastAsia"/>
                <w:color w:val="000000"/>
                <w:kern w:val="0"/>
                <w:szCs w:val="21"/>
              </w:rPr>
              <w:t>支持对正在执行的SQL语句中断、导出日志等操作；</w:t>
            </w:r>
            <w:r>
              <w:rPr>
                <w:rFonts w:ascii="宋体" w:hAnsi="宋体" w:cs="宋体" w:hint="eastAsia"/>
                <w:color w:val="000000"/>
                <w:kern w:val="0"/>
                <w:szCs w:val="21"/>
              </w:rPr>
              <w:br/>
            </w:r>
            <w:r>
              <w:rPr>
                <w:rFonts w:ascii="宋体" w:hAnsi="宋体" w:cs="宋体" w:hint="eastAsia"/>
                <w:color w:val="000000"/>
                <w:kern w:val="0"/>
                <w:szCs w:val="21"/>
              </w:rPr>
              <w:t>提供快速、无需暂停服务器的安全补丁，支持在线更新和手动更新方式。</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181</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指标管理子系统</w:t>
            </w: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指标定义</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支持数据源管理、向导式指标录入、全局视图管理、指标分类管理、维度管理、事实表管理等功能。</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指标加工</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支持指标之间的运算、指标的派生等。</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指标存储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支持创建用于存储指标数据的数据库，将模型节点关联对应指标存储库来保证指标模型各资源的物理存储。</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指标分类</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支持按照业务口径划分指标，保证指标口径的统一，包含原子指标、派生指标、复合指标、虚拟指标。</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指标发布</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支持指标的审核流程控制，审核通过后才能在指标库中生效。</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指标应用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指标模型生成数据模型后，可直接应用于仪表盘。</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187</w:t>
            </w:r>
          </w:p>
        </w:tc>
        <w:tc>
          <w:tcPr>
            <w:tcW w:w="66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kern w:val="0"/>
                <w:szCs w:val="21"/>
              </w:rPr>
            </w:pPr>
            <w:r>
              <w:rPr>
                <w:rFonts w:ascii="宋体" w:hAnsi="宋体" w:cs="宋体" w:hint="eastAsia"/>
                <w:kern w:val="0"/>
                <w:szCs w:val="21"/>
              </w:rPr>
              <w:t>平台综合管理子系统</w:t>
            </w:r>
          </w:p>
        </w:tc>
        <w:tc>
          <w:tcPr>
            <w:tcW w:w="1408" w:type="dxa"/>
            <w:gridSpan w:val="2"/>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数据源配置</w:t>
            </w: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数据源配置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支持配置外部数据源信息。</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kern w:val="0"/>
                <w:szCs w:val="21"/>
              </w:rPr>
            </w:pPr>
            <w:r>
              <w:rPr>
                <w:rFonts w:ascii="宋体" w:hAnsi="宋体" w:cs="宋体" w:hint="eastAsia"/>
                <w:kern w:val="0"/>
                <w:szCs w:val="21"/>
              </w:rPr>
              <w:t>权限管理</w:t>
            </w: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组织用户</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支持配置组织、人员信息，人员需绑定组织。</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角色管理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支持将功能授权给角色，角色与组织关联后，可授权给组织内的用户。</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功能管理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支持管理应用系统菜单，支持隐藏|显示菜单，修改菜单名，菜单挂载路径，菜单显示顺序。</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应用管理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支持平台通过应用管理维护注册各个子应用信息，为构建其他子应用提供基础数据。</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职能管理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支持维护不同的数据职能类别对应的职能树，方便自定义维护业务数据职能树。</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微服务注册</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支持为功能管理注册提供基础应用，支持开发出来的微服务，注册到平台中。</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单点登录</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支持OAuth 2.0协议的验证与登录授权配置。</w:t>
            </w:r>
          </w:p>
        </w:tc>
      </w:tr>
      <w:tr>
        <w:tblPrEx>
          <w:tblW w:w="0" w:type="auto"/>
          <w:tblInd w:w="0" w:type="dxa"/>
          <w:tblLayout w:type="fixed"/>
          <w:tblCellMar>
            <w:top w:w="0" w:type="dxa"/>
            <w:left w:w="108" w:type="dxa"/>
            <w:bottom w:w="0" w:type="dxa"/>
            <w:right w:w="108" w:type="dxa"/>
          </w:tblCellMar>
        </w:tblPrEx>
        <w:trPr>
          <w:trHeight w:val="9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2683"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数据源配置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微软雅黑" w:eastAsia="微软雅黑" w:hAnsi="微软雅黑" w:cs="微软雅黑" w:hint="eastAsia"/>
                <w:color w:val="000000"/>
                <w:kern w:val="0"/>
                <w:szCs w:val="21"/>
              </w:rPr>
              <w:t>⽀</w:t>
            </w:r>
            <w:r>
              <w:rPr>
                <w:rFonts w:ascii="宋体" w:hAnsi="宋体" w:cs="宋体" w:hint="eastAsia"/>
                <w:color w:val="000000"/>
                <w:kern w:val="0"/>
                <w:szCs w:val="21"/>
              </w:rPr>
              <w:t>持多种类型的数据源新增、包含：MySQL、Oracle、SQLServer、PostgreSQL关系型数据库，MongoDB、Hive、Hbase、HDFS大数据存储以及FTP文件源的配置。</w:t>
            </w:r>
          </w:p>
        </w:tc>
      </w:tr>
      <w:tr>
        <w:tblPrEx>
          <w:tblW w:w="0" w:type="auto"/>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系统安全</w:t>
            </w: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账号安全</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支持修改登录账号密码、绑定手机号、邮箱、登录保持时长。</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黑白名单</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支持设置登录平台的黑白名单IP组。</w:t>
            </w:r>
          </w:p>
        </w:tc>
      </w:tr>
      <w:tr>
        <w:tblPrEx>
          <w:tblW w:w="0" w:type="auto"/>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登录配置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支持配置登录密码定期更新策略、密码强度设置、初始密码设置、登录验证、登录锁定。</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kern w:val="0"/>
                <w:szCs w:val="21"/>
              </w:rPr>
            </w:pPr>
            <w:r>
              <w:rPr>
                <w:rFonts w:ascii="宋体" w:hAnsi="宋体" w:cs="宋体" w:hint="eastAsia"/>
                <w:kern w:val="0"/>
                <w:szCs w:val="21"/>
              </w:rPr>
              <w:t>水印设置</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支持自定义设置平台水印显示信息项，满足多种场景的水印需求 。</w:t>
            </w:r>
          </w:p>
        </w:tc>
      </w:tr>
      <w:tr>
        <w:tblPrEx>
          <w:tblW w:w="0" w:type="auto"/>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408" w:type="dxa"/>
            <w:gridSpan w:val="2"/>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kern w:val="0"/>
                <w:szCs w:val="21"/>
              </w:rPr>
            </w:pPr>
            <w:r>
              <w:rPr>
                <w:rFonts w:ascii="宋体" w:hAnsi="宋体" w:cs="宋体" w:hint="eastAsia"/>
                <w:kern w:val="0"/>
                <w:szCs w:val="21"/>
              </w:rPr>
              <w:t>基础设置</w:t>
            </w:r>
          </w:p>
        </w:tc>
        <w:tc>
          <w:tcPr>
            <w:tcW w:w="1275" w:type="dxa"/>
            <w:tcBorders>
              <w:top w:val="nil"/>
              <w:left w:val="nil"/>
              <w:bottom w:val="single" w:sz="4" w:space="0" w:color="auto"/>
              <w:right w:val="single" w:sz="4" w:space="0" w:color="auto"/>
            </w:tcBorders>
            <w:noWrap/>
            <w:vAlign w:val="center"/>
          </w:tcPr>
          <w:p>
            <w:pPr>
              <w:widowControl/>
              <w:jc w:val="left"/>
              <w:rPr>
                <w:rFonts w:ascii="宋体" w:hAnsi="宋体" w:cs="宋体" w:hint="eastAsia"/>
                <w:kern w:val="0"/>
                <w:szCs w:val="21"/>
              </w:rPr>
            </w:pPr>
            <w:r>
              <w:rPr>
                <w:rFonts w:ascii="宋体" w:hAnsi="宋体" w:cs="宋体" w:hint="eastAsia"/>
                <w:kern w:val="0"/>
                <w:szCs w:val="21"/>
              </w:rPr>
              <w:t>配置管理</w:t>
            </w:r>
          </w:p>
        </w:tc>
        <w:tc>
          <w:tcPr>
            <w:tcW w:w="4339"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支持平台邮件通知的邮件服务器/接口的配置。</w:t>
            </w:r>
          </w:p>
        </w:tc>
      </w:tr>
      <w:tr>
        <w:tblPrEx>
          <w:tblW w:w="0" w:type="auto"/>
          <w:tblInd w:w="0" w:type="dxa"/>
          <w:tblLayout w:type="fixed"/>
          <w:tblCellMar>
            <w:top w:w="0" w:type="dxa"/>
            <w:left w:w="108" w:type="dxa"/>
            <w:bottom w:w="0" w:type="dxa"/>
            <w:right w:w="108" w:type="dxa"/>
          </w:tblCellMar>
        </w:tblPrEx>
        <w:trPr>
          <w:trHeight w:val="174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201</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应用集成子系统</w:t>
            </w:r>
          </w:p>
        </w:tc>
        <w:tc>
          <w:tcPr>
            <w:tcW w:w="1408" w:type="dxa"/>
            <w:gridSpan w:val="2"/>
            <w:vMerge w:val="restart"/>
            <w:tcBorders>
              <w:top w:val="single" w:sz="4" w:space="0" w:color="auto"/>
              <w:left w:val="single" w:sz="4" w:space="0" w:color="auto"/>
              <w:bottom w:val="nil"/>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平台运维</w:t>
            </w: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基座管理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1、集群概览</w:t>
            </w:r>
            <w:r>
              <w:rPr>
                <w:rFonts w:ascii="宋体" w:hAnsi="宋体" w:cs="宋体" w:hint="eastAsia"/>
                <w:color w:val="000000"/>
                <w:kern w:val="0"/>
                <w:szCs w:val="21"/>
              </w:rPr>
              <w:br/>
            </w:r>
            <w:r>
              <w:rPr>
                <w:rFonts w:ascii="宋体" w:hAnsi="宋体" w:cs="宋体" w:hint="eastAsia"/>
                <w:color w:val="000000"/>
                <w:kern w:val="0"/>
                <w:szCs w:val="21"/>
              </w:rPr>
              <w:t>支持查看集群概况，可查看集群节点数、CPU使用率、内存使用率和磁盘使用率等情况。</w:t>
            </w:r>
            <w:r>
              <w:rPr>
                <w:rFonts w:ascii="宋体" w:hAnsi="宋体" w:cs="宋体" w:hint="eastAsia"/>
                <w:color w:val="000000"/>
                <w:kern w:val="0"/>
                <w:szCs w:val="21"/>
              </w:rPr>
              <w:br/>
            </w:r>
            <w:r>
              <w:rPr>
                <w:rFonts w:ascii="宋体" w:hAnsi="宋体" w:cs="宋体" w:hint="eastAsia"/>
                <w:color w:val="000000"/>
                <w:kern w:val="0"/>
                <w:szCs w:val="21"/>
              </w:rPr>
              <w:t>2、集群详情</w:t>
            </w:r>
            <w:r>
              <w:rPr>
                <w:rFonts w:ascii="宋体" w:hAnsi="宋体" w:cs="宋体" w:hint="eastAsia"/>
                <w:color w:val="000000"/>
                <w:kern w:val="0"/>
                <w:szCs w:val="21"/>
              </w:rPr>
              <w:br/>
            </w:r>
            <w:r>
              <w:rPr>
                <w:rFonts w:ascii="宋体" w:hAnsi="宋体" w:cs="宋体" w:hint="eastAsia"/>
                <w:color w:val="000000"/>
                <w:kern w:val="0"/>
                <w:szCs w:val="21"/>
              </w:rPr>
              <w:t>支持查看集群详情，支持根据资源类型查询资源列表。</w:t>
            </w:r>
            <w:r>
              <w:rPr>
                <w:rFonts w:ascii="宋体" w:hAnsi="宋体" w:cs="宋体" w:hint="eastAsia"/>
                <w:color w:val="000000"/>
                <w:kern w:val="0"/>
                <w:szCs w:val="21"/>
              </w:rPr>
              <w:br/>
            </w:r>
            <w:r>
              <w:rPr>
                <w:rFonts w:ascii="宋体" w:hAnsi="宋体" w:cs="宋体" w:hint="eastAsia"/>
                <w:color w:val="000000"/>
                <w:kern w:val="0"/>
                <w:szCs w:val="21"/>
              </w:rPr>
              <w:t>支持查看资源部署情况，支持在线调整副本数量，支持通过登录具体的pod做相关的运维操作。</w:t>
            </w:r>
          </w:p>
        </w:tc>
      </w:tr>
      <w:tr>
        <w:tblPrEx>
          <w:tblW w:w="0" w:type="auto"/>
          <w:tblInd w:w="0" w:type="dxa"/>
          <w:tblLayout w:type="fixed"/>
          <w:tblCellMar>
            <w:top w:w="0" w:type="dxa"/>
            <w:left w:w="108" w:type="dxa"/>
            <w:bottom w:w="0" w:type="dxa"/>
            <w:right w:w="108" w:type="dxa"/>
          </w:tblCellMar>
        </w:tblPrEx>
        <w:trPr>
          <w:trHeight w:val="313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运维管理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1、环境管理</w:t>
            </w:r>
            <w:r>
              <w:rPr>
                <w:rFonts w:ascii="宋体" w:hAnsi="宋体" w:cs="宋体" w:hint="eastAsia"/>
                <w:color w:val="000000"/>
                <w:kern w:val="0"/>
                <w:szCs w:val="21"/>
              </w:rPr>
              <w:br/>
            </w:r>
            <w:r>
              <w:rPr>
                <w:rFonts w:ascii="宋体" w:hAnsi="宋体" w:cs="宋体" w:hint="eastAsia"/>
                <w:color w:val="000000"/>
                <w:kern w:val="0"/>
                <w:szCs w:val="21"/>
              </w:rPr>
              <w:t>物理环境：</w:t>
            </w:r>
            <w:r>
              <w:rPr>
                <w:rFonts w:ascii="宋体" w:hAnsi="宋体" w:cs="宋体" w:hint="eastAsia"/>
                <w:color w:val="000000"/>
                <w:kern w:val="0"/>
                <w:szCs w:val="21"/>
              </w:rPr>
              <w:br/>
            </w:r>
            <w:r>
              <w:rPr>
                <w:rFonts w:ascii="宋体" w:hAnsi="宋体" w:cs="宋体" w:hint="eastAsia"/>
                <w:color w:val="000000"/>
                <w:kern w:val="0"/>
                <w:szCs w:val="21"/>
              </w:rPr>
              <w:t>支持基于具体资源进行流量隔离和调用闭环、支持环境配置管理、环境发布控制。</w:t>
            </w:r>
            <w:r>
              <w:rPr>
                <w:rFonts w:ascii="宋体" w:hAnsi="宋体" w:cs="宋体" w:hint="eastAsia"/>
                <w:color w:val="000000"/>
                <w:kern w:val="0"/>
                <w:szCs w:val="21"/>
              </w:rPr>
              <w:br/>
            </w:r>
            <w:r>
              <w:rPr>
                <w:rFonts w:ascii="宋体" w:hAnsi="宋体" w:cs="宋体" w:hint="eastAsia"/>
                <w:color w:val="000000"/>
                <w:kern w:val="0"/>
                <w:szCs w:val="21"/>
              </w:rPr>
              <w:t>项目环境：</w:t>
            </w:r>
            <w:r>
              <w:rPr>
                <w:rFonts w:ascii="宋体" w:hAnsi="宋体" w:cs="宋体" w:hint="eastAsia"/>
                <w:color w:val="000000"/>
                <w:kern w:val="0"/>
                <w:szCs w:val="21"/>
              </w:rPr>
              <w:br/>
            </w:r>
            <w:r>
              <w:rPr>
                <w:rFonts w:ascii="宋体" w:hAnsi="宋体" w:cs="宋体" w:hint="eastAsia"/>
                <w:color w:val="000000"/>
                <w:kern w:val="0"/>
                <w:szCs w:val="21"/>
              </w:rPr>
              <w:t>支持基于项目环境的发布管理和应用发布流水线（项目环境管理、增加应用、应用发布）</w:t>
            </w:r>
            <w:r>
              <w:rPr>
                <w:rFonts w:ascii="宋体" w:hAnsi="宋体" w:cs="宋体" w:hint="eastAsia"/>
                <w:color w:val="000000"/>
                <w:kern w:val="0"/>
                <w:szCs w:val="21"/>
              </w:rPr>
              <w:br/>
            </w:r>
            <w:r>
              <w:rPr>
                <w:rFonts w:ascii="宋体" w:hAnsi="宋体" w:cs="宋体" w:hint="eastAsia"/>
                <w:color w:val="000000"/>
                <w:kern w:val="0"/>
                <w:szCs w:val="21"/>
              </w:rPr>
              <w:t>2、应用模版</w:t>
            </w:r>
            <w:r>
              <w:rPr>
                <w:rFonts w:ascii="宋体" w:hAnsi="宋体" w:cs="宋体" w:hint="eastAsia"/>
                <w:color w:val="000000"/>
                <w:kern w:val="0"/>
                <w:szCs w:val="21"/>
              </w:rPr>
              <w:br/>
            </w:r>
            <w:r>
              <w:rPr>
                <w:rFonts w:ascii="宋体" w:hAnsi="宋体" w:cs="宋体" w:hint="eastAsia"/>
                <w:color w:val="000000"/>
                <w:kern w:val="0"/>
                <w:szCs w:val="21"/>
              </w:rPr>
              <w:t>应用模板支持多种Kubernetes模板管理，包括deployment、service、ingress、configmap。</w:t>
            </w:r>
            <w:r>
              <w:rPr>
                <w:rFonts w:ascii="宋体" w:hAnsi="宋体" w:cs="宋体" w:hint="eastAsia"/>
                <w:color w:val="000000"/>
                <w:kern w:val="0"/>
                <w:szCs w:val="21"/>
              </w:rPr>
              <w:br/>
            </w:r>
            <w:r>
              <w:rPr>
                <w:rFonts w:ascii="宋体" w:hAnsi="宋体" w:cs="宋体" w:hint="eastAsia"/>
                <w:color w:val="000000"/>
                <w:kern w:val="0"/>
                <w:szCs w:val="21"/>
              </w:rPr>
              <w:t>支持基于标签、应用大类进行模板分类，支持动态推送模板到应用，支持基于应用自定义更改实例参数信息。</w:t>
            </w:r>
          </w:p>
        </w:tc>
      </w:tr>
      <w:tr>
        <w:tblPrEx>
          <w:tblW w:w="0" w:type="auto"/>
          <w:tblInd w:w="0" w:type="dxa"/>
          <w:tblLayout w:type="fixed"/>
          <w:tblCellMar>
            <w:top w:w="0" w:type="dxa"/>
            <w:left w:w="108" w:type="dxa"/>
            <w:bottom w:w="0" w:type="dxa"/>
            <w:right w:w="108" w:type="dxa"/>
          </w:tblCellMar>
        </w:tblPrEx>
        <w:trPr>
          <w:trHeight w:val="158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数据库管理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1、高可用数据库</w:t>
            </w:r>
            <w:r>
              <w:rPr>
                <w:rFonts w:ascii="宋体" w:hAnsi="宋体" w:cs="宋体" w:hint="eastAsia"/>
                <w:color w:val="000000"/>
                <w:kern w:val="0"/>
                <w:szCs w:val="21"/>
              </w:rPr>
              <w:br/>
            </w:r>
            <w:r>
              <w:rPr>
                <w:rFonts w:ascii="宋体" w:hAnsi="宋体" w:cs="宋体" w:hint="eastAsia"/>
                <w:color w:val="000000"/>
                <w:kern w:val="0"/>
                <w:szCs w:val="21"/>
              </w:rPr>
              <w:t>支持一主多从，实现数据实时同步到从库。</w:t>
            </w:r>
            <w:r>
              <w:rPr>
                <w:rFonts w:ascii="宋体" w:hAnsi="宋体" w:cs="宋体" w:hint="eastAsia"/>
                <w:color w:val="000000"/>
                <w:kern w:val="0"/>
                <w:szCs w:val="21"/>
              </w:rPr>
              <w:br/>
            </w:r>
            <w:r>
              <w:rPr>
                <w:rFonts w:ascii="宋体" w:hAnsi="宋体" w:cs="宋体" w:hint="eastAsia"/>
                <w:color w:val="000000"/>
                <w:kern w:val="0"/>
                <w:szCs w:val="21"/>
              </w:rPr>
              <w:t>支持根据切换策略，支持主从自动切换。</w:t>
            </w:r>
            <w:r>
              <w:rPr>
                <w:rFonts w:ascii="宋体" w:hAnsi="宋体" w:cs="宋体" w:hint="eastAsia"/>
                <w:color w:val="000000"/>
                <w:kern w:val="0"/>
                <w:szCs w:val="21"/>
              </w:rPr>
              <w:br/>
            </w:r>
            <w:r>
              <w:rPr>
                <w:rFonts w:ascii="宋体" w:hAnsi="宋体" w:cs="宋体" w:hint="eastAsia"/>
                <w:color w:val="000000"/>
                <w:kern w:val="0"/>
                <w:szCs w:val="21"/>
              </w:rPr>
              <w:t>支持数据库全量备份和增量备份。</w:t>
            </w:r>
            <w:r>
              <w:rPr>
                <w:rFonts w:ascii="宋体" w:hAnsi="宋体" w:cs="宋体" w:hint="eastAsia"/>
                <w:color w:val="000000"/>
                <w:kern w:val="0"/>
                <w:szCs w:val="21"/>
              </w:rPr>
              <w:br/>
            </w:r>
            <w:r>
              <w:rPr>
                <w:rFonts w:ascii="宋体" w:hAnsi="宋体" w:cs="宋体" w:hint="eastAsia"/>
                <w:color w:val="000000"/>
                <w:kern w:val="0"/>
                <w:szCs w:val="21"/>
              </w:rPr>
              <w:t>支持全量备份恢复和增量备份恢复。</w:t>
            </w:r>
            <w:r>
              <w:rPr>
                <w:rFonts w:ascii="宋体" w:hAnsi="宋体" w:cs="宋体" w:hint="eastAsia"/>
                <w:color w:val="000000"/>
                <w:kern w:val="0"/>
                <w:szCs w:val="21"/>
              </w:rPr>
              <w:br/>
            </w:r>
            <w:r>
              <w:rPr>
                <w:rFonts w:ascii="宋体" w:hAnsi="宋体" w:cs="宋体" w:hint="eastAsia"/>
                <w:color w:val="000000"/>
                <w:kern w:val="0"/>
                <w:szCs w:val="21"/>
              </w:rPr>
              <w:t>2、数据库监控</w:t>
            </w:r>
            <w:r>
              <w:rPr>
                <w:rFonts w:ascii="宋体" w:hAnsi="宋体" w:cs="宋体" w:hint="eastAsia"/>
                <w:color w:val="000000"/>
                <w:kern w:val="0"/>
                <w:szCs w:val="21"/>
              </w:rPr>
              <w:br/>
            </w:r>
            <w:r>
              <w:rPr>
                <w:rFonts w:ascii="宋体" w:hAnsi="宋体" w:cs="宋体" w:hint="eastAsia"/>
                <w:color w:val="000000"/>
                <w:kern w:val="0"/>
                <w:szCs w:val="21"/>
              </w:rPr>
              <w:t>提供监控平台，支持查看CPU、内存、磁盘等各类核心指标的性能趋势情况和实施性能情况。</w:t>
            </w:r>
            <w:r>
              <w:rPr>
                <w:rFonts w:ascii="宋体" w:hAnsi="宋体" w:cs="宋体" w:hint="eastAsia"/>
                <w:color w:val="000000"/>
                <w:kern w:val="0"/>
                <w:szCs w:val="21"/>
              </w:rPr>
              <w:br/>
            </w:r>
            <w:r>
              <w:rPr>
                <w:rFonts w:ascii="宋体" w:hAnsi="宋体" w:cs="宋体" w:hint="eastAsia"/>
                <w:color w:val="000000"/>
                <w:kern w:val="0"/>
                <w:szCs w:val="21"/>
              </w:rPr>
              <w:t>支持告警规则、告警模版、告警联系人、告警联系组的配置。</w:t>
            </w:r>
            <w:r>
              <w:rPr>
                <w:rFonts w:ascii="宋体" w:hAnsi="宋体" w:cs="宋体" w:hint="eastAsia"/>
                <w:color w:val="000000"/>
                <w:kern w:val="0"/>
                <w:szCs w:val="21"/>
              </w:rPr>
              <w:br/>
            </w:r>
            <w:r>
              <w:rPr>
                <w:rFonts w:ascii="宋体" w:hAnsi="宋体" w:cs="宋体" w:hint="eastAsia"/>
                <w:color w:val="000000"/>
                <w:kern w:val="0"/>
                <w:szCs w:val="21"/>
              </w:rPr>
              <w:t>支持为不同的使用者自定义不同的告警模版。</w:t>
            </w:r>
            <w:r>
              <w:rPr>
                <w:rFonts w:ascii="宋体" w:hAnsi="宋体" w:cs="宋体" w:hint="eastAsia"/>
                <w:color w:val="000000"/>
                <w:kern w:val="0"/>
                <w:szCs w:val="21"/>
              </w:rPr>
              <w:br/>
            </w:r>
            <w:r>
              <w:rPr>
                <w:rFonts w:ascii="宋体" w:hAnsi="宋体" w:cs="宋体" w:hint="eastAsia"/>
                <w:color w:val="000000"/>
                <w:kern w:val="0"/>
                <w:szCs w:val="21"/>
              </w:rPr>
              <w:t>支持数据库会话管理，实现异常sql的kill操作</w:t>
            </w:r>
            <w:r>
              <w:rPr>
                <w:rFonts w:ascii="宋体" w:hAnsi="宋体" w:cs="宋体" w:hint="eastAsia"/>
                <w:color w:val="000000"/>
                <w:kern w:val="0"/>
                <w:szCs w:val="21"/>
              </w:rPr>
              <w:br/>
            </w:r>
            <w:r>
              <w:rPr>
                <w:rFonts w:ascii="宋体" w:hAnsi="宋体" w:cs="宋体" w:hint="eastAsia"/>
                <w:color w:val="000000"/>
                <w:kern w:val="0"/>
                <w:szCs w:val="21"/>
              </w:rPr>
              <w:t>支持通过sql限流控制数据库请求访问量和sql的并发量</w:t>
            </w:r>
            <w:r>
              <w:rPr>
                <w:rFonts w:ascii="宋体" w:hAnsi="宋体" w:cs="宋体" w:hint="eastAsia"/>
                <w:color w:val="000000"/>
                <w:kern w:val="0"/>
                <w:szCs w:val="21"/>
              </w:rPr>
              <w:br/>
            </w:r>
            <w:r>
              <w:rPr>
                <w:rFonts w:ascii="宋体" w:hAnsi="宋体" w:cs="宋体" w:hint="eastAsia"/>
                <w:color w:val="000000"/>
                <w:kern w:val="0"/>
                <w:szCs w:val="21"/>
              </w:rPr>
              <w:t>支持慢sql的查看和多维度分析，包括慢sql趋势、慢sql排行、慢sql模版、慢sql来源等。</w:t>
            </w:r>
            <w:r>
              <w:rPr>
                <w:rFonts w:ascii="宋体" w:hAnsi="宋体" w:cs="宋体" w:hint="eastAsia"/>
                <w:color w:val="000000"/>
                <w:kern w:val="0"/>
                <w:szCs w:val="21"/>
              </w:rPr>
              <w:br/>
            </w:r>
            <w:r>
              <w:rPr>
                <w:rFonts w:ascii="宋体" w:hAnsi="宋体" w:cs="宋体" w:hint="eastAsia"/>
                <w:color w:val="000000"/>
                <w:kern w:val="0"/>
                <w:szCs w:val="21"/>
              </w:rPr>
              <w:t>3、数据管控</w:t>
            </w:r>
            <w:r>
              <w:rPr>
                <w:rFonts w:ascii="宋体" w:hAnsi="宋体" w:cs="宋体" w:hint="eastAsia"/>
                <w:color w:val="000000"/>
                <w:kern w:val="0"/>
                <w:szCs w:val="21"/>
              </w:rPr>
              <w:br/>
            </w:r>
            <w:r>
              <w:rPr>
                <w:rFonts w:ascii="宋体" w:hAnsi="宋体" w:cs="宋体" w:hint="eastAsia"/>
                <w:color w:val="000000"/>
                <w:kern w:val="0"/>
                <w:szCs w:val="21"/>
              </w:rPr>
              <w:t>支持库、表、字段、数据行级权限管理。</w:t>
            </w:r>
            <w:r>
              <w:rPr>
                <w:rFonts w:ascii="宋体" w:hAnsi="宋体" w:cs="宋体" w:hint="eastAsia"/>
                <w:color w:val="000000"/>
                <w:kern w:val="0"/>
                <w:szCs w:val="21"/>
              </w:rPr>
              <w:br/>
            </w:r>
            <w:r>
              <w:rPr>
                <w:rFonts w:ascii="宋体" w:hAnsi="宋体" w:cs="宋体" w:hint="eastAsia"/>
                <w:color w:val="000000"/>
                <w:kern w:val="0"/>
                <w:szCs w:val="21"/>
              </w:rPr>
              <w:t>支持按需分配查询、导出、变更、登陆等不同操作权限。</w:t>
            </w:r>
            <w:r>
              <w:rPr>
                <w:rFonts w:ascii="宋体" w:hAnsi="宋体" w:cs="宋体" w:hint="eastAsia"/>
                <w:color w:val="000000"/>
                <w:kern w:val="0"/>
                <w:szCs w:val="21"/>
              </w:rPr>
              <w:br/>
            </w:r>
            <w:r>
              <w:rPr>
                <w:rFonts w:ascii="宋体" w:hAnsi="宋体" w:cs="宋体" w:hint="eastAsia"/>
                <w:color w:val="000000"/>
                <w:kern w:val="0"/>
                <w:szCs w:val="21"/>
              </w:rPr>
              <w:t>支持查询页面水印控制、导出条数控制等多种安全管控手段。</w:t>
            </w:r>
            <w:r>
              <w:rPr>
                <w:rFonts w:ascii="宋体" w:hAnsi="宋体" w:cs="宋体" w:hint="eastAsia"/>
                <w:color w:val="000000"/>
                <w:kern w:val="0"/>
                <w:szCs w:val="21"/>
              </w:rPr>
              <w:br/>
            </w:r>
            <w:r>
              <w:rPr>
                <w:rFonts w:ascii="宋体" w:hAnsi="宋体" w:cs="宋体" w:hint="eastAsia"/>
                <w:color w:val="000000"/>
                <w:kern w:val="0"/>
                <w:szCs w:val="21"/>
              </w:rPr>
              <w:t>支持灵活配置的审批流程。</w:t>
            </w:r>
            <w:r>
              <w:rPr>
                <w:rFonts w:ascii="宋体" w:hAnsi="宋体" w:cs="宋体" w:hint="eastAsia"/>
                <w:color w:val="000000"/>
                <w:kern w:val="0"/>
                <w:szCs w:val="21"/>
              </w:rPr>
              <w:br/>
            </w:r>
            <w:r>
              <w:rPr>
                <w:rFonts w:ascii="宋体" w:hAnsi="宋体" w:cs="宋体" w:hint="eastAsia"/>
                <w:color w:val="000000"/>
                <w:kern w:val="0"/>
                <w:szCs w:val="21"/>
              </w:rPr>
              <w:t>支持数据库操作日志的审计和追溯。</w:t>
            </w:r>
          </w:p>
        </w:tc>
      </w:tr>
      <w:tr>
        <w:tblPrEx>
          <w:tblW w:w="0" w:type="auto"/>
          <w:tblInd w:w="0" w:type="dxa"/>
          <w:tblLayout w:type="fixed"/>
          <w:tblCellMar>
            <w:top w:w="0" w:type="dxa"/>
            <w:left w:w="108" w:type="dxa"/>
            <w:bottom w:w="0" w:type="dxa"/>
            <w:right w:w="108" w:type="dxa"/>
          </w:tblCellMar>
        </w:tblPrEx>
        <w:trPr>
          <w:trHeight w:val="9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集群容灾</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1、流量大盘</w:t>
            </w:r>
            <w:r>
              <w:rPr>
                <w:rFonts w:ascii="宋体" w:hAnsi="宋体" w:cs="宋体" w:hint="eastAsia"/>
                <w:color w:val="000000"/>
                <w:kern w:val="0"/>
                <w:szCs w:val="21"/>
              </w:rPr>
              <w:br/>
            </w:r>
            <w:r>
              <w:rPr>
                <w:rFonts w:ascii="宋体" w:hAnsi="宋体" w:cs="宋体" w:hint="eastAsia"/>
                <w:color w:val="000000"/>
                <w:kern w:val="0"/>
                <w:szCs w:val="21"/>
              </w:rPr>
              <w:t>集群流量观测的全局大盘，了解各个集群流量分布情况。</w:t>
            </w:r>
            <w:r>
              <w:rPr>
                <w:rFonts w:ascii="宋体" w:hAnsi="宋体" w:cs="宋体" w:hint="eastAsia"/>
                <w:color w:val="000000"/>
                <w:kern w:val="0"/>
                <w:szCs w:val="21"/>
              </w:rPr>
              <w:br/>
            </w:r>
            <w:r>
              <w:rPr>
                <w:rFonts w:ascii="宋体" w:hAnsi="宋体" w:cs="宋体" w:hint="eastAsia"/>
                <w:color w:val="000000"/>
                <w:kern w:val="0"/>
                <w:szCs w:val="21"/>
              </w:rPr>
              <w:t>2、流量调度</w:t>
            </w:r>
            <w:r>
              <w:rPr>
                <w:rFonts w:ascii="宋体" w:hAnsi="宋体" w:cs="宋体" w:hint="eastAsia"/>
                <w:color w:val="000000"/>
                <w:kern w:val="0"/>
                <w:szCs w:val="21"/>
              </w:rPr>
              <w:br/>
            </w:r>
            <w:r>
              <w:rPr>
                <w:rFonts w:ascii="宋体" w:hAnsi="宋体" w:cs="宋体" w:hint="eastAsia"/>
                <w:color w:val="000000"/>
                <w:kern w:val="0"/>
                <w:szCs w:val="21"/>
              </w:rPr>
              <w:t>支持按用户ID，操作员ID进行细粒度的灰度，通过页面可以很方便进行操作。</w:t>
            </w:r>
            <w:r>
              <w:rPr>
                <w:rFonts w:ascii="宋体" w:hAnsi="宋体" w:cs="宋体" w:hint="eastAsia"/>
                <w:color w:val="000000"/>
                <w:kern w:val="0"/>
                <w:szCs w:val="21"/>
              </w:rPr>
              <w:br/>
            </w:r>
            <w:r>
              <w:rPr>
                <w:rFonts w:ascii="宋体" w:hAnsi="宋体" w:cs="宋体" w:hint="eastAsia"/>
                <w:color w:val="000000"/>
                <w:kern w:val="0"/>
                <w:szCs w:val="21"/>
              </w:rPr>
              <w:t>支持多集群部署。</w:t>
            </w:r>
            <w:r>
              <w:rPr>
                <w:rFonts w:ascii="宋体" w:hAnsi="宋体" w:cs="宋体" w:hint="eastAsia"/>
                <w:color w:val="000000"/>
                <w:kern w:val="0"/>
                <w:szCs w:val="21"/>
              </w:rPr>
              <w:br/>
            </w:r>
            <w:r>
              <w:rPr>
                <w:rFonts w:ascii="宋体" w:hAnsi="宋体" w:cs="宋体" w:hint="eastAsia"/>
                <w:color w:val="000000"/>
                <w:kern w:val="0"/>
                <w:szCs w:val="21"/>
              </w:rPr>
              <w:t>支持整个集群的切流，主要用于集群同步后的切流和故障发生时候的快速恢复使用。</w:t>
            </w:r>
            <w:r>
              <w:rPr>
                <w:rFonts w:ascii="宋体" w:hAnsi="宋体" w:cs="宋体" w:hint="eastAsia"/>
                <w:color w:val="000000"/>
                <w:kern w:val="0"/>
                <w:szCs w:val="21"/>
              </w:rPr>
              <w:br/>
            </w:r>
            <w:r>
              <w:rPr>
                <w:rFonts w:ascii="宋体" w:hAnsi="宋体" w:cs="宋体" w:hint="eastAsia"/>
                <w:color w:val="000000"/>
                <w:kern w:val="0"/>
                <w:szCs w:val="21"/>
              </w:rPr>
              <w:t>3、集群同步</w:t>
            </w:r>
            <w:r>
              <w:rPr>
                <w:rFonts w:ascii="宋体" w:hAnsi="宋体" w:cs="宋体" w:hint="eastAsia"/>
                <w:color w:val="000000"/>
                <w:kern w:val="0"/>
                <w:szCs w:val="21"/>
              </w:rPr>
              <w:br/>
            </w:r>
            <w:r>
              <w:rPr>
                <w:rFonts w:ascii="宋体" w:hAnsi="宋体" w:cs="宋体" w:hint="eastAsia"/>
                <w:color w:val="000000"/>
                <w:kern w:val="0"/>
                <w:szCs w:val="21"/>
              </w:rPr>
              <w:t>支持多个集群的应用、配置等比对功能，可白屏展示比对差异，并可以通过开始集群同步一键同步A集群的镜像到B集群，实现集群的无感发布变更。</w:t>
            </w:r>
            <w:r>
              <w:rPr>
                <w:rFonts w:ascii="宋体" w:hAnsi="宋体" w:cs="宋体" w:hint="eastAsia"/>
                <w:color w:val="000000"/>
                <w:kern w:val="0"/>
                <w:szCs w:val="21"/>
              </w:rPr>
              <w:br/>
            </w:r>
            <w:r>
              <w:rPr>
                <w:rFonts w:ascii="宋体" w:hAnsi="宋体" w:cs="宋体" w:hint="eastAsia"/>
                <w:color w:val="000000"/>
                <w:kern w:val="0"/>
                <w:szCs w:val="21"/>
              </w:rPr>
              <w:t>支持单个应用进行同步，同步支持比对功能。</w:t>
            </w:r>
            <w:r>
              <w:rPr>
                <w:rFonts w:ascii="宋体" w:hAnsi="宋体" w:cs="宋体" w:hint="eastAsia"/>
                <w:color w:val="000000"/>
                <w:kern w:val="0"/>
                <w:szCs w:val="21"/>
              </w:rPr>
              <w:br/>
            </w:r>
            <w:r>
              <w:rPr>
                <w:rFonts w:ascii="宋体" w:hAnsi="宋体" w:cs="宋体" w:hint="eastAsia"/>
                <w:color w:val="000000"/>
                <w:kern w:val="0"/>
                <w:szCs w:val="21"/>
              </w:rPr>
              <w:t>4、操作记录</w:t>
            </w:r>
            <w:r>
              <w:rPr>
                <w:rFonts w:ascii="宋体" w:hAnsi="宋体" w:cs="宋体" w:hint="eastAsia"/>
                <w:color w:val="000000"/>
                <w:kern w:val="0"/>
                <w:szCs w:val="21"/>
              </w:rPr>
              <w:br/>
            </w:r>
            <w:r>
              <w:rPr>
                <w:rFonts w:ascii="宋体" w:hAnsi="宋体" w:cs="宋体" w:hint="eastAsia"/>
                <w:color w:val="000000"/>
                <w:kern w:val="0"/>
                <w:szCs w:val="21"/>
              </w:rPr>
              <w:t>支持监控集群的变更动作，提供统一的操作记录查询页面，支持对所有操作进行审计。</w:t>
            </w:r>
          </w:p>
        </w:tc>
      </w:tr>
      <w:tr>
        <w:tblPrEx>
          <w:tblW w:w="0" w:type="auto"/>
          <w:tblInd w:w="0" w:type="dxa"/>
          <w:tblLayout w:type="fixed"/>
          <w:tblCellMar>
            <w:top w:w="0" w:type="dxa"/>
            <w:left w:w="108" w:type="dxa"/>
            <w:bottom w:w="0" w:type="dxa"/>
            <w:right w:w="108" w:type="dxa"/>
          </w:tblCellMar>
        </w:tblPrEx>
        <w:trPr>
          <w:trHeight w:val="348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监控管理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1、系统监控</w:t>
            </w:r>
            <w:r>
              <w:rPr>
                <w:rFonts w:ascii="宋体" w:hAnsi="宋体" w:cs="宋体" w:hint="eastAsia"/>
                <w:color w:val="000000"/>
                <w:kern w:val="0"/>
                <w:szCs w:val="21"/>
              </w:rPr>
              <w:br/>
            </w:r>
            <w:r>
              <w:rPr>
                <w:rFonts w:ascii="宋体" w:hAnsi="宋体" w:cs="宋体" w:hint="eastAsia"/>
                <w:color w:val="000000"/>
                <w:kern w:val="0"/>
                <w:szCs w:val="21"/>
              </w:rPr>
              <w:t>系统监控支持展示集群整体健康趋势大盘，基于应用角度进行资源负载监控，包括系统指标和JVM指标等。</w:t>
            </w:r>
            <w:r>
              <w:rPr>
                <w:rFonts w:ascii="宋体" w:hAnsi="宋体" w:cs="宋体" w:hint="eastAsia"/>
                <w:color w:val="000000"/>
                <w:kern w:val="0"/>
                <w:szCs w:val="21"/>
              </w:rPr>
              <w:br/>
            </w:r>
            <w:r>
              <w:rPr>
                <w:rFonts w:ascii="宋体" w:hAnsi="宋体" w:cs="宋体" w:hint="eastAsia"/>
                <w:color w:val="000000"/>
                <w:kern w:val="0"/>
                <w:szCs w:val="21"/>
              </w:rPr>
              <w:t>2、业务大盘</w:t>
            </w:r>
            <w:r>
              <w:rPr>
                <w:rFonts w:ascii="宋体" w:hAnsi="宋体" w:cs="宋体" w:hint="eastAsia"/>
                <w:color w:val="000000"/>
                <w:kern w:val="0"/>
                <w:szCs w:val="21"/>
              </w:rPr>
              <w:br/>
            </w:r>
            <w:r>
              <w:rPr>
                <w:rFonts w:ascii="宋体" w:hAnsi="宋体" w:cs="宋体" w:hint="eastAsia"/>
                <w:color w:val="000000"/>
                <w:kern w:val="0"/>
                <w:szCs w:val="21"/>
              </w:rPr>
              <w:t>业务大盘支持多种协议进行业务指标配置，包括业务接口、业务日志等，通过大盘进行展示和监控跟踪。</w:t>
            </w:r>
            <w:r>
              <w:rPr>
                <w:rFonts w:ascii="宋体" w:hAnsi="宋体" w:cs="宋体" w:hint="eastAsia"/>
                <w:color w:val="000000"/>
                <w:kern w:val="0"/>
                <w:szCs w:val="21"/>
              </w:rPr>
              <w:br/>
            </w:r>
            <w:r>
              <w:rPr>
                <w:rFonts w:ascii="宋体" w:hAnsi="宋体" w:cs="宋体" w:hint="eastAsia"/>
                <w:color w:val="000000"/>
                <w:kern w:val="0"/>
                <w:szCs w:val="21"/>
              </w:rPr>
              <w:t>3、端侧监控</w:t>
            </w:r>
            <w:r>
              <w:rPr>
                <w:rFonts w:ascii="宋体" w:hAnsi="宋体" w:cs="宋体" w:hint="eastAsia"/>
                <w:color w:val="000000"/>
                <w:kern w:val="0"/>
                <w:szCs w:val="21"/>
              </w:rPr>
              <w:br/>
            </w:r>
            <w:r>
              <w:rPr>
                <w:rFonts w:ascii="宋体" w:hAnsi="宋体" w:cs="宋体" w:hint="eastAsia"/>
                <w:color w:val="000000"/>
                <w:kern w:val="0"/>
                <w:szCs w:val="21"/>
              </w:rPr>
              <w:t>支持将整个系统中所有页面的性能、异常数据进行聚合分析，形成图表展示。</w:t>
            </w:r>
            <w:r>
              <w:rPr>
                <w:rFonts w:ascii="宋体" w:hAnsi="宋体" w:cs="宋体" w:hint="eastAsia"/>
                <w:color w:val="000000"/>
                <w:kern w:val="0"/>
                <w:szCs w:val="21"/>
              </w:rPr>
              <w:br/>
            </w:r>
            <w:r>
              <w:rPr>
                <w:rFonts w:ascii="宋体" w:hAnsi="宋体" w:cs="宋体" w:hint="eastAsia"/>
                <w:color w:val="000000"/>
                <w:kern w:val="0"/>
                <w:szCs w:val="21"/>
              </w:rPr>
              <w:t>4、告警管理</w:t>
            </w:r>
            <w:r>
              <w:rPr>
                <w:rFonts w:ascii="宋体" w:hAnsi="宋体" w:cs="宋体" w:hint="eastAsia"/>
                <w:color w:val="000000"/>
                <w:kern w:val="0"/>
                <w:szCs w:val="21"/>
              </w:rPr>
              <w:br/>
            </w:r>
            <w:r>
              <w:rPr>
                <w:rFonts w:ascii="宋体" w:hAnsi="宋体" w:cs="宋体" w:hint="eastAsia"/>
                <w:color w:val="000000"/>
                <w:kern w:val="0"/>
                <w:szCs w:val="21"/>
              </w:rPr>
              <w:t>告警管理支持告警条件配置和管理，支持多种形式的告警方式，包括钉钉、微信、短信、电话等。</w:t>
            </w:r>
            <w:r>
              <w:rPr>
                <w:rFonts w:ascii="宋体" w:hAnsi="宋体" w:cs="宋体" w:hint="eastAsia"/>
                <w:color w:val="000000"/>
                <w:kern w:val="0"/>
                <w:szCs w:val="21"/>
              </w:rPr>
              <w:br/>
            </w:r>
            <w:r>
              <w:rPr>
                <w:rFonts w:ascii="宋体" w:hAnsi="宋体" w:cs="宋体" w:hint="eastAsia"/>
                <w:color w:val="000000"/>
                <w:kern w:val="0"/>
                <w:szCs w:val="21"/>
              </w:rPr>
              <w:t>支持告警转工单。</w:t>
            </w:r>
            <w:r>
              <w:rPr>
                <w:rFonts w:ascii="宋体" w:hAnsi="宋体" w:cs="宋体" w:hint="eastAsia"/>
                <w:color w:val="000000"/>
                <w:kern w:val="0"/>
                <w:szCs w:val="21"/>
              </w:rPr>
              <w:br/>
            </w:r>
            <w:r>
              <w:rPr>
                <w:rFonts w:ascii="宋体" w:hAnsi="宋体" w:cs="宋体" w:hint="eastAsia"/>
                <w:color w:val="000000"/>
                <w:kern w:val="0"/>
                <w:szCs w:val="21"/>
              </w:rPr>
              <w:t>支持历史告警记录查询。</w:t>
            </w:r>
          </w:p>
        </w:tc>
      </w:tr>
      <w:tr>
        <w:tblPrEx>
          <w:tblW w:w="0" w:type="auto"/>
          <w:tblInd w:w="0" w:type="dxa"/>
          <w:tblLayout w:type="fixed"/>
          <w:tblCellMar>
            <w:top w:w="0" w:type="dxa"/>
            <w:left w:w="108" w:type="dxa"/>
            <w:bottom w:w="0" w:type="dxa"/>
            <w:right w:w="108" w:type="dxa"/>
          </w:tblCellMar>
        </w:tblPrEx>
        <w:trPr>
          <w:trHeight w:val="183"/>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日志管理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1、日志检索</w:t>
            </w:r>
            <w:r>
              <w:rPr>
                <w:rFonts w:ascii="宋体" w:hAnsi="宋体" w:cs="宋体" w:hint="eastAsia"/>
                <w:color w:val="000000"/>
                <w:kern w:val="0"/>
                <w:szCs w:val="21"/>
              </w:rPr>
              <w:br/>
            </w:r>
            <w:r>
              <w:rPr>
                <w:rFonts w:ascii="宋体" w:hAnsi="宋体" w:cs="宋体" w:hint="eastAsia"/>
                <w:color w:val="000000"/>
                <w:kern w:val="0"/>
                <w:szCs w:val="21"/>
              </w:rPr>
              <w:t>支持多个条件组合实现日志检索。</w:t>
            </w:r>
            <w:r>
              <w:rPr>
                <w:rFonts w:ascii="宋体" w:hAnsi="宋体" w:cs="宋体" w:hint="eastAsia"/>
                <w:color w:val="000000"/>
                <w:kern w:val="0"/>
                <w:szCs w:val="21"/>
              </w:rPr>
              <w:br/>
            </w:r>
            <w:r>
              <w:rPr>
                <w:rFonts w:ascii="宋体" w:hAnsi="宋体" w:cs="宋体" w:hint="eastAsia"/>
                <w:color w:val="000000"/>
                <w:kern w:val="0"/>
                <w:szCs w:val="21"/>
              </w:rPr>
              <w:t>2、日志告警</w:t>
            </w:r>
            <w:r>
              <w:rPr>
                <w:rFonts w:ascii="宋体" w:hAnsi="宋体" w:cs="宋体" w:hint="eastAsia"/>
                <w:color w:val="000000"/>
                <w:kern w:val="0"/>
                <w:szCs w:val="21"/>
              </w:rPr>
              <w:br/>
            </w:r>
            <w:r>
              <w:rPr>
                <w:rFonts w:ascii="宋体" w:hAnsi="宋体" w:cs="宋体" w:hint="eastAsia"/>
                <w:color w:val="000000"/>
                <w:kern w:val="0"/>
                <w:szCs w:val="21"/>
              </w:rPr>
              <w:t>支持设置报警规则，支持根据日志采集阈值和周期来设置告警规则。</w:t>
            </w:r>
          </w:p>
        </w:tc>
      </w:tr>
      <w:tr>
        <w:tblPrEx>
          <w:tblW w:w="0" w:type="auto"/>
          <w:tblInd w:w="0" w:type="dxa"/>
          <w:tblLayout w:type="fixed"/>
          <w:tblCellMar>
            <w:top w:w="0" w:type="dxa"/>
            <w:left w:w="108" w:type="dxa"/>
            <w:bottom w:w="0" w:type="dxa"/>
            <w:right w:w="108" w:type="dxa"/>
          </w:tblCellMar>
        </w:tblPrEx>
        <w:trPr>
          <w:trHeight w:val="819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nil"/>
              <w:left w:val="single" w:sz="4" w:space="0" w:color="auto"/>
              <w:bottom w:val="nil"/>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平台管理</w:t>
            </w: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微服务组件</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1、配置中心&amp;注册中心</w:t>
            </w:r>
            <w:r>
              <w:rPr>
                <w:rFonts w:ascii="宋体" w:hAnsi="宋体" w:cs="宋体" w:hint="eastAsia"/>
                <w:color w:val="000000"/>
                <w:kern w:val="0"/>
                <w:szCs w:val="21"/>
              </w:rPr>
              <w:br/>
            </w:r>
            <w:r>
              <w:rPr>
                <w:rFonts w:ascii="宋体" w:hAnsi="宋体" w:cs="宋体" w:hint="eastAsia"/>
                <w:color w:val="000000"/>
                <w:kern w:val="0"/>
                <w:szCs w:val="21"/>
              </w:rPr>
              <w:t>支持微服务组件配置，支持新增配置、编辑、查看详情。</w:t>
            </w:r>
            <w:r>
              <w:rPr>
                <w:rFonts w:ascii="宋体" w:hAnsi="宋体" w:cs="宋体" w:hint="eastAsia"/>
                <w:color w:val="000000"/>
                <w:kern w:val="0"/>
                <w:szCs w:val="21"/>
              </w:rPr>
              <w:br/>
            </w:r>
            <w:r>
              <w:rPr>
                <w:rFonts w:ascii="宋体" w:hAnsi="宋体" w:cs="宋体" w:hint="eastAsia"/>
                <w:color w:val="000000"/>
                <w:kern w:val="0"/>
                <w:szCs w:val="21"/>
              </w:rPr>
              <w:t>支持微服务组件注册，支持看下组件详情。</w:t>
            </w:r>
            <w:r>
              <w:rPr>
                <w:rFonts w:ascii="宋体" w:hAnsi="宋体" w:cs="宋体" w:hint="eastAsia"/>
                <w:color w:val="000000"/>
                <w:kern w:val="0"/>
                <w:szCs w:val="21"/>
              </w:rPr>
              <w:br/>
            </w:r>
            <w:r>
              <w:rPr>
                <w:rFonts w:ascii="宋体" w:hAnsi="宋体" w:cs="宋体" w:hint="eastAsia"/>
                <w:color w:val="000000"/>
                <w:kern w:val="0"/>
                <w:szCs w:val="21"/>
              </w:rPr>
              <w:t>2、服务发现和服务治理</w:t>
            </w:r>
            <w:r>
              <w:rPr>
                <w:rFonts w:ascii="宋体" w:hAnsi="宋体" w:cs="宋体" w:hint="eastAsia"/>
                <w:color w:val="000000"/>
                <w:kern w:val="0"/>
                <w:szCs w:val="21"/>
              </w:rPr>
              <w:br/>
            </w:r>
            <w:r>
              <w:rPr>
                <w:rFonts w:ascii="宋体" w:hAnsi="宋体" w:cs="宋体" w:hint="eastAsia"/>
                <w:color w:val="000000"/>
                <w:kern w:val="0"/>
                <w:szCs w:val="21"/>
              </w:rPr>
              <w:t>支持应用通过RPC实现服务的输出和输入功能。</w:t>
            </w:r>
            <w:r>
              <w:rPr>
                <w:rFonts w:ascii="宋体" w:hAnsi="宋体" w:cs="宋体" w:hint="eastAsia"/>
                <w:color w:val="000000"/>
                <w:kern w:val="0"/>
                <w:szCs w:val="21"/>
              </w:rPr>
              <w:br/>
            </w:r>
            <w:r>
              <w:rPr>
                <w:rFonts w:ascii="宋体" w:hAnsi="宋体" w:cs="宋体" w:hint="eastAsia"/>
                <w:color w:val="000000"/>
                <w:kern w:val="0"/>
                <w:szCs w:val="21"/>
              </w:rPr>
              <w:t>支持服务的注册、服务事件发布和订阅。</w:t>
            </w:r>
            <w:r>
              <w:rPr>
                <w:rFonts w:ascii="宋体" w:hAnsi="宋体" w:cs="宋体" w:hint="eastAsia"/>
                <w:color w:val="000000"/>
                <w:kern w:val="0"/>
                <w:szCs w:val="21"/>
              </w:rPr>
              <w:br/>
            </w:r>
            <w:r>
              <w:rPr>
                <w:rFonts w:ascii="宋体" w:hAnsi="宋体" w:cs="宋体" w:hint="eastAsia"/>
                <w:color w:val="000000"/>
                <w:kern w:val="0"/>
                <w:szCs w:val="21"/>
              </w:rPr>
              <w:t>3、消息服务</w:t>
            </w:r>
            <w:r>
              <w:rPr>
                <w:rFonts w:ascii="宋体" w:hAnsi="宋体" w:cs="宋体" w:hint="eastAsia"/>
                <w:color w:val="000000"/>
                <w:kern w:val="0"/>
                <w:szCs w:val="21"/>
              </w:rPr>
              <w:br/>
            </w:r>
            <w:r>
              <w:rPr>
                <w:rFonts w:ascii="宋体" w:hAnsi="宋体" w:cs="宋体" w:hint="eastAsia"/>
                <w:color w:val="000000"/>
                <w:kern w:val="0"/>
                <w:szCs w:val="21"/>
              </w:rPr>
              <w:t>支持创建消息服务。</w:t>
            </w:r>
            <w:r>
              <w:rPr>
                <w:rFonts w:ascii="宋体" w:hAnsi="宋体" w:cs="宋体" w:hint="eastAsia"/>
                <w:color w:val="000000"/>
                <w:kern w:val="0"/>
                <w:szCs w:val="21"/>
              </w:rPr>
              <w:br/>
            </w:r>
            <w:r>
              <w:rPr>
                <w:rFonts w:ascii="宋体" w:hAnsi="宋体" w:cs="宋体" w:hint="eastAsia"/>
                <w:color w:val="000000"/>
                <w:kern w:val="0"/>
                <w:szCs w:val="21"/>
              </w:rPr>
              <w:t>支持订阅MQ，查看订阅状态。</w:t>
            </w:r>
            <w:r>
              <w:rPr>
                <w:rFonts w:ascii="宋体" w:hAnsi="宋体" w:cs="宋体" w:hint="eastAsia"/>
                <w:color w:val="000000"/>
                <w:kern w:val="0"/>
                <w:szCs w:val="21"/>
              </w:rPr>
              <w:br/>
            </w:r>
            <w:r>
              <w:rPr>
                <w:rFonts w:ascii="宋体" w:hAnsi="宋体" w:cs="宋体" w:hint="eastAsia"/>
                <w:color w:val="000000"/>
                <w:kern w:val="0"/>
                <w:szCs w:val="21"/>
              </w:rPr>
              <w:t>支持消息发送和消息查询。</w:t>
            </w:r>
            <w:r>
              <w:rPr>
                <w:rFonts w:ascii="宋体" w:hAnsi="宋体" w:cs="宋体" w:hint="eastAsia"/>
                <w:color w:val="000000"/>
                <w:kern w:val="0"/>
                <w:szCs w:val="21"/>
              </w:rPr>
              <w:br/>
            </w:r>
            <w:r>
              <w:rPr>
                <w:rFonts w:ascii="宋体" w:hAnsi="宋体" w:cs="宋体" w:hint="eastAsia"/>
                <w:color w:val="000000"/>
                <w:kern w:val="0"/>
                <w:szCs w:val="21"/>
              </w:rPr>
              <w:t>4、智能网关</w:t>
            </w:r>
            <w:r>
              <w:rPr>
                <w:rFonts w:ascii="宋体" w:hAnsi="宋体" w:cs="宋体" w:hint="eastAsia"/>
                <w:color w:val="000000"/>
                <w:kern w:val="0"/>
                <w:szCs w:val="21"/>
              </w:rPr>
              <w:br/>
            </w:r>
            <w:r>
              <w:rPr>
                <w:rFonts w:ascii="宋体" w:hAnsi="宋体" w:cs="宋体" w:hint="eastAsia"/>
                <w:color w:val="000000"/>
                <w:kern w:val="0"/>
                <w:szCs w:val="21"/>
              </w:rPr>
              <w:t>支持接收API请求。</w:t>
            </w:r>
            <w:r>
              <w:rPr>
                <w:rFonts w:ascii="宋体" w:hAnsi="宋体" w:cs="宋体" w:hint="eastAsia"/>
                <w:color w:val="000000"/>
                <w:kern w:val="0"/>
                <w:szCs w:val="21"/>
              </w:rPr>
              <w:br/>
            </w:r>
            <w:r>
              <w:rPr>
                <w:rFonts w:ascii="宋体" w:hAnsi="宋体" w:cs="宋体" w:hint="eastAsia"/>
                <w:color w:val="000000"/>
                <w:kern w:val="0"/>
                <w:szCs w:val="21"/>
              </w:rPr>
              <w:t>支持采用插件机制进行功能定制，插件集（可以是0或N个）在API请求响应中被执行。</w:t>
            </w:r>
            <w:r>
              <w:rPr>
                <w:rFonts w:ascii="宋体" w:hAnsi="宋体" w:cs="宋体" w:hint="eastAsia"/>
                <w:color w:val="000000"/>
                <w:kern w:val="0"/>
                <w:szCs w:val="21"/>
              </w:rPr>
              <w:br/>
            </w:r>
            <w:r>
              <w:rPr>
                <w:rFonts w:ascii="宋体" w:hAnsi="宋体" w:cs="宋体" w:hint="eastAsia"/>
                <w:color w:val="000000"/>
                <w:kern w:val="0"/>
                <w:szCs w:val="21"/>
              </w:rPr>
              <w:t>5、分布式任务</w:t>
            </w:r>
            <w:r>
              <w:rPr>
                <w:rFonts w:ascii="宋体" w:hAnsi="宋体" w:cs="宋体" w:hint="eastAsia"/>
                <w:color w:val="000000"/>
                <w:kern w:val="0"/>
                <w:szCs w:val="21"/>
              </w:rPr>
              <w:br/>
            </w:r>
            <w:r>
              <w:rPr>
                <w:rFonts w:ascii="宋体" w:hAnsi="宋体" w:cs="宋体" w:hint="eastAsia"/>
                <w:color w:val="000000"/>
                <w:kern w:val="0"/>
                <w:szCs w:val="21"/>
              </w:rPr>
              <w:t>支持轻量级分布式任务调度。</w:t>
            </w:r>
            <w:r>
              <w:rPr>
                <w:rFonts w:ascii="宋体" w:hAnsi="宋体" w:cs="宋体" w:hint="eastAsia"/>
                <w:color w:val="000000"/>
                <w:kern w:val="0"/>
                <w:szCs w:val="21"/>
              </w:rPr>
              <w:br/>
            </w:r>
            <w:r>
              <w:rPr>
                <w:rFonts w:ascii="宋体" w:hAnsi="宋体" w:cs="宋体" w:hint="eastAsia"/>
                <w:color w:val="000000"/>
                <w:kern w:val="0"/>
                <w:szCs w:val="21"/>
              </w:rPr>
              <w:t>6、分布式缓存</w:t>
            </w:r>
            <w:r>
              <w:rPr>
                <w:rFonts w:ascii="宋体" w:hAnsi="宋体" w:cs="宋体" w:hint="eastAsia"/>
                <w:color w:val="000000"/>
                <w:kern w:val="0"/>
                <w:szCs w:val="21"/>
              </w:rPr>
              <w:br/>
            </w:r>
            <w:r>
              <w:rPr>
                <w:rFonts w:ascii="宋体" w:hAnsi="宋体" w:cs="宋体" w:hint="eastAsia"/>
                <w:color w:val="000000"/>
                <w:kern w:val="0"/>
                <w:szCs w:val="21"/>
              </w:rPr>
              <w:t>支持主从同步。是心啊数据从主服务器向任意数量的从服务器上同步，从服务器可以是关联其他从服务器的主服务器。</w:t>
            </w:r>
            <w:r>
              <w:rPr>
                <w:rFonts w:ascii="宋体" w:hAnsi="宋体" w:cs="宋体" w:hint="eastAsia"/>
                <w:color w:val="000000"/>
                <w:kern w:val="0"/>
                <w:szCs w:val="21"/>
              </w:rPr>
              <w:br/>
            </w:r>
            <w:r>
              <w:rPr>
                <w:rFonts w:ascii="宋体" w:hAnsi="宋体" w:cs="宋体" w:hint="eastAsia"/>
                <w:color w:val="000000"/>
                <w:kern w:val="0"/>
                <w:szCs w:val="21"/>
              </w:rPr>
              <w:t>7、分布式对象存储</w:t>
            </w:r>
            <w:r>
              <w:rPr>
                <w:rFonts w:ascii="宋体" w:hAnsi="宋体" w:cs="宋体" w:hint="eastAsia"/>
                <w:color w:val="000000"/>
                <w:kern w:val="0"/>
                <w:szCs w:val="21"/>
              </w:rPr>
              <w:br/>
            </w:r>
            <w:r>
              <w:rPr>
                <w:rFonts w:ascii="宋体" w:hAnsi="宋体" w:cs="宋体" w:hint="eastAsia"/>
                <w:color w:val="000000"/>
                <w:kern w:val="0"/>
                <w:szCs w:val="21"/>
              </w:rPr>
              <w:t>支持分布式对象存储。</w:t>
            </w:r>
            <w:r>
              <w:rPr>
                <w:rFonts w:ascii="宋体" w:hAnsi="宋体" w:cs="宋体" w:hint="eastAsia"/>
                <w:color w:val="000000"/>
                <w:kern w:val="0"/>
                <w:szCs w:val="21"/>
              </w:rPr>
              <w:br/>
            </w:r>
            <w:r>
              <w:rPr>
                <w:rFonts w:ascii="宋体" w:hAnsi="宋体" w:cs="宋体" w:hint="eastAsia"/>
                <w:color w:val="000000"/>
                <w:kern w:val="0"/>
                <w:szCs w:val="21"/>
              </w:rPr>
              <w:t>8、限流熔断</w:t>
            </w:r>
            <w:r>
              <w:rPr>
                <w:rFonts w:ascii="宋体" w:hAnsi="宋体" w:cs="宋体" w:hint="eastAsia"/>
                <w:color w:val="000000"/>
                <w:kern w:val="0"/>
                <w:szCs w:val="21"/>
              </w:rPr>
              <w:br/>
            </w:r>
            <w:r>
              <w:rPr>
                <w:rFonts w:ascii="宋体" w:hAnsi="宋体" w:cs="宋体" w:hint="eastAsia"/>
                <w:color w:val="000000"/>
                <w:kern w:val="0"/>
                <w:szCs w:val="21"/>
              </w:rPr>
              <w:t>支持控制突发流量在可控制的范围内，集群流量控制，实时熔断下游不可用的应用。</w:t>
            </w:r>
            <w:r>
              <w:rPr>
                <w:rFonts w:ascii="宋体" w:hAnsi="宋体" w:cs="宋体" w:hint="eastAsia"/>
                <w:color w:val="000000"/>
                <w:kern w:val="0"/>
                <w:szCs w:val="21"/>
              </w:rPr>
              <w:br/>
            </w:r>
            <w:r>
              <w:rPr>
                <w:rFonts w:ascii="宋体" w:hAnsi="宋体" w:cs="宋体" w:hint="eastAsia"/>
                <w:color w:val="000000"/>
                <w:kern w:val="0"/>
                <w:szCs w:val="21"/>
              </w:rPr>
              <w:t>提供监控功能。支持在控制台中看到接入应用的单台机器秒级数据，以及500台以下规模的集群的汇总运行情况。</w:t>
            </w:r>
            <w:r>
              <w:rPr>
                <w:rFonts w:ascii="宋体" w:hAnsi="宋体" w:cs="宋体" w:hint="eastAsia"/>
                <w:color w:val="000000"/>
                <w:kern w:val="0"/>
                <w:szCs w:val="21"/>
              </w:rPr>
              <w:br/>
            </w:r>
            <w:r>
              <w:rPr>
                <w:rFonts w:ascii="宋体" w:hAnsi="宋体" w:cs="宋体" w:hint="eastAsia"/>
                <w:color w:val="000000"/>
                <w:kern w:val="0"/>
                <w:szCs w:val="21"/>
              </w:rPr>
              <w:t>提供SPI扩展接口。支持通过扩展接口来快速地定制逻辑。例如定制规则管理、适配动态数据源等。</w:t>
            </w:r>
          </w:p>
        </w:tc>
      </w:tr>
      <w:tr>
        <w:tblPrEx>
          <w:tblW w:w="0" w:type="auto"/>
          <w:tblInd w:w="0" w:type="dxa"/>
          <w:tblLayout w:type="fixed"/>
          <w:tblCellMar>
            <w:top w:w="0" w:type="dxa"/>
            <w:left w:w="108" w:type="dxa"/>
            <w:bottom w:w="0" w:type="dxa"/>
            <w:right w:w="108" w:type="dxa"/>
          </w:tblCellMar>
        </w:tblPrEx>
        <w:trPr>
          <w:trHeight w:val="174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nil"/>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流量地图</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1、链路追踪</w:t>
            </w:r>
            <w:r>
              <w:rPr>
                <w:rFonts w:ascii="宋体" w:hAnsi="宋体" w:cs="宋体" w:hint="eastAsia"/>
                <w:color w:val="000000"/>
                <w:kern w:val="0"/>
                <w:szCs w:val="21"/>
              </w:rPr>
              <w:br/>
            </w:r>
            <w:r>
              <w:rPr>
                <w:rFonts w:ascii="宋体" w:hAnsi="宋体" w:cs="宋体" w:hint="eastAsia"/>
                <w:color w:val="000000"/>
                <w:kern w:val="0"/>
                <w:szCs w:val="21"/>
              </w:rPr>
              <w:t>支持通过TraceId获取微服务调用链路，可按层级和树状形式展示，且包含每个结点的耗时。</w:t>
            </w:r>
            <w:r>
              <w:rPr>
                <w:rFonts w:ascii="宋体" w:hAnsi="宋体" w:cs="宋体" w:hint="eastAsia"/>
                <w:color w:val="000000"/>
                <w:kern w:val="0"/>
                <w:szCs w:val="21"/>
              </w:rPr>
              <w:br/>
            </w:r>
            <w:r>
              <w:rPr>
                <w:rFonts w:ascii="宋体" w:hAnsi="宋体" w:cs="宋体" w:hint="eastAsia"/>
                <w:color w:val="000000"/>
                <w:kern w:val="0"/>
                <w:szCs w:val="21"/>
              </w:rPr>
              <w:t>支持根据应用、接口、时间段等信息查询实际调用流量清单，并按耗时从高到低排序。</w:t>
            </w:r>
            <w:r>
              <w:rPr>
                <w:rFonts w:ascii="宋体" w:hAnsi="宋体" w:cs="宋体" w:hint="eastAsia"/>
                <w:color w:val="000000"/>
                <w:kern w:val="0"/>
                <w:szCs w:val="21"/>
              </w:rPr>
              <w:br/>
            </w:r>
            <w:r>
              <w:rPr>
                <w:rFonts w:ascii="宋体" w:hAnsi="宋体" w:cs="宋体" w:hint="eastAsia"/>
                <w:color w:val="000000"/>
                <w:kern w:val="0"/>
                <w:szCs w:val="21"/>
              </w:rPr>
              <w:t>2、链路分析</w:t>
            </w:r>
            <w:r>
              <w:rPr>
                <w:rFonts w:ascii="宋体" w:hAnsi="宋体" w:cs="宋体" w:hint="eastAsia"/>
                <w:color w:val="000000"/>
                <w:kern w:val="0"/>
                <w:szCs w:val="21"/>
              </w:rPr>
              <w:br/>
            </w:r>
            <w:r>
              <w:rPr>
                <w:rFonts w:ascii="宋体" w:hAnsi="宋体" w:cs="宋体" w:hint="eastAsia"/>
                <w:color w:val="000000"/>
                <w:kern w:val="0"/>
                <w:szCs w:val="21"/>
              </w:rPr>
              <w:t>支持针对全部链路详情分析链路复杂度和耗时中位数。</w:t>
            </w:r>
          </w:p>
        </w:tc>
      </w:tr>
      <w:tr>
        <w:tblPrEx>
          <w:tblW w:w="0" w:type="auto"/>
          <w:tblInd w:w="0" w:type="dxa"/>
          <w:tblLayout w:type="fixed"/>
          <w:tblCellMar>
            <w:top w:w="0" w:type="dxa"/>
            <w:left w:w="108" w:type="dxa"/>
            <w:bottom w:w="0" w:type="dxa"/>
            <w:right w:w="108" w:type="dxa"/>
          </w:tblCellMar>
        </w:tblPrEx>
        <w:trPr>
          <w:trHeight w:val="591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系统集成与开放能力</w:t>
            </w: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1、应用详情</w:t>
            </w:r>
            <w:r>
              <w:rPr>
                <w:rFonts w:ascii="宋体" w:hAnsi="宋体" w:cs="宋体" w:hint="eastAsia"/>
                <w:color w:val="000000"/>
                <w:kern w:val="0"/>
                <w:szCs w:val="21"/>
              </w:rPr>
              <w:br/>
            </w:r>
            <w:r>
              <w:rPr>
                <w:rFonts w:ascii="宋体" w:hAnsi="宋体" w:cs="宋体" w:hint="eastAsia"/>
                <w:color w:val="000000"/>
                <w:kern w:val="0"/>
                <w:szCs w:val="21"/>
              </w:rPr>
              <w:t>基础信息：</w:t>
            </w:r>
            <w:r>
              <w:rPr>
                <w:rFonts w:ascii="宋体" w:hAnsi="宋体" w:cs="宋体" w:hint="eastAsia"/>
                <w:color w:val="000000"/>
                <w:kern w:val="0"/>
                <w:szCs w:val="21"/>
              </w:rPr>
              <w:br/>
            </w:r>
            <w:r>
              <w:rPr>
                <w:rFonts w:ascii="宋体" w:hAnsi="宋体" w:cs="宋体" w:hint="eastAsia"/>
                <w:color w:val="000000"/>
                <w:kern w:val="0"/>
                <w:szCs w:val="21"/>
              </w:rPr>
              <w:t>支持应用分类管理、应用基础信息维护、应用环境管理等基础信息管理，同时支持对应用的操作权限控制。</w:t>
            </w:r>
            <w:r>
              <w:rPr>
                <w:rFonts w:ascii="宋体" w:hAnsi="宋体" w:cs="宋体" w:hint="eastAsia"/>
                <w:color w:val="000000"/>
                <w:kern w:val="0"/>
                <w:szCs w:val="21"/>
              </w:rPr>
              <w:br/>
            </w:r>
            <w:r>
              <w:rPr>
                <w:rFonts w:ascii="宋体" w:hAnsi="宋体" w:cs="宋体" w:hint="eastAsia"/>
                <w:color w:val="000000"/>
                <w:kern w:val="0"/>
                <w:szCs w:val="21"/>
              </w:rPr>
              <w:t>支持全部应用查询权限内的所有应用，我的应用仅查询登录用户所负责的应用。</w:t>
            </w:r>
            <w:r>
              <w:rPr>
                <w:rFonts w:ascii="宋体" w:hAnsi="宋体" w:cs="宋体" w:hint="eastAsia"/>
                <w:color w:val="000000"/>
                <w:kern w:val="0"/>
                <w:szCs w:val="21"/>
              </w:rPr>
              <w:br/>
            </w:r>
            <w:r>
              <w:rPr>
                <w:rFonts w:ascii="宋体" w:hAnsi="宋体" w:cs="宋体" w:hint="eastAsia"/>
                <w:color w:val="000000"/>
                <w:kern w:val="0"/>
                <w:szCs w:val="21"/>
              </w:rPr>
              <w:t>部署信息：</w:t>
            </w:r>
            <w:r>
              <w:rPr>
                <w:rFonts w:ascii="宋体" w:hAnsi="宋体" w:cs="宋体" w:hint="eastAsia"/>
                <w:color w:val="000000"/>
                <w:kern w:val="0"/>
                <w:szCs w:val="21"/>
              </w:rPr>
              <w:br/>
            </w:r>
            <w:r>
              <w:rPr>
                <w:rFonts w:ascii="宋体" w:hAnsi="宋体" w:cs="宋体" w:hint="eastAsia"/>
                <w:color w:val="000000"/>
                <w:kern w:val="0"/>
                <w:szCs w:val="21"/>
              </w:rPr>
              <w:t>支持在线查看部署包详细信息，支持应用重启，支持pod操作，包括登录pod shell命令操作、下载pod文件到本地、查看日志。</w:t>
            </w:r>
            <w:r>
              <w:rPr>
                <w:rFonts w:ascii="宋体" w:hAnsi="宋体" w:cs="宋体" w:hint="eastAsia"/>
                <w:color w:val="000000"/>
                <w:kern w:val="0"/>
                <w:szCs w:val="21"/>
              </w:rPr>
              <w:br/>
            </w:r>
            <w:r>
              <w:rPr>
                <w:rFonts w:ascii="宋体" w:hAnsi="宋体" w:cs="宋体" w:hint="eastAsia"/>
                <w:color w:val="000000"/>
                <w:kern w:val="0"/>
                <w:szCs w:val="21"/>
              </w:rPr>
              <w:t>2、CICD流水线</w:t>
            </w:r>
            <w:r>
              <w:rPr>
                <w:rFonts w:ascii="宋体" w:hAnsi="宋体" w:cs="宋体" w:hint="eastAsia"/>
                <w:color w:val="000000"/>
                <w:kern w:val="0"/>
                <w:szCs w:val="21"/>
              </w:rPr>
              <w:br/>
            </w:r>
            <w:r>
              <w:rPr>
                <w:rFonts w:ascii="宋体" w:hAnsi="宋体" w:cs="宋体" w:hint="eastAsia"/>
                <w:color w:val="000000"/>
                <w:kern w:val="0"/>
                <w:szCs w:val="21"/>
              </w:rPr>
              <w:t>分支管理：</w:t>
            </w:r>
            <w:r>
              <w:rPr>
                <w:rFonts w:ascii="宋体" w:hAnsi="宋体" w:cs="宋体" w:hint="eastAsia"/>
                <w:color w:val="000000"/>
                <w:kern w:val="0"/>
                <w:szCs w:val="21"/>
              </w:rPr>
              <w:br/>
            </w:r>
            <w:r>
              <w:rPr>
                <w:rFonts w:ascii="宋体" w:hAnsi="宋体" w:cs="宋体" w:hint="eastAsia"/>
                <w:color w:val="000000"/>
                <w:kern w:val="0"/>
                <w:szCs w:val="21"/>
              </w:rPr>
              <w:t>支持创建新分支，支持根据需求进行绑定。</w:t>
            </w:r>
            <w:r>
              <w:rPr>
                <w:rFonts w:ascii="宋体" w:hAnsi="宋体" w:cs="宋体" w:hint="eastAsia"/>
                <w:color w:val="000000"/>
                <w:kern w:val="0"/>
                <w:szCs w:val="21"/>
              </w:rPr>
              <w:br/>
            </w:r>
            <w:r>
              <w:rPr>
                <w:rFonts w:ascii="宋体" w:hAnsi="宋体" w:cs="宋体" w:hint="eastAsia"/>
                <w:color w:val="000000"/>
                <w:kern w:val="0"/>
                <w:szCs w:val="21"/>
              </w:rPr>
              <w:t>支持分支合并和分支删除，支持白屏化分支冲突解决。</w:t>
            </w:r>
            <w:r>
              <w:rPr>
                <w:rFonts w:ascii="宋体" w:hAnsi="宋体" w:cs="宋体" w:hint="eastAsia"/>
                <w:color w:val="000000"/>
                <w:kern w:val="0"/>
                <w:szCs w:val="21"/>
              </w:rPr>
              <w:br/>
            </w:r>
            <w:r>
              <w:rPr>
                <w:rFonts w:ascii="宋体" w:hAnsi="宋体" w:cs="宋体" w:hint="eastAsia"/>
                <w:color w:val="000000"/>
                <w:kern w:val="0"/>
                <w:szCs w:val="21"/>
              </w:rPr>
              <w:t>构建部署：</w:t>
            </w:r>
            <w:r>
              <w:rPr>
                <w:rFonts w:ascii="宋体" w:hAnsi="宋体" w:cs="宋体" w:hint="eastAsia"/>
                <w:color w:val="000000"/>
                <w:kern w:val="0"/>
                <w:szCs w:val="21"/>
              </w:rPr>
              <w:br/>
            </w:r>
            <w:r>
              <w:rPr>
                <w:rFonts w:ascii="宋体" w:hAnsi="宋体" w:cs="宋体" w:hint="eastAsia"/>
                <w:color w:val="000000"/>
                <w:kern w:val="0"/>
                <w:szCs w:val="21"/>
              </w:rPr>
              <w:t>支持基于多分支合并构建部署。</w:t>
            </w:r>
            <w:r>
              <w:rPr>
                <w:rFonts w:ascii="宋体" w:hAnsi="宋体" w:cs="宋体" w:hint="eastAsia"/>
                <w:color w:val="000000"/>
                <w:kern w:val="0"/>
                <w:szCs w:val="21"/>
              </w:rPr>
              <w:br/>
            </w:r>
            <w:r>
              <w:rPr>
                <w:rFonts w:ascii="宋体" w:hAnsi="宋体" w:cs="宋体" w:hint="eastAsia"/>
                <w:color w:val="000000"/>
                <w:kern w:val="0"/>
                <w:szCs w:val="21"/>
              </w:rPr>
              <w:t>支持不同环境分支的串联。</w:t>
            </w:r>
            <w:r>
              <w:rPr>
                <w:rFonts w:ascii="宋体" w:hAnsi="宋体" w:cs="宋体" w:hint="eastAsia"/>
                <w:color w:val="000000"/>
                <w:kern w:val="0"/>
                <w:szCs w:val="21"/>
              </w:rPr>
              <w:br/>
            </w:r>
            <w:r>
              <w:rPr>
                <w:rFonts w:ascii="宋体" w:hAnsi="宋体" w:cs="宋体" w:hint="eastAsia"/>
                <w:color w:val="000000"/>
                <w:kern w:val="0"/>
                <w:szCs w:val="21"/>
              </w:rPr>
              <w:t>支持个性化参数构建，支持同一环境类型多流水线能力，支持多主干模式。</w:t>
            </w:r>
            <w:r>
              <w:rPr>
                <w:rFonts w:ascii="宋体" w:hAnsi="宋体" w:cs="宋体" w:hint="eastAsia"/>
                <w:color w:val="000000"/>
                <w:kern w:val="0"/>
                <w:szCs w:val="21"/>
              </w:rPr>
              <w:br/>
            </w:r>
            <w:r>
              <w:rPr>
                <w:rFonts w:ascii="宋体" w:hAnsi="宋体" w:cs="宋体" w:hint="eastAsia"/>
                <w:color w:val="000000"/>
                <w:kern w:val="0"/>
                <w:szCs w:val="21"/>
              </w:rPr>
              <w:t>发布历史及回滚：</w:t>
            </w:r>
            <w:r>
              <w:rPr>
                <w:rFonts w:ascii="宋体" w:hAnsi="宋体" w:cs="宋体" w:hint="eastAsia"/>
                <w:color w:val="000000"/>
                <w:kern w:val="0"/>
                <w:szCs w:val="21"/>
              </w:rPr>
              <w:br/>
            </w:r>
            <w:r>
              <w:rPr>
                <w:rFonts w:ascii="宋体" w:hAnsi="宋体" w:cs="宋体" w:hint="eastAsia"/>
                <w:color w:val="000000"/>
                <w:kern w:val="0"/>
                <w:szCs w:val="21"/>
              </w:rPr>
              <w:t>发布历史及回滚可展示清晰的发布轨迹，并可基于历史版本进行镜像回滚。</w:t>
            </w:r>
          </w:p>
        </w:tc>
      </w:tr>
      <w:tr>
        <w:tblPrEx>
          <w:tblW w:w="0" w:type="auto"/>
          <w:tblInd w:w="0" w:type="dxa"/>
          <w:tblLayout w:type="fixed"/>
          <w:tblCellMar>
            <w:top w:w="0" w:type="dxa"/>
            <w:left w:w="108" w:type="dxa"/>
            <w:bottom w:w="0" w:type="dxa"/>
            <w:right w:w="108" w:type="dxa"/>
          </w:tblCellMar>
        </w:tblPrEx>
        <w:trPr>
          <w:trHeight w:val="139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408"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7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版本管理</w:t>
            </w:r>
          </w:p>
        </w:tc>
        <w:tc>
          <w:tcPr>
            <w:tcW w:w="433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支持版本管理，提供版本列表。</w:t>
            </w:r>
            <w:r>
              <w:rPr>
                <w:rFonts w:ascii="宋体" w:hAnsi="宋体" w:cs="宋体" w:hint="eastAsia"/>
                <w:color w:val="000000"/>
                <w:kern w:val="0"/>
                <w:szCs w:val="21"/>
              </w:rPr>
              <w:br/>
            </w:r>
            <w:r>
              <w:rPr>
                <w:rFonts w:ascii="宋体" w:hAnsi="宋体" w:cs="宋体" w:hint="eastAsia"/>
                <w:color w:val="000000"/>
                <w:kern w:val="0"/>
                <w:szCs w:val="21"/>
              </w:rPr>
              <w:t>支持查看版本详情，支持查询该版本的所有变更内容，以及变更应用等信息。</w:t>
            </w:r>
            <w:r>
              <w:rPr>
                <w:rFonts w:ascii="宋体" w:hAnsi="宋体" w:cs="宋体" w:hint="eastAsia"/>
                <w:color w:val="000000"/>
                <w:kern w:val="0"/>
                <w:szCs w:val="21"/>
              </w:rPr>
              <w:br/>
            </w:r>
            <w:r>
              <w:rPr>
                <w:rFonts w:ascii="宋体" w:hAnsi="宋体" w:cs="宋体" w:hint="eastAsia"/>
                <w:color w:val="000000"/>
                <w:kern w:val="0"/>
                <w:szCs w:val="21"/>
              </w:rPr>
              <w:t>支持进行多个版本聚合操作，并根据版本号合并相同应用包，选择最新的包。</w:t>
            </w:r>
            <w:r>
              <w:rPr>
                <w:rFonts w:ascii="宋体" w:hAnsi="宋体" w:cs="宋体" w:hint="eastAsia"/>
                <w:color w:val="000000"/>
                <w:kern w:val="0"/>
                <w:szCs w:val="21"/>
              </w:rPr>
              <w:br/>
            </w:r>
            <w:r>
              <w:rPr>
                <w:rFonts w:ascii="宋体" w:hAnsi="宋体" w:cs="宋体" w:hint="eastAsia"/>
                <w:color w:val="000000"/>
                <w:kern w:val="0"/>
                <w:szCs w:val="21"/>
              </w:rPr>
              <w:t>支持上传版本包部署相应版本。</w:t>
            </w:r>
          </w:p>
        </w:tc>
      </w:tr>
    </w:tbl>
    <w:p>
      <w:pPr>
        <w:pStyle w:val="NormalIndent"/>
        <w:ind w:firstLine="0"/>
      </w:pPr>
    </w:p>
    <w:p>
      <w:pPr>
        <w:pStyle w:val="NormalIndent"/>
        <w:ind w:firstLine="0"/>
      </w:pPr>
      <w:r>
        <w:rPr>
          <w:rFonts w:hint="eastAsia"/>
        </w:rPr>
        <w:t>4）湖仓一体化存算引擎技术需求</w:t>
      </w:r>
    </w:p>
    <w:tbl>
      <w:tblPr>
        <w:tblStyle w:val="TableNormal"/>
        <w:tblW w:w="0" w:type="auto"/>
        <w:tblInd w:w="0" w:type="dxa"/>
        <w:tblCellMar>
          <w:top w:w="0" w:type="dxa"/>
          <w:left w:w="108" w:type="dxa"/>
          <w:bottom w:w="0" w:type="dxa"/>
          <w:right w:w="108" w:type="dxa"/>
        </w:tblCellMar>
      </w:tblPr>
      <w:tblGrid>
        <w:gridCol w:w="638"/>
        <w:gridCol w:w="1235"/>
        <w:gridCol w:w="1060"/>
        <w:gridCol w:w="849"/>
        <w:gridCol w:w="4747"/>
      </w:tblGrid>
      <w:tr>
        <w:tblPrEx>
          <w:tblW w:w="0" w:type="auto"/>
          <w:tblInd w:w="0" w:type="dxa"/>
          <w:tblCellMar>
            <w:top w:w="0" w:type="dxa"/>
            <w:left w:w="108" w:type="dxa"/>
            <w:bottom w:w="0" w:type="dxa"/>
            <w:right w:w="108" w:type="dxa"/>
          </w:tblCellMar>
        </w:tblPrEx>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0" w:type="auto"/>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系统名称</w:t>
            </w:r>
          </w:p>
        </w:tc>
        <w:tc>
          <w:tcPr>
            <w:tcW w:w="0" w:type="auto"/>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系统功能</w:t>
            </w:r>
          </w:p>
        </w:tc>
        <w:tc>
          <w:tcPr>
            <w:tcW w:w="0" w:type="auto"/>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子模块</w:t>
            </w:r>
          </w:p>
        </w:tc>
        <w:tc>
          <w:tcPr>
            <w:tcW w:w="0" w:type="auto"/>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功能参数</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bookmarkStart w:id="49" w:name="_Hlk209626330"/>
            <w:r>
              <w:rPr>
                <w:rFonts w:ascii="宋体" w:hAnsi="宋体" w:cs="宋体" w:hint="eastAsia"/>
                <w:color w:val="000000"/>
                <w:kern w:val="0"/>
                <w:szCs w:val="21"/>
              </w:rPr>
              <w:t>1</w:t>
            </w:r>
          </w:p>
        </w:tc>
        <w:tc>
          <w:tcPr>
            <w:tcW w:w="0" w:type="auto"/>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湖仓一体化存算引擎</w:t>
            </w:r>
          </w:p>
        </w:tc>
        <w:tc>
          <w:tcPr>
            <w:tcW w:w="0" w:type="auto"/>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文件存储</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r>
              <w:rPr>
                <w:rFonts w:ascii="宋体" w:hAnsi="宋体" w:cs="宋体" w:hint="eastAsia"/>
                <w:kern w:val="0"/>
                <w:szCs w:val="21"/>
              </w:rPr>
              <w:t>基于主流湖仓一体大数据平台技术扩展和封装，支持结构化、半结构化、非结构化数据的存储和处理。支持分布式文件系统和对象存储。</w:t>
            </w:r>
          </w:p>
        </w:tc>
      </w:tr>
      <w:tr>
        <w:tblPrEx>
          <w:tblW w:w="0" w:type="auto"/>
          <w:tblInd w:w="0" w:type="dxa"/>
          <w:tblCellMar>
            <w:top w:w="0" w:type="dxa"/>
            <w:left w:w="108" w:type="dxa"/>
            <w:bottom w:w="0" w:type="dxa"/>
            <w:right w:w="108" w:type="dxa"/>
          </w:tblCellMar>
        </w:tblPrEx>
        <w:trPr>
          <w:trHeight w:val="1872"/>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离线计算</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kern w:val="0"/>
                <w:szCs w:val="21"/>
              </w:rPr>
              <w:t>提供基于数据仓库、内存计算或其他主流技术框架定制后的工具，适用于实时性要求不高的场景，比如离线报表、数</w:t>
            </w:r>
            <w:r>
              <w:rPr>
                <w:rFonts w:ascii="宋体" w:hAnsi="宋体" w:cs="宋体" w:hint="eastAsia"/>
                <w:color w:val="000000"/>
                <w:kern w:val="0"/>
                <w:szCs w:val="21"/>
              </w:rPr>
              <w:t>据分析等，延时支持分钟级，多数场景是定时周期性执行一个Job任务，任务周期支持分钟级、月级和年级别。支持数仓离线计算。</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实时计算</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r>
              <w:rPr>
                <w:rFonts w:ascii="宋体" w:hAnsi="宋体" w:cs="宋体" w:hint="eastAsia"/>
                <w:kern w:val="0"/>
                <w:szCs w:val="21"/>
              </w:rPr>
              <w:t>提供基于流式计算构建的企业级、高吞吐低时延的实时大数据处理系统，支持即时执行自定义作业。</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数据库</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支持分布式数据库和海量关系型数据库</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资源管理</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支持存储资源管理和计算资源管理。存储资源管理主要对磁盘的使用进行管理，涉及到存储资源的分配。计算资源的管理支持任务级别，可进行CPU和内存资源的调度。</w:t>
            </w:r>
          </w:p>
        </w:tc>
      </w:tr>
      <w:tr>
        <w:tblPrEx>
          <w:tblW w:w="0" w:type="auto"/>
          <w:tblInd w:w="0" w:type="dxa"/>
          <w:tblCellMar>
            <w:top w:w="0" w:type="dxa"/>
            <w:left w:w="108" w:type="dxa"/>
            <w:bottom w:w="0" w:type="dxa"/>
            <w:right w:w="108" w:type="dxa"/>
          </w:tblCellMar>
        </w:tblPrEx>
        <w:trPr>
          <w:trHeight w:val="1872"/>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查询分析</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搜索引擎服务和高性能内存计算引擎服务两大能力。高可用搜索引擎服务可以用于日志搜索分析，可应用于日益增多的海量数据搜索和分析等应用场景。高性能内存计算引擎可以达到秒级查询效率，可用于大数据Adhoc查询的场景。</w:t>
            </w:r>
          </w:p>
        </w:tc>
      </w:tr>
      <w:tr>
        <w:tblPrEx>
          <w:tblW w:w="0" w:type="auto"/>
          <w:tblInd w:w="0" w:type="dxa"/>
          <w:tblCellMar>
            <w:top w:w="0" w:type="dxa"/>
            <w:left w:w="108" w:type="dxa"/>
            <w:bottom w:w="0" w:type="dxa"/>
            <w:right w:w="108" w:type="dxa"/>
          </w:tblCellMar>
        </w:tblPrEx>
        <w:trPr>
          <w:trHeight w:val="1248"/>
        </w:trPr>
        <w:tc>
          <w:tcPr>
            <w:tcW w:w="0" w:type="auto"/>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0" w:type="auto"/>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0" w:type="auto"/>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数据安全</w:t>
            </w:r>
          </w:p>
        </w:tc>
        <w:tc>
          <w:tcPr>
            <w:tcW w:w="0" w:type="auto"/>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r>
              <w:rPr>
                <w:rFonts w:ascii="宋体" w:hAnsi="宋体" w:cs="宋体" w:hint="eastAsia"/>
                <w:kern w:val="0"/>
                <w:szCs w:val="21"/>
              </w:rPr>
              <w:t>支持基于角色的权限控制，可对大数据集群进行权限管理，将集群中各组件零散的权限管理功能集中呈现和管理，对用户行为进行审计，同时记录合规和违规操作。</w:t>
            </w:r>
          </w:p>
        </w:tc>
      </w:tr>
    </w:tbl>
    <w:p>
      <w:pPr>
        <w:pStyle w:val="NormalIndent"/>
        <w:ind w:firstLine="0"/>
      </w:pPr>
      <w:bookmarkEnd w:id="49"/>
    </w:p>
    <w:p>
      <w:pPr>
        <w:pStyle w:val="NormalIndent"/>
        <w:ind w:firstLine="0"/>
      </w:pPr>
      <w:r>
        <w:rPr>
          <w:rFonts w:hint="eastAsia"/>
        </w:rPr>
        <w:t>2、信息安全及商用密码技术需求</w:t>
      </w:r>
    </w:p>
    <w:p>
      <w:pPr>
        <w:pStyle w:val="NormalIndent"/>
        <w:ind w:firstLine="0"/>
      </w:pPr>
      <w:r>
        <w:rPr>
          <w:rFonts w:hint="eastAsia"/>
        </w:rPr>
        <w:t>1）信息安全技术需求</w:t>
      </w:r>
    </w:p>
    <w:tbl>
      <w:tblPr>
        <w:tblStyle w:val="TableNormal"/>
        <w:tblW w:w="5000" w:type="pct"/>
        <w:tblInd w:w="0" w:type="dxa"/>
        <w:tblCellMar>
          <w:top w:w="0" w:type="dxa"/>
          <w:left w:w="108" w:type="dxa"/>
          <w:bottom w:w="0" w:type="dxa"/>
          <w:right w:w="108" w:type="dxa"/>
        </w:tblCellMar>
      </w:tblPr>
      <w:tblGrid>
        <w:gridCol w:w="437"/>
        <w:gridCol w:w="878"/>
        <w:gridCol w:w="7214"/>
      </w:tblGrid>
      <w:tr>
        <w:tblPrEx>
          <w:tblW w:w="5000" w:type="pct"/>
          <w:tblInd w:w="0" w:type="dxa"/>
          <w:tblCellMar>
            <w:top w:w="0" w:type="dxa"/>
            <w:left w:w="108" w:type="dxa"/>
            <w:bottom w:w="0" w:type="dxa"/>
            <w:right w:w="108" w:type="dxa"/>
          </w:tblCellMar>
        </w:tblPrEx>
        <w:trPr>
          <w:trHeight w:val="576"/>
        </w:trPr>
        <w:tc>
          <w:tcPr>
            <w:tcW w:w="256" w:type="pct"/>
            <w:tcBorders>
              <w:top w:val="single" w:sz="4" w:space="0" w:color="auto"/>
              <w:left w:val="single" w:sz="4" w:space="0" w:color="auto"/>
              <w:bottom w:val="single" w:sz="4" w:space="0" w:color="auto"/>
              <w:right w:val="single" w:sz="4" w:space="0" w:color="auto"/>
            </w:tcBorders>
            <w:shd w:val="clear" w:color="000000" w:fill="C6D9F0"/>
            <w:noWrap w:val="0"/>
            <w:vAlign w:val="center"/>
          </w:tcPr>
          <w:p>
            <w:pPr>
              <w:widowControl/>
              <w:jc w:val="center"/>
              <w:rPr>
                <w:rFonts w:ascii="宋体" w:hAnsi="宋体" w:cs="宋体" w:hint="eastAsia"/>
                <w:b/>
                <w:bCs/>
                <w:kern w:val="0"/>
                <w:sz w:val="22"/>
                <w:szCs w:val="22"/>
              </w:rPr>
            </w:pPr>
            <w:r>
              <w:rPr>
                <w:rFonts w:ascii="宋体" w:hAnsi="宋体" w:cs="宋体" w:hint="eastAsia"/>
                <w:b/>
                <w:bCs/>
                <w:kern w:val="0"/>
                <w:sz w:val="22"/>
                <w:szCs w:val="22"/>
              </w:rPr>
              <w:t>序号</w:t>
            </w:r>
          </w:p>
        </w:tc>
        <w:tc>
          <w:tcPr>
            <w:tcW w:w="515" w:type="pct"/>
            <w:tcBorders>
              <w:top w:val="single" w:sz="4" w:space="0" w:color="auto"/>
              <w:left w:val="nil"/>
              <w:bottom w:val="single" w:sz="4" w:space="0" w:color="auto"/>
              <w:right w:val="single" w:sz="4" w:space="0" w:color="auto"/>
            </w:tcBorders>
            <w:shd w:val="clear" w:color="000000" w:fill="C6D9F0"/>
            <w:noWrap w:val="0"/>
            <w:vAlign w:val="center"/>
          </w:tcPr>
          <w:p>
            <w:pPr>
              <w:widowControl/>
              <w:jc w:val="center"/>
              <w:rPr>
                <w:rFonts w:ascii="宋体" w:hAnsi="宋体" w:cs="宋体" w:hint="eastAsia"/>
                <w:b/>
                <w:bCs/>
                <w:kern w:val="0"/>
                <w:sz w:val="22"/>
                <w:szCs w:val="22"/>
              </w:rPr>
            </w:pPr>
            <w:r>
              <w:rPr>
                <w:rFonts w:ascii="宋体" w:hAnsi="宋体" w:cs="宋体" w:hint="eastAsia"/>
                <w:b/>
                <w:bCs/>
                <w:kern w:val="0"/>
                <w:sz w:val="22"/>
                <w:szCs w:val="22"/>
              </w:rPr>
              <w:t>货物名称</w:t>
            </w:r>
          </w:p>
        </w:tc>
        <w:tc>
          <w:tcPr>
            <w:tcW w:w="4229" w:type="pct"/>
            <w:tcBorders>
              <w:top w:val="single" w:sz="4" w:space="0" w:color="auto"/>
              <w:left w:val="nil"/>
              <w:bottom w:val="single" w:sz="4" w:space="0" w:color="auto"/>
              <w:right w:val="single" w:sz="4" w:space="0" w:color="auto"/>
            </w:tcBorders>
            <w:shd w:val="clear" w:color="000000" w:fill="C6D9F0"/>
            <w:noWrap w:val="0"/>
            <w:vAlign w:val="center"/>
          </w:tcPr>
          <w:p>
            <w:pPr>
              <w:widowControl/>
              <w:jc w:val="center"/>
              <w:rPr>
                <w:rFonts w:ascii="宋体" w:hAnsi="宋体" w:cs="宋体" w:hint="eastAsia"/>
                <w:b/>
                <w:bCs/>
                <w:kern w:val="0"/>
                <w:sz w:val="22"/>
                <w:szCs w:val="22"/>
              </w:rPr>
            </w:pPr>
            <w:r>
              <w:rPr>
                <w:rFonts w:ascii="宋体" w:hAnsi="宋体" w:cs="宋体" w:hint="eastAsia"/>
                <w:b/>
                <w:bCs/>
                <w:kern w:val="0"/>
                <w:sz w:val="22"/>
                <w:szCs w:val="22"/>
              </w:rPr>
              <w:t>技术参数</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1.设备高度≥1U，配置≥12个千兆电口，≥4个千兆光口，≥8个万兆光口，扩展槽位≥4，提供≥2个USB接口</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2.实配双电源，≥4个万兆多模光模块，≥1TB硬盘</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3.网络层吞吐量≥20Gbps，应用层吞吐量≥13Gbps，全威胁应用层吞吐(IPS+AV+应用识别)≥6G，最大并发连接数≥1000万，每秒新建连接数≥15万</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4.支持安全控制、VPN、NAT、DOS/DDOS防御等传统防火墙能力，同时还一体化地集成了入侵防御、防病毒、应用控制、DLP、URL分类及自定义过滤等深度安全防御的功能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5.具有虚拟化技术，可以支持2台设备虚拟成一台设备使用，也支持将一台设备虚拟成多台设备使用</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6、支持静态路由、策略路由、RIP、OSPF、BGP、IS-IS路由协议</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7.支持WAF、IPS、DDOS攻击防御、病毒防御、僵尸网络功能及云沙箱联动功能。</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8.支持双硬盘，双硬盘支持Raid0和Raid1，实现硬盘数据存储的高可靠</w:t>
            </w:r>
          </w:p>
        </w:tc>
      </w:tr>
      <w:tr>
        <w:tblPrEx>
          <w:tblW w:w="5000" w:type="pct"/>
          <w:tblInd w:w="0" w:type="dxa"/>
          <w:tblCellMar>
            <w:top w:w="0" w:type="dxa"/>
            <w:left w:w="108" w:type="dxa"/>
            <w:bottom w:w="0" w:type="dxa"/>
            <w:right w:w="108" w:type="dxa"/>
          </w:tblCellMar>
        </w:tblPrEx>
        <w:trPr>
          <w:trHeight w:val="91"/>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sql注入、跨站脚本、远程代码执行、字符编码等攻击的防护，支持对网络设备、网页服务器、数据库等设备的专属特征分类，支持CC攻击防护，可基于检测请求报文头的X-forward-for字段，以获取真正的源IP地址</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10.支持BFD和NQA网络协议，支持基于接口状态和路由状态等多种类型的探测机制来及时触发链路切换或主备切换</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11.支持SNMPv1、SNMPv2、SNMPv3、RMON等网络管理协议，并且支持通过网管软件远程进行设备软件升级、配置</w:t>
            </w:r>
          </w:p>
        </w:tc>
      </w:tr>
      <w:tr>
        <w:tblPrEx>
          <w:tblW w:w="5000" w:type="pct"/>
          <w:tblInd w:w="0" w:type="dxa"/>
          <w:tblCellMar>
            <w:top w:w="0" w:type="dxa"/>
            <w:left w:w="108" w:type="dxa"/>
            <w:bottom w:w="0" w:type="dxa"/>
            <w:right w:w="108" w:type="dxa"/>
          </w:tblCellMar>
        </w:tblPrEx>
        <w:trPr>
          <w:trHeight w:val="9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▲12.支持智能DNS功能，引导用户访问最优的站点，（</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数据中心防火墙</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1.≥2U标准机架式，双电源，千兆电口≥16个，万兆光口（含万兆多模光纤模块）≥6个，40G光口（含40G多模光纤模块）≥4个；网络层吞吐量≥40G，应用层吞吐量≥25G，并发连接数≥420万，HTTP新建连接数≥19万。</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2.支持路由类型、协议类型、网络对象、国家地区等条件进行自动选路的策略路由，支持不少于3种的调度算法，至少包括带宽比例、加权流量、线路优先等。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3.具备勒索防护功能、CC攻击防护功能、Cookie攻击防护功能。具备僵尸主机检测功能，僵尸网络特征库不低于128万种，可识别主机的异常外联行为。</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4.具备入侵防护IPS功能模块，漏洞规则不低于16000种，并支持失陷外联检测，至少应包含DNS隧道检测、HTTP隧道检测、Webshell加密通信检测能力。</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5.支持X-Forworded-For字段检测技术，并对非法源IP进行日志记录和联动封锁。支持服务器漏洞防扫描技术，并对扫描源IP进行日志记录和联动封锁。</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6.具备账号安全防护功能，包括用户账号多余入口检测、用户账号弱口令检测、用户账号暴力破解检测、失陷账号检测，防止因账号被暴力破解导致的非法提权情况发生。</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▲7.具备策略生命周期管理功能。支持记录安全策略变更时间、变更账号、变更类型等内容，提升日常安全策略运维效率。（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713"/>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8.支持联动云端蜜罐（非本地蜜罐）获取黑客指纹信息，自动封锁高危IP。可选择诱捕外网攻击和内网扩散策略，通过云端高仿真的蜜罐，分析攻击者画像，溯源社交账号。</w:t>
            </w:r>
          </w:p>
        </w:tc>
      </w:tr>
      <w:tr>
        <w:tblPrEx>
          <w:tblW w:w="5000" w:type="pct"/>
          <w:tblInd w:w="0" w:type="dxa"/>
          <w:tblCellMar>
            <w:top w:w="0" w:type="dxa"/>
            <w:left w:w="108" w:type="dxa"/>
            <w:bottom w:w="0" w:type="dxa"/>
            <w:right w:w="108" w:type="dxa"/>
          </w:tblCellMar>
        </w:tblPrEx>
        <w:trPr>
          <w:trHeight w:val="713"/>
        </w:trPr>
        <w:tc>
          <w:tcPr>
            <w:tcW w:w="256" w:type="pct"/>
            <w:vMerge/>
            <w:tcBorders>
              <w:left w:val="single" w:sz="4" w:space="0" w:color="auto"/>
              <w:bottom w:val="single" w:sz="4" w:space="0" w:color="auto"/>
              <w:right w:val="single" w:sz="4" w:space="0" w:color="auto"/>
            </w:tcBorders>
            <w:noWrap w:val="0"/>
            <w:vAlign w:val="center"/>
          </w:tcPr>
          <w:p>
            <w:pPr>
              <w:widowControl/>
            </w:pPr>
          </w:p>
        </w:tc>
        <w:tc>
          <w:tcPr>
            <w:tcW w:w="515" w:type="pct"/>
            <w:vMerge/>
            <w:tcBorders>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9.支持自定义流量监控组件，可基于设备、应用、源目的IP、接口设置不同的流量和会话数排行动态展示，展示效果支持面积图、折线图、柱状图等至少三种形式。</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防火墙</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1.≥2U标准机架式，双电源，千兆电口≥16个，万兆光口（含万兆多模光纤模块）≥6个，40G光口（含40G多模光纤模块）≥4个；网络层吞吐量≥40G，应用层吞吐量≥25G，并发连接数≥420万，HTTP新建连接数≥19万。</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2.支持路由类型、协议类型、网络对象、国家地区等条件进行自动选路的策略路由，支持不少于3种的调度算法，至少包括带宽比例、加权流量、线路优先等。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3.具备勒索防护功能、CC攻击防护功能、Cookie攻击防护功能。具备僵尸主机检测功能，僵尸网络特征库不低于128万种，可识别主机的异常外联行为。</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4.具备入侵防护IPS功能模块，漏洞规则不低于16000种，并支持失陷外联检测，至少应包含DNS隧道检测、HTTP隧道检测、Webshell加密通信检测能力。</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5.支持X-Forworded-For字段检测技术，并对非法源IP进行日志记录和联动封锁。支持服务器漏洞防扫描技术，并对扫描源IP进行日志记录和联动封锁。</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6.具备账号安全防护功能，包括用户账号多余入口检测、用户账号弱口令检测、用户账号暴力破解检测、失陷账号检测，防止因账号被暴力破解导致的非法提权情况发生。</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▲7.具备策略生命周期管理功能。支持记录安全策略变更时间、变更账号、变更类型等内容，提升日常安全策略运维效率。（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联动云端蜜罐（非本地蜜罐）获取黑客指纹信息，自动封锁高危IP。可选择诱捕外网攻击和内网扩散策略，通过云端高仿真的蜜罐，分析攻击者画像，溯源社交账号。9.支持自定义流量监控组件，可基于设备、应用、源目的IP、接口设置不同的流量和会话数排行动态展示，展示效果支持面积图、折线图、柱状图等至少三种形式。</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网络入侵防护系统</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1.≥2U标准机架式机箱，交流冗余电源，≥1个千兆管理电口，≥1个千兆热备电口，≥4个万兆光口，≥7个可用扩展槽位，≥2USB接口，≥1RJ45串口，具备液晶屏；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2.网络层吞吐≥20Gbps、应用层吞吐≥8Gbps；</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3.系统提供规则升级更新内容，如发布时间、规则版本、新增规则、修改规则等；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▲4.支持基于SCADA等工控协议的相关漏洞攻击检测与防护（</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5.支持DGA域名检测，支持DGA本地、远程升级方式，通过启动 DGA 域名检测，可将DGA 检测到的DNS安全事件进行告警。</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6.支持关键字识别分类，不在内置分类库中的url可根据title内容动态识别分类。</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7.可通过各种统计分析自行选择呈现当前整体威胁状态：如威胁事件级别分布、入侵事件-攻击类别分布、攻击类别趋势、TOP入侵事件目的IP、入侵事件发生趋势等等，支持TOP5、10展示。</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8.系统可零配置上线，提供策略模板、规则模板，减少配置工作量，提高部署效率；</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系统应提供入侵行为特征的自定义接口，可根据用户需求定制相应的检测和阻断规则。支持以下自定义：名称、级别、匹配范围、协议类型、协议号、包长度、正则表达式关键字。至少支持IP\TCP\UDP\HTTP\POP3\SMTP\QQTCP\\QQUDP\FTP协议的规则自定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10.支持对挖矿行为进行防护，并可将产生的挖矿行为生成日志，可通过源地址和目的地地址和信誉等级进行查询，可展示挖矿日志的威胁类型、挖矿值及协议等。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11.支持不少于七种弱口令配置，支持导入自定义弱口令字典。须支持强密码复杂度限制，如同时包含大小写字母、特殊字符、数字、不能包含用户名等组合方式限制；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12.系统应提供丰富的响应方式，包括：告警、阻断、IP隔离、抓包等，满足用户各种响应需求；</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13.支持多种威胁情报场景包，可针对不同场景的威胁攻击进行检测，包括APT检测、挖矿检测、勒索检测、反诈检测、失陷检测、暗网节点检测；</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5</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1.网络吞吐性能≥40Gbps，2U机架式，内存≥64 GB，硬盘≥4T，电源规格：1+1冗余电源，网络接口：千兆电口≥16个，千兆光口≥8个，万兆光口≥6个，万兆多模光模块≥6个。</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支持路由模式、交换模式、旁路模式等部署模式，部署模式切换无需重启设备。</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支持双机热备，支持主备模式和主主模式。支持同步配置、运行状态等。支持配置抢占模式。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▲4.支持对控制策略进行策略分析，分析结果中存在冲突策略和合并策略。（</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支持IPv4/IPv6双栈协议的源地址转换、目的地址转换、双向NAT、NAT64等地址转换。</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支持端口镜像功能；支持入流量、出流量和双向流量等维度镜像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流量转发至少支持普通模式和智能模式。普通模式下，所有报文均上送安全引擎；智能模式下，超过上限的报文不再上送安全引擎。</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支持识别多种主流应用，支持应用自定义并对自定义的应用进行分组。</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支持邮件内容过滤；支持基于发件人、收件人、邮件标题或邮件正文的关键字进行行为过滤。</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根据自定义漏洞模板扫描漏洞，扫描结果处存在扫描靶机上的漏洞信息，包括名称、CVE-ID、CNNVD-ID等信息，并在漏洞列表处记录扫描到的漏洞信息，信息与扫描结果一致。同时，可查看漏洞的具体信息和修复建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支持Telnet、FTP、SMTP、HTTP等协议的弱密码防护。</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支持暴力破解侦查和访问控制，并支持用户根据实际场景修改频率阈值。</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支持基于源IP地址、目的IP地址、端口、协议等的黑名单配置，支持自定义黑名单生效时间。</w:t>
            </w:r>
          </w:p>
        </w:tc>
      </w:tr>
      <w:tr>
        <w:tblPrEx>
          <w:tblW w:w="5000" w:type="pct"/>
          <w:tblInd w:w="0" w:type="dxa"/>
          <w:tblCellMar>
            <w:top w:w="0" w:type="dxa"/>
            <w:left w:w="108" w:type="dxa"/>
            <w:bottom w:w="0" w:type="dxa"/>
            <w:right w:w="108" w:type="dxa"/>
          </w:tblCellMar>
        </w:tblPrEx>
        <w:trPr>
          <w:trHeight w:val="31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支持管理员开启双因子认证，至少支持密码和手机APP令牌的双因子认证。</w:t>
            </w:r>
          </w:p>
        </w:tc>
      </w:tr>
      <w:tr>
        <w:tblPrEx>
          <w:tblW w:w="5000" w:type="pct"/>
          <w:tblInd w:w="0" w:type="dxa"/>
          <w:tblCellMar>
            <w:top w:w="0" w:type="dxa"/>
            <w:left w:w="108" w:type="dxa"/>
            <w:bottom w:w="0" w:type="dxa"/>
            <w:right w:w="108" w:type="dxa"/>
          </w:tblCellMar>
        </w:tblPrEx>
        <w:trPr>
          <w:trHeight w:val="312"/>
        </w:trPr>
        <w:tc>
          <w:tcPr>
            <w:tcW w:w="256" w:type="pct"/>
            <w:vMerge/>
            <w:tcBorders>
              <w:left w:val="single" w:sz="4" w:space="0" w:color="auto"/>
              <w:bottom w:val="single" w:sz="4" w:space="0" w:color="auto"/>
              <w:right w:val="single" w:sz="4" w:space="0" w:color="auto"/>
            </w:tcBorders>
            <w:noWrap w:val="0"/>
            <w:vAlign w:val="center"/>
          </w:tcPr>
          <w:p>
            <w:pPr>
              <w:widowControl/>
            </w:pPr>
          </w:p>
        </w:tc>
        <w:tc>
          <w:tcPr>
            <w:tcW w:w="515" w:type="pct"/>
            <w:vMerge/>
            <w:tcBorders>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支持手动和自定义周期系统配置自动备份。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Web管理界面支持Ping、Traceroute、HTTP(S)诊断工具，可支持基于接口、协议、IP地址等进行网络抓包。</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6</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防毒墙</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1.配置参数：2U标准机架式设备，千兆电口≥2个，万兆光口≥2（配2个万兆多模光模块），扩展插槽≥3个，冗余电源。CPU≥10核，内存≥64G，硬盘容量≥2TB。网络层吞吐率≥15Gbps，防病毒吞吐率≥3Gbps。</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2.能够对威胁进行可视化展示，展示维度至少包括威胁类型统计（至少包含勒索、挖矿、病毒、APT、漏洞利用威胁事件）、近30天威胁事件趋势、攻击源IP TOP5、受影响主机TOP5、勒索&amp;挖矿事件拦截统计、热门威胁事件TOP5、自定义黑名单TOP5等。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 能够支持超过100种协议的解析, 包括但不限于HTTP/SMTP/POP3/FTP/SMB/TFTP/TCP/UDP/NFS/SNMP/ICMP/RTMP/DNS/IRC等。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 能够支持SMBv1/SMBv2/SMBv3文件共享协议的病毒检测与查杀,且针对SMBv3协议。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 能够启动高级威胁扫描引擎，用以查杀不同级别的具有可疑行为的文件。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6.能够支持两个的防病毒引擎同时工作，并能够按需开启。能够支持快速扫描模式和深度扫描模式切换，确保在不同网络环境下的查杀效果。</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7.支持反向代理部署模式，支持该模式下对HTTP/HTTPS流量解析检测，并支持阻断或监控模式。能够允许定义被扫描文件的大小，扫描文件最大不小于2G。</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8.支持虚拟补丁功能，在网络层面对漏洞利用攻击进行监控和阻断。</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威胁情报IOC检测，支持的威胁类型包括但不限于：远控、钓鱼、僵尸网络、矿池地址、挖矿木马、勒索软件、窃密木马、远控木马、网络蠕虫、黑客工具、APT攻击事件、流氓推广、其他恶意软件。具备威胁情报云端联动机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10.支持漏洞收敛功能,具备端口扫描攻击防范、地址扫描攻击防范、Web目录扫描攻击防范和恶意扫描工具防范能力，能对识别到的扫描设备进行流量处理，处理措施包括但不限于阻止全部、阻止中高危。</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所投产品部署方式灵活以适应丰富的应用场景，支持ICAP部署模式。设备需支持开启和关闭软件Bypass和硬件Bypass，并且可指定IP、端口进行bypass设置。可对CPU、内存阈值进行设置，当超过该阈值，防毒墙主进程会自动清理损耗的资源，并可邮件通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12.产品管理平台支持对多台设备进行统一监控，能同时监控多台设备状态和信息，包含且不限于设备名称，设备版本，CPU、内存、会话数等信息。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13.产品具有IPv6 Ready Logo认证证书。</w:t>
            </w:r>
          </w:p>
        </w:tc>
      </w:tr>
      <w:tr>
        <w:tblPrEx>
          <w:tblW w:w="5000" w:type="pct"/>
          <w:tblInd w:w="0" w:type="dxa"/>
          <w:tblCellMar>
            <w:top w:w="0" w:type="dxa"/>
            <w:left w:w="108" w:type="dxa"/>
            <w:bottom w:w="0" w:type="dxa"/>
            <w:right w:w="108" w:type="dxa"/>
          </w:tblCellMar>
        </w:tblPrEx>
        <w:trPr>
          <w:trHeight w:val="172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▲14.病毒检测、勒索病毒防护、挖矿病毒拦截、大文件检测等关键性指标，且各类指标均为检测通过，病毒检出率应大于99%、勒索病毒检出率应为100%防护通过。（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15.支持防御多种类型的恶意软件 (包括但不限于病毒、木马、蠕虫、后门、间谍软件、灰色软件、Rootkits等)。</w:t>
            </w:r>
          </w:p>
        </w:tc>
      </w:tr>
      <w:tr>
        <w:tblPrEx>
          <w:tblW w:w="5000" w:type="pct"/>
          <w:tblInd w:w="0" w:type="dxa"/>
          <w:tblCellMar>
            <w:top w:w="0" w:type="dxa"/>
            <w:left w:w="108" w:type="dxa"/>
            <w:bottom w:w="0" w:type="dxa"/>
            <w:right w:w="108" w:type="dxa"/>
          </w:tblCellMar>
        </w:tblPrEx>
        <w:trPr>
          <w:trHeight w:val="360"/>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7</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1.网络吞吐性能≥35 Gbps，2U机架式，内存≥64 GB，硬盘≥4T，电源规格：1+1冗余电源，网络接口：千兆电口≥16个，千兆光口≥8个，万兆光口≥6个，万兆多模光模块≥6个。</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支持路由模式、交换模式、旁路模式等部署模式，部署模式切换无需重启设备。</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支持双机热备，支持主备模式和主主模式。支持同步配置、运行状态等。支持配置抢占模式。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支持对控制策略进行策略分析，分析结果中存在冲突策略和合并策略。</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支持IPv4/IPv6双栈协议的源地址转换、目的地址转换、双向NAT、NAT64等地址转换。</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支持端口镜像功能；支持入流量、出流量和双向流量等维度镜像</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▲7.流量转发至少支持普通模式和智能模式。普通模式下，所有报文均上送安全引擎；智能模式下，超过上限的报文不再上送安全引擎。（</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支持识别多种主流应用，支持应用自定义并对自定义的应用进行分组</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支持邮件内容过滤；支持基于发件人、收件人、邮件标题或邮件正文的关键字进行行为过滤。</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根据自定义漏洞模板扫描漏洞，扫描结果处存在扫描靶机上的漏洞信息，包括名称、CVE-ID、CNNVD-ID等信息，并在漏洞列表处记录扫描到的漏洞信息，信息与扫描结果一致。同时，可查看漏洞的具体信息和修复建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支持Telnet、FTP、SMTP、HTTP等协议的弱密码防护。</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支持暴力破解侦查和访问控制，并支持用户根据实际场景修改频率阈值。</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支持基于源IP地址、目的IP地址、端口、协议等的黑名单配置，支持自定义黑名单生效时间。</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支持管理员开启双因子认证，至少支持密码和手机APP令牌的双因子认证。</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支持手动和自定义周期系统配置自动备份。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Web管理界面支持Ping、Traceroute、HTTP(S)诊断工具，可支持基于接口、协议、IP地址等进行网络抓包。</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8</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防毒墙</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1.配置参数：2U标准机架式设备，千兆电口≥2个，万兆光口≥2（配2个万兆多模光模块），扩展插槽≥3个，冗余电源。CPU≥10核，内存≥64G，硬盘容量≥2TB。网络层吞吐率≥15Gbps，防病毒吞吐率≥3Gbps。</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2.能够对威胁进行可视化展示，展示维度至少包括威胁类型统计（至少包含勒索、挖矿、病毒、APT、漏洞利用威胁事件）、近30天威胁事件趋势、攻击源IP TOP5、受影响主机TOP5、勒索&amp;挖矿事件拦截统计、热门威胁事件TOP5、自定义黑名单TOP5等。</w:t>
            </w:r>
          </w:p>
        </w:tc>
      </w:tr>
      <w:tr>
        <w:tblPrEx>
          <w:tblW w:w="5000" w:type="pct"/>
          <w:tblInd w:w="0" w:type="dxa"/>
          <w:tblCellMar>
            <w:top w:w="0" w:type="dxa"/>
            <w:left w:w="108" w:type="dxa"/>
            <w:bottom w:w="0" w:type="dxa"/>
            <w:right w:w="108" w:type="dxa"/>
          </w:tblCellMar>
        </w:tblPrEx>
        <w:trPr>
          <w:trHeight w:val="85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 能够支持超过100种协议的解析, 包括但不限于</w:t>
            </w:r>
          </w:p>
          <w:p>
            <w:pPr>
              <w:widowControl/>
              <w:jc w:val="left"/>
              <w:rPr>
                <w:rFonts w:ascii="宋体" w:hAnsi="宋体" w:cs="宋体" w:hint="eastAsia"/>
                <w:kern w:val="0"/>
                <w:sz w:val="22"/>
                <w:szCs w:val="22"/>
              </w:rPr>
            </w:pPr>
            <w:r>
              <w:rPr>
                <w:rFonts w:ascii="宋体" w:hAnsi="宋体" w:cs="宋体" w:hint="eastAsia"/>
                <w:kern w:val="0"/>
                <w:sz w:val="22"/>
                <w:szCs w:val="22"/>
              </w:rPr>
              <w:t>HTTP/SMTP/POP3/FTP/SMB/TFTP/TCP/UDP/NFS/SNMP/ICMP/RTMP/DNS/IRC等。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 能够支持SMBv1/SMBv2/SMBv3文件共享协议的病毒检测与查杀,且针对SMBv3协议。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 能够启动高级威胁扫描引擎，用以查杀不同级别的具有可疑行为的文件。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6.能够支持两个的防病毒引擎同时工作，并能够按需开启。能够支持快速扫描模式和深度扫描模式切换，确保在不同网络环境下的查杀效果。</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7.支持反向代理部署模式，支持该模式下对HTTP/HTTPS流量解析检测，并支持阻断或监控模式。能够允许定义被扫描文件的大小，扫描文件最大不小于2G。</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8.支持虚拟补丁功能，在网络层面对漏洞利用攻击进行监控和阻断。</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威胁情报IOC检测，支持的威胁类型包括但不限于：远控、钓鱼、僵尸网络、矿池地址、挖矿木马、勒索软件、窃密木马、远控木马、网络蠕虫、黑客工具、APT攻击事件、流氓推广、其他恶意软件。具备威胁情报云端联动机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10.支持漏洞收敛功能,具备端口扫描攻击防范、地址扫描攻击防范、Web目录扫描攻击防范和恶意扫描工具防范能力，能对识别到的扫描设备进行流量处理，处理措施包括但不限于阻止全部、阻止中高危。</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所投产品需部署方式灵活以适应丰富的应用场景，支持ICAP部署模式。设备需支持开启和关闭软件Bypass和硬件Bypass，并且可指定IP、端口进行bypass设置。可对CPU、内存阈值进行设置，当超过该阈值，防毒墙主进程会自动清理损耗的资源，并可邮件通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12.产品管理平台支持对多台设备进行统一监控，能同时监控多台设备状态和信息，包含且不限于设备名称，设备版本，CPU、内存、会话数等信息。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13.产品具有IPv6 Ready Logo认证证书。</w:t>
            </w:r>
          </w:p>
        </w:tc>
      </w:tr>
      <w:tr>
        <w:tblPrEx>
          <w:tblW w:w="5000" w:type="pct"/>
          <w:tblInd w:w="0" w:type="dxa"/>
          <w:tblCellMar>
            <w:top w:w="0" w:type="dxa"/>
            <w:left w:w="108" w:type="dxa"/>
            <w:bottom w:w="0" w:type="dxa"/>
            <w:right w:w="108" w:type="dxa"/>
          </w:tblCellMar>
        </w:tblPrEx>
        <w:trPr>
          <w:trHeight w:val="55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▲14.病毒检测、勒索病毒防护、挖矿病毒拦截、大文件检测等关键性指标，且各类指标均为检测通过，病毒检出率应大于99%、勒索病毒检出率应为100%防护通过。（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15.产品能够防御多种类型的恶意软件 (包括但不限于病毒、木马、蠕虫、后门、间谍软件、灰色软件、Rootkits等)。</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9</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负载均衡</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1.设备高度≥1U，配置≥12个千兆电口，≥4个千兆光口，≥8个万兆光口，扩展槽位≥2，提供≥2个USB接口，</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2.实配双电源，≥8个万兆多模光模块，≥1TB硬盘</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3.网络层吞吐量≥20Gbps，应用层吞吐量≥5Gbps，最大并发连接数≥1000万，每秒新建连接数≥13万</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4.支持服务器负载均衡、链路负载均衡、SSL卸载、应用优化、应用安全功能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5.具有虚拟化技术，可以支持2台设备虚拟成一台设备使用，也支持将一台设备虚拟成多台设备使用</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6.支持多种链路检测方法，能够通过ICMP、UDP、TCP、FTP、DNS、HTTP、RADIUS、SSL、HTTPS、TCP half-open、SNMP-DCA、RADIUS-ACCOUNT等方式监控链路的连通性</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7.支持双硬盘，双硬盘支持Raid0和Raid1，实现硬盘数据存储的高可靠</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8.支持DNS透明代理、支持基于域名的负载分担、支持ISP地址库更新、支持基于ISP选路的负载分担， </w:t>
            </w:r>
          </w:p>
        </w:tc>
      </w:tr>
      <w:tr>
        <w:tblPrEx>
          <w:tblW w:w="5000" w:type="pct"/>
          <w:tblInd w:w="0" w:type="dxa"/>
          <w:tblCellMar>
            <w:top w:w="0" w:type="dxa"/>
            <w:left w:w="108" w:type="dxa"/>
            <w:bottom w:w="0" w:type="dxa"/>
            <w:right w:w="108" w:type="dxa"/>
          </w:tblCellMar>
        </w:tblPrEx>
        <w:trPr>
          <w:trHeight w:val="9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▲9.基于应用的链路负载均衡、动态就近性、支持基于 PPPoE 链路负载均衡（</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10.支持在线抓包功能、支持浪涌保护、支持 BYPASS功能， </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10</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上网行为管理</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1.≥1U标准机架式，双电源，千兆电口≥6个，万兆光口SFP+（含万兆多模光纤模块）≥4个；网络层吞吐量（大包）≥10Gb，带宽性能≥1Gb，支持用户数≥6000，最大并发连接数≥60万；</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2.支持图形化查看当前内网IP使用情况，帮助管理员减少人工维护IP表的工作量；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3.支持存储设备、网络设备、蓝牙设备、摄像头、打印机的使用管控；支持外设白名单，提供批量获取硬件ID的工具进行白名单配置；</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4.支持网络故障排查，支持PPS异常、丢包异常、ARP异常、内网DOS攻击等异常情况实时监测，显示每日异常事件个数及情况。</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5.设备内置应用识别规则库，支持超过9000种以上应用规则数、支持超过6000种以上的应用；支持根据标签选择应用，并支持给每个应用自定义标签；支持根据标签选择一类应用做控制。</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首页分析显示接入管理状态，包括在线用户、流量分析、应用流量排名；资产类型分布、新设备发现趋势、终端违规检查项排行、终端违规用户排行；支持行为风险分析，泄密风险、终端接入、工作效率、接入状态、上网状态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7.Web访问质量检测，针对内网用户的web访问质量进行检测，对整体网络提供清晰的整体网络质量评级。</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8.支持Windows终端外联行为检查，包括：连接拨号行为、双网卡行为、有无线网卡、连接非法WIFI、有4G网卡、使用非法网关、连接外网、自定义外联行为，对不满足检查要求的终端强制断网，支持向管理员告警，并弹窗提示用户。（</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9.支持在设置流量策略后，根据整体线路或者某流量通道内的空闲情况，自动启用和停止使用流量控制策略，以提升带宽的高使用率，空闲值可自定义。</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11</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网络吞吐性能≥40Gbps，2U机架式，内存≥64 GB，硬盘≥4T，电源规格：1+1冗余电源，网络接口：千兆电口≥16个，千兆光口≥8个，万兆光口≥10个，万兆多模光模块≥10个。</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支持路由模式、交换模式、旁路模式等部署模式，部署模式切换无需重启设备。</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支持双机热备，支持主备模式和主主模式。支持同步配置、运行状态等。支持配置抢占模式。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支持对控制策略进行策略分析，分析结果中存在冲突策略和合并策略。</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支持IPv4/IPv6双栈协议的源地址转换、目的地址转换、双向NAT、NAT64等地址转换。</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支持端口镜像功能；支持入流量、出流量和双向流量等维度镜像</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▲7.流量转发至少支持普通模式和智能模式。普通模式下，所有报文均上送安全引擎；智能模式下，超过上限的报文不再上送安全引擎。（</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支持识别多种主流应用，支持应用自定义并对自定义的应用进行分组</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支持邮件内容过滤；支持基于发件人、收件人、邮件标题或邮件正文的关键字进行行为过滤。</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10.支持根据自定义漏洞模板扫描漏洞，扫描结果处存在扫描靶机上的漏洞信息，包括名称、CVE-ID、CNNVD-ID等信息，并在漏洞列表处记录扫描到的漏洞信息，信息与扫描结果一致。同时，可查看漏洞的具体信息和修复建议。（</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支持Telnet、FTP、SMTP、HTTP等协议的弱密码防护。</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支持暴力破解侦查和访问控制，并支持用户根据实际场景修改频率阈值。</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支持基于源IP地址、目的IP地址、端口、协议等的黑名单配置，支持自定义黑名单生效时间。</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支持管理员开启双因子认证，至少支持密码和手机APP令牌的双因子认证。</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支持手动和自定义周期系统配置自动备份。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16.  Web管理界面支持Ping、Traceroute、HTTP(S)诊断工具，可支持基于接口、协议、IP地址等进行网络抓包。</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12</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上网行为管理</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1.≥1U标准机架式，双电源，千兆电口≥6个，万兆光口SFP+（含万兆多模光纤模块）≥4个；网络层吞吐量（大包）≥10Gb，带宽性能≥1Gb，支持用户数≥6000，最大并发连接数≥60万；</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2.支持图形化查看当前内网IP使用情况，帮助管理员减少人工维护IP表的工作量；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3.支持存储设备、网络设备、蓝牙设备、摄像头、打印机的使用管控；支持外设白名单，提供批量获取硬件ID的工具进行白名单配置；</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4.支持网络故障排查，支持PPS异常、丢包异常、ARP异常、内网DOS攻击等异常情况实时监测，显示每日异常事件个数及情况。</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5.设备内置应用识别规则库，支持超过9000种以上应用规则数、支持超过6000种以上的应用；支持根据标签选择应用，并支持给每个应用自定义标签；支持根据标签选择一类应用做控制。</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首页分析显示接入管理状态，包括在线用户、流量分析、应用流量排名；资产类型分布、新设备发现趋势、终端违规检查项排行、终端违规用户排行；支持行为风险分析，泄密风险、终端接入、工作效率、接入状态、上网状态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7.Web访问质量检测，针对内网用户的web访问质量进行检测，对整体网络提供整体网络质量评级。</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8.支持Windows终端外联行为检查，包括：连接拨号行为、双网卡行为、有无线网卡、连接非法WIFI、有4G网卡、使用非法网关、连接外网、自定义外联行为，对不满足检查要求的终端强制断网，支持向管理员告警，并弹窗提示用户。（</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9.支持在设置流量策略后，根据整体线路或者某流量通道内的空闲情况，自动启用和停止使用流量控制策略，以提升带宽的高使用率，空闲值可自定义。</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13</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抗拒绝服务系统</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1.≥2U标准机架式机箱，交流冗余电源，≥2个USB2.0接口，≥1个RJ45串口，≥1个千兆管理电口，≥1个千兆热备电口，≥6个千兆电口(3组bypass),≥4个千兆光口，≥2个万兆光口，≥1个可用扩展槽位；</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2.设备攻击清洗能力不低于10G，最大具备通过授权扩充至40G；</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3.支持自动识别APP访问来源，与PC源配置差异化防护策略进行精准过滤；</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4.支持肉鸡防护，通过对源IP的URL访问比例进行统计防护肉鸡攻击；</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5.设备提供过滤功能，支持白名单、群组黑名单、全局黑名单、群组ACL、全局AC L、正则表达（同时支持TCP和UDP协议）、GeoIP功能；</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6.支持自动识别APP访问来源，与PC源配置差异化防护策略进行精准过滤；</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7.UDP防护支持多种检查和限速方式，包括最小包长、最大包长、源IP+源端口限速、源IP限速、目的IP+目的端口限速、目的IP+源端口限速、目的IP限速；</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8.支持对空连接进行检测和防护；</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9.支持调用威胁情报库对流量进行防护，并支持IP信誉查询；支持基于群组设置情报动作（丢弃限速等），支持情报例外避免业务误阻断；支持对情报防护情况进行统计；支持威胁情报库自动或手动升级；</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10.支持对HTTP Malformed报文防护进行防护（HTTP畸形报文）；</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11.支持针对HTTPS业务，具备导入SSL证书进行解密防护；</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12.支持可编程对抗规则策略，支持按照给定的编程语言生成规则对数据包特征进行匹配，能够针对包含隐私规则或者复杂逻辑的报文进行防护；</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▲13.设备登录认证支持本地认证和Radius认证，LDAP认证，TACACS+认证。（</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14</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防毒墙</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1.配置参数：2U标准机架式设备，千兆电口≥2个，万兆光口≥2（配2个万兆多模光模块），扩展插槽≥3个，冗余电源。CPU≥10核，内存≥64G，硬盘容量≥2TB。网络层吞吐率≥15Gbps，防病毒吞吐率≥3Gbps。</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2.能够对威胁进行可视化展示，展示维度至少包括威胁类型统计（至少包含勒索、挖矿、病毒、APT、漏洞利用威胁事件）、近30天威胁事件趋势、攻击源IP TOP5、受影响主机TOP5、勒索&amp;挖矿事件拦截统计、热门威胁事件TOP5、自定义黑名单TOP5等。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 能够支持超过100种协议的解析, 包括但不限于HTTP/SMTP/POP3/FTP/SMB/TFTP/TCP/UDP/NFS/SNMP/ICMP/RTMP/DNS/IRC等。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 能够支持SMBv1/SMBv2/SMBv3文件共享协议的病毒检测与查杀,且针对SMBv3协议。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 能够启动高级威胁扫描引擎，用以查杀不同级别的具有可疑行为的文件。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6.能够支持两个的防病毒引擎同时工作，并能够按需开启。能够支持快速扫描模式和深度扫描模式切换，确保在不同网络环境下的查杀效果。</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7.支持反向代理部署模式，支持该模式下对HTTP/HTTPS流量解析检测，并支持阻断或监控模式。能够允许定义被扫描文件的大小，扫描文件最大不小于2G。</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w:t>
            </w:r>
            <w:bookmarkStart w:id="50" w:name="OLE_LINK13"/>
            <w:r>
              <w:rPr>
                <w:rFonts w:ascii="宋体" w:hAnsi="宋体" w:cs="宋体" w:hint="eastAsia"/>
                <w:kern w:val="0"/>
                <w:sz w:val="22"/>
                <w:szCs w:val="22"/>
              </w:rPr>
              <w:t>支持虚拟补丁功能，在网络层面对漏洞利用攻击进行监控和阻断</w:t>
            </w:r>
            <w:bookmarkEnd w:id="50"/>
            <w:r>
              <w:rPr>
                <w:rFonts w:ascii="宋体" w:hAnsi="宋体" w:cs="宋体" w:hint="eastAsia"/>
                <w:kern w:val="0"/>
                <w:sz w:val="22"/>
                <w:szCs w:val="22"/>
              </w:rPr>
              <w:t>。</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威胁情报IOC检测，支持的威胁类型包括但不限于：远控、钓鱼、僵尸网络、矿池地址、挖矿木马、勒索软件、窃密木马、远控木马、网络蠕虫、黑客工具、APT攻击事件、流氓推广、其他恶意软件。具备威胁情报云端联动机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10.支持漏洞收敛功能,具备端口扫描攻击防范、地址扫描攻击防范、Web目录扫描攻击防范和恶意扫描工具防范能力，能对识别到的扫描设备进行流量处理，处理措施包括但不限于阻止全部、阻止中高危。</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所投产品部署方式灵活以适应丰富的应用场景，支持ICAP部署模式。设备支持开启和关闭软件Bypass和硬件Bypass，并且可指定IP、端口进行bypass设置。可对CPU、内存阈值进行设置，当超过该阈值，防毒墙主进程会自动清理损耗的资源，并可邮件通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12.产品管理平台支持对多台设备进行统一监控，能同时监控多台设备状态和信息，包含且不限于设备名称，设备版本，CPU、内存、会话数等信息。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13.产品具有IPv6 Ready Logo认证证书。</w:t>
            </w:r>
          </w:p>
        </w:tc>
      </w:tr>
      <w:tr>
        <w:tblPrEx>
          <w:tblW w:w="5000" w:type="pct"/>
          <w:tblInd w:w="0" w:type="dxa"/>
          <w:tblCellMar>
            <w:top w:w="0" w:type="dxa"/>
            <w:left w:w="108" w:type="dxa"/>
            <w:bottom w:w="0" w:type="dxa"/>
            <w:right w:w="108" w:type="dxa"/>
          </w:tblCellMar>
        </w:tblPrEx>
        <w:trPr>
          <w:trHeight w:val="172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▲14.病毒检测、勒索病毒防护、挖矿病毒拦截、大文件检测等关键性指标，且各类指标均为检测通过，病毒检出率应大于99%、勒索病毒检出率应为100%防护通过。（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15.产品能够防御多种类型的恶意软件 (包括但不限于病毒、木马、蠕虫、后门、间谍软件、灰色软件、Rootkits等)。</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15</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沙箱</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1.文件检测能力≥100000个/24小时，2U机架式，内存≥64GB，硬盘≥2T*2（带RAID1），电源为1+1冗余电源，千兆管理电口≥2，万兆光口≥2，万兆多模光模块≥2个。</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2.支持doc、xls等多种文件解析。</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3.可展示威胁程度最高的文件样本MD5、威胁指数、传播次数，病毒检测、静态检测和动态检测结果等内容</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4.支持文档文件内部嵌入子文件提取，并检测分析其安全性。</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5.支持对压缩文件进行检测。</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▲6.采用多并发沙箱检测技术，集成主流的操作系统Windows XP、 Windows 7 Windows 10、 Linux 等多种检测环境。结合平台内置反病毒引擎和静态分析技术对恶意特征文件、文件漏洞、未知威胁等深度关联分析（</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7.支持自定义YARA规则，可从静态文件和运行内存中检测文件威胁，支持从规则状态、类型、等级、描述等方面进行自定义配置。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8.支持压缩文件密码自动猜测功能。 </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9.根据文件传播情况分析受感染主机、接受云端威胁情报、关键威胁行为可视化、回连主机 host 和完整沙箱分析报告</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10.新增或批量导入恶意文件MD5、SHA1、SHA256进行文件威胁检测。</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11.支持自定义文件HASH情报。</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12.支持识别压缩文件中子文件的真实格式。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13.支持手动上传文件样本进行威胁分析。</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16</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网络入侵防护系统 </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1.≥2U标准机架式机箱，交流冗余电源，≥1个千兆管理电口，≥1个千兆热备电口，≥4个万兆光口，≥7个可用扩展槽位，≥2USB接口，≥1RJ45串口，具备液晶屏；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2.网络层吞吐≥20Gbps、应用层吞吐≥8Gbps；</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3.系统提供规则升级更新内容，如发布时间、规则版本、新增规则、修改规则等；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▲4.支持基于SCADA等工控协议的相关漏洞攻击检测与防护（</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5.支持DGA域名检测，支持DGA本地、远程升级方式，通过启动 DGA 域名检测，可将DGA 检测到的DNS安全事件进行告警；</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6.支持关键字识别分类，不在内置分类库中的url可根据title内容动态识别分类；</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7.可通过各种统计分析自行选择呈现当前整体威胁状态：如威胁事件级别分布、入侵事件-攻击类别分布、攻击类别趋势、TOP入侵事件目的IP、入侵事件发生趋势等等，支持TOP5、10展示。</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8.系统可零配置上线，提供策略模板、规则模板，减少配置工作量，提高部署效率；</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系统应提供入侵行为特征的自定义接口，可根据用户需求定制相应的检测和阻断规则。支持以下自定义：名称、级别、匹配范围、协议类型、协议号、包长度、正则表达式关键字。至少支持IP\TCP\UDP\HTTP\POP3\SMTP\QQTCP\\QQUDP\FTP协议的规则自定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10.支持对挖矿行为进行防护，并可将产生的挖矿行为生成日志，可通过源地址和目的地地址和信誉等级进行查询，可展示挖矿日志的威胁类型、挖矿值及协议等；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11.支持不少于七种弱口令配置，支持导入自定义弱口令字典。须支持强密码复杂度限制，如同时包含大小写字母、特殊字符、数字、不能包含用户名等组合方式限制；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12.系统应提供丰富的响应方式，包括：告警、阻断、IP隔离、抓包等，满足用户各种响应需求；</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13.支持多种威胁情报场景包，可针对不同场景的威胁攻击进行检测，包括APT检测、挖矿检测、勒索检测、反诈检测、失陷检测、暗网节点检测；</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17</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零信任网关</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1.≥1U标准机架式，双电源，千兆电口≥6个，千兆光口SFP≥4个（含千兆多模光模块）；并发用户数≥1000个，加密流量≥480Mbps，并发连接数≥48000个；</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2.，客户端应兼容主流操作系统和芯片，操作系统至少包括Windows、macOS、Ubuntu、Android、iOS、UOS、Kylin、NFS、Harmony next，芯片至少包括兆芯、海光、飞腾、鲲鹏、海思麒麟、龙芯（含MIPS和Loongarch）。</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3.支持以虚拟IP方式，访问真实的业务系统，以便于审计设备区分访问用户。支持共享虚拟IP池与独享虚拟IP两种模式。</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为了提升终端用户访问体验，对于多线路接入单网关访问业务的场景，支持时延优先的选路模式，支持周期性探测线路时延和多次探测确认恶化后切换。多网关接入访问业务的场景，支持最低时延+相对时延阈值随机选择策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5.支持以私有DNS发布企业资源，无需额外购买DNS服务即可使用域名访问内网资源，支持管理员自主配置是否允许从具体网络区域（局域网/互联网）接入时使用此私有DNS解析地址。</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6.支持配置动态访问规则，可配置化的ACL规则引擎，可以灵活地将终端环境、用户身份、处置动作等进行配置，针对不同操作系统设定单独或多系统访问控制策略。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7.零信任系统应支持针对发布的WEB应用开启WEB水印，水印内容至少包括：用户名+当前年月日，起到威慑与溯源作用。</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8.▲为了最大程度缩小网络、业务暴露面，零信任平台提供单包授权能力（SPA），支持UDP+TCP组合的单包授权技术，未授权用户无法连接零信任设备，无法扫描到服务端口。安全码支持共享码和一人一码两种模式，可通过短信分发安全码。一人一码模式下，当实际登录用户跟分发SPA安全码绑定的用户不一致时，零信任系统可以产生安全告警。（</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9.配置零信任接入授权数≥1000。</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18</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WEB应用防火墙-1</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HTTP应用层吞吐量≥8Gbps，2U机架式，内存≥16G，硬盘≥2T*1，电源：1+1冗余电源，网络接口：千兆电口≥4个（支持2对电口BYPASS），千兆光口≥4个，万兆光口≥4个，千兆多模光模块≥4个，万兆多模光模块≥4个。</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支持透明串接、反向代理、旁路镜像、路由牵引、嵌入式部署等多种部署模式部署，支持链路聚合。</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支持变更WAF节点所在区域或集群，并支持设置WAF节点为待规划状态。</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支持多条链路数据的防护，防护网段数量不限。</w:t>
            </w:r>
          </w:p>
        </w:tc>
      </w:tr>
      <w:tr>
        <w:tblPrEx>
          <w:tblW w:w="5000" w:type="pct"/>
          <w:tblInd w:w="0" w:type="dxa"/>
          <w:tblCellMar>
            <w:top w:w="0" w:type="dxa"/>
            <w:left w:w="108" w:type="dxa"/>
            <w:bottom w:w="0" w:type="dxa"/>
            <w:right w:w="108" w:type="dxa"/>
          </w:tblCellMar>
        </w:tblPrEx>
        <w:trPr>
          <w:trHeight w:val="43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支持对CC攻击进行检测和防护，能够配置URL参数、请求头部字段、目的IP、请求方法等。支持从请求头字段获取真实源IP地址。</w:t>
            </w:r>
          </w:p>
        </w:tc>
      </w:tr>
      <w:tr>
        <w:tblPrEx>
          <w:tblW w:w="5000" w:type="pct"/>
          <w:tblInd w:w="0" w:type="dxa"/>
          <w:tblCellMar>
            <w:top w:w="0" w:type="dxa"/>
            <w:left w:w="108" w:type="dxa"/>
            <w:bottom w:w="0" w:type="dxa"/>
            <w:right w:w="108" w:type="dxa"/>
          </w:tblCellMar>
        </w:tblPrEx>
        <w:trPr>
          <w:trHeight w:val="432"/>
        </w:trPr>
        <w:tc>
          <w:tcPr>
            <w:tcW w:w="256" w:type="pct"/>
            <w:vMerge/>
            <w:tcBorders>
              <w:top w:val="nil"/>
              <w:left w:val="single" w:sz="4" w:space="0" w:color="auto"/>
              <w:bottom w:val="single" w:sz="4" w:space="0" w:color="auto"/>
              <w:right w:val="single" w:sz="4" w:space="0" w:color="auto"/>
            </w:tcBorders>
            <w:noWrap w:val="0"/>
            <w:vAlign w:val="center"/>
          </w:tcPr>
          <w:p>
            <w:pPr>
              <w:widowControl/>
            </w:pPr>
          </w:p>
        </w:tc>
        <w:tc>
          <w:tcPr>
            <w:tcW w:w="515" w:type="pct"/>
            <w:vMerge/>
            <w:tcBorders>
              <w:top w:val="nil"/>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支持语义分析能力，可对SQL注入、XSS、代码注入等攻击行为进行防护。</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支持注入式攻击防护，应包括SQL注入、PHP代码注入、VBScript注入、JavaScript注入、OGNL注入、SpringEL注入、Csharp注入、命令注入、文件注入、LDAP注入、SSI注入、Email注入、Java代码注入、SSTI注入等。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▲8.支持客户端安全防护，插入特殊的HTTP报头以保护客户端免受相应攻击。（</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支持文件非法上传防护，应支持检测PHP文件上传、ASP文件上传、JSP文件上传、Windows文件上传、可执行文件上传、HTML文件上传、通用文件上传等。并可支持通过文件上传导致的XSS绕过。</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支持4层和7层服务器健康状态检查，7层健康检查支持检测状态码选择（包括2XX、3XX、4XX、5XX），支持请求方法的配置，支持健康检查路径及检查时间阀值的配置。11. 支持自动发现网络环境中存在的Web服务器，包括HTTP业务、HTTPS业务。可记录服务器的IP、端口、协议、IP类型域名等信息。并且针对HTTP业务，可设置侦测后的自动部署，自动部署时，可选择防护模板、处理方式以及可选择开启阻断或观察模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支持透明串接和旁路反向代理下的HTTPS业务的安全防护。</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可分别选择与客户端、后端服务器交互的HTTPS协议，可选择SSLv3、TLS1.0、TLS1.1、TLS1.2。并可选择对应SSL套件。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支持HTTPS站点SSL算法自动探测功能。探测时可以设置指定站点及端口，可以显示探测结果。</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可针对每个站点，设置对应防护规则下URL白名单，即当针对某条规则设置URL白名单后，该规则将不对此URL进行检测。并支持对URL白名单进行报表形式的导出。</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支持威胁情报能力，可对僵尸主机IP、垃圾信息IP、代理IP、扫描IP、暴力破解IP、漏洞利用IP、恶意爬虫IP进行防护。</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 用户认证支持本地密码、RADIUS、LDAP等认证方式，并三种方式均可结合OTP令牌的方式实现双因子认证。</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19</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WEB应用防火墙-2</w:t>
            </w:r>
          </w:p>
          <w:p>
            <w:pPr>
              <w:pStyle w:val="BodyText"/>
            </w:pPr>
          </w:p>
          <w:p>
            <w:pPr>
              <w:pStyle w:val="BodyText2"/>
              <w:widowControl/>
              <w:jc w:val="cente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专用Web硬件防火墙，非防火墙、UTM、IPS设备，具备独立自主知识产权，2U标准机架式设备；管理接口：≥1个GE管理口，≥1个HA口，≥1个RJ45串口，≥2个USB接口；业务接口：≥6个千兆电口（含≥3组bypass），≥2个万兆光口（含多模光模块），CPU核数（虚拟核）≥6，≥32G内存</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2.网络层吞吐量≥20Gbps，http 最大吞吐量≥3Gbps，http 每秒处理请求数≥2.5万，http 最大并发连接数≥90万，https 最大吞吐量≥2.8Gbps，https每秒处理请求数≥2.4万，数据延迟＜5ms；双硬盘配置，不低于128GB 固态硬盘和不低于2TB SATA机械盘，冗余电源；</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3.具备HTTP/1.X、HTTP/2和HTTPS报文解码能力，可对攻击者编码绕过行为进行有效识别。解码能力包括但不限于：Base64解码、斜杠反转义、UTF-7解码、XML解析、16进制转换、URL解码、PHP序列化对象解析、Base64(RFC 2045)解码、二进制解码、换行分割等不少于10种。能对10层的嵌套编码绕过行为进行检测与防护；</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4.无需规则配置，可通过语义分析技术识别OWASP TOP 10所公布的WEB应用程序安全风险，如SQL注入、XSS、PHP反序列化、Java反序列化、PHP代码注入、Java代码注入、命令注入、CSRF、SSRF、ASP代码注入、模版注入、文件包含、文件上传等13种常见攻击类型，可根据攻击语法特征，智能生成攻击威胁等级；</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5.支持自定义规则检测前对请求进行解码，解码类型包括：Base64解码、十六进制解码等不少于5种，可根据业务系统编码类型进行配置，快速实现新爆发漏洞的防护；</w:t>
            </w:r>
          </w:p>
        </w:tc>
      </w:tr>
      <w:tr>
        <w:tblPrEx>
          <w:tblW w:w="5000" w:type="pct"/>
          <w:tblInd w:w="0" w:type="dxa"/>
          <w:tblCellMar>
            <w:top w:w="0" w:type="dxa"/>
            <w:left w:w="108" w:type="dxa"/>
            <w:bottom w:w="0" w:type="dxa"/>
            <w:right w:w="108" w:type="dxa"/>
          </w:tblCellMar>
        </w:tblPrEx>
        <w:trPr>
          <w:trHeight w:val="9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CC攻击防护，支持通过访问频率来识别并限制异常访问行为，限制对象包括但不限于IP、Session和用户指纹，限制条件包括但不限于全局访问、指定url路径、时间窗口和访问次数，限制方式包括但不限于有限时间黑名单、无限时间黑名单、有限时间内访问次数限制。支持针对不同的CC规则配置不同拦截状态码和拦截页面，当状态码为3xx时支持设置重定向地址；</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7.支持检测模块加白功能，能够自定义用户IP、Session、UA、响应内容等不少于30项特征，对任意域名进行任意检测模块Bypass；</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8.具备0day漏洞防护能力，能够自动检测攻击特征，实现告警和拦截，需提供实际防护案例说明及原理说明；</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9.支持访问控制功能，可按照国家、省进行地址访问限制，防止区域性攻击对Web网站造成影响；支持对Cookie进行签名和加密，可防护Cookie篡改和Cookie注入；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10.支持WAF能力原子化可编排，支持可视化显示WAF检测流程，可在流程中任意位置插入业务规则，可按照业务场景自动调整检测流程，满足业务差异化防护需求；</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11.支持误报消除功能，可在日志告警界面一键添加例外白名单，自动在后续检测中消除同类型误报，避免人为输入错误；</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12.支持一键拉黑功能，可在日志告警界面对访问源如：IP、Session等拉入黑名单，系统将后续自动阻断或限制访问源访问</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13.支持一键生成并可导出WAF管理平台安全基线检查报告，动态检查WAF管理平台的安全合规性，检查内容至少应包含：密码强度、会话超时、账号锁定、口令存储方式等，保证WAF管理平台自身满足合规要求</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 xml:space="preserve">14.产品为非OEM产品。 </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20</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网页防篡改</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纯软件，具备网页防篡改、网站漏洞防护 CC攻击防护 网站访问控制 网站后门查杀、服务器性能监控，中心可存储安全日志并支持报表查看及导出。</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支持各类网页文件的保护，包括静态和动态网页以及各类文件信息；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支持对指定文件夹以及子文件夹的保护，避免上传非法文件及木马等恶意文件或插入恶意代码。</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支持一键启停所有对监控端的保护。</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防篡改客户端具备防卸载密码。</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支持基于目录、进程、IP、用户、时间等进行设置篡改加白规则。</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pPr>
          </w:p>
        </w:tc>
        <w:tc>
          <w:tcPr>
            <w:tcW w:w="515" w:type="pct"/>
            <w:vMerge/>
            <w:tcBorders>
              <w:top w:val="nil"/>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实时防护网站常见的SQL注入攻击、XSS跨站攻击、Web容器及应用漏洞攻击。</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智能检测并防御CC攻击，保证网站正常服务能力。</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支持多种压缩包、自解压包、符合文档、媒体文件、加密脚本、电子邮件、邮箱文件、可提取文档中嵌入的其它资源的病毒查杀</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支持展示Web服务器的系统信息、监听端口、运行进程、账号（包括隐藏账号）等信息。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支持多种日志级别，日志导出。</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具备网马专用引擎，根据特征查杀网站木马，并支持自定义设置扫描所占用的系统资源。</w:t>
            </w:r>
          </w:p>
        </w:tc>
      </w:tr>
      <w:tr>
        <w:tblPrEx>
          <w:tblW w:w="5000" w:type="pct"/>
          <w:tblInd w:w="0" w:type="dxa"/>
          <w:tblCellMar>
            <w:top w:w="0" w:type="dxa"/>
            <w:left w:w="108" w:type="dxa"/>
            <w:bottom w:w="0" w:type="dxa"/>
            <w:right w:w="108" w:type="dxa"/>
          </w:tblCellMar>
        </w:tblPrEx>
        <w:trPr>
          <w:trHeight w:val="427"/>
        </w:trPr>
        <w:tc>
          <w:tcPr>
            <w:tcW w:w="256" w:type="pct"/>
            <w:vMerge/>
            <w:tcBorders>
              <w:left w:val="single" w:sz="4" w:space="0" w:color="auto"/>
              <w:bottom w:val="single" w:sz="4" w:space="0" w:color="auto"/>
              <w:right w:val="single" w:sz="4" w:space="0" w:color="auto"/>
            </w:tcBorders>
            <w:noWrap w:val="0"/>
            <w:vAlign w:val="center"/>
          </w:tcPr>
          <w:p>
            <w:pPr>
              <w:widowControl/>
            </w:pPr>
          </w:p>
        </w:tc>
        <w:tc>
          <w:tcPr>
            <w:tcW w:w="515" w:type="pct"/>
            <w:vMerge/>
            <w:tcBorders>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通过配置IP或页面路径，对特定的访问者或页面进行放行或拦截。</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支持邮件、Syslog、短信、SNMPTrap、平台告警多种告警方式。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具备网页静态数据监测、脚本动态数据监测、网页目录监测、网页静态数据恢复、脚本动态数据恢复及网页目录恢复能力。</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21</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蜜罐</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1、2U机架式，内存≥64G，电源：1+1冗余电源，硬盘≥2T，网口：千兆电口≥4，千兆光口≥4，万兆光口≥4，千兆多模光模块≥4个，万兆多模光模块≥4个。</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支持Windows、Linux类操作系统蜜罐，提供不低于6种蜜罐，包括但不限于：Centos7、Suse12sp2、Suse12sp3、Windows7、Windows10、WindowsServer2008等。</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在线制作反制型蜜饵，对反制对象进行上传下载文件等操作。支持攻击者溯源，能够对攻击者打标签，且展示其基础信息、社交账号、硬件指纹、系统指纹、浏览器账号、攻击工具、反制监控、所有攻击事件等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支持通过配置的钓鱼邮件策略，模拟常见的欺骗方法。</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具有高交互蜜罐技术。</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提供自定义拓扑能力，支持用户自由拖动内置组件（如蜜罐、转发节点、流量黑洞等）构建真实网络架构。</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支持浏览器信息溯源，可获取浏览器中记录的网站URL、账号，浏览器类型至少支持Chrome、Firefox、Edge等。</w:t>
            </w:r>
          </w:p>
        </w:tc>
      </w:tr>
      <w:tr>
        <w:tblPrEx>
          <w:tblW w:w="5000" w:type="pct"/>
          <w:tblInd w:w="0" w:type="dxa"/>
          <w:tblCellMar>
            <w:top w:w="0" w:type="dxa"/>
            <w:left w:w="108" w:type="dxa"/>
            <w:bottom w:w="0" w:type="dxa"/>
            <w:right w:w="108" w:type="dxa"/>
          </w:tblCellMar>
        </w:tblPrEx>
        <w:trPr>
          <w:trHeight w:val="57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 支持与业务外网出口防火墙进行联动，能够进行攻击阻断。</w:t>
            </w:r>
          </w:p>
        </w:tc>
      </w:tr>
      <w:tr>
        <w:tblPrEx>
          <w:tblW w:w="5000" w:type="pct"/>
          <w:tblInd w:w="0" w:type="dxa"/>
          <w:tblCellMar>
            <w:top w:w="0" w:type="dxa"/>
            <w:left w:w="108" w:type="dxa"/>
            <w:bottom w:w="0" w:type="dxa"/>
            <w:right w:w="108" w:type="dxa"/>
          </w:tblCellMar>
        </w:tblPrEx>
        <w:trPr>
          <w:trHeight w:val="57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 支持检测WEB攻击、恶意文件攻击、远程控制、WEB后门访问、DGA域名请求、SMB远程溢出攻击、拒绝服务攻击、隧道通信、挖矿、恶意工具利用等行为。</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 支持攻击者手机号识别，可通过蜜罐直接溯源到攻击者手机号码，至少支持移动、电信、联通三大运营商。</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 支持配置IP、文件、进程等白名单，降低误报。</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22</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网络吞吐性能≥30 Gbps，具备国产芯片和国产操作系统，2U机架式，内存≥32 GB，硬盘≥2T，电源规格：1+1冗余电源，网络接口：千兆电口≥16个，千兆光口≥16个，万兆光口≥8个，万兆多模光模块≥6个，接口扩展槽≥4个。</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支持路由模式、交换模式、旁路模式等部署模式，部署模式切换无需重启设备。</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支持双机热备，支持主备模式和主主模式。支持同步配置、运行状态等。支持配置抢占模式。</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支持对控制策略进行策略分析，分析结果中存在冲突策略和合并策略。</w:t>
            </w:r>
          </w:p>
        </w:tc>
      </w:tr>
      <w:tr>
        <w:tblPrEx>
          <w:tblW w:w="5000" w:type="pct"/>
          <w:tblInd w:w="0" w:type="dxa"/>
          <w:tblCellMar>
            <w:top w:w="0" w:type="dxa"/>
            <w:left w:w="108" w:type="dxa"/>
            <w:bottom w:w="0" w:type="dxa"/>
            <w:right w:w="108" w:type="dxa"/>
          </w:tblCellMar>
        </w:tblPrEx>
        <w:trPr>
          <w:trHeight w:val="427"/>
        </w:trPr>
        <w:tc>
          <w:tcPr>
            <w:tcW w:w="256" w:type="pct"/>
            <w:vMerge/>
            <w:tcBorders>
              <w:left w:val="single" w:sz="4" w:space="0" w:color="auto"/>
              <w:bottom w:val="single" w:sz="4" w:space="0" w:color="auto"/>
              <w:right w:val="single" w:sz="4" w:space="0" w:color="auto"/>
            </w:tcBorders>
            <w:noWrap w:val="0"/>
            <w:vAlign w:val="center"/>
          </w:tcPr>
          <w:p>
            <w:pPr>
              <w:widowControl/>
            </w:pPr>
          </w:p>
        </w:tc>
        <w:tc>
          <w:tcPr>
            <w:tcW w:w="515" w:type="pct"/>
            <w:vMerge/>
            <w:tcBorders>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支持IPv4/IPv6双栈协议的源地址转换、目的地址转换、双向NAT、NAT64等地址转换。</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支持端口镜像功能；支持入流量、出流量和双向流量等维度镜像</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流量转发至少支持普通模式和智能模式。普通模式下，所有报文均上送安全引擎；智能模式下，超过上限的报文不再上送安全引擎。8. 支持识别多种主流应用，支持应用自定义并对自定义的应用进行分组。</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支持邮件内容过滤；支持基于发件人、收件人、邮件标题或邮件正文的关键字进行行为过滤。</w:t>
            </w:r>
          </w:p>
        </w:tc>
      </w:tr>
      <w:tr>
        <w:tblPrEx>
          <w:tblW w:w="5000" w:type="pct"/>
          <w:tblInd w:w="0" w:type="dxa"/>
          <w:tblCellMar>
            <w:top w:w="0" w:type="dxa"/>
            <w:left w:w="108" w:type="dxa"/>
            <w:bottom w:w="0" w:type="dxa"/>
            <w:right w:w="108" w:type="dxa"/>
          </w:tblCellMar>
        </w:tblPrEx>
        <w:trPr>
          <w:trHeight w:val="713"/>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根据自定义漏洞模板扫描漏洞，扫描结果处存在扫描靶机上的漏洞信息，包括名称、CVE-ID、CNNVD-ID等信息，并在漏洞列表处记录扫描到的漏洞信息，信息与扫描结果一致。同时，可查看漏洞的具体信息和修复建议。</w:t>
            </w:r>
          </w:p>
        </w:tc>
      </w:tr>
      <w:tr>
        <w:tblPrEx>
          <w:tblW w:w="5000" w:type="pct"/>
          <w:tblInd w:w="0" w:type="dxa"/>
          <w:tblCellMar>
            <w:top w:w="0" w:type="dxa"/>
            <w:left w:w="108" w:type="dxa"/>
            <w:bottom w:w="0" w:type="dxa"/>
            <w:right w:w="108" w:type="dxa"/>
          </w:tblCellMar>
        </w:tblPrEx>
        <w:trPr>
          <w:trHeight w:val="713"/>
        </w:trPr>
        <w:tc>
          <w:tcPr>
            <w:tcW w:w="256" w:type="pct"/>
            <w:vMerge/>
            <w:tcBorders>
              <w:left w:val="single" w:sz="4" w:space="0" w:color="auto"/>
              <w:bottom w:val="single" w:sz="4" w:space="0" w:color="auto"/>
              <w:right w:val="single" w:sz="4" w:space="0" w:color="auto"/>
            </w:tcBorders>
            <w:noWrap w:val="0"/>
            <w:vAlign w:val="center"/>
          </w:tcPr>
          <w:p>
            <w:pPr>
              <w:widowControl/>
            </w:pPr>
          </w:p>
        </w:tc>
        <w:tc>
          <w:tcPr>
            <w:tcW w:w="515" w:type="pct"/>
            <w:vMerge/>
            <w:tcBorders>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支持Telnet、FTP、SMTP、HTTP等协议的弱密码防护。</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支持暴力破解侦查和访问控制，并支持用户根据实际场景修改频率阈值。</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支持基于源IP地址、目的IP地址、端口、协议等的黑名单配置，支持自定义黑名单生效时间。</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▲14.支持管理员开启双因子认证，至少支持密码和手机APP令牌的双因子认证。（</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支持手动和自定义周期系统配置自动备份。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Web管理界面支持Ping、Traceroute、HTTP(S)诊断工具，可支持基于接口、协议、IP地址等进行网络抓包。</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23</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态势感知探针</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1.≥2U标准机架式，双电源，千兆电口≥6个，万兆光口≥2个；网络层吞吐量≥3Gbps，应用层吞吐量≥1Gbps。</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命令注入检测、PHP代码检测、XSS攻击检测、Webshell上传检测、SQL注入检测、XXE攻击检测、JAVA代码检测、SQL非注入型检测、MYSQL解析增强、php反序列化检测等自定义配置启用，针对命令注入检测、SQL注入检测等类型支持自定义高检出、低误报模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3.具备流量协议内容深度还原，包括http、dns、smb、ftp、smtp、pop3、imap、tls、tftp、ikev2、krb5、ssh等协议。</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违规访问检测。提供设置白名单和黑名单，监理针对性的业务和应用访问逻辑规则。策略从上到下进行匹配，可以通过右侧置顶功能对策略优先级进行调节。支持定义IP组、服务、端口、访问时间等访问策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5.支持SQL注入、XSS攻击、网页木马、网站扫描、WEBSHELL、跨站请求伪造、系统命令注入、文件包含攻击、目录遍历攻击、信息泄露攻击、Web整站系统漏洞、自定义WAF规则、WAF云防护等网站攻击检测</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流量威胁深度检测能力，联动分析平台支持异常会话检测、web攻击检测、挖矿行为检测、僵木蠕检测、webshell文件检测、异常文件检测、漏洞利用检测、DOS攻击检测、扫描行为检测、配置风险检测、异常登录检测、横向移动检测、违规访问检测等13大类、超过4万条威胁检测规则。</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7.具备网络入侵攻击报文检测引擎，触发告警，记录入侵攻击事件，记录：事件名称、来源IP、来源端口、 目的IP、目的端口、原始流ID、攻击报文、传输协议、应用协议、原始内容等。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▲8.支持违规访问检测，支持基于IP、IP组、服务、端口、访问时间等定义访问策略。支持服务器漏洞检测功能。（</w:t>
            </w:r>
            <w:r>
              <w:rPr>
                <w:rFonts w:ascii="宋体" w:hAnsi="宋体" w:cs="宋体" w:hint="eastAsia"/>
                <w:b/>
                <w:bCs/>
                <w:color w:val="0000FF"/>
                <w:kern w:val="0"/>
                <w:sz w:val="22"/>
                <w:szCs w:val="22"/>
              </w:rPr>
              <w:t>投标时同时提供：①由第三方检验检测机构出具并加盖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9.审计白名单支持源目IP、源目端口和日志类型、日志来源。</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24</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日志审计系统</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授权资产数≥1000个，2U机架式，具备国产芯片和国产操作系统，内存≥64G，硬盘≥6T*8 （raid5），网口：千兆电口≥4个，万兆光口≥2个，万兆多模光模块≥2个。</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支持Syslog、SNMP Trap、HTTP、ODBC/JDBC、WMI、FTP、SFTP协议日志收集，支持目前主流的网络安全设备、交换设备、路由设备、操作系统、应用系统等。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支持使用代理（Agent）方式提取日志并收集，安装包支持界面下载，且安装支持可视化向导。</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支持对Agent进行统一管控，包括卸载、升级、启动及停止操作，支持将日志收集策略统一分发。</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▲5.支持将插件安装在目标主机上对主机的CPU利用率、内存使用率、磁盘使用率、磁盘使用情况、流量等信息进行转发，在产品监控界面中即可查看目标主机的监控信息。（</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支持对收集到的重复日志进行自动聚合归并，减少日志量，并可由用户定义和修改的日志聚合归并逻辑规则。</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注册用户资产时，提供自动发现识别能力。</w:t>
            </w:r>
          </w:p>
        </w:tc>
      </w:tr>
      <w:tr>
        <w:tblPrEx>
          <w:tblW w:w="5000" w:type="pct"/>
          <w:tblInd w:w="0" w:type="dxa"/>
          <w:tblCellMar>
            <w:top w:w="0" w:type="dxa"/>
            <w:left w:w="108" w:type="dxa"/>
            <w:bottom w:w="0" w:type="dxa"/>
            <w:right w:w="108" w:type="dxa"/>
          </w:tblCellMar>
        </w:tblPrEx>
        <w:trPr>
          <w:trHeight w:val="57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支持将安全事件通过资产、安全知识库、弱点库三个维度进行联动分析和匹配，将安全事件进行联动整合并生成安全事件日志。</w:t>
            </w:r>
          </w:p>
        </w:tc>
      </w:tr>
      <w:tr>
        <w:tblPrEx>
          <w:tblW w:w="5000" w:type="pct"/>
          <w:tblInd w:w="0" w:type="dxa"/>
          <w:tblCellMar>
            <w:top w:w="0" w:type="dxa"/>
            <w:left w:w="108" w:type="dxa"/>
            <w:bottom w:w="0" w:type="dxa"/>
            <w:right w:w="108" w:type="dxa"/>
          </w:tblCellMar>
        </w:tblPrEx>
        <w:trPr>
          <w:trHeight w:val="570"/>
        </w:trPr>
        <w:tc>
          <w:tcPr>
            <w:tcW w:w="256" w:type="pct"/>
            <w:vMerge/>
            <w:tcBorders>
              <w:top w:val="nil"/>
              <w:left w:val="single" w:sz="4" w:space="0" w:color="auto"/>
              <w:bottom w:val="single" w:sz="4" w:space="0" w:color="auto"/>
              <w:right w:val="single" w:sz="4" w:space="0" w:color="auto"/>
            </w:tcBorders>
            <w:noWrap w:val="0"/>
            <w:vAlign w:val="center"/>
          </w:tcPr>
          <w:p>
            <w:pPr>
              <w:widowControl/>
            </w:pPr>
          </w:p>
        </w:tc>
        <w:tc>
          <w:tcPr>
            <w:tcW w:w="515" w:type="pct"/>
            <w:vMerge/>
            <w:tcBorders>
              <w:top w:val="nil"/>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支持设置日志存储备份策略，包括系统日志保存期（天）、硬盘使用率百分比等策略。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支持日志备份自动传送到远程服务器，支持FTP、SAMBA、NFS等方式的远程服务器，并支持从远程服务器中恢复数据。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对日志数据进行SM3验签或者SM4加密操作。</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pPr>
          </w:p>
        </w:tc>
        <w:tc>
          <w:tcPr>
            <w:tcW w:w="515" w:type="pct"/>
            <w:vMerge/>
            <w:tcBorders>
              <w:top w:val="nil"/>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支持亿级的日志里根据任意的关键字及其它的检索条件，秒级返回查询结果。</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支持对日志进行SM4和AES加密转发，转发后的日志内容为密文，日志接收时，可以采用对应的解密策略进行解密。</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支持硬盘空间阈值告警，当硬盘使用率达到设定的阈值时可产生并外发告警。</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可以通过邮件、短信和屏幕显示进行告警。</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内置综合性审计报告，并支持用户自定义报表。</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 支持报表导出为PDF和Word格式文件。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 自定义的报表支持多个统计维度的数据集合。</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 采用解决方案包上传对产品进行功能扩展。</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25</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漏洞扫描系统</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1.≥2U标准机架式机箱，交流冗余电源，≥4T硬盘，≥4个千兆电口，≥4个千兆光口，≥1个可用扩展槽位，≥2个USB口，≥1个串口，默认提供1路扫描端口授权，无限扫描IP授权；</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2.允许最大并发扫描≥90个IP地址，允许最大并发任务≥15个任务，开启全插件漏洞扫描、弱口令探测和登陆扫描后扫描速度≥1000 ip/h；</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3.支持检测的漏洞数大于330000条，兼容CVE、CNCVE、CNNVD、CNVD等主流标准；</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4.支持的资产标记库数量大于27000条，覆盖操作系统、应用软件、硬件、中间件等资产；</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5.提供高级漏洞检索模板，支持将符合筛选条件的漏洞自动加入到自定义漏洞模板中，及后续插件升级包中的漏洞也可以自动加入到模板中；</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▲6.支持对C/C++/Python/Java/Php/go等语言的代码解析，语言的词法、语法分析。内置缺陷模板和缺陷规则，并支持自定义；</w:t>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7.支持对扫描出的漏洞提供取证性质的验证并输出报告，直观展示漏洞利用过程和危害性。支持漏洞验证扫描任务，包括系统漏洞验证扫描、Web漏洞验证扫描；</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8.具备单独口令猜测扫描任务，支持多种口令猜测方式，包括利用SMB、RDP、SSH、Telnet、SQL SERVER、MySQL 、Oracle、Sybase、DB2、MongoDB、Memcached、Redis 、PostgreSQL 、HighGo 、UXDB 、Kingbase 、STDB 、FTP、SFTP、ActiveMQ、POP3、Tomcat、SMTP、IMAP、Onvif、RTSP、 SNMP、SIP、Vmware ESXi、HTTP Digest、Weblogic、Elasticsearch、Websphere等协议进行口令猜测，允许外挂用户提供的用户名字典、密码字典和用户名密码组合字典；</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9.支持风险告警和风险闭环处理，可在集中告警平台灵活配置告警内容、告警方式、告警资产范围等，支持邮件和页面告警，支持单个或批量修改风险状态；</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10.支持自定义风险值计算标准配置，可对主机风险等级评定标准和网络风险等级评定标准进行自定义；</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系统内置多种扫描策略，包括快速扫描策略、全量自查策略、高精度监管策略、热点应急排查策略、攻防演练高位高频策略（系统）、攻防演练高位高频策略（web）、系统漏洞验证策略、web漏洞验证策略、云计算漏洞扫描策略、物联网漏洞扫描策略；</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12.后续可拓展授权支持基于Web页面的配置核查方式，通过Web访问方式可以对目标设备进行配置核查；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13.支持高级数据分析，可对同一IP的两次扫描结果进行风险对比分析，并可在线查看同一IP的多次历史扫描结果；</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26</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API风险监测预警系统</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1.总控软硬一体机,数量1台，硬件指标：CPU≥2*16核，内存≥8*16G，系统磁盘≥2*600G SAS，数据盘≥6*8 TB SATA，万兆网口≥4（含光模块），双电源。性能参数：吞吐量≥5Gbps，引擎授权≥5。</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2.引擎软硬一体机，数量3台，硬件指标：CPU≥2*16核，内存≥8*16G，系统磁盘≥2*600G SAS，数据盘≥2*4 TB SATA，万兆网口≥2（含光模块），双电源。性能参数：吞吐量≥5Gbps。</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3.所提供产品满足自主可控，至少兼容一款CPU和操作系统，具备兼容性认证证书。</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4.至少支持反向代理、旁路镜像、Agent模式对流量进行采集。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5.支持对应用、API自动识别为可视化资产信息，并能对资产进行添加、编辑、删除、查看详细、导入导出等管理。</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6.支持对文件、数据、应用账号等进行识别与管理。</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7.支持内置数据分类分级规则，支持内置多种数据识别策略，并支持可自定义扩展。</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8.支持API风险和弱点规则的新增、编辑、删除等管理。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9.自动识别和检测API风险和弱点，将API风险和弱点进行汇聚和展示，支持查看风险和弱点详情、触发记录明细，支持查看日志信息进行举证。</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10.支持对API风险和弱点事件进行处置，如加入黑名单、限制访问频率、对API下线等方式。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11.支持汇聚和展示采集到的API流量日志，对日志进行条件查询、导出、查看日志详细信息、请求和响应信息。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12.支持API安全报告自动生成与管理，可配置报告内容、统计范围等。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13.支持创建溯源任务，通过匹配输入的数据进行溯源分析，追溯数据泄露路径，定位数据泄露源头。</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14.支持SSL卸载、加密，将服务器上处理的SSL加解密工作进行卸载，业务服务器可以继续运行明文HTTP，而无需进行任何改造，同时向用户提供加密的HTTPS访问形式。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15.支持在不改变业务系统源代码前提下对敏感数据进行动态脱敏。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16.支持基于源IP、请求路径/头部/方法、查询参数、用户名等匹配条件进行访问控制。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17.支持对源IP、请求头部、用户名进行频率统计，可从不同维度进行请求的频率控制。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18.能根据不同负载算法策略，动态地将来访请求和流量分配到不同的服务器。</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19.支持查看整体API访问排行，按源IP区域统计API访问排行，支持指定API接口资产的来访区域排行、调用趋势图。</w:t>
            </w:r>
          </w:p>
        </w:tc>
      </w:tr>
      <w:tr>
        <w:tblPrEx>
          <w:tblW w:w="5000" w:type="pct"/>
          <w:tblInd w:w="0" w:type="dxa"/>
          <w:tblCellMar>
            <w:top w:w="0" w:type="dxa"/>
            <w:left w:w="108" w:type="dxa"/>
            <w:bottom w:w="0" w:type="dxa"/>
            <w:right w:w="108" w:type="dxa"/>
          </w:tblCellMar>
        </w:tblPrEx>
        <w:trPr>
          <w:trHeight w:val="9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20.支持通过API综合治理大屏全局展示API资产数，API访问趋势，API风险趋势，API风险态势，TOP风险分析，API弱点分析。</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21.支持从整体维度呈现全局分析信息：包括应用、API、数据、用户等资产信息，风险弱点分布、触发和处置情况。</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22.支持通过治理看板对安全治理结果进行呈现，查看对应治理场景的治理成效、日志、报告等。</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27</w:t>
            </w:r>
          </w:p>
        </w:tc>
        <w:tc>
          <w:tcPr>
            <w:tcW w:w="515" w:type="pct"/>
            <w:vMerge w:val="restart"/>
            <w:tcBorders>
              <w:top w:val="nil"/>
              <w:left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 xml:space="preserve">APT威胁检测 </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吞吐量≥10G，2U机架式，内存≥128GB，硬盘≥4T，电源为1+1冗余电源，千兆电口≥4，千兆光口≥4，万兆光口≥2，千兆多模光模块≥4个，万兆多模光模块≥2个。</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支持双向流量审计，可对请求和响应内容进行审计。</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支持多层 VLAN、VXLAN、MPLS、GRE等网络流量的解析检测。</w:t>
            </w:r>
          </w:p>
        </w:tc>
      </w:tr>
      <w:tr>
        <w:tblPrEx>
          <w:tblW w:w="5000" w:type="pct"/>
          <w:tblInd w:w="0" w:type="dxa"/>
          <w:tblCellMar>
            <w:top w:w="0" w:type="dxa"/>
            <w:left w:w="108" w:type="dxa"/>
            <w:bottom w:w="0" w:type="dxa"/>
            <w:right w:w="108" w:type="dxa"/>
          </w:tblCellMar>
        </w:tblPrEx>
        <w:trPr>
          <w:trHeight w:val="570"/>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numPr>
                <w:ilvl w:val="0"/>
                <w:numId w:val="8"/>
              </w:numPr>
              <w:rPr>
                <w:rFonts w:ascii="宋体" w:hAnsi="宋体" w:cs="宋体" w:hint="eastAsia"/>
                <w:kern w:val="0"/>
                <w:sz w:val="22"/>
                <w:szCs w:val="22"/>
              </w:rPr>
            </w:pPr>
            <w:r>
              <w:rPr>
                <w:rFonts w:ascii="宋体" w:hAnsi="宋体" w:cs="宋体" w:hint="eastAsia"/>
                <w:kern w:val="0"/>
                <w:sz w:val="22"/>
                <w:szCs w:val="22"/>
              </w:rPr>
              <w:t>支持告警抑制功能，在重复攻击手段下能够减少相 同告警数量，提高用户分析效率，可自行设置告警抑制周期、告警上限、抑制阈值、持续时间、启用维度。</w:t>
            </w:r>
          </w:p>
        </w:tc>
      </w:tr>
      <w:tr>
        <w:tblPrEx>
          <w:tblW w:w="5000" w:type="pct"/>
          <w:tblInd w:w="0" w:type="dxa"/>
          <w:tblCellMar>
            <w:top w:w="0" w:type="dxa"/>
            <w:left w:w="108" w:type="dxa"/>
            <w:bottom w:w="0" w:type="dxa"/>
            <w:right w:w="108" w:type="dxa"/>
          </w:tblCellMar>
        </w:tblPrEx>
        <w:trPr>
          <w:trHeight w:val="570"/>
        </w:trPr>
        <w:tc>
          <w:tcPr>
            <w:tcW w:w="256" w:type="pct"/>
            <w:vMerge/>
            <w:tcBorders>
              <w:left w:val="single" w:sz="4" w:space="0" w:color="auto"/>
              <w:right w:val="single" w:sz="4" w:space="0" w:color="auto"/>
            </w:tcBorders>
            <w:noWrap w:val="0"/>
            <w:vAlign w:val="center"/>
          </w:tcPr>
          <w:p>
            <w:pPr>
              <w:widowControl/>
            </w:pPr>
          </w:p>
        </w:tc>
        <w:tc>
          <w:tcPr>
            <w:tcW w:w="515" w:type="pct"/>
            <w:vMerge/>
            <w:tcBorders>
              <w:left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支持对流量中的IP地址、端口等进行统计，快速识别未登记资产。</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支持基于HTTP/HTTPS协议进行规则分析检测、基于特征规则匹配的方式识别应用，可对VPN、社交、网盘云服务、视频等近30类应用进行识别。</w:t>
            </w:r>
          </w:p>
        </w:tc>
      </w:tr>
      <w:tr>
        <w:tblPrEx>
          <w:tblW w:w="5000" w:type="pct"/>
          <w:tblInd w:w="0" w:type="dxa"/>
          <w:tblCellMar>
            <w:top w:w="0" w:type="dxa"/>
            <w:left w:w="108" w:type="dxa"/>
            <w:bottom w:w="0" w:type="dxa"/>
            <w:right w:w="108" w:type="dxa"/>
          </w:tblCellMar>
        </w:tblPrEx>
        <w:trPr>
          <w:trHeight w:val="864"/>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支持30个以上的深度检测模块，对流量进行二次分析。</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支持检测WEB攻击、异常访问、恶意文件攻击、可疑流量、远程控制、WEB后门访问、DGA域名请求、弱口令、拒绝服务攻击、隧道通信等风险类型。</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支持对邮件头欺骗、邮件发件人欺骗、邮件钓鱼、邮件恶意链接的检测内容。支持提取邮件正文中密码。</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支持自定义弱口令规则配置（最短口令长度、最少字符类型数），自定义新增弱密码及其检测类型。</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支持自定义启用/禁用暴力破解模型，自定义配置模型统计时间范围、登录次数、聚合维度、用户名检测机制等参数。</w:t>
            </w:r>
          </w:p>
        </w:tc>
      </w:tr>
      <w:tr>
        <w:tblPrEx>
          <w:tblW w:w="5000" w:type="pct"/>
          <w:tblInd w:w="0" w:type="dxa"/>
          <w:tblCellMar>
            <w:top w:w="0" w:type="dxa"/>
            <w:left w:w="108" w:type="dxa"/>
            <w:bottom w:w="0" w:type="dxa"/>
            <w:right w:w="108" w:type="dxa"/>
          </w:tblCellMar>
        </w:tblPrEx>
        <w:trPr>
          <w:trHeight w:val="1152"/>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▲12.支持大屏展示网络攻击态势，包括攻击地图、 紧急事件数/总数、恶意文件数/扫描总数、风险趋 势(高、中、低风险)、流量分析(吞吐量、HTTP流量、DNS流量)、高危风险类别排名、攻击源 区域排名、紧急事件/高危事件，并支持全球地图、中国地图切换展示。（</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支持自定义HTTP登录行为关键字，包括用户名和密码。</w:t>
            </w:r>
          </w:p>
        </w:tc>
      </w:tr>
      <w:tr>
        <w:tblPrEx>
          <w:tblW w:w="5000" w:type="pct"/>
          <w:tblInd w:w="0" w:type="dxa"/>
          <w:tblCellMar>
            <w:top w:w="0" w:type="dxa"/>
            <w:left w:w="108" w:type="dxa"/>
            <w:bottom w:w="0" w:type="dxa"/>
            <w:right w:w="108" w:type="dxa"/>
          </w:tblCellMar>
        </w:tblPrEx>
        <w:trPr>
          <w:trHeight w:val="75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支持自定义启用/禁用扫描行为模型，自定义配置模型统计周期、访问IP、告警等级等参数。</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支持自定义启用/禁用拒绝服务攻击模型，自定义配置模型统计周期、单包长度阈值、统计周期内包数量阈值等参数。</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风险查询支持一键切换运营模式和专业模式，满足不同场景的研判需求。</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 支持风险数据包保存功能，可存留会话的请求和相应数据包，帮助用户还原攻击过程，进行取证和关联分析；并支持系统内置工具一键在线预览风险数据包。</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 支持文件白名单、域名白名单、IP白名单、URL白名单、IDS规则白名单、WEB特征白名单、发件人邮箱白名单、发件人域名白名单的配置。</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 从脆弱性角度，详细展示资产存在的弱口令、密码明文形式传输风险，支持导出服务器IP、首次发生时间、最近发生时间等信息。</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 支持KAFKA、短信、邮件、syslog、ftp、sftp、钉钉、企业微信等数据外送方式。</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28</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 xml:space="preserve">沙箱分析系统 </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1、≤2U标准上架设备，4*10GE光口（配置4个万兆多模光模块），≥4*GE电口，≥960G SSD+4TB SATA存储硬盘，冗余电源。含系统软件一套。</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▲2、支持对移动应用文件apk等进行检测分析；支持对压缩文件（zip、rar、7z、gz、tar、tgz、cab、iso、rpm、deb等）进行检测；支持对linux文件（shell、elf）进行检测。（</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3、支持对执行文件（pe、pe32、pe64、msi、class、elf等）进行检测分析；支持对脚本类文件（txt、php、html;js;css等）进行检测分析</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4、支持对多媒体文件（bmp;jpeg;gif;png;tiff;mp3;flv等）进行检测分析；</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5、支持office内嵌的宏、OLE对象，PDF内嵌的JavaScript、附件，JPG等图片内嵌的PE对象提取；</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6、支持对文档类文件(doc、xls、ppt、pdf、docx、xlsx、pptx、rtf、wps等)进行检测分析；</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▲7、支持提取样本的文件结构信息，包括PE、Office、PDF、LNK 等类型样本的结构信息，支持提取恶意样本的家族、版本、开发语言、操作系统、发件人、收件人、邮件名等字段信息；（</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多种静态属性分析功能，包括提取文件图标、检测样本是否内嵌PE文件、是否包含宏代码、是否含有shellcode、是否有密码保护、是否有URL链接等；支持云查杀引擎，云端样本库大规模覆盖文件，快速返回判定结果，节省分析资源；</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内置yara规则不低于16000+，涵盖后门程序、电脑病毒、窃密木马、特洛伊木马、恶意广告、黑市工具、间谍软件、恶意脚本、勒索软件、网络蠕虫、键盘记录等规则类型；支持ATT&amp;CK攻击矩阵信息检测；支持灵活设置动态检测策略，包含全过动态、全不过动态和基于策略选择、基于选定文档类型、静态风险系数等策略配置。</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29</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日志审计系统</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授权资产数≥1000个，2U机架式，具备国产芯片和国产操作系统，内存≥64G，硬盘≥6T*8 （raid5），网口：千兆电口≥4个，万兆光口≥2个，万兆多模光模块≥2个。</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支持Syslog、SNMP Trap、HTTP、ODBC/JDBC、WMI、FTP、SFTP协议日志收集，支持目前主流的网络安全设备、交换设备、路由设备、操作系统、应用系统等。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支持使用代理（Agent）方式提取日志并收集，安装包支持界面下载，且安装支持可视化向导。</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支持对Agent进行统一管控，包括卸载、升级、启动及停止操作，支持将日志收集策略统一分发。</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支持将插件安装在目标主机上对主机的CPU利用率、内存使用率、磁盘使用率、磁盘使用情况、流量等信息进行转发，在产品监控界面中即可查看目标主机的监控信息。6. 支持对收集到的重复日志进行自动聚合归并，减少日志量，并可由用户定义和修改的日志聚合归并逻辑规则。</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注册用户资产时，提供自动发现识别能力。</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▲8.支持将安全事件通过资产、安全知识库、弱点库三个维度进行联动分析和匹配，将安全事件进行联动整合并生成安全事件日志。（</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支持设置日志存储备份策略，包括系统日志保存期（天）、硬盘使用率百分比等策略。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支持日志备份自动传送到远程服务器，支持FTP、SAMBA、NFS等方式的远程服务器，并支持从远程服务器中恢复数据。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对日志数据进行SM3验签或者SM4加密操作。</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pPr>
          </w:p>
        </w:tc>
        <w:tc>
          <w:tcPr>
            <w:tcW w:w="515" w:type="pct"/>
            <w:vMerge/>
            <w:tcBorders>
              <w:top w:val="nil"/>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支持亿级的日志里根据任意的关键字及其它的检索条件，秒级返回查询结果。</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支持对日志进行SM4和AES加密转发，转发后的日志内容为密文，日志接收时，可以采用对应的解密策略进行解密。</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pPr>
          </w:p>
        </w:tc>
        <w:tc>
          <w:tcPr>
            <w:tcW w:w="515" w:type="pct"/>
            <w:vMerge/>
            <w:tcBorders>
              <w:top w:val="nil"/>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支持硬盘空间阈值告警，当硬盘使用率达到设定的阈值时可产生并外发告警。</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可以通过邮件、短信和屏幕显示进行告警。</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内置综合性审计报告，并支持用户自定义报表。</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 支持报表导出为PDF和Word格式文件。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 自定义的报表支持多个统计维度的数据集合。</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 采用解决方案包上传对产品进行功能扩展。</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30</w:t>
            </w:r>
          </w:p>
        </w:tc>
        <w:tc>
          <w:tcPr>
            <w:tcW w:w="515" w:type="pct"/>
            <w:vMerge w:val="restart"/>
            <w:tcBorders>
              <w:top w:val="nil"/>
              <w:left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堡垒机</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授权资产数≥1000个，并发字符连接最大数≥1000个，并发图形连接最大数≥300个，2U机架式，内存≥16GB，硬盘≥4T*2（raid1），电源为1+1冗余电源，网络接口：千兆业务电口≥4，千兆业务光口≥4，千兆多模光模块≥2个。</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支持常用的运维协议：SSH、TELNET、RDP、VNC、FTP、SFTP、rlogin、X11。可通过应用发布的方式进行协议扩展，如数据库Oracle、MSSQL、MySQL、VMware vSphere Client、浏览器等客户端工具。</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▲3.具备违规操作阻断、访问控制、审计日志管理和会话回放的能力。（</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支持录像慢速/快速回放，支持记录起止时间、来源用户、来源IP、目标设备、协议/应用类型、命令记录、操作内容（如对文件的上传、下载、删除、修改等操作等）等。</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支持UOS /麒麟等操作系统下C/S架构的堡垒机专用客户端登录堡垒机并进行管理及运维操作。</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支持对重要命令进行审核，运维人员执行命令后，需等到管理员审批通过后才可执行成功。</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支持自动收集设备IP、运维协议、端口号、账号、密码、与用户的权限关系，可自动完成授权。</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支持数据库自动改密功能，包括POSTGRESQL、GBASE8S、ORACLE、MYSQL、SQL SERVER、DM（达梦）等。</w:t>
            </w:r>
          </w:p>
        </w:tc>
      </w:tr>
      <w:tr>
        <w:tblPrEx>
          <w:tblW w:w="5000" w:type="pct"/>
          <w:tblInd w:w="0" w:type="dxa"/>
          <w:tblCellMar>
            <w:top w:w="0" w:type="dxa"/>
            <w:left w:w="108" w:type="dxa"/>
            <w:bottom w:w="0" w:type="dxa"/>
            <w:right w:w="108" w:type="dxa"/>
          </w:tblCellMar>
        </w:tblPrEx>
        <w:trPr>
          <w:trHeight w:val="864"/>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具备任务编排，对目标资产进行手动执行或定时执行的方式。动作流可包括：上传文件、执行命令、下载文件等。</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支持ssh、telnet、rlogin、rdp、vnc、ftp、sftp、x11协议的H5运维，无需本地运维客户端工具。</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支持对数据库运维会话的上行和下行命令（即SQL语句与执行结果信息）进行审计。</w:t>
            </w:r>
          </w:p>
        </w:tc>
      </w:tr>
      <w:tr>
        <w:tblPrEx>
          <w:tblW w:w="5000" w:type="pct"/>
          <w:tblInd w:w="0" w:type="dxa"/>
          <w:tblCellMar>
            <w:top w:w="0" w:type="dxa"/>
            <w:left w:w="108" w:type="dxa"/>
            <w:bottom w:w="0" w:type="dxa"/>
            <w:right w:w="108" w:type="dxa"/>
          </w:tblCellMar>
        </w:tblPrEx>
        <w:trPr>
          <w:trHeight w:val="576"/>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支持标准化对接CAS、JWT、SAML2、OAuth2单点登录认证，且支持配置是否自动创建堡垒机中不存在用户。</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支持录像慢速/快速回放，支持记录起止时间。</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根据运维人员生成各种维度的分析报表，支持PDF、DOC、HTML格式导出。</w:t>
            </w:r>
          </w:p>
        </w:tc>
      </w:tr>
      <w:tr>
        <w:tblPrEx>
          <w:tblW w:w="5000" w:type="pct"/>
          <w:tblInd w:w="0" w:type="dxa"/>
          <w:tblCellMar>
            <w:top w:w="0" w:type="dxa"/>
            <w:left w:w="108" w:type="dxa"/>
            <w:bottom w:w="0" w:type="dxa"/>
            <w:right w:w="108" w:type="dxa"/>
          </w:tblCellMar>
        </w:tblPrEx>
        <w:trPr>
          <w:trHeight w:val="288"/>
        </w:trPr>
        <w:tc>
          <w:tcPr>
            <w:tcW w:w="256"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支持运维报表自动定期发送，提供一键导出符合等级保护等要求的综合分析报告。</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31</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服务器安全管理系统</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支持统一运维管理、提供66颗物理CPU授权授权，包括包资产梳理、入侵检测、防病毒、漏洞扫描、微隔离、IPS(虚拟补丁）功能共6个模块。支持主流化环境：飞腾、华为鲲鹏、海光、兆芯、统信、麒麟等。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2支持与中创中间件兼容，同时支持与瀚高、优炫、达梦数据库兼容。</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统一运维管理:可实现对客户端的统一运维管理、安全策略维护及全网安全日志分析、消息中心、手机令牌、安全大屏、报表中心等。支持主机安全:提供防火墙、端口白名单、外连白名单功能，支持对端口进行白名单学习与控制，以及对外连进程的监控与控制，对服务器的入流量和出流量的访问控制进行告警能力。</w:t>
            </w:r>
          </w:p>
        </w:tc>
      </w:tr>
      <w:tr>
        <w:tblPrEx>
          <w:tblW w:w="5000" w:type="pct"/>
          <w:tblInd w:w="0" w:type="dxa"/>
          <w:tblCellMar>
            <w:top w:w="0" w:type="dxa"/>
            <w:left w:w="108" w:type="dxa"/>
            <w:bottom w:w="0" w:type="dxa"/>
            <w:right w:w="108" w:type="dxa"/>
          </w:tblCellMar>
        </w:tblPrEx>
        <w:trPr>
          <w:trHeight w:val="30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风险识别:通过风险扫描功能对服务器的后门、漏洞，弱口令等风险进行检测，发现服务器上的风险异常。并通过风险管理功能，进行统一查询，筛选及处置。能够定时为用户提供风险报告输出。支持威胁监测:以图形化的形式统计并展示服务器的可疑威胁及告警信息，包括:可疑威胁事件统计、可疑威胁分布、可疑威胁趋势，以及具体的威胁事件列表，可对主机中的各类威胁进行实时监测及处置能力。</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溯源分析:采用行为关联分析方法将访问行为过程中所产生的日志进行综合分析比对，将入侵行为分别以探测、攻击、控制、其他等阶段，并以安全事件的方式发出告警，实时监控记录恶意攻击发生的路径及关键点，利用监控所获取的数据，分析事件完整过程，找出根本原因。</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支持应用安全防护:以多种检测方式(内核监控、沙箱、内存 Webshell等)检测webshell攻击;查看发起连接详情，包括基本信息、连接进程信息、命令行信息，并以图形化的形式展示进程树信息，用于详细溯源。</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微隔离功能，支持端口白名单，记录端口暴露详情包括暴露类型、目标IP、源IP、IP归属、威胁情报、首次暴露时间、最近暴露时间等；支持主机防火墙，可针对服务器定制策略，支持对服务器进行一键隔离，应急场景下快速处置服务器网络连接行为。</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风险发现、风险分析，支持统计总风险及各类风险数量。通过各类图表展示安全评分趋势、风险项等级分布、易受攻击服务器Top5/Top10、风险项趋势、危急风险项Top5/Top10、分组安全评分、分组风险项分布、风险影响服务器趋势、漏洞风险项数量Top5/Top10、高危账号类型分布、口令风险应用排行、配置风险排行、软件漏洞修复趋势、弱口令修复趋势等相关统计信息，支持配置图表，可通过拖拽改变图表布局，支持查看和下载风险发现报告。</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勒索专项治理，针对勒索防御包括已处置勒索病毒、已修复漏洞数、已处置WebShell、已阻止暴力破解等进行详细统计，针对实时告警、勒索相关攻击趋势、漏洞检测、关键服务端口暴露、弱口令账户统计、勒索病毒与查杀、已查杀勒索病毒数排行、暴力破解攻击IP、Webshell防护、未授权访问、远程异常登录统计等统计展示。支持通过端口白名单、暴力破解防护、远程登录控制等进行外网暴露面收敛。</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系统加固，支持文件监控与防护、注册表监控与防护、操作系统加固和暴力破解等，支持驱动级文件监控，保护指定目录下的文件，可选择读取、链接、写入、重命名、创建、删除、执行等权限；支持对操作系统加固设置例外进程和文件；支持防护对外服务进程执行危险命令、非系统进程在系统目录下创建可执行文件、对外服务进程执行非正常扩展名可执行文件等。</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勒索实时防护，支持勒索专项防护包含勒索诱饵防护、系统还原点和卷影保护、内核免疫等，支持账户新增及密码窃取防护、临时目录执行敏感程序防护、高危应用传输可执行文件防护、缓冲区利用防护、敏感命令执行防护、计划任务防护、高危应用网络下载及外连防护、高危漏洞利用防护等勒索加固防护；支持勒索病毒应急处置，提供基于黑名单机制的全网病毒查杀，及失陷服务器快速隔离能力。支持对失陷服务器进行一键隔离，防止勒索病毒的横向移动和扩散。</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病毒实时防护功能，提供自主研发的病毒引擎，自主拥有维护云端病毒库，支持联网进行病毒查杀，可利用云端海量病毒库提升本地病毒检出能力。支持客户端直连、控制台代理客户端连接、客户端通过代理服务器连接三种方式联网向云端病毒库请求查询。</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产品具有安全软件自保护功能，防止被非授权用户强行卸载、删除或修改，同时能够防止攻击者非法窃取安全产品通信数据以及能够在进程异常结束后依然保持防护能力。支持检测并阻断攻击者对外服务进程下载可疑文件、攻击者利用对外服务进程非授权添加定时任务、攻击者利用web应用上传恶意文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14.要求提供服务器安全管理系统的测试报告，要求在静默状态下windows和linux上的agent 占用服务器CPU 单核使用率不超过5%，在进程异常结束之后依然保持防护能力。</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32</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终端安全管理系统</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1、配置2000点功能授权，包含病毒防护+补丁管理+主机防火墙+终端管控功能，统一配置下发，统一策略联动</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2、终端安全网络版控制中心，针对防病毒功能模块、安全登录功能模块、主机安全审计，支持与现有的终端与非终端统一管理。"</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▲3、产品全功能支持简体中文/繁体中体/英语自由切换。</w:t>
            </w:r>
            <w:bookmarkStart w:id="51" w:name="OLE_LINK5"/>
            <w:r>
              <w:rPr>
                <w:rFonts w:ascii="宋体" w:hAnsi="宋体" w:cs="宋体" w:hint="eastAsia"/>
                <w:b/>
                <w:bCs/>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bookmarkEnd w:id="51"/>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▲4、具备跟现网的威胁感知系统类设备接口对接，进行处置联动，处置对象包含攻击者IP和受害者IP,联动接口处置接口包含：终端隔离、取消隔离、全盘扫描。（</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5、具有IT产品信息安全产品认证证书。</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6、部署在终端，可执行终端防护、病毒查杀、日常运维等操作，为终端病毒防护提供可视化、可量化的参考依据。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7、日常运维：支持生成病毒查杀报告、处理病毒误报漏报、建立病毒查杀任务等。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8、支持对压缩包内的病毒扫描，支持多层压缩包的扫描，可自定义配置压缩包的扫描层数，至少大约10层模式下的扫描。支持不少于两个杀毒引擎混合使用。"</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终端探测：支持tcp、ping、域名解析三种外联探测方式，支持自定义探测地址，探测间隔，支持违规外联措施，包含断开网络、关机。支持补丁管理：产品具有定时修复漏洞模式，同时可以设置筛选高危漏洞、功能性补丁等修复类型。</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10、支持终端授权统计、违规外联、移动存储、补丁管理和桌面管控。</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按CVE编号查询漏洞，支持按补丁号查询漏洞，管理员可查看漏洞修复情况，未修复终端数、已修复终端数量，可以查看计算机名、IP地址、高危漏洞、可选的高危漏洞、其他及功能性补丁等情况。支持外设库管理，可统计终端外接的各种设备，包括厂商和设备类型、产品、数量、PID、VID和设备来源。支持对外设进行多维度的放行，包括设备名称、PID/VID、实例路径。+D449</w:t>
            </w:r>
          </w:p>
        </w:tc>
      </w:tr>
      <w:tr>
        <w:tblPrEx>
          <w:tblW w:w="5000" w:type="pct"/>
          <w:tblInd w:w="0" w:type="dxa"/>
          <w:tblCellMar>
            <w:top w:w="0" w:type="dxa"/>
            <w:left w:w="108" w:type="dxa"/>
            <w:bottom w:w="0" w:type="dxa"/>
            <w:right w:w="108" w:type="dxa"/>
          </w:tblCellMar>
        </w:tblPrEx>
        <w:trPr>
          <w:trHeight w:val="288"/>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33</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超融合配套AV+DPI软件授权</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1.超融合配套AV+DPI软件授权</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2.本次配置≥2个物理CPU授权，支持主流Windows、Linux、操作系统虚拟机无代理底层防病毒能力，支持无代理底层网络数据包检测功能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3.管理平台支持横向扩容，支持多节点集群化部署，保证系统高可用性。管理平台离线，客户端仍可进行安全防护</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4.支持主流Windows、Linux、操作系统虚拟机无代理底层防病毒能力，包括Windows、RedHat、CentOS、SUSE、Ubuntu、统信、银河麒麟等，不需要在虚拟机或虚拟桌面中部署安全防护代理，对虚拟机数量无限制</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无代理底层网络数据包检测，可以同时保护虚拟机操作系统以及服务应用（数据库，Web，DHCP等），提供虚拟补丁功能，在已知漏洞修复之前，提供对漏洞攻击的防护能力，屏蔽漏洞以免遭受无限制的入侵，不需要在虚拟机或虚拟桌面中部署安全防护代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6、支持虚拟化内核集成安全防护功能模块为虚拟机提供防护，安全防护功能模块只需在虚拟化环境底层安装，不需要在每台虚拟机上安装</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7.支持在业务虚拟机与安全防护管理中心网络不可达情况下对业务虚拟机进行安全防护、策略管理及日志告警</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▲8.支持虚拟机侧无需安装代理即可进行病毒防护，（</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9.分时段防护：支持分时段防护能力，根据不同时间段，执行不同的病毒防护策略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10.支持网络访问控制功能，自定义防火墙策略，支持IP、MAC地址、端口，支持协议：TCP、 UDP、 ARP、RARP、ICMP、ICMPv6 、IGMP、IDP等，支持IPv4、IPv6双栈协议</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11.支持网络入侵攻击的防护，包含支持防护SQL注入，Cookie 注入，命令注入，跨站脚本(XSS)，跨站请求伪造(CSRF)，WebShell攻击防护</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34</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虚拟桌面终端安全管理系统</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1.产品管理中心需支持部署在系统（x86/ARM）环境中，具备与龙芯架构、麒麟系统、统信系统等信创环境的兼容互认证书。</w:t>
            </w:r>
          </w:p>
        </w:tc>
      </w:tr>
      <w:tr>
        <w:tblPrEx>
          <w:tblW w:w="5000" w:type="pct"/>
          <w:tblInd w:w="0" w:type="dxa"/>
          <w:tblCellMar>
            <w:top w:w="0" w:type="dxa"/>
            <w:left w:w="108" w:type="dxa"/>
            <w:bottom w:w="0" w:type="dxa"/>
            <w:right w:w="108" w:type="dxa"/>
          </w:tblCellMar>
        </w:tblPrEx>
        <w:trPr>
          <w:trHeight w:val="259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2.server客户端部署的操作系统环境需适配包括且不限于：</w:t>
            </w:r>
            <w:r>
              <w:rPr>
                <w:rFonts w:ascii="宋体" w:hAnsi="宋体" w:cs="宋体" w:hint="eastAsia"/>
                <w:kern w:val="0"/>
                <w:sz w:val="22"/>
                <w:szCs w:val="22"/>
              </w:rPr>
              <w:br/>
            </w:r>
            <w:r>
              <w:rPr>
                <w:rFonts w:ascii="宋体" w:hAnsi="宋体" w:cs="宋体" w:hint="eastAsia"/>
                <w:kern w:val="0"/>
                <w:sz w:val="22"/>
                <w:szCs w:val="22"/>
              </w:rPr>
              <w:t>-UOS （版本 1020-1030）服务器版操作系统 x86_64/arm64</w:t>
            </w:r>
            <w:r>
              <w:rPr>
                <w:rFonts w:ascii="宋体" w:hAnsi="宋体" w:cs="宋体" w:hint="eastAsia"/>
                <w:kern w:val="0"/>
                <w:sz w:val="22"/>
                <w:szCs w:val="22"/>
              </w:rPr>
              <w:br/>
            </w:r>
            <w:r>
              <w:rPr>
                <w:rFonts w:ascii="宋体" w:hAnsi="宋体" w:cs="宋体" w:hint="eastAsia"/>
                <w:kern w:val="0"/>
                <w:sz w:val="22"/>
                <w:szCs w:val="22"/>
              </w:rPr>
              <w:t>-UOS 1020e/1050e 服务器版操作系统 x86_64/arm64</w:t>
            </w:r>
            <w:r>
              <w:rPr>
                <w:rFonts w:ascii="宋体" w:hAnsi="宋体" w:cs="宋体" w:hint="eastAsia"/>
                <w:kern w:val="0"/>
                <w:sz w:val="22"/>
                <w:szCs w:val="22"/>
              </w:rPr>
              <w:br/>
            </w:r>
            <w:r>
              <w:rPr>
                <w:rFonts w:ascii="宋体" w:hAnsi="宋体" w:cs="宋体" w:hint="eastAsia"/>
                <w:kern w:val="0"/>
                <w:sz w:val="22"/>
                <w:szCs w:val="22"/>
              </w:rPr>
              <w:t>-银河麒麟（ V10、 V10 SP1/SP2）服务器版操作系统 x86_64/arm64</w:t>
            </w:r>
            <w:r>
              <w:rPr>
                <w:rFonts w:ascii="宋体" w:hAnsi="宋体" w:cs="宋体" w:hint="eastAsia"/>
                <w:kern w:val="0"/>
                <w:sz w:val="22"/>
                <w:szCs w:val="22"/>
              </w:rPr>
              <w:br/>
            </w:r>
            <w:r>
              <w:rPr>
                <w:rFonts w:ascii="宋体" w:hAnsi="宋体" w:cs="宋体" w:hint="eastAsia"/>
                <w:kern w:val="0"/>
                <w:sz w:val="22"/>
                <w:szCs w:val="22"/>
              </w:rPr>
              <w:t>-中标麒麟V7 服务器版操作系统 x86_64/arm64</w:t>
            </w:r>
            <w:r>
              <w:rPr>
                <w:rFonts w:ascii="宋体" w:hAnsi="宋体" w:cs="宋体" w:hint="eastAsia"/>
                <w:kern w:val="0"/>
                <w:sz w:val="22"/>
                <w:szCs w:val="22"/>
              </w:rPr>
              <w:br/>
            </w:r>
            <w:r>
              <w:rPr>
                <w:rFonts w:ascii="宋体" w:hAnsi="宋体" w:cs="宋体" w:hint="eastAsia"/>
                <w:kern w:val="0"/>
                <w:sz w:val="22"/>
                <w:szCs w:val="22"/>
              </w:rPr>
              <w:t>-Redhat Enterprise Linux 6.0~8.2 64 位</w:t>
            </w:r>
            <w:r>
              <w:rPr>
                <w:rFonts w:ascii="宋体" w:hAnsi="宋体" w:cs="宋体" w:hint="eastAsia"/>
                <w:kern w:val="0"/>
                <w:sz w:val="22"/>
                <w:szCs w:val="22"/>
              </w:rPr>
              <w:br/>
            </w:r>
            <w:r>
              <w:rPr>
                <w:rFonts w:ascii="宋体" w:hAnsi="宋体" w:cs="宋体" w:hint="eastAsia"/>
                <w:kern w:val="0"/>
                <w:sz w:val="22"/>
                <w:szCs w:val="22"/>
              </w:rPr>
              <w:t>-CentOS 6.0~8.2 64 位</w:t>
            </w:r>
            <w:r>
              <w:rPr>
                <w:rFonts w:ascii="宋体" w:hAnsi="宋体" w:cs="宋体" w:hint="eastAsia"/>
                <w:kern w:val="0"/>
                <w:sz w:val="22"/>
                <w:szCs w:val="22"/>
              </w:rPr>
              <w:br/>
            </w:r>
            <w:r>
              <w:rPr>
                <w:rFonts w:ascii="宋体" w:hAnsi="宋体" w:cs="宋体" w:hint="eastAsia"/>
                <w:kern w:val="0"/>
                <w:sz w:val="22"/>
                <w:szCs w:val="22"/>
              </w:rPr>
              <w:t>-SUSE 服务器版操作系统 x86_64</w:t>
            </w:r>
            <w:r>
              <w:rPr>
                <w:rFonts w:ascii="宋体" w:hAnsi="宋体" w:cs="宋体" w:hint="eastAsia"/>
                <w:kern w:val="0"/>
                <w:sz w:val="22"/>
                <w:szCs w:val="22"/>
              </w:rPr>
              <w:br/>
            </w:r>
            <w:r>
              <w:rPr>
                <w:rFonts w:ascii="宋体" w:hAnsi="宋体" w:cs="宋体" w:hint="eastAsia"/>
                <w:kern w:val="0"/>
                <w:sz w:val="22"/>
                <w:szCs w:val="22"/>
              </w:rPr>
              <w:t>-Windows Server： 2008 32/64 位、 2019&amp;2016 &amp; 2012 &amp; (2012 R2) &amp;(2008 R2)</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3.管理中心支持一个管理控制台同时管理Windows,Linux,信创操作系统，同时支持MySQL数据库和达梦数据库。</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4.支持分权分域管理，实现不同组织间的数据隔离和管理隔离。具有分组管理客户端的功能，可对不同组实施不同的病毒防护策略。</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以“普通模式”和“调试模式”收集客户端的故障信息，可以将收集的故障信息方便地反馈至安全厂商的服务人员进行故障排查分析。支持客户端资源占用自动降级，当客户端CPU和内存使用率超过设定值时，将自动暂时关闭资源占用高的功能，待资源稳定时再开启。</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对所有平台均支持不少于三个杀毒引擎混合使用，包括云检测引擎、机器学习引擎、启发式引擎等，提供多引擎检测能力。提供对恶意代码有效检测与识别能力，对已知、未知病毒、病毒变种的全面检测、拦截和清除能力。</w:t>
            </w:r>
          </w:p>
        </w:tc>
      </w:tr>
      <w:tr>
        <w:tblPrEx>
          <w:tblW w:w="5000" w:type="pct"/>
          <w:tblInd w:w="0" w:type="dxa"/>
          <w:tblCellMar>
            <w:top w:w="0" w:type="dxa"/>
            <w:left w:w="108" w:type="dxa"/>
            <w:bottom w:w="0" w:type="dxa"/>
            <w:right w:w="108" w:type="dxa"/>
          </w:tblCellMar>
        </w:tblPrEx>
        <w:trPr>
          <w:trHeight w:val="7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7.提供基于程序行为的独立恶意行为监控引擎，基于进程的操作行为和序列组合来应对未知威胁。包括：重复的系统文件，Hosts文件修改，可疑行为，新IE插件，IE设置修改，安全策略修改，动态链接库注入，Shell修改，新服务，系统文件修改，防火墙策略修改，系统进程修改，新启动程序等。（</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 xml:space="preserve">8.具备机器学习检测引擎，产品能够监控并清除病毒、木马、勒索、挖矿、恶意软件、加壳软件、CVE弱点攻击等类型的恶意威胁。 </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9.提供U盘扫描，可实时发现U盘里的病毒或恶意软件；提供云检测引擎能力，支持开启或关闭云检测引擎，云检测引擎包括公有云检测和本地云检测两种扫描方式。</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10.提供压缩文件扫描功能，支持多层压缩文件扫描，可设置最大压缩层数为16层，提供压缩文件扫描功能，允许设定压缩文件大小的上限（最大为2048MB），超过此大小的压缩文件将不会被扫描，以缩短扫描时间。</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针对不同病毒类型自定义设置处置措施，处置措施包括“隔离”、“清除”、“删除”、“更名”、或“不予处理”等，支持设置病毒清除动作前备份文件。具备爆发阻止功能，管理端可配置爆发阻止策略，封堵共享端口。</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12.支持管理员自定义SHA1、MD5黑名单和白名单，黑名单可指定其动作包括（阻止，隔离，记录）；同时支持扫描例外目录和扫描例外文件。支持自定义SHA1、MD5本地威胁情报。</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具备Web信誉评估功能，支持可疑连接检测，检测终端与可疑站点（C&amp;C)之间的所有连接。具备将可疑文件提交沙盒设备的联动能力。支持勒索软件防护，自动备份和恢复可疑程序更改的文件，支持阻止通常与勒索软件相关的进程。</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14.产品病毒基本库对于病毒的检测率不低于98%，清除率不低于90%；流行病毒库对于病毒的检测率不低于96%，清除率不低于96%。</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15.支持以终端维度查看终端所有资产信息，包括运行应用，安装软件，硬件，账号详情，启动项，进程，系统服务，计划任务，端口，数据库，Web服务，web站点，web应用，web框架，进程，系统服务，jar包和第三方类库。</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16.支持未知资产探测，探测方式支持Ping，ARP, Nmap方式，支持设置探测周期定期触发探测和手动立即触发探测。探测信息包含：未知资产IP，Mac，Mac厂商，计算机名，操作系统，设备类型，首次探测时间，最近探测时间。</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17.支持对Windows、Linux系统及系统中的Web服务、数据库及其他应用的漏洞进行扫描，包括编号、漏洞名称、危险程度、CVE编号及修复参考建议；</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18.支持漏洞处置优先级(VPT)，依据漏洞风险，漏洞所在设备被攻击的可能性，漏洞所在资产的重要等级，漏洞可被利用的威胁情报等维度，筛选出立即修复，优先修复，稍后修复，延后修复，让补丁管理更有序从容。</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19.支持按照终端的维度统计终端补丁的安装情况，包括计算机名称，IP地址，连接状态，操作系统，已安装补丁，未安装补丁，对应的补丁信息。并支持导出统计报表。支持按照补丁的维度统计补丁安装情况，包括补丁名称，KB号，严重等级，受影响产品，发布日期，描述，已安装终端，未安装终端，对应的终端信息。并支持导出统计报表。</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20.支持禁用双网卡连接，禁用后仅支持与服务器连接的网卡通讯，断开其他网卡的网络连接。支持禁用WIFI连接，同时支持配置允许使用的SSID白名单。</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21.文件审计支持终端本地及移动存储设备中的文件操作行为，审计的行为包括：创建，读取，修改，删除，重命名。支持选择审计文件的范围（全部，可执行文件及文档文件，指定文件类型，指定文件目录）。</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22.支持超级管理员配置远程桌面的模式：强制连接、询问连接，强制连接将无需终端接受直接连接成功，适用于无人看守的场景。管理员通过 web 控制台直接发起远程连接，无需本地下载远程桌面的相关插件。</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35</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态势感知探针</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1.≥2U标准机架式，双电源，千兆电口≥6个，万兆光口≥2个；网络层吞吐量≥3Gbps，应用层吞吐量≥1Gbps。</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命令注入检测、PHP代码检测、XSS攻击检测、Webshell上传检测、SQL注入检测、XXE攻击检测、JAVA代码检测、SQL非注入型检测、MYSQL解析增强、php反序列化检测等自定义配置启用，针对命令注入检测、SQL注入检测等类型支持自定义高检出、低误报模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3.具备流量协议内容深度还原，包括http、dns、smb、ftp、smtp、pop3、imap、tls、tftp、ikev2、krb5、ssh等协议。</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违规访问检测。提供设置白名单和黑名单，监理针对性的业务和应用访问逻辑规则。策略从上到下进行匹配，可以通过右侧置顶功能对策略优先级进行调节。支持定义IP组、服务、端口、访问时间等访问策略。</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5.支持SQL注入、XSS攻击、网页木马、网站扫描、WEBSHELL、跨站请求伪造、系统命令注入、文件包含攻击、目录遍历攻击、信息泄露攻击、Web整站系统漏洞、自定义WAF规则、WAF云防护等网站攻击检测</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流量威胁深度检测能力，联动分析平台支持异常会话检测、web攻击检测、挖矿行为检测、僵木蠕检测、webshell文件检测、异常文件检测、漏洞利用检测、DOS攻击检测、扫描行为检测、配置风险检测、异常登录检测、横向移动检测、违规访问检测等13大类、超过4万条威胁检测规则。</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7.具备网络入侵攻击报文检测引擎，触发告警，记录入侵攻击事件，记录：事件名称、来源IP、来源端口、 目的IP、目的端口、原始流ID、攻击报文、传输协议、应用协议、原始内容等。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▲8.支持违规访问检测，支持基于IP、IP组、服务、端口、访问时间等定义访问策略。支持服务器漏洞检测功能。（</w:t>
            </w:r>
            <w:r>
              <w:rPr>
                <w:rFonts w:ascii="宋体" w:hAnsi="宋体" w:cs="宋体" w:hint="eastAsia"/>
                <w:b/>
                <w:bCs/>
                <w:color w:val="0000FF"/>
                <w:kern w:val="0"/>
                <w:sz w:val="22"/>
                <w:szCs w:val="22"/>
              </w:rPr>
              <w:t>投标时同时提供：①由第三方检验检测机构出具并加盖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9.审计白名单支持源目IP、源目端口和日志类型、日志来源。</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36</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跨网文件交换系统</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1.系统构架：系统为B/S架构，为了保证满足等级保护的相关要求，系统需为内、外网各一台设备，内、外网设备之间可以过网闸进行文件交换。单台配置： CPU：2U机架式8盘位机箱、12核24线程CPU、16G内存。存储空间：20T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2.用户数：不限制用户数，不限制并发数。</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3.传输方向：系统必须支持内、外网文件双向传输。</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4.文件传输类型：系统支持用户将文件进行内、外网互传，也支持将文件发送给系统内部的其他用户。</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5.同步方式：系统支持自动同步与手动同步。自动同步：用户上传文件后，后自动同步到对向。手动同步:用户上传文件后，选择文件手动同步到对向。</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文件杀毒：系统内置杀毒引擎，并支持第三方杀毒引擎；在文件从医院外网传输到医院内网时，产品能对文件进行病毒和木马检测，识别可能导致系统风险的恶意文件。一旦发现可疑文件，可自动阻止文件交换。</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7.加密存储：为了保证系统中存储文件的安全性，系统采用落地加密技术，当文件上传到设备上时，设备需以加密的方式保存在硬盘上。</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8.登录IP保护：管理员可以设置每个部门用户登录的IP地址范围，防止用户账号在非可控区域登录，给单位内部数据安全带来隐患。</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9.文件类型保护：文件上传到系统时，系统会对文件后缀名进行进行分析，可以准确判断文件类型是否被伪造，如果当前文件类型与真实类型不符，文件即刻被删除，禁止传输。</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▲10.移动端支持：支持用户通过安卓APP、苹果APP端进行登录，可以查看登录账号的个人空间、回收站、公共空间文件信息，可以进行文件上传、下载、删除、移动。（</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11.软件防火墙：系统自带软件防火墙，管理员可以设置开放的源IP地址、目的IP地址、开放端口。</w:t>
            </w:r>
          </w:p>
        </w:tc>
      </w:tr>
      <w:tr>
        <w:tblPrEx>
          <w:tblW w:w="5000" w:type="pct"/>
          <w:tblInd w:w="0" w:type="dxa"/>
          <w:tblCellMar>
            <w:top w:w="0" w:type="dxa"/>
            <w:left w:w="108" w:type="dxa"/>
            <w:bottom w:w="0" w:type="dxa"/>
            <w:right w:w="108" w:type="dxa"/>
          </w:tblCellMar>
        </w:tblPrEx>
        <w:trPr>
          <w:trHeight w:val="9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12.多系统终端支持：系统具备Windows、MacOS、统信、麒麟等系统都有软件安装包，以客户端的形式实现文件的上传与下载。</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13.白名单：管理员可以设置用户上传文件类型的白名单，用户只能上传指定类型的文件。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14.账号角色：系统具备管理员、审批员、普通用户三种角色。管理员可以对于系统进行管理，普通用户可以对于文件传输进行申请，审批员可以对于申请进行审批。</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15.个人空间：可以存储个人的文档，用户可以对于文档进行备注说明。系统可以显示这个文档被下载的次数。</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16.公共空间：管理员可以建立多个目录，给不同的部门设置不同的权限，包括查阅、管理、上传、下载等权限，也可以设置指定的用户的例外权限。</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17.收藏：用户对于自己常用的文件可以进行收藏操作。</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18.在线编辑：用户可以在线编辑系统中存储的文档，包括WORD、EXCEL、PPT等文件，支持多人协同编辑。</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19.版本管理：所有文件在线修改都会进行版本备份，用户可以选择历史版本进行版本恢复。</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20.子管理员：系统具备子管理员权限，子管理员可以对于下属分之机构进行管理，包括下属分支机构的组织构架、用户权限等，也可以查询下属分之机构的文件传输记录。</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21.互联网安全接入：系统自带虚拟隧道安全访问功能，用户在互联网直接访问系统时，系统的端口为隐藏的，用户无法访问系统。用户需要专用的身份验证客户端进行身份验证，验证成功后系统才会对这个终端开放访问端口，用户才可以访问系统登录页面。</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账号安全：账号安全可以对用户进行密码复杂度和登录验证项进行设置，可以设置密码密码需要包含数字、字母、特殊符号、大小写、以及密码，登录验证项设置可以设置是否绑定手机号、第一次登录校验姓名、手机号，以及设置是否禁止一共账号多人登录、页面超时自动退出、登录失败次数设置，并可以设置在登录页是否展示APP下载二维码。</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23.审批管理：管理员可以设置申请外传文件的审批流程，文件外发申 请后，管理员审批后，文件就进行内外网文件交换。</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24.水印管理：管理员可以设置水印展示的内容，包括IP地址、用户名、时间，文件从内网传输到外网时，文件会自动加上水印。</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审计功能：产品支持对个人的文件交换行为进行审计，审计信息包括，上传时间、文件名称、用户名称，操作类型（上传文件、下载文件、删除文件、新建目录、共享文件、移动文件）、终端IP、终端位置（外网、内网）、终端名称等信息；且支持内容审计；</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26.自动审批：当用户申请外发时，系统会进行自动审批，所有申请操作都会形成审计记录保存。</w:t>
            </w:r>
          </w:p>
        </w:tc>
      </w:tr>
      <w:tr>
        <w:tblPrEx>
          <w:tblW w:w="5000" w:type="pct"/>
          <w:tblInd w:w="0" w:type="dxa"/>
          <w:tblCellMar>
            <w:top w:w="0" w:type="dxa"/>
            <w:left w:w="108" w:type="dxa"/>
            <w:bottom w:w="0" w:type="dxa"/>
            <w:right w:w="108" w:type="dxa"/>
          </w:tblCellMar>
        </w:tblPrEx>
        <w:trPr>
          <w:trHeight w:val="288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27.日志管理：</w:t>
            </w:r>
            <w:r>
              <w:rPr>
                <w:rFonts w:ascii="宋体" w:hAnsi="宋体" w:cs="宋体" w:hint="eastAsia"/>
                <w:kern w:val="0"/>
                <w:sz w:val="22"/>
                <w:szCs w:val="22"/>
              </w:rPr>
              <w:br/>
            </w:r>
            <w:r>
              <w:rPr>
                <w:rFonts w:ascii="宋体" w:hAnsi="宋体" w:cs="宋体" w:hint="eastAsia"/>
                <w:kern w:val="0"/>
                <w:sz w:val="22"/>
                <w:szCs w:val="22"/>
              </w:rPr>
              <w:t>传输日志：可查看用户传输的文件，可以进行下载和查询</w:t>
            </w:r>
            <w:r>
              <w:rPr>
                <w:rFonts w:ascii="宋体" w:hAnsi="宋体" w:cs="宋体" w:hint="eastAsia"/>
                <w:kern w:val="0"/>
                <w:sz w:val="22"/>
                <w:szCs w:val="22"/>
              </w:rPr>
              <w:br/>
            </w:r>
            <w:r>
              <w:rPr>
                <w:rFonts w:ascii="宋体" w:hAnsi="宋体" w:cs="宋体" w:hint="eastAsia"/>
                <w:kern w:val="0"/>
                <w:sz w:val="22"/>
                <w:szCs w:val="22"/>
              </w:rPr>
              <w:t>上传日志：显示用户上传的所有文件，支持所有字段模糊查询</w:t>
            </w:r>
            <w:r>
              <w:rPr>
                <w:rFonts w:ascii="宋体" w:hAnsi="宋体" w:cs="宋体" w:hint="eastAsia"/>
                <w:kern w:val="0"/>
                <w:sz w:val="22"/>
                <w:szCs w:val="22"/>
              </w:rPr>
              <w:br/>
            </w:r>
            <w:r>
              <w:rPr>
                <w:rFonts w:ascii="宋体" w:hAnsi="宋体" w:cs="宋体" w:hint="eastAsia"/>
                <w:kern w:val="0"/>
                <w:sz w:val="22"/>
                <w:szCs w:val="22"/>
              </w:rPr>
              <w:t>下载日志：显示用户下传的所有文件，支持所有字段模糊查询</w:t>
            </w:r>
            <w:r>
              <w:rPr>
                <w:rFonts w:ascii="宋体" w:hAnsi="宋体" w:cs="宋体" w:hint="eastAsia"/>
                <w:kern w:val="0"/>
                <w:sz w:val="22"/>
                <w:szCs w:val="22"/>
              </w:rPr>
              <w:br/>
            </w:r>
            <w:r>
              <w:rPr>
                <w:rFonts w:ascii="宋体" w:hAnsi="宋体" w:cs="宋体" w:hint="eastAsia"/>
                <w:kern w:val="0"/>
                <w:sz w:val="22"/>
                <w:szCs w:val="22"/>
              </w:rPr>
              <w:t>邮件日志：可以查看到通过跨网邮件发送的文件、主题、接收人、发送人和状态。</w:t>
            </w:r>
            <w:r>
              <w:rPr>
                <w:rFonts w:ascii="宋体" w:hAnsi="宋体" w:cs="宋体" w:hint="eastAsia"/>
                <w:kern w:val="0"/>
                <w:sz w:val="22"/>
                <w:szCs w:val="22"/>
              </w:rPr>
              <w:br/>
            </w:r>
            <w:r>
              <w:rPr>
                <w:rFonts w:ascii="宋体" w:hAnsi="宋体" w:cs="宋体" w:hint="eastAsia"/>
                <w:kern w:val="0"/>
                <w:sz w:val="22"/>
                <w:szCs w:val="22"/>
              </w:rPr>
              <w:t>审批日志：审批日志中可以查看需要审批的文件的信息，审核状态也可以下载，可以查看该文件目前的审批状态。</w:t>
            </w:r>
            <w:r>
              <w:rPr>
                <w:rFonts w:ascii="宋体" w:hAnsi="宋体" w:cs="宋体" w:hint="eastAsia"/>
                <w:kern w:val="0"/>
                <w:sz w:val="22"/>
                <w:szCs w:val="22"/>
              </w:rPr>
              <w:br/>
            </w:r>
            <w:r>
              <w:rPr>
                <w:rFonts w:ascii="宋体" w:hAnsi="宋体" w:cs="宋体" w:hint="eastAsia"/>
                <w:kern w:val="0"/>
                <w:sz w:val="22"/>
                <w:szCs w:val="22"/>
              </w:rPr>
              <w:t>系统日志：可以查看哪个用户操作了那些功能，以及该用户登录的ip，和操作此功能的时间</w:t>
            </w:r>
            <w:r>
              <w:rPr>
                <w:rFonts w:ascii="宋体" w:hAnsi="宋体" w:cs="宋体" w:hint="eastAsia"/>
                <w:kern w:val="0"/>
                <w:sz w:val="22"/>
                <w:szCs w:val="22"/>
              </w:rPr>
              <w:br/>
            </w:r>
            <w:r>
              <w:rPr>
                <w:rFonts w:ascii="宋体" w:hAnsi="宋体" w:cs="宋体" w:hint="eastAsia"/>
                <w:kern w:val="0"/>
                <w:sz w:val="22"/>
                <w:szCs w:val="22"/>
              </w:rPr>
              <w:t>删除审计：在回收站中将文件删除，可以在删除审计中将文件恢复到原目录，删除审计中文件删除后，文件将无法恢复。</w:t>
            </w:r>
          </w:p>
        </w:tc>
      </w:tr>
      <w:tr>
        <w:tblPrEx>
          <w:tblW w:w="5000" w:type="pct"/>
          <w:tblInd w:w="0" w:type="dxa"/>
          <w:tblCellMar>
            <w:top w:w="0" w:type="dxa"/>
            <w:left w:w="108" w:type="dxa"/>
            <w:bottom w:w="0" w:type="dxa"/>
            <w:right w:w="108" w:type="dxa"/>
          </w:tblCellMar>
        </w:tblPrEx>
        <w:trPr>
          <w:trHeight w:val="172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28.统计管理：</w:t>
            </w:r>
            <w:r>
              <w:rPr>
                <w:rFonts w:ascii="宋体" w:hAnsi="宋体" w:cs="宋体" w:hint="eastAsia"/>
                <w:kern w:val="0"/>
                <w:sz w:val="22"/>
                <w:szCs w:val="22"/>
              </w:rPr>
              <w:br/>
            </w:r>
            <w:r>
              <w:rPr>
                <w:rFonts w:ascii="宋体" w:hAnsi="宋体" w:cs="宋体" w:hint="eastAsia"/>
                <w:kern w:val="0"/>
                <w:sz w:val="22"/>
                <w:szCs w:val="22"/>
              </w:rPr>
              <w:t>用户统计：可以以列表，柱状图等形式展示用户上传文件数量信息。可导出列表</w:t>
            </w:r>
            <w:r>
              <w:rPr>
                <w:rFonts w:ascii="宋体" w:hAnsi="宋体" w:cs="宋体" w:hint="eastAsia"/>
                <w:kern w:val="0"/>
                <w:sz w:val="22"/>
                <w:szCs w:val="22"/>
              </w:rPr>
              <w:br/>
            </w:r>
            <w:r>
              <w:rPr>
                <w:rFonts w:ascii="宋体" w:hAnsi="宋体" w:cs="宋体" w:hint="eastAsia"/>
                <w:kern w:val="0"/>
                <w:sz w:val="22"/>
                <w:szCs w:val="22"/>
              </w:rPr>
              <w:t>上传文件统计：可以以列表，柱状图等形式展示部门上传文件数量信息。可导出列表</w:t>
            </w:r>
            <w:r>
              <w:rPr>
                <w:rFonts w:ascii="宋体" w:hAnsi="宋体" w:cs="宋体" w:hint="eastAsia"/>
                <w:kern w:val="0"/>
                <w:sz w:val="22"/>
                <w:szCs w:val="22"/>
              </w:rPr>
              <w:br/>
            </w:r>
            <w:r>
              <w:rPr>
                <w:rFonts w:ascii="宋体" w:hAnsi="宋体" w:cs="宋体" w:hint="eastAsia"/>
                <w:kern w:val="0"/>
                <w:sz w:val="22"/>
                <w:szCs w:val="22"/>
              </w:rPr>
              <w:t>审批信息统计：可以以列表，柱状图等形式展示所有用户和部门上传文件的审批信息，可导出列表</w:t>
            </w:r>
            <w:r>
              <w:rPr>
                <w:rFonts w:ascii="宋体" w:hAnsi="宋体" w:cs="宋体" w:hint="eastAsia"/>
                <w:kern w:val="0"/>
                <w:sz w:val="22"/>
                <w:szCs w:val="22"/>
              </w:rPr>
              <w:br/>
            </w:r>
            <w:r>
              <w:rPr>
                <w:rFonts w:ascii="宋体" w:hAnsi="宋体" w:cs="宋体" w:hint="eastAsia"/>
                <w:kern w:val="0"/>
                <w:sz w:val="22"/>
                <w:szCs w:val="22"/>
              </w:rPr>
              <w:t>文件类型统计：可以以列表，柱状图等形式展示所有上传文件类型信息。可导出列表</w:t>
            </w:r>
            <w:r>
              <w:rPr>
                <w:rFonts w:ascii="宋体" w:hAnsi="宋体" w:cs="宋体" w:hint="eastAsia"/>
                <w:kern w:val="0"/>
                <w:sz w:val="22"/>
                <w:szCs w:val="22"/>
              </w:rPr>
              <w:br/>
            </w:r>
            <w:r>
              <w:rPr>
                <w:rFonts w:ascii="宋体" w:hAnsi="宋体" w:cs="宋体" w:hint="eastAsia"/>
                <w:kern w:val="0"/>
                <w:sz w:val="22"/>
                <w:szCs w:val="22"/>
              </w:rPr>
              <w:t>每日上传统计：可以以列表，柱状图，饼状图三种形式展示近10天所有上传文件数量信息。可导出列表</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29.通知通告：管理员可自定义通知通告信息，通知通告信息会在个人空间上方展示。</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30.用户权限：权限设置可以针对用户进行公告空间使用权限的配置，包括：查看、预览、在线编辑、下载、上传、删除权限。也可以针对用户设置是否展示功能空间、是否展示回收站。</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31.外链分享：管理员设置某个部门具有分享外链权限，具有分享权限的内部人员文件所有者需通过生成Web链接的方式将文件或文件夹分享给外部人员，并设置链接的有效期，外部人员可以访问链接和密码验证来获取文件；可配置邮件平台通知被分享外链的人员去下载； </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32.回收站机制：用户删除的文件会进入回收站中，回收站的文件删除掉后，用户的个人空间会释放掉，文件信息会进入删除审计中，删除审计中的文件默认保存六个月，管理员可以对于保存时间进行设置，可以将删除审计中的文件下载，支持在线预览。</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33.统计报表：系统可以生成相关的统计报表，包括文件传输报表、管理员审批报表、传输文件信息报表等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34.快捷登录：用户可以将账号与微信绑定，实现通过微信扫码登录系统。</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35.数据防泄漏：系统具备数据防泄漏功能，内置对于身份证号、银行卡号等多种检测规则，用户传输文件时，系统会对于文件进行检测，含有敏感信息的文件将不能外传。</w:t>
            </w:r>
          </w:p>
        </w:tc>
      </w:tr>
      <w:tr>
        <w:tblPrEx>
          <w:tblW w:w="5000" w:type="pct"/>
          <w:tblInd w:w="0" w:type="dxa"/>
          <w:tblCellMar>
            <w:top w:w="0" w:type="dxa"/>
            <w:left w:w="108" w:type="dxa"/>
            <w:bottom w:w="0" w:type="dxa"/>
            <w:right w:w="108" w:type="dxa"/>
          </w:tblCellMar>
        </w:tblPrEx>
        <w:trPr>
          <w:trHeight w:val="288"/>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37</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网络质量感知系统</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1、硬件规格：硬盘≥32T;网口≥4*RJ45，光口≥2*SFP+，满配光模块；</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2、性能要求：流量处理性能≥5Gbps</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▲3、探针要求：支持被动流量采集探针及主动探测的拨测探针（</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4、存储功能：支持自定义存储原始数据包；</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5、流量标识：支持对不同探针、不同接口、不同Vlan、不同MAC、不同IP设置别名，识别流量来源；</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流量进行回溯分析，能够提供流量趋势图，分析指标包括但不限于：总字节数（区分接收、发送字节数）、总数据包数（区分接收、发送数据包数）、字节收发比、数据包收发比、平均包长（区分接收、发送平均包长）、创建会话数、连接请求无响应次数、连接请求被重置次数、ICMP 丢包数、ICMP 平均\最大\最小回应时间、每秒数据包数；所有统计指标支持实时1 秒时间精度刷新与趋势呈现；所有指标能够全局进行排序，而非当前页面排序。可以按任意分析指标进行升序/降序展示；</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7、分析指标要求：系统支持流量分析指标及维度≥200个；</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监控功能：支持链路状态实时监控，可对指定链路做拨测监控和流量监控；支持应用访问实时监控，可对指定应用做拨测监控和流量监控；支持终端监控；支持可视化展示全网业务互访关系监控；支持绘制网络拓监控，支持对每个网络节点配置监控指标。</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可视化展示：支持专门用于链路、应用、终端监、网络拓扑控的监控大屏；支持用户自定义配置、设置展示大屏，能够根据运维重点组合需要的数据可视化呈现；支持灵活组合各种业务性能、链路流量的各种关键指标；支持将指标以数值、表格、线条图、柱状图、饼状图等方式呈现，数据呈现支持每秒实时刷新。</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10可视化展示：支持可视化展示全网业务互访关系，展示互访吞吐量、总包数、网络时延、丢包率等指标，支持通过IP、端口、应用、接口、站点等维度过滤互访关系图；</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11、自动排障功能：系统支持自动排障功能，排障方式支持自动拨测、流量分析；</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12、对比分析功能：支持网络对比分析功能，可对各维度指标做直观对比分析；</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告警功能：支持自定义配置告警；支持告警分析功能，可视化展示告警趋势、待处理告警趋势、待处理告警分布、待处理告警排行。告警信息可自动关联网络指标、应用指标，分析告警内容对网络整体及应用的影响，支持向企业微信、钉钉、飞书等第三方推送告警；</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14、报表功能：支持报表向企业微信、钉钉、飞书等第三方推送；支持报表自定义设计输出用户关注数据、内容。</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38</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网络数据防泄漏</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1.吞吐量≥5G，2U机架式，内存≥128G，电源：1+1冗余电源，硬盘≥8T*4，RAID5，网口：千兆电口≥2，万兆光口≥2，万兆多模光模块≥2个。</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2.支持GRE、MPLS、VLAN、VXLAN报文解析 。</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▲3.具备文件数据内容识别、远程管理和安全策略不可旁路的能力。（</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4.支持实时双向流量的内容审计，支持对上传和下载文件内容进行识别和过滤。</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5.支持对传输层TCP/UDP的流量过滤，支持对传输层的源IP、源端口、目的IP、目的端口的过滤。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6.支持对指定的URL所产生的流量进行监控或放行。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7.统计网络流量数据，实时展示到页面。</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8.支持模型生成，通过导入文件夹或选择文件，系统依据相似度自动对文件进行聚类，生成文件关键词及其权重，并支持将关键词导入检测因子。</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9.支持doc、docx、ppt、pptx、xls、xlsx文档中嵌套的图片内容OCR识别。</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10.支持在策略配置模块中从策略到检测规则到检测因子的逐级下钻查看和修改。</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11.支持在策略配置模块中查看命中该策略的告警日志。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12.提供图像识别能力，识别目标文件是否为红头文件。 </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13.发现非工作时间操作、高频访问、超量外发、点滴式泄露、境外访问、互联网访问、文件外发等异常行为。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14.支持对文件大小、文件类型、文件创建时间、文件修改时间、文件作者进行检测和识别。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15.产品具备数据防泄漏的IPv6 Ready logo 认证</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39</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数据安全分类分级系统</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1、标准机架式2U硬件架构；CPU：≥4核8线程；内存：≥32G；硬盘：HDD硬盘≥4TB*2，SSD硬盘≥240GB*1；网口：千兆电口≥2个，万兆光口≥2个（含光模块）；电源：服务器电源；</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2、分类分级扫描速率峰值≥70000 单元格/s，支持数据库实例≥32个；</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3、支持旁路部署，只需网络可达；</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hint="eastAsia"/>
                <w:b/>
                <w:color w:val="FF0000"/>
                <w:szCs w:val="21"/>
              </w:rPr>
              <w:t>★4、支持常见关系型数据库MySQL、SQL Server、Oracle、DB2、PostgreSQL、Sybase、Informix等；数据库人大金仓、达梦；后关系型数据</w:t>
            </w:r>
            <w:bookmarkStart w:id="52" w:name="OLE_LINK4"/>
            <w:r>
              <w:rPr>
                <w:rFonts w:hint="eastAsia"/>
                <w:b/>
                <w:color w:val="FF0000"/>
                <w:szCs w:val="21"/>
              </w:rPr>
              <w:t>库Caché、IRIS数据</w:t>
            </w:r>
            <w:bookmarkEnd w:id="52"/>
            <w:r>
              <w:rPr>
                <w:rFonts w:hint="eastAsia"/>
                <w:b/>
                <w:color w:val="FF0000"/>
                <w:szCs w:val="21"/>
              </w:rPr>
              <w:t>库；NoSQL数据库HBase、Hive、MongoDB、星环Hive等</w:t>
            </w:r>
            <w:r>
              <w:rPr>
                <w:rFonts w:ascii="宋体" w:hAnsi="宋体" w:cs="宋体" w:hint="eastAsia"/>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5、支持内置和自定义添加数据库端口进行资产发现；</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通过扫描任务自动发现数据库资产，扫描任务支持通过IP及IP段、端口及端口段进行数据库资产发现，资产发现识别信息包括数据库类型、版本、IP、端口等，扫描发现的数据库资产，经确认后纳入数据库资产管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7、支持管理集群数据库资产，设置集群主资产和关联资产，资产统计时按主资产进行统计，关联资产不纳入统计；</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8、支持对数据库资产密码，采用加密存储；</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9、支持自动对数据库资产元数据发现与展示，包括：库、表、列、函数、存储过程、视图等；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10、支持数据库资产展示，包括：数据库资产名称、所属组织、表总数、字段总数、敏感表比例、数据库容量统计、分类分级信息；支持扫描数据库资产账户权限清单；</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11、支持展示概览、数据库详情，并支持快速切换分类分级标准展示数据分类分级信息；</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▲12、支持分类分级扫描任务设置，可选择一个或多个资产、不同分类分级标准、样本数、匹配率、全量或增量扫描、任务执行方式（手动、定时或周期），生成分类分级结果清单</w:t>
            </w:r>
            <w:r>
              <w:rPr>
                <w:rFonts w:ascii="宋体" w:hAnsi="宋体" w:cs="宋体" w:hint="eastAsia"/>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13、支持分类分级扫描任务开启、暂停、停止、批量执行，显示任务进度及状态；</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14、支持按不同行业标准展示分类分级任务扫描结果，包括：数据库资产信息、表类别、表级别、字段类别、字段级别、敏感类型、确认状态等；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15、支持对分类分级清单的校正，包括：表类别、表级别、敏感类型、字段类别、字段级别进行订正修改；</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16、支持通过文件下载、API接口等方式共享分类分级清单数据；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17、支持按不同分类分级标准统计数据资产；</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18、支持敏感数据信息统计，包括敏感类型、敏感表、敏感表字段等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19、支持按组织机构、业务系统、业务物理区域进行拓扑展示数据库资产信息；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20、支持数据资产统计图表及排行列表数据导出(pdf、html）；</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21、支持不同系统账号登录后数据资产访问结果隔离和分类分级显示结果隔离；</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22、支持内置行业分类分级标准，包括通用个人信息、医疗、金融；支持自定义分类分级标准；支持对标准进行复制、导入、导出操作；</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23、支持配置分类分级标准的显示与隐藏功能；</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24、支持常用的敏感数据类型的配置与管理，默认支持内置敏感类型：手机号、座机号、公积金、道路运输经营许可证号、军密认证号、车牌号、医师执业证书编号、医师资格证书编号、营业执照、银行卡号、开户许可证号、税务登记证号、组织机构名称、组织机构代码、地址、姓名、邮政编码、身份证号、日期、字符串、中国护照、社会信用代码、军官证号、永久居住证号、台湾同胞大陆通行证号、港澳通行证号、电子邮箱、IP地址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25、支持常用的敏感数据字典，并支持数据字典的自定义维护；</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26、支持资产拓扑配置：业务系统配置、物理逻辑区域配置、组织机构配置等；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27、支持上传系统升级包进行升级，如果升级失败，自动回退上一版本；</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28、所投设备具备与医院现有和新建的安全设备、安全平台实现无缝对接、互联互通的能力；</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40</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数据库安全审计</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1、标准机架式2U硬件架构；CPU：≥8核16线程；内存：≥64G；硬盘：HDD硬盘≥4TB*2，SSD硬盘≥240GB*2；网口：板载千兆电口≥2个，万兆光口≥2个（含光模块）；电源：服务器冗余电源；</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2、性能指标：SQL审计处理能力（吞吐）峰值≥1000Mbps，SQL审计处理能力（速率）峰值≥80000SQL/S；日志在线存储≥256亿条；</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在目标数据库安装agent解决云环境、虚拟化环境内部流量无法镜像场景下的数据库审计，支持通过Agent对流量进行过滤，过滤内容包括端口、IP地址等内容，可以进行定义，减少网络负载；Agent运行时CPU占用率低于5%，内存占用小于150M，程序文件小于5M；</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4、支持数据库审计多节点集中管理功能，在中心节点实现对各审计节点审计日志、报表的集中查看；支持数据库审计节点设置，支持设置系统为单机、中心节点、子节点；子节点支持设置要上传的风险数据类型；管理中心和子节点都可存储审计数据，实现大数据环境下磁盘空间的有效利用和扩展，利用率达到90%；（</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5、支持传统关系型数据库，如：SQL Server、MySQL、Oracle、Sybase、DB2、Informix、PostgreSQL、MariaDB等的安全审计；支持大数据平台下多种组件的安全审计，包括 Hive、ES、MongoDB、Impala、HBase、Solr 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6、支持数据库：DM（达梦）、Kingbase（人大金仓）、XUGU（虚谷）、LibrA、GaussDB、GBase、Highgo（瀚高）、Oscar（神通）、UXDB（优炫）、GoldenDB的安全审计； </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hint="eastAsia"/>
                <w:b/>
                <w:color w:val="FF0000"/>
                <w:szCs w:val="21"/>
              </w:rPr>
              <w:t>★7、支持后关系型数据库Caché、IRIS数据库，支持Caché、IRIS的集成工具Terminal、Portal、Studio、Sqlmanager、MedTrak工具的审计，其中Portal能审计到Sql语句、查询Global有返回结果，Sqlmanager支持根据SQL ID提取高效审计，Terminal能审计到SQL语句和返回结果,并支持本地审计，基于C/S的MedTrak工具能审计到操作报表的具体返回结果；</w:t>
            </w:r>
            <w:r>
              <w:rPr>
                <w:rFonts w:ascii="宋体" w:hAnsi="宋体" w:cs="宋体" w:hint="eastAsia"/>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8、支持东华his系统v9.0版本的IRIS数据库审计及HTTPS业务流访问审计；</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9、支持Hadoop架构下的数据仓库Hive的审计，能审计到Hive_HSQL创建数据库、建表、删除表、修改表结构、创建／删除视图、将查询结果插入到Hive表中、基本的查询等操作；</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10、支持内存数据库HANA、Redis等特殊应用场景下的数据库安全审计；</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11、支持主流业务协议操作的审计：Samba 、NFS、Portal、Http、pop3、ssh、SMTP、Telnet、FTP协议审计；</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12、支持Hadoop架构下的大数据库Hbase审计，能审计到JDBC、Java  API等接口的调用操作；</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13、支持全文检索数据库solr的审计，能审计到solr的查询、插入等行为的操作信息；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14、支持数据库SSL加密流量的审计，包括TLS1.1、TLS1.2等；</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支持对操作时间、操作语句、执行结果、返回结果集、影响行数（返回行数）、执行时长、数据库用户名、实例名、服务端IP、服务端端口、客户端IP、客户端端口、客户端MAC、客户端主机名、客户端操作系统用户名、操作类型、操作内容（表、字段）、操作回应、会话ID等27个条件以上进行审计；</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16、支持B/S、C/S应用系统三层架构http、https应用审计，可提取包括应用系统的人员工号（账号）在内的“六元组”身份信息，可定位到具体的操作自然人信息，并可获取XML返回结果；</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17、支持带COM、COM+、DCOM组件的三层架构应用审计，可提取包括应用层工号（账号）之内的“六元组”身份信息； </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18、支持通过部署agent实现java web环境100%准确关联，支持B/S业务系统三层关联审计；支持B/S三层架构下的应用账户、终端信息关联审计；支持PC-APP server、APP server-DB两种展示模式；</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支持自定义审计策略，自定义审计策略的条件包括不限于操作类型、关键字、访问工具、客户端IP、客户端MAC、操作系统主机名、操作系统用户名、应用账户名、数据库账号、数据库名、表名、字段名、语句长度、语句执行回应、语句执行时间、返回行数、返回内容、正则表达式、规则生效时间；审计策略条件支持等于或不等于、大于等于或小于等于逻辑关系；</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20、系统需内置多种审计元素进行数据库操作行为审计：数据库操作命令、语句长度、语句执行回应、语句执行时间、返回内容、返回行数、数据库名、数据库账户、服务器端口、客户端操作系统主机名、客户端操作系统用户名、客户端MAC、客户端IP、客户端端口、客户端进程名、会话ID、关键字、时间等； </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21、系统内置敏感数据类型，可自动发现业务环境中数据库对象中包含敏感数据类型，进行敏感数据级别的定义；支持敏感数据自定义，支持同步敏感数据扫描结果中的敏感数据，支持自定义敏感规则，可根据配置字段包括操作类型、敏感配置（保护对象所属的敏感数据）主体信息（访问工具、访问IP、客户端MAC、操作系统主机名、操作系统用户名）、规则生效时间进行敏感字段的操作行为监控与审计； </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22、支持根据时间、保护对象、源IP的维度对业务环境中敏感数据进行敏感数据统计、敏感数据访问热度统计及分析、敏感数据访问趋势及分析；</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23、支持根据系统语句（SQL语句）和白名单（条件为IP/MAC/数据库账户/审计对象/操作语句）定义规则进行应用层过滤，将客户关注的信息进行保留；</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24、审计结果隐秘设置，通过*号脱敏技术对审计结果中的重要信息进行隐秘处理，防止二次泄密；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25、支持对SQL注入、跨站脚本攻击、信息泄露、数据库CVE高危漏洞、攻击溢出等攻击行为的识别与告警；</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26、支持Syslog、kafka和SNMP TRAP方式向外发送审计日志到第三方日志管理平台统一管理，可外置短信猫，支持与第三方邮件和短信系统对接，提供接口可实现与网络设备的联动；</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27、支持多租户模式，满足一套系统可以为多个不同用户组提供服务；</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28、所投设备应具备良好的兼容性，具备与医院现有和新建的安全设备、安全平台实现无缝对接、互联互通的能力；</w:t>
            </w:r>
          </w:p>
        </w:tc>
      </w:tr>
      <w:tr>
        <w:tblPrEx>
          <w:tblW w:w="5000" w:type="pct"/>
          <w:tblInd w:w="0" w:type="dxa"/>
          <w:tblCellMar>
            <w:top w:w="0" w:type="dxa"/>
            <w:left w:w="108" w:type="dxa"/>
            <w:bottom w:w="0" w:type="dxa"/>
            <w:right w:w="108" w:type="dxa"/>
          </w:tblCellMar>
        </w:tblPrEx>
        <w:trPr>
          <w:trHeight w:val="576"/>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41</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数据动态脱敏系统</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1、标准机架式2U硬件架构；CPU：≥8核16线程；内存：≥64G；硬盘：HDD硬盘≥4TB*1，SSD硬盘≥240GB*1；网口：板载千兆电口≥2个，万兆光口≥2个（含光模块）；电源：服务器冗余电源；</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2、脱敏峰值处理能力：≥30000条SQL/秒；时延峰值≤100ms；吞吐量峰值≥500Mb/s；并发连接峰值≥20000；</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hint="eastAsia"/>
                <w:b/>
                <w:color w:val="FF0000"/>
                <w:szCs w:val="21"/>
              </w:rPr>
              <w:t>★3、支持多种数据源，包括：Oracle、SQL Server、MySQL、DB2、PostgreSQL、Caché、IRIS、Sybase、Informix等关系型数据库；</w:t>
            </w:r>
            <w:r>
              <w:rPr>
                <w:rFonts w:ascii="宋体" w:hAnsi="宋体" w:cs="宋体" w:hint="eastAsia"/>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kern w:val="0"/>
                <w:sz w:val="22"/>
                <w:szCs w:val="22"/>
              </w:rPr>
              <w:t>）</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4、支持Hive、HBase非关系型数据库，支持DM、GaussDB等数据库；</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5、脱敏系统支持虚拟化部署；脱敏系统支持旁路部署或代理的方式进行部署；支持B/S架构方式进行系统的可视化操作，无需改变客户浏览习惯；</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6、支持管理员账号分权分级的管理，实现账号权限的三权分立；包括系统管理员（用户管理及系统日常维护）、审计管理员（数据源审核，脱敏服务核）、操作管理员（脱敏源、脱敏服务安全策略等相关信息的建立）； </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7、支持数据源中数据存储格式为UTF-8、GBK、Unicode、GB2312、ZHS16GBK、BIG5、Latin1等字符编码数据格式脱敏；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8、支持发现大数据平台架构下的数据对象信息：表名、字段名等；</w:t>
            </w:r>
          </w:p>
        </w:tc>
      </w:tr>
      <w:tr>
        <w:tblPrEx>
          <w:tblW w:w="5000" w:type="pct"/>
          <w:tblInd w:w="0" w:type="dxa"/>
          <w:tblCellMar>
            <w:top w:w="0" w:type="dxa"/>
            <w:left w:w="108" w:type="dxa"/>
            <w:bottom w:w="0" w:type="dxa"/>
            <w:right w:w="108" w:type="dxa"/>
          </w:tblCellMar>
        </w:tblPrEx>
        <w:trPr>
          <w:trHeight w:val="172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不少于30种敏感数据类型用于敏感数据的发现，可覆盖医疗、政府、金融、学校、企业等多个行业相关的敏感数据类型。包括但不限于：姓名、地址、身份证号、手机号、银行卡号、Email、车牌号、道路运经营输许可证号、中国护照、车牌号、驾驶证档案编号、座机号、公积金、军官证号、军密认证号、医师执业证书编号、营业执照、开户许可证号、税务登记证号、组织机构名称、组织机构代码、邮政编码、日期、字符串、社会信用代码、永久居住证号、台湾同胞大陆通行证号、港澳通行证号、IP地址、医师资格证书编号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10、支持在系统前台界面自定义操作配置敏感数据类型规则，用于敏感数据的发现；</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11、支持在系统前台页面手动模式修改已发现的敏感数据类型； </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12、支持敏感数据规则组自定义管理，脱敏规则组不与脱敏服务绑定；对脱敏规则组进行调整、修改时不会影响与之相关的脱敏任务，不需要删除与脱敏规则组相关的字段发现以及脱敏任务； </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▲13、支持在一个字段或一列数据中自动发现并识别出所有敏感数据所属的敏感数据类型；（</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 xml:space="preserve">）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14、支持自定义设定样本数目和匹配率进行在全库表或部分表扫描敏感数据类型；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15、支持将发现的敏感数据类型结果web展现；并且能导出成格式化文件或者存储在数据库中；</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16、支持海量数据字典，并支持导入数据字典信息，支持脱敏规则的建立；</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17、支持不少于十种脱敏算法：遮盖、映射、随机、替换、可逆、可逆还原等。可对数据的加密、还原、数据关联等多种数据脱敏的应用场景；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18、支持HASH脱敏算法：SHA256、HASH+盐加密等多种算法；</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19、支持在系统前台界面配置SM3国密脱敏算法；</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20、支持用户自定义脱敏算法策略，脱敏算法提供向导式的配置界面，便于理解、操作和管理；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21、支持黑、白名单过滤功能，其中黑名单过滤做到敏感列中的数据不展示；白名单过滤做到敏感列中的数据不经过脱敏处理，直接展示；</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22、支持脱敏后脱敏数据、混合类型数据保持原有数据特征；</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23、支持自动对发现的敏感数据字段匹配上脱敏策略，同时支持对已匹配的脱敏策略修改；</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24、支持对应用层代理脱敏方式直接针对返回结果进行脱敏；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25、支持识别不同的数据库账号、账号组，具备对不同的数据库账号、账号组配置不同的脱敏规则的能力；</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26、所投设备具备良好的兼容性，具备与医院现有和新建的安全设备、安全平台实现无缝对接、互联互通的能力；</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42</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数据库防火墙</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标准机架式2U硬件架构；CPU：≥16核32线程；内存：≥64G；硬盘：HDD硬盘≥4TB*2，SSD硬盘≥240GB*2；网口：板载千兆电口≥2个，万兆光口≥4个（支持BYPASS功能、含光模块）；电源：服务器冗余电源；具备硬件Watchdog、硬件Bypass功能；</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2、吞吐量峰值≥45000条SQL/秒，并发连接数峰值≥8500,新建连接数峰值≥5000，时延≤3ms；</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3、支持代理模式进行部署，使所有到数据库的流量都先经过数据库防火墙；</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4、支持传统关系型数据库：SQL Server、MySQL、Oracle、Sybase、DB2、Informix、PostgreSQL、MariaDB等的安全防护；支持大数据平台下多种组件的安全审计：包括Hive、ES、MongoDB、Solr等；支持内存数据库HANA、Redis、后关系型数据库Caché、IRIS等特殊应用场景下的数据库安全审计；支持数据库：DM（达梦）、LibrA、GaussDB、GBase、KingBase、Highgo的安全防护；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5、支持基于嗅探技术寻找发现网络环境中存在的数据库资产，实现数据库资产梳理；</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对操作时间、SQL语句、执行结果、返回结果集、影响行数、执行时长、数据库用户名、实例名、源/目的IP、源/目的端口、源MAC、客户端主机名、客户端程序名称、客户端操作系统用户名、会话ID等15个条件以上进行审计；</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通过规则配置，实现对数据库操作类、表、视图、索引、存储过程等各种对象的所有SQL操作审计以及阻断；支持SQL绑定变量的审计阻断，能审计到变量名及变量值；支持数据库嵌套、函数审计(sum求和函数等）、返回结果、脚本等审计以及阻断；</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8、支持通过部署agent实现java web环境100%准确关联，支持B/S业务系统三层关联阻断；支持B/S三层架构下的真实用户名关联配置；</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9、支持操作阻断与会话阻断两种防护机制：操作阻断可精准拦截违规操作，不影响其他正常操作；会话阻断在遇严重威胁时切断整个会话，防止风险扩大；</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10、支持按返回数据行数(阀值)进行精细管控，超出阀值的行为进行阻断或拦截，防止大批量数据泄露；</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11、支持拦截no where引起的整表更新、整表清空的误操作；</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12、支持在不关闭防火墙的情况下，对已阻断行为进行审批放行，实现灵活管控数据库操作行为，满足特殊运维场景的需要。支持针对某个数据库设置放行规则，支持按操作类型、关键字、访问工具、客户端IP、正则表达式、返回行数阈值等条件设置放行规则；（</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hint="eastAsia"/>
                <w:b/>
                <w:color w:val="FF0000"/>
                <w:szCs w:val="21"/>
              </w:rPr>
              <w:t>★13、全面支持后关系型数据库Caché的集成工具Terminal、Portal、Studio、Sqlmanager、sqldbx、MedTrak工具的审计，并支持sqldbx、portal、Sqlmanager工具操作的拦截；</w:t>
            </w:r>
            <w:r>
              <w:rPr>
                <w:rFonts w:ascii="宋体" w:hAnsi="宋体" w:cs="宋体" w:hint="eastAsia"/>
                <w:b/>
                <w:bCs/>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14、支持Hadoop架构下的数据仓库HIVE的防护，能审计与拦截到Hive_HSQL创建数据库、建表、删除表、修改表结构、创建／删除视图、将查询结果插入到Hive表中、基本的查询等操作；</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15、支持针对利用已公开的数据库漏洞攻击行为进行拦截的虚拟补丁功能； </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支持自定义安全防护策略，防护策略的条件包括不限于操作类型、关键字、访问工具、客户端IP、客户端MAC、操作系统主机名、操作系统用户名、应用账户名、数据库账号、数据库名、表名、包、存储过程、函数、视图、字段名、索引、语句长度、语句执行回应、语句执行时间、返回行数、返回内容、正则表达式、规则生效时间；审计策略条件支持等于或不等于、大于等于或小于等逻辑关系；</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17、支持内置安全特征库和审计规则库不少于300条，如SQL注入攻击、跨站脚本攻击、账号提权、导表导库等；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18、支持操作语句系列的组合规则，可根据某一客体的操作行为集合，在设定时间范围内操作了设定的语句集合时进行规则审计告警；</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19、支持重复操作的统计审计规则，可根据在一定的时间内，重复某项操作达到设定的统计次数并进行告警； </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系统内置敏感数据类型，可自动发现业务环境中数据库对象中包含敏感数据类型，进行敏感数据级别的定义；支持敏感数据自定义，支持同步敏感数据扫描结果中的敏感数据，支持自定义敏感规则，可根据配置字段包括操作类型、敏感配置（保护对象所属的敏感数据）主体信息（访问工具、访问IP、客户端MAC、操作系统主机名、操作系统用户名）、规则生效时间进行敏感数据的操作行为监控、阻断防护。</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21、基于大数据全文检索技术，检索效率高达亿条数据秒级响应，快速定位相应的审计内容；</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基于时间、风险级别、保护对象、操作类型、客户端IP、客户端进程、数据库账户、应用账户、规则类型、规则名、规则组名、操作系统主机名、操作系统用户名、客户端MAC地址、客户端端口、服务端IP、服务端口、数据库名、语句长度、语句执行回应、语句执行时间、返回行数、返回结果、会话ID、记录编号、关键字等条件的审计查询；查询条件易于使用，支持等于或不等于、大于等于或小于等逻辑关系；</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23、系统内置分析报表和合规报表，支持源IP、账号、操作类型、客户端进程工具、时间等维度生成报表；</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24、支持自定义报表，统计条件包括不限于风险级别、保护对象、客户端IP、访问工具、操作类型、数据库账户、数据库名、表名、字段名；支持添加统计模板，通过模板生成自定义报表数据；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25、支持当设备出现问题宕机后，自动启用硬件bypass功能，防止单点故障。</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提供管理员权限设置和分权管理，审计用户，系统管理用户、规则管理用户权限分开，相应权限的用户只能查看、管理相应的功能，责任明确，相互监督。对于系统管理员、规则管理的操作行为能进行记录审计；</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27、支持通过API接口、kafka、syslog、SNMP等协议发送到第三方日志管理平台统一管理；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28、支持第三方工单系统对接功能，支持将高危操作类型、操作对象，操作账号、操作时间等参数进行交互；</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29、所投设备应具备良好的兼容性，具备与医院现有和新建的安全设备、安全平台实现无缝对接、互联互通的能力；</w:t>
            </w:r>
          </w:p>
        </w:tc>
      </w:tr>
      <w:tr>
        <w:tblPrEx>
          <w:tblW w:w="5000" w:type="pct"/>
          <w:tblInd w:w="0" w:type="dxa"/>
          <w:tblCellMar>
            <w:top w:w="0" w:type="dxa"/>
            <w:left w:w="108" w:type="dxa"/>
            <w:bottom w:w="0" w:type="dxa"/>
            <w:right w:w="108" w:type="dxa"/>
          </w:tblCellMar>
        </w:tblPrEx>
        <w:trPr>
          <w:trHeight w:val="1728"/>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43</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企业安全验证平台</w:t>
            </w: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1、硬件要求：</w:t>
            </w:r>
            <w:r>
              <w:rPr>
                <w:rFonts w:ascii="宋体" w:hAnsi="宋体" w:cs="宋体" w:hint="eastAsia"/>
                <w:kern w:val="0"/>
                <w:sz w:val="22"/>
                <w:szCs w:val="22"/>
              </w:rPr>
              <w:br/>
            </w:r>
            <w:r>
              <w:rPr>
                <w:rFonts w:ascii="宋体" w:hAnsi="宋体" w:cs="宋体" w:hint="eastAsia"/>
                <w:kern w:val="0"/>
                <w:sz w:val="22"/>
                <w:szCs w:val="22"/>
              </w:rPr>
              <w:t>1.1验证端：硬件产品设备，≥32G内存，≥256G固态硬盘， ≥2T企业级机械硬盘，≥2个USB接口，≥1个RJ45串口，2个GE管理口（1*MGT口、1*HA口），≥4个千兆电口(至少含2组bypass)、≥2个万兆光口（含万兆多模光模块），2U，冗余电源。</w:t>
            </w:r>
            <w:r>
              <w:rPr>
                <w:rFonts w:ascii="宋体" w:hAnsi="宋体" w:cs="宋体" w:hint="eastAsia"/>
                <w:kern w:val="0"/>
                <w:sz w:val="22"/>
                <w:szCs w:val="22"/>
              </w:rPr>
              <w:br/>
            </w:r>
            <w:r>
              <w:rPr>
                <w:rFonts w:ascii="宋体" w:hAnsi="宋体" w:cs="宋体" w:hint="eastAsia"/>
                <w:kern w:val="0"/>
                <w:sz w:val="22"/>
                <w:szCs w:val="22"/>
              </w:rPr>
              <w:t>1.2最少提供5个接收端：硬件产品设备， ≥2G内存，≥1*32G eMMC，≥4个USB接口，≥2个GE电口，≥1个DB9接口，≥1个HDMI接口，桌面级，单电源。</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2.评分统计：支持基于设备类型及厂商维度聚合统计安全设备评分情况，支持统计各厂家各类型设备的平均阻断率、最高阻断率、平均检测率、最高检测率、平均穿透率、最高穿透率。</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纵深防御整体能力验证：支持对各类攻击样本、攻击场景和攻击过程进行手动编排，仿真攻击者边界突破、权限提升、权限维持、横向移动等完整攻击过程，验证攻击路径上相关安全产品的策略有效性，进而实现对纵深防御体系的整体验证。</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4．网站防御有效性专项验证：支持以真实网站为目标发起无害化攻击，验证安全产品对其防护策略的有效性。</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 网站防御覆盖度专项验证</w:t>
            </w:r>
            <w:r>
              <w:rPr>
                <w:rFonts w:ascii="宋体" w:hAnsi="宋体" w:cs="宋体" w:hint="eastAsia"/>
                <w:kern w:val="0"/>
                <w:sz w:val="22"/>
                <w:szCs w:val="22"/>
              </w:rPr>
              <w:br/>
            </w:r>
            <w:r>
              <w:rPr>
                <w:rFonts w:ascii="宋体" w:hAnsi="宋体" w:cs="宋体" w:hint="eastAsia"/>
                <w:kern w:val="0"/>
                <w:sz w:val="22"/>
                <w:szCs w:val="22"/>
              </w:rPr>
              <w:t>支持联动攻击面管理产品，排查对外暴露的网站，并对网站发起模拟攻击，验证安全产品对其防护的覆盖度。</w:t>
            </w:r>
            <w:r>
              <w:rPr>
                <w:rFonts w:ascii="宋体" w:hAnsi="宋体" w:cs="宋体" w:hint="eastAsia"/>
                <w:kern w:val="0"/>
                <w:sz w:val="22"/>
                <w:szCs w:val="22"/>
              </w:rPr>
              <w:br/>
            </w:r>
            <w:r>
              <w:rPr>
                <w:rFonts w:ascii="宋体" w:hAnsi="宋体" w:cs="宋体" w:hint="eastAsia"/>
                <w:kern w:val="0"/>
                <w:sz w:val="22"/>
                <w:szCs w:val="22"/>
              </w:rPr>
              <w:t>支持设置响应码、响应头、响应体等拦截判断方式。</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6.钓鱼邮件专项验证</w:t>
            </w:r>
            <w:r>
              <w:rPr>
                <w:rFonts w:ascii="宋体" w:hAnsi="宋体" w:cs="宋体" w:hint="eastAsia"/>
                <w:kern w:val="0"/>
                <w:sz w:val="22"/>
                <w:szCs w:val="22"/>
              </w:rPr>
              <w:br/>
            </w:r>
            <w:r>
              <w:rPr>
                <w:rFonts w:ascii="宋体" w:hAnsi="宋体" w:cs="宋体" w:hint="eastAsia"/>
                <w:kern w:val="0"/>
                <w:sz w:val="22"/>
                <w:szCs w:val="22"/>
              </w:rPr>
              <w:t>支持通过仿真钓鱼邮件发送行为，对人员防钓鱼意识做专项验证。</w:t>
            </w:r>
            <w:r>
              <w:rPr>
                <w:rFonts w:ascii="宋体" w:hAnsi="宋体" w:cs="宋体" w:hint="eastAsia"/>
                <w:kern w:val="0"/>
                <w:sz w:val="22"/>
                <w:szCs w:val="22"/>
              </w:rPr>
              <w:br/>
            </w:r>
            <w:r>
              <w:rPr>
                <w:rFonts w:ascii="宋体" w:hAnsi="宋体" w:cs="宋体" w:hint="eastAsia"/>
                <w:kern w:val="0"/>
                <w:sz w:val="22"/>
                <w:szCs w:val="22"/>
              </w:rPr>
              <w:t>支持外网和内网钓鱼两种模式，支持记录人员打开钓鱼邮件时间、点击链接及次数、敏感信息填写及次数等信息。</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7.域渗透防护专项验证：支持通过仿真模式实现域渗透防护验证，验证过程中无需在Windows服务器启用域服务。</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8.勒索病毒专项验证</w:t>
            </w:r>
            <w:r>
              <w:rPr>
                <w:rFonts w:ascii="宋体" w:hAnsi="宋体" w:cs="宋体" w:hint="eastAsia"/>
                <w:kern w:val="0"/>
                <w:sz w:val="22"/>
                <w:szCs w:val="22"/>
              </w:rPr>
              <w:br/>
            </w:r>
            <w:r>
              <w:rPr>
                <w:rFonts w:ascii="宋体" w:hAnsi="宋体" w:cs="宋体" w:hint="eastAsia"/>
                <w:kern w:val="0"/>
                <w:sz w:val="22"/>
                <w:szCs w:val="22"/>
              </w:rPr>
              <w:t>支持通过仿真WannaCry、Blackcat、LockBit、Conti等11种勒索病毒的行为，对勒索病毒的防护检测能力做专项验证。</w:t>
            </w:r>
            <w:r>
              <w:rPr>
                <w:rFonts w:ascii="宋体" w:hAnsi="宋体" w:cs="宋体" w:hint="eastAsia"/>
                <w:kern w:val="0"/>
                <w:sz w:val="22"/>
                <w:szCs w:val="22"/>
              </w:rPr>
              <w:br/>
            </w:r>
            <w:r>
              <w:rPr>
                <w:rFonts w:ascii="宋体" w:hAnsi="宋体" w:cs="宋体" w:hint="eastAsia"/>
                <w:kern w:val="0"/>
                <w:sz w:val="22"/>
                <w:szCs w:val="22"/>
              </w:rPr>
              <w:t>支持自定义勒索病毒的加密算法、加密目录和加密后文件扩展名，支持手动输入密钥，解密勒索病毒。</w:t>
            </w:r>
            <w:r>
              <w:rPr>
                <w:rFonts w:ascii="宋体" w:hAnsi="宋体" w:cs="宋体" w:hint="eastAsia"/>
                <w:kern w:val="0"/>
                <w:sz w:val="22"/>
                <w:szCs w:val="22"/>
              </w:rPr>
              <w:br/>
            </w:r>
            <w:r>
              <w:rPr>
                <w:rFonts w:ascii="宋体" w:hAnsi="宋体" w:cs="宋体" w:hint="eastAsia"/>
                <w:kern w:val="0"/>
                <w:sz w:val="22"/>
                <w:szCs w:val="22"/>
              </w:rPr>
              <w:t>支持模拟病毒的传播行为。</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9.内网横向移动专项验证：支持使用接收端作为攻击发起方，仿真攻击者在内网横向移动行为，对内网横向移动的防御能力进行专项验证。</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10.验证结果：支持统计各项评估分类的验证结果占比情况以及资产验证结果占比情况，支持展示每条样本对应的评估结果及得分，支持以不同维度筛选验证样本，并支持手动修订验证结果和批量下载。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 剧本编排：支持可视化展示验证任务中所包含的样本，并支持手动拖拽调整任务中样本执行的顺序，以及单个样本重复执行的次数和停顿时间。</w:t>
            </w:r>
          </w:p>
        </w:tc>
      </w:tr>
      <w:tr>
        <w:tblPrEx>
          <w:tblW w:w="5000" w:type="pct"/>
          <w:tblInd w:w="0" w:type="dxa"/>
          <w:tblCellMar>
            <w:top w:w="0" w:type="dxa"/>
            <w:left w:w="108" w:type="dxa"/>
            <w:bottom w:w="0" w:type="dxa"/>
            <w:right w:w="108" w:type="dxa"/>
          </w:tblCellMar>
        </w:tblPrEx>
        <w:trPr>
          <w:trHeight w:val="288"/>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44</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企业终端安全管理系统</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一.系统架构要求：</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1.支持通过同一个客户端、同一个服务器端进行管理,客户端和服务器端之间只有一个通讯端口,且只需部署一套服务器端。</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2.支持一主多从服务器工作机制，主服务器故障，第一优先级从服务器接管工作，主从均故障时，第二优先级从服务器接管工作，以此类推。</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3.客户端支持自动连接最优的中继服务器，可自动实现客户端连接中继服务器的负载均衡。</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4.本系统的服务器端数据库需搭建在MSsql或者MySQL上，同时要求MSsql和MySQL都支持双机热备功能。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二．</w:t>
            </w:r>
            <w:r>
              <w:rPr>
                <w:rFonts w:ascii="宋体" w:hAnsi="宋体" w:cs="宋体" w:hint="eastAsia"/>
                <w:b/>
                <w:bCs/>
                <w:kern w:val="0"/>
                <w:sz w:val="22"/>
                <w:szCs w:val="22"/>
              </w:rPr>
              <w:t>操作系统支持：</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1、服务器端支持windows 2000/XP/2003/vista/7/8/10/2008/2012等系列操作系统，包括32/64位系统。</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2、客户端支持Mac OS X10.8~10.15.3之间的所有版本。</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3、客户端支持linux操作系统，支持发行版本包括：Redhat、Ubuntu、CentOS、Fedora、Debian。</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4.客户端支持信创操作系统。</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5.客户端授权支持免费在各种操作系统上更换（windows、linux、macos、信创） 。</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三.</w:t>
            </w:r>
            <w:r>
              <w:rPr>
                <w:rFonts w:ascii="宋体" w:hAnsi="宋体" w:cs="宋体" w:hint="eastAsia"/>
                <w:b/>
                <w:bCs/>
                <w:kern w:val="0"/>
                <w:sz w:val="22"/>
                <w:szCs w:val="22"/>
              </w:rPr>
              <w:t>基础功能：</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可对客户端计算机进行锁定、解锁、关闭、注销、重启及发送通知消息等。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可对计算机系统相关属性的使用权限进行控制，具体如下：</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a) 控制面板、设置屏幕属性、添加打印机、删除打印机、快速切换用户、修改计算机名称；</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b) 设备管理器、使用磁盘管理、本地用户和组、系统服务管理；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c) 任务管理器、注册表编辑器、命令提示符、运行注册表中Run下的程序、运行注册表中RunOnce下的程序；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d) 修改网络属性、显示“网络邻居”、修改Internet选项、默认网络共享、使用网络共享、增加网络共享；</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e) 修改网络IP/MAC配置；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f) 聊天类ActiveX控件、影音类ActiveX控件、游戏类ActiveX控件、Flash类ActiveX控件；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g) 使用print screen键复制屏幕、系统还原、windows自动更新。</w:t>
            </w:r>
          </w:p>
        </w:tc>
      </w:tr>
      <w:tr>
        <w:tblPrEx>
          <w:tblW w:w="5000" w:type="pct"/>
          <w:tblInd w:w="0" w:type="dxa"/>
          <w:tblCellMar>
            <w:top w:w="0" w:type="dxa"/>
            <w:left w:w="108" w:type="dxa"/>
            <w:bottom w:w="0" w:type="dxa"/>
            <w:right w:w="108" w:type="dxa"/>
          </w:tblCellMar>
        </w:tblPrEx>
        <w:trPr>
          <w:trHeight w:val="1440"/>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可按“时间”、“到期时间”灵活设置策略，并可设置策略“仅离线生效”；</w:t>
            </w:r>
            <w:r>
              <w:rPr>
                <w:rFonts w:ascii="宋体" w:hAnsi="宋体" w:cs="宋体" w:hint="eastAsia"/>
                <w:kern w:val="0"/>
                <w:sz w:val="22"/>
                <w:szCs w:val="22"/>
              </w:rPr>
              <w:br/>
            </w:r>
            <w:r>
              <w:rPr>
                <w:rFonts w:ascii="宋体" w:hAnsi="宋体" w:cs="宋体" w:hint="eastAsia"/>
                <w:kern w:val="0"/>
                <w:sz w:val="22"/>
                <w:szCs w:val="22"/>
              </w:rPr>
              <w:t>支持对计算机进行安全检测，检测内容包括：是否安装/运行杀毒软件，是否安装/运行特定应用程序、是否开启/禁止系统服务、是否安装特定补丁及其他特定文件、注册表项等；</w:t>
            </w:r>
            <w:r>
              <w:rPr>
                <w:rFonts w:ascii="宋体" w:hAnsi="宋体" w:cs="宋体" w:hint="eastAsia"/>
                <w:kern w:val="0"/>
                <w:sz w:val="22"/>
                <w:szCs w:val="22"/>
              </w:rPr>
              <w:br/>
            </w:r>
            <w:r>
              <w:rPr>
                <w:rFonts w:ascii="宋体" w:hAnsi="宋体" w:cs="宋体" w:hint="eastAsia"/>
                <w:kern w:val="0"/>
                <w:sz w:val="22"/>
                <w:szCs w:val="22"/>
              </w:rPr>
              <w:t>可查看计算机安全检测状态，当检测条件不满足时，可对计算机进行告警提示；</w:t>
            </w:r>
            <w:r>
              <w:rPr>
                <w:rFonts w:ascii="宋体" w:hAnsi="宋体" w:cs="宋体" w:hint="eastAsia"/>
                <w:kern w:val="0"/>
                <w:sz w:val="22"/>
                <w:szCs w:val="22"/>
              </w:rPr>
              <w:br/>
            </w:r>
            <w:r>
              <w:rPr>
                <w:rFonts w:ascii="宋体" w:hAnsi="宋体" w:cs="宋体" w:hint="eastAsia"/>
                <w:kern w:val="0"/>
                <w:sz w:val="22"/>
                <w:szCs w:val="22"/>
              </w:rPr>
              <w:t>可对安全检测进行日志记录，并可按时间、范围及检测结果等进行查询。</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3.支持对计算机的硬件变化、设备的插入拔出、存储设备变化、通讯设备变化、软件变化、系统服务变化、启动项变化、系统时钟变化、计算机名称变化、网络配置变化、磁盘空间不足等进行报警并形成日志。</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4.支持记录客户端IP地址的变化日志，可通过控制台查询历史时间段内客户端使用了那些IP地址，实现IP地址使用的定位追溯。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5.支持指定时间范围锁定计算机或离线锁定计算机。</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6.支持检测并记录终端计算机的内外网状态，可显示终端计算机处于内网、外网或VPN网。</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7.当计算机运行过程中CPU和内存超过指定阈值时，则进入低效能模式，客户端软件将减少或延迟处理相关任务。</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四.</w:t>
            </w:r>
            <w:r>
              <w:rPr>
                <w:rFonts w:ascii="宋体" w:hAnsi="宋体" w:cs="宋体" w:hint="eastAsia"/>
                <w:b/>
                <w:bCs/>
                <w:kern w:val="0"/>
                <w:sz w:val="22"/>
                <w:szCs w:val="22"/>
              </w:rPr>
              <w:t>外设管理：</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1.当用户私拆硬盘时，能自动发送邮件或弹窗想管理员提醒或报警。</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2.支持禁用光驱、磁带驱动器、记忆棒、智能卡、MO、Zip、非系统驱动器、USB控制器和连接器、SCSI接口、直接电缆连线、拨号连接、声音设备、虚拟光驱、无线网络连接等外接设备。</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3.支持禁用移动智能终端的多种接入方式（便携设备方式访问、U盘存储方式访问、手机助手访问）。</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4.可通过设置SSID、BSSID信息对客户端连接指定的无线网络进行控制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当客户端有设备被禁止时，客户端可以通过提交申请，请求在一定时间内，放开对某设备的控制。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5.支持审批权限委托，可将审批权限委托给代理管理员，并可设定委托有效时间，支持委托人在线时自动取消委托设定。</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五．</w:t>
            </w:r>
            <w:r>
              <w:rPr>
                <w:rFonts w:ascii="宋体" w:hAnsi="宋体" w:cs="宋体" w:hint="eastAsia"/>
                <w:b/>
                <w:bCs/>
                <w:kern w:val="0"/>
                <w:sz w:val="22"/>
                <w:szCs w:val="22"/>
              </w:rPr>
              <w:t>网络管理：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1.可通过应用程序、端口、网络地址、域名、通讯方向等参数限制计算机的网络访问权限，可限制单向或双向的通讯方向。</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2.可自定义网络地址和网络端口类别，方便归类管理。</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3.可检测内部网络是否有外来计算机非法接入并提供实时报警。</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4.支持限制计算机只能使用一个网络功能。</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5.支持接入指定网络时弹出提示或阻断网络，防止低密级网段的电脑私自接入到高密级网段。</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6.可与安全检测功能相结合，阻断不合规客户端访问网络，直到终端符合安全检测的要求，才允许访问网络。</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7.可按“时间”、“到期时间”、“仅离线生效”灵活设置策略</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当终端的通讯行为触发策略时，支持记录下当时的屏幕画面或锁定计算机。</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六.</w:t>
            </w:r>
            <w:r>
              <w:rPr>
                <w:rFonts w:ascii="宋体" w:hAnsi="宋体" w:cs="宋体" w:hint="eastAsia"/>
                <w:b/>
                <w:bCs/>
                <w:kern w:val="0"/>
                <w:sz w:val="22"/>
                <w:szCs w:val="22"/>
              </w:rPr>
              <w:t>程序管理：</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1.支持通过应用程序进程名称、应用程序分类等方式对应用程序的使用权限进行控制，禁止非法应用程序运行，合法的应用程序可以正常使用；</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对应用程序的安装权限进行控制，支持黑白名单，即可禁止全部软件安装，再允许部分软件安装，也支持禁止指定软件安装，支持安装包规则库，可通过产品名称/主题、文件说明/标题、公司名称、安装包名称、安装包大小等规则来限制软件的安装权限；</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3.支持限制指定软件同时使用的人数(并发数)，防止软件使用人数超过采购的数量；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4.支持通过运维密码在指定时间内临时放开软件安装权限；</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5.支持对应用程序的卸载权限进行控制，支持黑白名单，即可禁止全部软件卸载，再允许部分软件卸载，也支持禁止指定软件卸载；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6.支持通过应用程序进程名称、应用程序分类等方式对应用程序的使用权限进行控制，禁止非法应用程序运行，合法的应用程序可以正常使用；</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对应用程序的安装权限进行控制，支持黑白名单，即可禁止全部软件安装，再允许部分软件安装，也支持禁止指定软件安装，支持安装包规则库，可通过产品名称/主题、文件说明/标题、公司名称、安装包名称、安装包大小等规则来限制软件的安装权限；</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8.支持限制指定软件同时使用的人数(并发数)，防止软件使用人数超过采购的数量</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9.支持通过运维密码在指定时间内临时放开软件安装权限</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支持对应用程序的卸载权限进行控制，支持黑白名单，即可禁止全部软件卸载，再允许部分软件卸载，也支持禁止指定软件卸载；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支持软件窗口水印，在打开重要的应用程序或文件时显示水印，操作其他程序或文件不显示水印，不影响用户阅读</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支持桌面水印，可以设置文字、图片、二维码水印，扫码能识别电脑 IP 地址、mac 地址、计算机名、用户名等相关信息</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七．</w:t>
            </w:r>
            <w:r>
              <w:rPr>
                <w:rFonts w:ascii="宋体" w:hAnsi="宋体" w:cs="宋体" w:hint="eastAsia"/>
                <w:b/>
                <w:bCs/>
                <w:kern w:val="0"/>
                <w:sz w:val="22"/>
                <w:szCs w:val="22"/>
              </w:rPr>
              <w:t>资产管理：</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1.可对计算机硬件、软件资产信息进行检测、统计、查询；</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2.可对计算机硬件、软件资产变更进行检测，并产生告警；</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3.支持自定义添加其他类别资产信息，并支持自定义查询；</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4.支持根据扩展资产登记的部门和员工信息，自动将计算机同步到组织架构的对应分组中；</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5.可对正版软件采购信息进行录入、统计，并可对计算机安装的软件信息进行统计、查询；</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6.可检测计算机补丁安装情况，并可集中下载最新补丁进行统一安装，支持“计算机模式”和“补丁模式”；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7.可对微软操作系统漏洞进行检测，并提供解决漏洞问题的建议，支持“计算机模式”和“补丁模式”；</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8.可制作软件安装包或脚本分发至各计算机进行集中安装，安装模式支持安装软件、执行程序（运行一次）和派发文件，支持将普通用户权限提升到管理员权限进行软件安装；</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9.支持“计算机模式”和“软件模式”对软件进行强制、批量卸载，卸载任务模式支持“只执行一次”和“持续进行”，并且可对任务执行时间段进行设置；</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远程查看客户端计算机当前运行的应用程序、进程、性能、设备管理、系统服务、磁盘管理、共享文件夹、计划任务、用户和组、启动项等，并可对应用程序、进程、系统服务、共享文件夹等进行操作，如可关闭当前运行的应用程序、进程等；</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11.支持远程卸载客户端计算机安装的软件，并支持对安装项信息进行自定义卸载；</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八.</w:t>
            </w:r>
            <w:r>
              <w:rPr>
                <w:rFonts w:ascii="宋体" w:hAnsi="宋体" w:cs="宋体" w:hint="eastAsia"/>
                <w:b/>
                <w:bCs/>
                <w:kern w:val="0"/>
                <w:sz w:val="22"/>
                <w:szCs w:val="22"/>
              </w:rPr>
              <w:t>远程维护：</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1.可点对多远程连接到远端计算机的桌面，直接对计算机进行操作，并支持对远端计算机的键盘、鼠标进行控制；</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2.支持远程控制时切换用户能自动重连；</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3.支持拦截软件弹窗广告；</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4.支持必须经过客户端允许、密码设定和强制认证远程等方式的远程控制功能；</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5.支持远程文档传输，提供管理控制台与客户端相互传送文件的功能</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支持对客户端下达任务，将客户端全盘文件目录列表或U盘文件列表上传到服务器，支持把客户端某个指定的文件上传到服务器；</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6.支持不用远程登录客户端桌3333面即可查看和管理（关闭和启动）客户端进程、共享文件夹、服务等功能 </w:t>
            </w:r>
          </w:p>
        </w:tc>
      </w:tr>
      <w:tr>
        <w:tblPrEx>
          <w:tblW w:w="5000" w:type="pct"/>
          <w:tblInd w:w="0" w:type="dxa"/>
          <w:tblCellMar>
            <w:top w:w="0" w:type="dxa"/>
            <w:left w:w="108" w:type="dxa"/>
            <w:bottom w:w="0" w:type="dxa"/>
            <w:right w:w="108" w:type="dxa"/>
          </w:tblCellMar>
        </w:tblPrEx>
        <w:trPr>
          <w:trHeight w:val="1440"/>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45</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1、网络层吞吐量≥60G，并发连接≥1500万，每秒新建连接数≥45万， 标准≤2U机箱，冗余电源，标准配置板载8个10/100/1000M自适应电、8个SFP插槽（配置8个千兆多模光模块）和6个SFP+插槽（配置6个万兆多模光模块），4口40G QSFP（配置4个40G QSFP光模块），另有≥2个扩展插槽，≥1个Console口，≥1个HA接口，≥1个MGT接口，默认含32个IPsecVPN 并发隧道数（最大30000）和32个SSLVPN 并发用户数（最大4000）支持液晶屏。</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2、防火墙系统软件,含应用控制、URL过滤、病毒防护、入侵防御、威胁情报检测等功能（高级功能激活、特征库升级、威胁情报订阅需额外订购许可）</w:t>
            </w:r>
          </w:p>
        </w:tc>
      </w:tr>
      <w:tr>
        <w:tblPrEx>
          <w:tblW w:w="5000" w:type="pct"/>
          <w:tblInd w:w="0" w:type="dxa"/>
          <w:tblCellMar>
            <w:top w:w="0" w:type="dxa"/>
            <w:left w:w="108" w:type="dxa"/>
            <w:bottom w:w="0" w:type="dxa"/>
            <w:right w:w="108" w:type="dxa"/>
          </w:tblCellMar>
        </w:tblPrEx>
        <w:trPr>
          <w:trHeight w:val="288"/>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46</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物联网安全网关</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一、安全管理平台（1台）</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1.≥1U标准机架式，千兆电口≥4个，万兆光口≥4个，存储容量≥14.4T，内存≥96GB DDR4 3200，系统盘≥1*480GB M.2 SSD，数据盘≥4*4TB，双电源。</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责任人管理功能，可对资产进行全生命周期管理，包括自动识别资产、入库审核、离线资产识别、自动识别资产图库、手动导入资产退库、自定义资产名称等。针对自动识别资产退库功能，可设置全局退库时间，数据更新时间。支持主机资产分级管理，责任人管理。</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资产属性重新识别，当发现资产数据不准确时，可清空该资产属性，如主机名、备注、操作系统、标签、地理位置、硬件信息、应用软件信息、账号信息、责任人信息、服务与端口信息等，重新发起识别后，平台会自动补齐资产属性，可批量操作。</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4.支持整体展示服务器脆弱性风险分析、热点漏洞情况、脆弱性风险详情（漏洞风险、配置风险、弱密码、web明文传输、可用性风险），支持第三方漏扫报告导入和解析，可按资产组分类上传，支持上传文件。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5.支持解决海量告警无法全部分析研判，出现漏报误报的问题，能够从自动化攻击、黑灰产攻击、误报、定向攻击、正常业务、攻防演练攻击等方面开展安全告警威胁定性分析，发掘高价值安全告警。</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▲6.支持EBA实体行为分析功能，通过对对象进行持续的行为分析和行为画像构建、识别服务器异常，包括DGA解析请求、外联C&amp;C服务器、异常协议利用、下载可疑文件、异常横向访问等。（</w:t>
            </w:r>
            <w:r>
              <w:rPr>
                <w:rFonts w:ascii="宋体" w:hAnsi="宋体" w:cs="宋体" w:hint="eastAsia"/>
                <w:b/>
                <w:bCs/>
                <w:color w:val="0000FF"/>
                <w:kern w:val="0"/>
                <w:sz w:val="22"/>
                <w:szCs w:val="22"/>
              </w:rPr>
              <w:t>投标时同时提供：①由第三方检验检测机构出具并加盖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7.支持通过全流量深度分析，对SSL/TLS加密后的流量进行建模检测，能够检测出使用加密挖矿、加密黑客工具、加密反弹shell、加密webshell的加密流量通信。</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二、安全网关（1台）</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1.≥1U标准机架式，千兆电口≥8个，万兆光口SFP+（含万兆多模光纤模块）≥2个，网络层吞吐量≥10G，医疗物联网场景吞吐（入侵防御）≥1G。</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2.支持路由类型、协议类型、网络对象、国家地区等条件进行自动选路的策略路由，支持不少于3种的调度算法，至少包括带宽比例、加权流量、线路优先等。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3.具备勒索防护功能、CC攻击防护功能、Cookie攻击防护功能。具备僵尸主机检测功能，僵尸网络特征库不低于128万种，可识别主机的异常外联行为。</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4.具备入侵防护IPS功能模块，漏洞规则不低于16000种，并支持失陷外联检测，至少应包含DNS隧道检测、HTTP隧道检测、Webshell加密通信检测能力。</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5.支持X-Forworded-For字段检测技术，并对非法源IP进行日志记录和联动封锁。支持服务器漏洞防扫描技术，并对扫描源IP进行日志记录和联动封锁。</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6.具备账号全生命周期保护功能，包括用户账号多余入口检测、用户账号弱口令检测、用户账号暴力破解检测、失陷账号检测，防止因账号被暴力破解导致的非法提权情况发生。</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▲7.可识别 IT、OT、IoT 混合资产，获取 IP、MAC、操作系统、类型、厂商等信息，终端类型包括但不限于：（1）PC、瘦客户机、手机、平板、交换机、路由器、防火墙、无线控制器、服务器等 IT 资产；（2）摄像头、门禁、打印机、投影仪、VOIP 设备、条形码扫描仪、医学图像打印机、呼吸机、心电图仪、监护仪、放射系统等 IoT 资产。（</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8.具备策略生命周期管理功能。支持对安全策略修改的时间、原因、变更类型进行统一管理，便于策略的运维与管理。</w:t>
            </w:r>
          </w:p>
        </w:tc>
      </w:tr>
      <w:tr>
        <w:tblPrEx>
          <w:tblW w:w="5000" w:type="pct"/>
          <w:tblInd w:w="0" w:type="dxa"/>
          <w:tblCellMar>
            <w:top w:w="0" w:type="dxa"/>
            <w:left w:w="108" w:type="dxa"/>
            <w:bottom w:w="0" w:type="dxa"/>
            <w:right w:w="108" w:type="dxa"/>
          </w:tblCellMar>
        </w:tblPrEx>
        <w:trPr>
          <w:trHeight w:val="427"/>
        </w:trPr>
        <w:tc>
          <w:tcPr>
            <w:tcW w:w="256" w:type="pct"/>
            <w:vMerge/>
            <w:tcBorders>
              <w:top w:val="nil"/>
              <w:left w:val="single" w:sz="4" w:space="0" w:color="auto"/>
              <w:bottom w:val="single" w:sz="4" w:space="0" w:color="auto"/>
              <w:right w:val="single" w:sz="4" w:space="0" w:color="auto"/>
            </w:tcBorders>
            <w:noWrap w:val="0"/>
            <w:vAlign w:val="center"/>
          </w:tcPr>
          <w:p>
            <w:pPr>
              <w:widowControl/>
            </w:pPr>
          </w:p>
        </w:tc>
        <w:tc>
          <w:tcPr>
            <w:tcW w:w="515" w:type="pct"/>
            <w:vMerge/>
            <w:tcBorders>
              <w:top w:val="nil"/>
              <w:left w:val="single" w:sz="4" w:space="0" w:color="auto"/>
              <w:bottom w:val="single" w:sz="4" w:space="0" w:color="auto"/>
              <w:right w:val="single" w:sz="4" w:space="0" w:color="auto"/>
            </w:tcBorders>
            <w:noWrap w:val="0"/>
            <w:vAlign w:val="center"/>
          </w:tcPr>
          <w:p>
            <w:pPr>
              <w:widowControl/>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9.能够针对 IoT 漏洞攻击进行检测和防护，内置超过 3000 种 IoT 漏洞特征规则库。</w:t>
            </w:r>
          </w:p>
        </w:tc>
      </w:tr>
      <w:tr>
        <w:tblPrEx>
          <w:tblW w:w="5000" w:type="pct"/>
          <w:tblInd w:w="0" w:type="dxa"/>
          <w:tblCellMar>
            <w:top w:w="0" w:type="dxa"/>
            <w:left w:w="108" w:type="dxa"/>
            <w:bottom w:w="0" w:type="dxa"/>
            <w:right w:w="108" w:type="dxa"/>
          </w:tblCellMar>
        </w:tblPrEx>
        <w:trPr>
          <w:trHeight w:val="864"/>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47</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安全监测与响应管理平台</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1、硬件要求：集群式部署，至少3节点，每节点配置：≥2U标准机架式，内存≥256GB DDR4 3200，系统盘≥240GB SATA 固态硬盘，数据盘≥96TB SATA机械硬盘，双电源，接口≥4千兆电口+2万兆光口（含万兆多模光纤模块）。</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平台要求：支持3节点服务部署，支持节点扩容，提供基础的网端、终端侧的检测数据接入和处理；实现对告警日志、遥测数据、审计信息的存储和检索；对跨安全产品的检测和响应机制提供基础的信息汇聚、存储、关联和分析能力；包含管理平台、检测响应分析引擎、数据湖模块、仪表盘、安全事件检索与调查、报表、基础大屏等功能。包含日最大3亿日志量接入性能的授权。</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3、组件配置：提供高级漏洞管理模块1套，第三方日志分析模块1套，SOAR模块1套，物联网安全分析系统模块1套；</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4.交付服务：提供≥10人天工作量，包含需求调研&amp;现场调研、实施方案设计与评审确认、平台部署、组件联调、质量检查、资产初始化（50个资产以内）、关键价值展示、测试验证、知识转移&amp;项目验收。</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5.支持攻击链、入口点、父子进程、影响面的还原，可支持进程树纵向拓展层级≥10个、横向拓展层级≥15个，以对风险资产的复杂威胁提供更全面细颗粒度的展现视角；</w:t>
            </w:r>
          </w:p>
        </w:tc>
      </w:tr>
      <w:tr>
        <w:tblPrEx>
          <w:tblW w:w="5000" w:type="pct"/>
          <w:tblInd w:w="0" w:type="dxa"/>
          <w:tblCellMar>
            <w:top w:w="0" w:type="dxa"/>
            <w:left w:w="108" w:type="dxa"/>
            <w:bottom w:w="0" w:type="dxa"/>
            <w:right w:w="108" w:type="dxa"/>
          </w:tblCellMar>
        </w:tblPrEx>
        <w:trPr>
          <w:trHeight w:val="635"/>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6.支持对接入设备进行数据质量三级安全效果评级，要求：（1）一级安全效果：至少包含日志解析，设备上报日志触发规则后能够生成安全日志，触发一次规则生成一条安全日志；（2）二级安全效果：至少包含A.告警聚合：将多条同类安全日志聚合生成告警; B.告警融合：将不同来源设备上报的日志融合生成告警,C.业务误报：能检测到告警是由正常业务访问行为触发，非攻击行为; (3)三级安全效果：A.攻击成功：能够检测出告警的攻击结果为攻击成功,B.威胁定性：能够对告警的攻击行为进行定性，比如是否业务行为、病毒行为、定向攻击行为、扫描行为等,C.人为攻击：能够检测到告警定性为定向攻击，人为针对性攻击行为,D.网端关联告警：网和端设备检测的告警能够关联成一条告警,E.网端关联事件：网和端设备检测的事件能够关联成一条事件,F.攻击链还原：能够将事件还原攻击过程并形成攻击链。（</w:t>
            </w:r>
            <w:r>
              <w:rPr>
                <w:rFonts w:ascii="宋体" w:hAnsi="宋体" w:cs="宋体" w:hint="eastAsia"/>
                <w:b/>
                <w:bCs/>
                <w:color w:val="0000FF"/>
                <w:kern w:val="0"/>
                <w:sz w:val="22"/>
                <w:szCs w:val="22"/>
              </w:rPr>
              <w:t>投标时同时提供：①由第三方检验检测机构出具并加盖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7.支持多源告警消减与融合，对告警进行payload相似度、单个攻击源对多个目标发起的相似攻击、多个攻击源对单个目标发起的相似攻击等维度的深度聚合归并。</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对终端遥测数据缺失、端点覆盖率不全的场景下，基于网端遥测数据采用图神经网络等AI算法实现故事线自动仿真模拟诊断，最大限度辅助诊断终端遥测数据缺失情境下的威胁风险，在无终端情况下提供近似有终端的安全效果。</w:t>
            </w:r>
          </w:p>
        </w:tc>
      </w:tr>
      <w:tr>
        <w:tblPrEx>
          <w:tblW w:w="5000" w:type="pct"/>
          <w:tblInd w:w="0" w:type="dxa"/>
          <w:tblCellMar>
            <w:top w:w="0" w:type="dxa"/>
            <w:left w:w="108" w:type="dxa"/>
            <w:bottom w:w="0" w:type="dxa"/>
            <w:right w:w="108" w:type="dxa"/>
          </w:tblCellMar>
        </w:tblPrEx>
        <w:trPr>
          <w:trHeight w:val="288"/>
        </w:trPr>
        <w:tc>
          <w:tcPr>
            <w:tcW w:w="25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48</w:t>
            </w:r>
          </w:p>
        </w:tc>
        <w:tc>
          <w:tcPr>
            <w:tcW w:w="515"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安全GPT智能运营</w:t>
            </w: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1.支持网络安全概念、工具、漏洞、术语等专业内容的解释和解读；</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2.支持攻击智能解读，包含：恶意数据包、可疑命令、攻击脚本等，自动解读攻击目的、手法及原理；HTTP数据包解读，对数据包payload进行自然语言解释、意图分析，并提供修复建议；</w:t>
            </w:r>
          </w:p>
        </w:tc>
      </w:tr>
      <w:tr>
        <w:tblPrEx>
          <w:tblW w:w="5000" w:type="pct"/>
          <w:tblInd w:w="0" w:type="dxa"/>
          <w:tblCellMar>
            <w:top w:w="0" w:type="dxa"/>
            <w:left w:w="108" w:type="dxa"/>
            <w:bottom w:w="0" w:type="dxa"/>
            <w:right w:w="108" w:type="dxa"/>
          </w:tblCellMar>
        </w:tblPrEx>
        <w:trPr>
          <w:trHeight w:val="1152"/>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威胁实体调查，支持输入输入外部威胁情报，安全GPT自动提取关键信息，自动梳理情报的上下文信息，揭示威胁的活动轨迹和攻击链条。支持威胁情报解读文字、图片、链接的可视化展示，支持展示威胁情报威胁等级、发现时间、更新时间、告警次数、影响客户数等。支持调用威胁情报分析恶意文件MD5，并返回大模型解读结果，并支持将结果辅助导出。</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自动化值守状态整体监控，可基于时间自定义筛选，支持展示接入设备组件名称及告警数量、告警总数、GPT告警消减后的事件总数、自动执行处置数、人工决策处置数、以及已闭环和未闭环的事件数量。支持展示值守时间至XX天XX时XX分，可查看告警研判覆盖率、累积节省研判用时等。</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5.支持告警降噪与定性，支持针对全量告警的安全GPT生成式分析，实现可疑行为、业务误报、真实攻击未成功等研判结论，帮助安全运营人员有效过滤海量误报并聚焦有效告警。</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6.支持研判分析过程思维链展示，包含自动生成攻击者IP分析、数据包内容分析、攻击成功原因分析、攻击趋势分析等维度的内容。</w:t>
            </w:r>
          </w:p>
        </w:tc>
      </w:tr>
      <w:tr>
        <w:tblPrEx>
          <w:tblW w:w="5000" w:type="pct"/>
          <w:tblInd w:w="0" w:type="dxa"/>
          <w:tblCellMar>
            <w:top w:w="0" w:type="dxa"/>
            <w:left w:w="108" w:type="dxa"/>
            <w:bottom w:w="0" w:type="dxa"/>
            <w:right w:w="108" w:type="dxa"/>
          </w:tblCellMar>
        </w:tblPrEx>
        <w:trPr>
          <w:trHeight w:val="864"/>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▲7.支持安全GPT对事件的全量分析研判，安全事件列表支持至少按照等级、名称、事件ID、GPT研判结论、安全事件一级分类、安全事件二级分类、影响资产等维度展示事件属性。（</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r>
      <w:tr>
        <w:tblPrEx>
          <w:tblW w:w="5000" w:type="pct"/>
          <w:tblInd w:w="0" w:type="dxa"/>
          <w:tblCellMar>
            <w:top w:w="0" w:type="dxa"/>
            <w:left w:w="108" w:type="dxa"/>
            <w:bottom w:w="0" w:type="dxa"/>
            <w:right w:w="108" w:type="dxa"/>
          </w:tblCellMar>
        </w:tblPrEx>
        <w:trPr>
          <w:trHeight w:val="576"/>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8.支持一键遏制操作，智能提取关键威胁实体，结合端网能力一键处置，在业务影响最小化的情况下，实现外部威胁不入内网，关键数据不出内网，确保威胁“进不来、出不去、不扩散”。</w:t>
            </w:r>
          </w:p>
        </w:tc>
      </w:tr>
      <w:tr>
        <w:tblPrEx>
          <w:tblW w:w="5000" w:type="pct"/>
          <w:tblInd w:w="0" w:type="dxa"/>
          <w:tblCellMar>
            <w:top w:w="0" w:type="dxa"/>
            <w:left w:w="108" w:type="dxa"/>
            <w:bottom w:w="0" w:type="dxa"/>
            <w:right w:w="108" w:type="dxa"/>
          </w:tblCellMar>
        </w:tblPrEx>
        <w:trPr>
          <w:trHeight w:val="288"/>
        </w:trPr>
        <w:tc>
          <w:tcPr>
            <w:tcW w:w="25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515"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2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9.无需本地部署，可深度对接安全监测与响应管理平台。</w:t>
            </w:r>
          </w:p>
        </w:tc>
      </w:tr>
    </w:tbl>
    <w:p>
      <w:pPr>
        <w:pStyle w:val="NormalIndent"/>
        <w:ind w:firstLine="0"/>
      </w:pPr>
    </w:p>
    <w:p>
      <w:pPr>
        <w:pStyle w:val="NormalIndent"/>
        <w:ind w:firstLine="0"/>
      </w:pPr>
      <w:r>
        <w:rPr>
          <w:rFonts w:hint="eastAsia"/>
        </w:rPr>
        <w:t>2）商用密码技术需求</w:t>
      </w:r>
    </w:p>
    <w:tbl>
      <w:tblPr>
        <w:tblStyle w:val="TableNormal"/>
        <w:tblW w:w="5000" w:type="pct"/>
        <w:tblInd w:w="0" w:type="dxa"/>
        <w:tblCellMar>
          <w:top w:w="0" w:type="dxa"/>
          <w:left w:w="108" w:type="dxa"/>
          <w:bottom w:w="0" w:type="dxa"/>
          <w:right w:w="108" w:type="dxa"/>
        </w:tblCellMar>
      </w:tblPr>
      <w:tblGrid>
        <w:gridCol w:w="638"/>
        <w:gridCol w:w="1235"/>
        <w:gridCol w:w="6656"/>
      </w:tblGrid>
      <w:tr>
        <w:tblPrEx>
          <w:tblW w:w="5000" w:type="pct"/>
          <w:tblInd w:w="0" w:type="dxa"/>
          <w:tblCellMar>
            <w:top w:w="0" w:type="dxa"/>
            <w:left w:w="108" w:type="dxa"/>
            <w:bottom w:w="0" w:type="dxa"/>
            <w:right w:w="108" w:type="dxa"/>
          </w:tblCellMar>
        </w:tblPrEx>
        <w:trPr>
          <w:trHeight w:val="312"/>
        </w:trPr>
        <w:tc>
          <w:tcPr>
            <w:tcW w:w="374" w:type="pct"/>
            <w:tcBorders>
              <w:top w:val="single" w:sz="4" w:space="0" w:color="auto"/>
              <w:left w:val="single" w:sz="4" w:space="0" w:color="auto"/>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724"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设备名称</w:t>
            </w:r>
          </w:p>
        </w:tc>
        <w:tc>
          <w:tcPr>
            <w:tcW w:w="3901"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技术参数</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IPSec/SSL VPN综合安全网关</w:t>
            </w: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1、支持客户端证书过滤功能，支持基于 issus、subject 等项拒绝连接。</w:t>
            </w:r>
          </w:p>
        </w:tc>
      </w:tr>
      <w:tr>
        <w:tblPrEx>
          <w:tblW w:w="5000" w:type="pct"/>
          <w:tblInd w:w="0" w:type="dxa"/>
          <w:tblCellMar>
            <w:top w:w="0" w:type="dxa"/>
            <w:left w:w="108" w:type="dxa"/>
            <w:bottom w:w="0" w:type="dxa"/>
            <w:right w:w="108" w:type="dxa"/>
          </w:tblCellMar>
        </w:tblPrEx>
        <w:trPr>
          <w:trHeight w:val="936"/>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2、支持TCP+SSL/TLS的安全传输通道交付服务，能够满足基于SSL/TLS安全协议的TCP网络应用系统，或是无安全策略的传统TCP网络应用系统，实现传输通道的快速安全保障与加速。</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3、页面可查看证书算法、证书有效期起止时间等所有信息。 </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4、支持 TLS1.1、TLS1.2、TLS1.3、DTLS1.3 等协议；</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5、支持SSL加速、SSL卸载、HTTP压缩、Web高速缓存功能、HTTP请求和响应改写、HTTP内容改写、HTTP反向代理转发和HTTP重定向； </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6、支持密码算法：SM2、SM3、SM4等；支持ECC-SM4-SM3、ECDHE-SM4-SM3密钥套件；</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7、支持 SSL 和 IPSec 负载功能，负载均衡策略支持静态、 默认等方式；</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8、支持隧道组，与 NAT 结合及 NAT 穿越等多种复杂应用；</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9、支持IPV6协议，设备需兼容IPV4与IPV6网络并存，支持设备和后台服务支持IPV6 to IPV4与IPV4 to IPV6模式下的地址转换。</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10、支持在web 管理页面查看设备 CPU、 内存、 硬盘使用率，系统告警信息，CPU 温度，风扇状态和 转速， 电源模块状态等。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11、支持视图查看SSL加速状态、CPU使用率、内存使用率、并发连接数、新建连接数等； </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12、支持命令行页面，无需安装辅助软件即可运行 ping、tcpdump、telnet 等排错命令；</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13、支持基于 CPU、 内存占用率状态进行条件筛选进行主 备机切换或设备重启；</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14、支持三层、七层 ACL 过滤；支持单个用户访问服务的上行/下行带宽占用量控制。</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15、性能指标：隧道数≥300个；吞吐率≥500Mbps；SSL性能指标：新建连接数(个/秒)≥1900；最大并发(个)≥130000；吞吐量≥500Mbps； </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▲16、支持IPv6 Ready Logo认证（</w:t>
            </w:r>
            <w:r>
              <w:rPr>
                <w:rFonts w:ascii="宋体" w:hAnsi="宋体" w:cs="宋体" w:hint="eastAsia"/>
                <w:b/>
                <w:bCs/>
                <w:color w:val="0000FF"/>
                <w:kern w:val="0"/>
                <w:szCs w:val="21"/>
              </w:rPr>
              <w:t>投标时提供认证证书佐证</w:t>
            </w:r>
            <w:r>
              <w:rPr>
                <w:rFonts w:ascii="宋体" w:hAnsi="宋体" w:cs="宋体" w:hint="eastAsia"/>
                <w:b/>
                <w:bCs/>
                <w:color w:val="000000"/>
                <w:kern w:val="0"/>
                <w:szCs w:val="21"/>
              </w:rPr>
              <w:t>）</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服务器密码机</w:t>
            </w: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1、采用硬件芯片实现各类密码算法；</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2、支持密钥安全产生、安装、存储、使用、销毁以及备份恢复全生命周期的管理；</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3、至少支持三层密钥结构包括：管理密钥、用户密钥/设备密钥/密钥加密密钥、会话密钥；</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4、采用双物理噪声源；</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5、支持设备初始化配置包括密钥产生安装、生成管理员、按照安全机制对密钥安全存储和备份、系统配置、一键检测等功能，保证设备处于正常工作状态；</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6、支持密钥安全存储，保证关键密钥在任何时候不以明文形式出现在设备外，密钥备份文件也受到备份密钥的加密保护；</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7、支持访问控制，可通过管理界面设置管理员权限和密钥产生、安装、备份恢复以及日志查询等操作；</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8、支持审计日志的记录，查询和导出功能，支持审计日志签名；</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9、密码机API接口符合《密码设备应用接口规范（GM/T 0018-2012）》标准接口规范，同时支持PKCS#11、JCE等国际标准接口；</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10、对外可提供高稳定、高性能的服务，支持热备负载功能，支持多机并行，提供容错功能，当有密码机出现故障时不影响业务运算；</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11、支持设备运行状态监控，支持监控CPU使用率、内存使用率、磁盘使用率、CPU温度、电源风扇转速等；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12、弱算法过滤：支持通过管理界面进行弱密码算法过滤配置，保障密码算法安全合规；</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13、支持基于主密钥保护下的密钥的备份和恢复功能，保证应用系统的安全性和可靠性；</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14、支持基于SM4对称算法的MAC产生及验证；</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15、支持基于SM4算法的FPE保留格式加解密功能；</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16、支持SM4算法、SM1算法的ECB和CBC模式的数据加密和解密运算；</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17、支持各类电子数据和文件的数字签名和验证；</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 xml:space="preserve">18、支持基于RSA/SM2密码算法的由内部密钥保护到外部密钥保护的数字信封转换功能； </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19、SM2算法密钥对产生≥13000对/秒；SM2签名≥39000次/秒，验签≥18000次/秒；SM4算法加解密≥700Mbps；SM3 杂凑运算≥700Mbps。</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20、硬件规格：设备高度≥2U，网络接口≥2*100/1000M 自适应网口；电源指标：550W 1+1 标准服务器冗余电源；支持应用接口：Java、C、JCE、HTTP等；</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highlight w:val="yellow"/>
              </w:rPr>
            </w:pPr>
            <w:r>
              <w:rPr>
                <w:rFonts w:ascii="宋体" w:hAnsi="宋体" w:cs="宋体" w:hint="eastAsia"/>
                <w:b/>
                <w:bCs/>
                <w:color w:val="000000"/>
                <w:kern w:val="0"/>
                <w:szCs w:val="21"/>
              </w:rPr>
              <w:t>▲21、支持IPv6 Ready Logo认证（</w:t>
            </w:r>
            <w:r>
              <w:rPr>
                <w:rFonts w:ascii="宋体" w:hAnsi="宋体" w:cs="宋体" w:hint="eastAsia"/>
                <w:b/>
                <w:bCs/>
                <w:color w:val="0000FF"/>
                <w:kern w:val="0"/>
                <w:szCs w:val="21"/>
              </w:rPr>
              <w:t>投标时提供认证证书佐证</w:t>
            </w:r>
            <w:r>
              <w:rPr>
                <w:rFonts w:ascii="宋体" w:hAnsi="宋体" w:cs="宋体" w:hint="eastAsia"/>
                <w:b/>
                <w:bCs/>
                <w:color w:val="000000"/>
                <w:kern w:val="0"/>
                <w:szCs w:val="21"/>
              </w:rPr>
              <w:t>）。</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协同签名系统</w:t>
            </w: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1、支持可视化的用户管理、证书管理，实现数字证书得申请、更新、吊销等；</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2、支持对接入应用的授权管理；</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3、提供restful API的形式接口与业务系统对接，产品提供对业务系统请求报文的真实性完整性校验；</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4、产品支持基于数字证书的安全认证登录管理功能，能实现多种角色管理，包括但不限于管理员、操作员、审计员等；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5、产品符合电子认证业务的合规性，基于协同密钥技术来实现移动端用户私钥的生成和使用，实现移动端认证与签名并保证用户密钥的安全；提供身份核验服务；</w:t>
            </w:r>
          </w:p>
        </w:tc>
      </w:tr>
      <w:tr>
        <w:tblPrEx>
          <w:tblW w:w="5000" w:type="pct"/>
          <w:tblInd w:w="0" w:type="dxa"/>
          <w:tblCellMar>
            <w:top w:w="0" w:type="dxa"/>
            <w:left w:w="108" w:type="dxa"/>
            <w:bottom w:w="0" w:type="dxa"/>
            <w:right w:w="108" w:type="dxa"/>
          </w:tblCellMar>
        </w:tblPrEx>
        <w:trPr>
          <w:trHeight w:val="936"/>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6、支持在统一页面实现对用户的集中管理，包括用户导入、用户新增、用户照片和签章图片导入、单个冻结和批量冻结、单个删除和批量删除、批量导出、签章样式自定义编辑等功能；</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7、支持在线、离线证书签发模式、日志及审计功能；支持用户量、签名量、证数量的统计分析；</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8、支持授权签名及管理，用户只需要使用手机在PC端完成一次授权即可多次签名，并可以关闭授权，满足无证书用户业务签名；</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9、支持推送签名，用户以推送的方式发起签名，签名者在手机端收到推送后直接完成签名；支持在签名任务中添加签名描述信息；</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10、支持PC端扫码签名，支持个人及单位网页签章、PDF签章等功能；</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11、支持双机及集群的高性能负载，支持IPv4/IPv6；</w:t>
            </w:r>
          </w:p>
        </w:tc>
      </w:tr>
      <w:tr>
        <w:tblPrEx>
          <w:tblW w:w="5000" w:type="pct"/>
          <w:tblInd w:w="0" w:type="dxa"/>
          <w:tblCellMar>
            <w:top w:w="0" w:type="dxa"/>
            <w:left w:w="108" w:type="dxa"/>
            <w:bottom w:w="0" w:type="dxa"/>
            <w:right w:w="108" w:type="dxa"/>
          </w:tblCellMar>
        </w:tblPrEx>
        <w:trPr>
          <w:trHeight w:val="936"/>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12、支持管理员一键授权管理：能够在单一页面实现自由勾选功能模块对管理员进行权限分配，包括对用户管理功能的授权、对证书验证管理的授权、CSS高级配置的授权、系统设置的授权、日志的授权、配置管理的授权等；</w:t>
            </w:r>
          </w:p>
        </w:tc>
      </w:tr>
      <w:tr>
        <w:tblPrEx>
          <w:tblW w:w="5000" w:type="pct"/>
          <w:tblInd w:w="0" w:type="dxa"/>
          <w:tblCellMar>
            <w:top w:w="0" w:type="dxa"/>
            <w:left w:w="108" w:type="dxa"/>
            <w:bottom w:w="0" w:type="dxa"/>
            <w:right w:w="108" w:type="dxa"/>
          </w:tblCellMar>
        </w:tblPrEx>
        <w:trPr>
          <w:trHeight w:val="1248"/>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13、支持一人多设备、一设备多人的应用场景；支持授权签名：用户只需要使用手机在PC端完成一次授权即可多次签名，并可以关闭授权；支持推送签名：用户以推送的方式发起签名，签名者在手机端收到推送后直接完成签名；支持在签名任务中添加签名描述信息；</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14、多认证源，提供数字证书、身份核验CTID、短信、生物识别多种认证源；</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15支持可视化的用户管理、证书管理，用户量、签名量、证数量的统计分析，便于用户管理及统计查询，可导出统计报表；</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16、支持在线、离线、自建CA证书签发等多种模式；</w:t>
            </w:r>
          </w:p>
        </w:tc>
      </w:tr>
      <w:tr>
        <w:tblPrEx>
          <w:tblW w:w="5000" w:type="pct"/>
          <w:tblInd w:w="0" w:type="dxa"/>
          <w:tblCellMar>
            <w:top w:w="0" w:type="dxa"/>
            <w:left w:w="108" w:type="dxa"/>
            <w:bottom w:w="0" w:type="dxa"/>
            <w:right w:w="108" w:type="dxa"/>
          </w:tblCellMar>
        </w:tblPrEx>
        <w:trPr>
          <w:trHeight w:val="936"/>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17、支持通过系统唯一用户标识绑定用户身份；支持通过接口添加用户信息，支持CRL配置和根证书配置，支持标准签名验证，能够与USBKey签名互通，支持证书有效性验证；</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18、支持移动协同证书，与安全认证网关实现国密SSL双向认证；</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19、支持本机监控运维功能，包括CPU、磁盘、内存、进程、网络流量等使用情况及可视化展示；</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20、支持电子病历评级业务日志查询，支持验签功能；</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21、支持算法标准：SM2、SM3、SM4；</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22、产品兼容医院现有UKEY证书体系，可实现数字证书的互通互认。</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23、性能要求：最大用户数≥1500；最大并发量≥200；SM2协同签名效率≥500次/秒；</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24、设备高度≥2U，网络接口≥2*100/1000M 自适应网口；电源指标：550W 1+1 标准服务器冗余电源；</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▲25、产品具备IPv6 Ready Logo认证证书（</w:t>
            </w:r>
            <w:r>
              <w:rPr>
                <w:rFonts w:ascii="宋体" w:hAnsi="宋体" w:cs="宋体" w:hint="eastAsia"/>
                <w:b/>
                <w:bCs/>
                <w:color w:val="0000FF"/>
                <w:kern w:val="0"/>
                <w:szCs w:val="21"/>
              </w:rPr>
              <w:t>投标时提供认证证书佐证</w:t>
            </w:r>
            <w:r>
              <w:rPr>
                <w:rFonts w:ascii="宋体" w:hAnsi="宋体" w:cs="宋体" w:hint="eastAsia"/>
                <w:b/>
                <w:bCs/>
                <w:color w:val="000000"/>
                <w:kern w:val="0"/>
                <w:szCs w:val="21"/>
              </w:rPr>
              <w:t>）。 </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协同签名密码模块</w:t>
            </w: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1、要求移动端提供SDK和APP两种形态模块；</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2、移动端支持基于激活码下载证书和扫码下载证书；</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3、移动端支持基于签名任务id和扫码签名；</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4、移动端APP支持扫码签名、推送签名；</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5、移动端APP支持通过扫码或手动方式配置服务端；</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6、要求移动端APP在Android应用市场和苹果AppStore中已经发布；</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7、移动端SDK支持集中显示待签名文件列表，并且支持批量勾选文件进行签署；</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8、移动端APP支持授权设置，可根据科室、性能、时间进行配置及控制，被授权人通过APP响应及签名；</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9、移动端SDK支持通过传入PIN码的方式进行签名；</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10、移动端支持通过PIN码或指纹进行认证后签名；</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11、移动端SDK支持开启和关闭指纹；</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12、支持Androi5.0及以上版本；iOS10.0及以上版本；</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密码服务平台</w:t>
            </w: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（一）部署建设：</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1、部署要求：1）支持在超融合一体机中部署；2）支持可视化界面快捷部署。</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2、分期建设：支持根据业务发展，按照产品功能进行分期平滑建设。</w:t>
            </w:r>
          </w:p>
        </w:tc>
      </w:tr>
      <w:tr>
        <w:tblPrEx>
          <w:tblW w:w="5000" w:type="pct"/>
          <w:tblInd w:w="0" w:type="dxa"/>
          <w:tblCellMar>
            <w:top w:w="0" w:type="dxa"/>
            <w:left w:w="108" w:type="dxa"/>
            <w:bottom w:w="0" w:type="dxa"/>
            <w:right w:w="108" w:type="dxa"/>
          </w:tblCellMar>
        </w:tblPrEx>
        <w:trPr>
          <w:trHeight w:val="936"/>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3、扩展要求：1）支持在有限的服务器资源情况下，支撑100+应用系统的展接入；2）支持在有限的服务器资源情况下，支撑全场景密码服务的运行，至少包括加解密服务 、签名验签服务、时间戳服务、协同签名服务等4种服务类型。</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（二）密码资源池管理：</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1、设备管理：1）支持不同厂商、不同密码设备型号的统一调度、统一管理，包括设备的增删改查、健康检查等；2）设备类型包括各类密码设备。</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资源池设备负载：支持资源池内设备负载均衡，包括硬负载与软负载两种方式，保证服务的高可用性，可实现弹性业务伸缩，确保流量均衡。</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2、设备监控：支持设备的snmp监控与配置管理，包括CPU使用率、内存使用率、磁盘使用率等设备运行状态的监控。</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3、资源池监控：支持对密码资源池的统一监控，包括资源池的请求量、成功率、错误率等统计分析。</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4、版本管理：支持管理密码设备服务的多个版本，支持扩充实例与版本作废。</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5、使用模式：支持密码资源使用模式配置，可根据业务需求，为指定应用分配指定的密码资源；可实现密码资源独享、共享服务。</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6、服务管理：支持密码资源的服务管理，包括服务扩容、上架、下架、启停、删除、修改、升级、回滚、克隆实例、移动实例、健康检查、修改端口等。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7、密码资源调度：支持对密码机等各类密码产品进行统一均衡调度管理，实现服务的动态调度与高可用性。</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8、接口规范：依据行业标准《GMT/ 0018密码设备应用接口规范》，提供标准化接口进行服务支撑，兼容不同厂商密码设备的管理与调用，满足业务系统平滑无改。</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（三）密钥管理：</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1、生命周期管理：支持密钥的全生命周期管理，包括但不限于密钥的产生、修改、共享、存储、启用、禁用、注销、轮转、归档、恢复、下载、统计等。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2、规范要求：随机数的生成方式采用物理噪声源生成随机数、支持生成符合国密规范《GM/T 0003.1-2012》的SM2非对称密钥、支持生成SM1、SM4对称密钥。</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3、密钥安全存储：支持对称密钥和非对称密钥基于多层密钥保护体系的安全存储，不同应用的密钥隔离保存，确保密钥权限范围可控，防止未授权应用获取密钥。</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4、密钥轮转：支持自定义密钥更新策略，包含自动更新及主动更新。提供密钥自动轮转能力，支持密钥轮转策略配置。</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5、密钥归档：支持通过界面方式对即将归档与已归档的密钥进行管理，并对归档的密钥提供长期的安全存储。</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6、密钥恢复：采用基于密钥加密的方式备份密钥和安全数据，采用基于证书签名的方式保障密钥完整性，备份记录有据可查。</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7、司法密钥恢复审核：可对密钥的申请人、密钥持有人、申请人联系方式、密钥标识等进行审核。</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8、密钥共享：支持将A业务系统的密钥授权给B业务系统使用。支持密钥授权策略的配置，包括密钥信息、密钥用途、授权周期等。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9、密钥统计：支持对称密钥与非对称密钥的统计分析，包括正常、禁用、注销等各个状态下密钥数量、算法等多维度统计。</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10、密钥安全隔离：不用应用之间的密钥未经授权，不能使用其他密钥进行密码运算。</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（四）证书管理：</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1、证书生命周期管理：支持应用证书的全生命周期管理，包括：证书申请、导入、更新、删除、下载、查询等生命周期管理。</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2、证书有效性验证：支持对证书的有效性验证，包括信任域（根证链）、CRL列表、有效期、证书状态等。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3、可信根证书链管理：支持对可信根证书链的管理，包括证书链的导入、删除、下载等操作，支持文件上传或base64编码格式证书链导入。</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4、CRL管理：支持对CRL进行管理，包括CRL的添加、删除、编辑、下载、在线与离线更新，支持更新策略的配置。</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5、多CA运营服务：支持接入多CA运营服务,支持证书服务代理接口。</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（五）基础密码服务：</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1、加解密服务：1）支持对称与非对称算法的加解密。对称密钥支持符合国密规范《GM/T 0002-2012》的SM4算法加解密；</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2）非对称密钥支持符合国密规范《GM/T 0003.4-2012》的SM2算法加解密；</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3）支持基于SM4算法的MAC产生及验证；</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4）支持ECB、CBC等多种加密模式，支持自定义IV偏移量，支持PKCS5Padding、PKCS7Padding方式自动填充补位。</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5）支持FPE(保留格式)的加密解密，包括但不限于姓名、手机号、身份证号以及中英文数字组合类型的文本格式。</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6）支持1G以上大文件的加解密。</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2、签名验签服务：支持SM2算法签名验签、P1\P7签名、HMAC-SM3、数字信封等服务</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3、身份认证服务：支持多因子认证、单点登录、多要素身份认证等；支持对身份认证接口进行统计，可通过可视化界面展示出身份认证接口调用情况。</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（六）支持业务密码服务：</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支持电子签章服务、手写签名服务、协同签名服务等业务服务。</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（七）统一密码服务网关：</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提供统一的密码服务访问入口，支持对访问入口的配置，如AK/SK认证方式、防重放攻击、限流熔断、http方法（GET、POST、PUT、DELETE、PATCH）。</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（八）统一运维服务：</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1、支持监控管理：包括密码服务监控、服务器监控、探针监控、组件监控、中间件监控、接口监控、监控数据图表可视化、运维日志等。</w:t>
            </w:r>
          </w:p>
        </w:tc>
      </w:tr>
      <w:tr>
        <w:tblPrEx>
          <w:tblW w:w="5000" w:type="pct"/>
          <w:tblInd w:w="0" w:type="dxa"/>
          <w:tblCellMar>
            <w:top w:w="0" w:type="dxa"/>
            <w:left w:w="108" w:type="dxa"/>
            <w:bottom w:w="0" w:type="dxa"/>
            <w:right w:w="108" w:type="dxa"/>
          </w:tblCellMar>
        </w:tblPrEx>
        <w:trPr>
          <w:trHeight w:val="936"/>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2、支持告警管理：1）告警模板：支持告警监控策略配置，支持自定义配置的预警方式和预警信息；内置各类告警策略模板，降低配置操作难度，和告警资源分组组合使用，提升配置效率。</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2）告警方式：支持短信、邮箱、企业微信、钉钉等多种告警通知能力。</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3）告警联系人分组：支持告警联系人分组配置。</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4）告警统计分析：支持告警统计分析，支持按告警资源、不同时间维度年、月、日、自定义时间进行告警趋势查询。支持告警配置查询、告警历史查询。</w:t>
            </w:r>
          </w:p>
        </w:tc>
      </w:tr>
      <w:tr>
        <w:tblPrEx>
          <w:tblW w:w="5000" w:type="pct"/>
          <w:tblInd w:w="0" w:type="dxa"/>
          <w:tblCellMar>
            <w:top w:w="0" w:type="dxa"/>
            <w:left w:w="108" w:type="dxa"/>
            <w:bottom w:w="0" w:type="dxa"/>
            <w:right w:w="108" w:type="dxa"/>
          </w:tblCellMar>
        </w:tblPrEx>
        <w:trPr>
          <w:trHeight w:val="1248"/>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运维巡检：1）全面巡检：支持一键巡检所有服务，包括各项密码服务、密码设备、接口、中间件的正常与异常状态，也可支持选择部分模块进行巡检。检测完成形成检测报告与记录，可追溯检测历史与报告分析等。检测结果分析与日志，可协助运维人员快速发现问题、排查问题、解决问题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2）中间件巡检：支持检测MySQL、Redis、Kafka等中间件的各类检测项检测，支持中间件检测的各项灵活配置，支持查看检测耗时与异常结果原因分析等。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3）密码服务巡检：支持检测鉴权服务、网关服务、密码机服务等各类服进行检测，支持服务检测的各项灵活配置，支持查看检测耗时与异常结果原因分析等。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4）密码功能巡检：支持主密钥管理服务、数据密钥管理服务等各类接口的密码服务进行检测，支持检测的各项灵活配置，支持查看检测耗时与异常结果原因分析等。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5）设备巡检：支持检测服务器与各类密码设备可用性，支持检测的各项的灵活配置，支持查看检测耗时与异常结果原因分析等。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4、支持配置管理：1）配置管理：支持配置读取、更新、取消及版本管理，支持权限管理，支持多环境、多数据中心配置管理，支持配置发布更新秒级生效。</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2）配置回滚：支持配置回滚，如果发现已发布的配置有问题，可以将客户端读取到的配置回滚到上一个发布版本。</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（九）日志审计管理：</w:t>
            </w:r>
          </w:p>
        </w:tc>
      </w:tr>
      <w:tr>
        <w:tblPrEx>
          <w:tblW w:w="5000" w:type="pct"/>
          <w:tblInd w:w="0" w:type="dxa"/>
          <w:tblCellMar>
            <w:top w:w="0" w:type="dxa"/>
            <w:left w:w="108" w:type="dxa"/>
            <w:bottom w:w="0" w:type="dxa"/>
            <w:right w:w="108" w:type="dxa"/>
          </w:tblCellMar>
        </w:tblPrEx>
        <w:trPr>
          <w:trHeight w:val="936"/>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1、日志采集：支持日志采集功能，包括登录登出日志，对系统的操作日志，对文件的创建、修改、删除、查询等。并记录操作时间、IP、操作账号、操作内容等信息。</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2、日志存储：对收集到的原始日志以及分析后的数据进行长期存储，以备安全事件调查、合规性检查等需要。</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3、日志审计：支持日志的审计与验签功能，对日志的存储和保护服务安全要求，防止日志被篡改或丢失。</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（十）安全合规：</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1、双因子登录认证：支持双因子登录认证，支持账号密码登录，支持UKEY认证登录。</w:t>
            </w:r>
          </w:p>
        </w:tc>
      </w:tr>
      <w:tr>
        <w:tblPrEx>
          <w:tblW w:w="5000" w:type="pct"/>
          <w:tblInd w:w="0" w:type="dxa"/>
          <w:tblCellMar>
            <w:top w:w="0" w:type="dxa"/>
            <w:left w:w="108" w:type="dxa"/>
            <w:bottom w:w="0" w:type="dxa"/>
            <w:right w:w="108" w:type="dxa"/>
          </w:tblCellMar>
        </w:tblPrEx>
        <w:trPr>
          <w:trHeight w:val="936"/>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2、登录安全配置：支持登录策略配置，包括登录最长空闲时间、最大会话数、登录方式等；支持用户登录时账号密码错误次数与锁定策略配置；支持密码安全性级别设置，包括密码长度、复杂度、有效期等</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3、三权分立：支持管理租户支持管理员、操作员、审计员的角色定义，依据角色进行权限管理，满足三权分立原则。</w:t>
            </w:r>
          </w:p>
        </w:tc>
      </w:tr>
      <w:tr>
        <w:tblPrEx>
          <w:tblW w:w="5000" w:type="pct"/>
          <w:tblInd w:w="0" w:type="dxa"/>
          <w:tblCellMar>
            <w:top w:w="0" w:type="dxa"/>
            <w:left w:w="108" w:type="dxa"/>
            <w:bottom w:w="0" w:type="dxa"/>
            <w:right w:w="108" w:type="dxa"/>
          </w:tblCellMar>
        </w:tblPrEx>
        <w:trPr>
          <w:trHeight w:val="936"/>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4、合规性安全开关：支持密服产品自身敏感数据合规性保护，包括用户敏感信息、角色权限信息等数据进行加密保护，支持对操作日志等进行完整性保护；可根据项目需求，进行数据安全保护的灵活配置。</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5、密码密文存储：配置文件中间件密码密文存储，并支持密文修改。</w:t>
            </w:r>
          </w:p>
        </w:tc>
      </w:tr>
      <w:tr>
        <w:tblPrEx>
          <w:tblW w:w="5000" w:type="pct"/>
          <w:tblInd w:w="0" w:type="dxa"/>
          <w:tblCellMar>
            <w:top w:w="0" w:type="dxa"/>
            <w:left w:w="108" w:type="dxa"/>
            <w:bottom w:w="0" w:type="dxa"/>
            <w:right w:w="108" w:type="dxa"/>
          </w:tblCellMar>
        </w:tblPrEx>
        <w:trPr>
          <w:trHeight w:val="624"/>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智能密码钥匙</w:t>
            </w: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1、支持多种类型的密钥、支持多个密钥的安全存储，支持证书的导入、导出、安全存储</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2、产品兼容医院现有数字证书体系，可实现院内已签署文件和数据的电子签名及签名验证；</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3、支持高速对称算法，满足大数据实时高速加解密功能需求</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4、支持国密SKF、PKCS11和CSP接口之间的数据互通，即通过国密SKF接口生成的密钥和签发的证书，可以通过PKCS11、CSP接口进行读取和使用；</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5、支持SM2、SM3、SM4等国密算法；</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6、符合GM/T 0016-2012《智能密码钥匙密码应用接口规范》；</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7、防DPA/SPA攻击；</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8、适配统信、麒麟等多种信创环境；</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9、支持多密钥和多应用；</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10、可提供国密SKF接口；</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11、数据存储年限大于10年；</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12、擦写次数大于100000次；</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13、USBKey具备完善的PIN校验保护功能；</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14、SM2密钥对生成≤0.11秒；</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15、SM2数字签名和验证≥63次/秒；</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16、标准USB2.0设备，支持USB2.0\3.0接口（PC适用）；</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17、采用纯32位芯片，符合国家的安全和产业政策；</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18、USBKey可用空间≥160KB；</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19、具有满足FIPS 140-2标准和GM/T 005-2021《随机数检测规范》要求的真随机数发生器；</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b/>
                <w:bCs/>
                <w:color w:val="000000"/>
                <w:kern w:val="0"/>
                <w:szCs w:val="21"/>
              </w:rPr>
              <w:t>▲20、支持与统信桌面操作系统兼容（</w:t>
            </w:r>
            <w:r>
              <w:rPr>
                <w:rFonts w:ascii="宋体" w:hAnsi="宋体" w:cs="宋体" w:hint="eastAsia"/>
                <w:b/>
                <w:bCs/>
                <w:color w:val="0000FF"/>
                <w:kern w:val="0"/>
                <w:szCs w:val="21"/>
              </w:rPr>
              <w:t>投标时提供与统信桌面操作系统兼容性认证证书佐证</w:t>
            </w:r>
            <w:r>
              <w:rPr>
                <w:rFonts w:ascii="宋体" w:hAnsi="宋体" w:cs="宋体" w:hint="eastAsia"/>
                <w:b/>
                <w:bCs/>
                <w:color w:val="000000"/>
                <w:kern w:val="0"/>
                <w:szCs w:val="21"/>
              </w:rPr>
              <w:t>）；</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SM2站点证书</w:t>
            </w: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1、提供域名身份的真实性验证，由第三方电子认证机构签发；</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2、数字证书应支持SM2等密码算法；</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3、证书格式严格遵循X.509标准；</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4、支持网站全站加密，建立客户端浏览器到网站服务器之间的“SSL加密通道”，实现加密传输；</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5、兼容主流国密浏览器，如奇安信、360、红莲花等。</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RSA2048站点证书</w:t>
            </w: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1、提供域名身份的真实性验证，由第三方电子认证机构签发；</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2、数字证书应支持2048等国际算法；</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3、证书格式严格遵循X.509标准；</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4、支持网站全站加密，建立客户端浏览器到网站服务器之间的“SSL加密通道”，实现加密传输；</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5、兼容主流浏览器，如IE浏览器、谷歌浏览器、360浏览器、火狐浏览器等。</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国密浏览器</w:t>
            </w: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1、支持国密算法SM2算法、SM4算法、杂凑算法SM3算法。</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2、支持USB Key国密证书采用标准SKF接口实现双向认证(强身份认证)。</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3、能够配合服务端的国密算法网关设备，实现国密算法的传输通道加密。</w:t>
            </w:r>
          </w:p>
        </w:tc>
      </w:tr>
      <w:tr>
        <w:tblPrEx>
          <w:tblW w:w="5000" w:type="pct"/>
          <w:tblInd w:w="0" w:type="dxa"/>
          <w:tblCellMar>
            <w:top w:w="0" w:type="dxa"/>
            <w:left w:w="108" w:type="dxa"/>
            <w:bottom w:w="0" w:type="dxa"/>
            <w:right w:w="108" w:type="dxa"/>
          </w:tblCellMar>
        </w:tblPrEx>
        <w:trPr>
          <w:trHeight w:val="624"/>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接口集成对接服务</w:t>
            </w: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1、实现互联网医院系统的密码应用改造节点梳理，形成实际可行的密码应用实施方案。</w:t>
            </w:r>
          </w:p>
        </w:tc>
      </w:tr>
      <w:tr>
        <w:tblPrEx>
          <w:tblW w:w="5000" w:type="pct"/>
          <w:tblInd w:w="0" w:type="dxa"/>
          <w:tblCellMar>
            <w:top w:w="0" w:type="dxa"/>
            <w:left w:w="108" w:type="dxa"/>
            <w:bottom w:w="0" w:type="dxa"/>
            <w:right w:w="108" w:type="dxa"/>
          </w:tblCellMar>
        </w:tblPrEx>
        <w:trPr>
          <w:trHeight w:val="624"/>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2、负责统筹、推动、开展互联网医院系统的密码应用接口改造，通过集成密码服务实现密码应用合规性改造。</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3、在互联网医院系统的密评过程中，积极配合测评机构提供必要佐证材料。</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4、提供满足密评三级安全要求的密码安全管理制度咨询服务</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个人数字证书</w:t>
            </w: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1、标识个人用户网络真实身份；</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2、数字证书应支持SM2椭圆曲线密码算法；</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3、证书格式标准遵循x．509v3标准；</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4、支持存放介质：智能USBKey；</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5、支持自定义证书扩展域管理。</w:t>
            </w:r>
          </w:p>
        </w:tc>
      </w:tr>
      <w:tr>
        <w:tblPrEx>
          <w:tblW w:w="5000" w:type="pct"/>
          <w:tblInd w:w="0" w:type="dxa"/>
          <w:tblCellMar>
            <w:top w:w="0" w:type="dxa"/>
            <w:left w:w="108" w:type="dxa"/>
            <w:bottom w:w="0" w:type="dxa"/>
            <w:right w:w="108" w:type="dxa"/>
          </w:tblCellMar>
        </w:tblPrEx>
        <w:trPr>
          <w:trHeight w:val="312"/>
        </w:trPr>
        <w:tc>
          <w:tcPr>
            <w:tcW w:w="3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72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手机端协同个人数字证书</w:t>
            </w: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1、标识个人用户网络真实身份；</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2、数字证书应支持SM2椭圆曲线密码算法；</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3、证书格式标准遵循x．509v3标准；</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4、密钥由移动终端和服务器协商产生，采用密钥分割技术保存密钥；</w:t>
            </w:r>
          </w:p>
        </w:tc>
      </w:tr>
      <w:tr>
        <w:tblPrEx>
          <w:tblW w:w="5000" w:type="pct"/>
          <w:tblInd w:w="0" w:type="dxa"/>
          <w:tblCellMar>
            <w:top w:w="0" w:type="dxa"/>
            <w:left w:w="108" w:type="dxa"/>
            <w:bottom w:w="0" w:type="dxa"/>
            <w:right w:w="108" w:type="dxa"/>
          </w:tblCellMar>
        </w:tblPrEx>
        <w:trPr>
          <w:trHeight w:val="312"/>
        </w:trPr>
        <w:tc>
          <w:tcPr>
            <w:tcW w:w="3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2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390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5、支持自定义证书扩展域管理。</w:t>
            </w:r>
          </w:p>
        </w:tc>
      </w:tr>
    </w:tbl>
    <w:p>
      <w:pPr>
        <w:rPr>
          <w:b/>
          <w:sz w:val="24"/>
        </w:rPr>
      </w:pPr>
    </w:p>
    <w:p>
      <w:pPr>
        <w:pStyle w:val="Heading2"/>
        <w:spacing w:before="120" w:beforeLines="50" w:after="120" w:afterLines="50"/>
        <w:rPr>
          <w:szCs w:val="24"/>
        </w:rPr>
      </w:pPr>
      <w:r>
        <w:rPr>
          <w:rFonts w:hint="eastAsia"/>
          <w:b/>
          <w:color w:val="FF0000"/>
          <w:szCs w:val="21"/>
        </w:rPr>
        <w:t>★</w:t>
      </w:r>
      <w:r>
        <w:rPr>
          <w:rFonts w:hint="eastAsia"/>
          <w:szCs w:val="24"/>
        </w:rPr>
        <w:t>六、商务要求</w:t>
      </w:r>
    </w:p>
    <w:p>
      <w:pPr>
        <w:ind w:firstLine="420" w:firstLineChars="200"/>
        <w:rPr>
          <w:rFonts w:hint="eastAsia"/>
          <w:b/>
          <w:color w:val="FF0000"/>
          <w:szCs w:val="21"/>
        </w:rPr>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pPr>
        <w:tabs>
          <w:tab w:val="left" w:pos="312"/>
        </w:tabs>
        <w:ind w:firstLine="420" w:firstLineChars="200"/>
        <w:jc w:val="left"/>
        <w:outlineLvl w:val="2"/>
        <w:rPr>
          <w:rFonts w:ascii="宋体" w:hAnsi="宋体" w:cs="仿宋_GB2312" w:hint="eastAsia"/>
          <w:b/>
          <w:bCs/>
          <w:szCs w:val="21"/>
        </w:rPr>
      </w:pPr>
      <w:r>
        <w:rPr>
          <w:rFonts w:ascii="宋体" w:hAnsi="宋体" w:cs="仿宋_GB2312" w:hint="eastAsia"/>
          <w:b/>
          <w:szCs w:val="21"/>
        </w:rPr>
        <w:t>1.</w:t>
      </w:r>
      <w:r>
        <w:rPr>
          <w:rFonts w:ascii="宋体" w:hAnsi="宋体" w:cs="仿宋_GB2312" w:hint="eastAsia"/>
          <w:b/>
          <w:bCs/>
          <w:szCs w:val="21"/>
        </w:rPr>
        <w:t>服务期内要求</w:t>
      </w:r>
    </w:p>
    <w:p>
      <w:pPr>
        <w:ind w:firstLine="420" w:firstLineChars="200"/>
        <w:rPr>
          <w:rFonts w:ascii="宋体" w:hAnsi="宋体" w:cs="仿宋_GB2312" w:hint="eastAsia"/>
          <w:szCs w:val="21"/>
        </w:rPr>
      </w:pPr>
      <w:r>
        <w:rPr>
          <w:rFonts w:ascii="宋体" w:hAnsi="宋体" w:cs="仿宋_GB2312" w:hint="eastAsia"/>
          <w:szCs w:val="21"/>
        </w:rPr>
        <w:t>（1）服务期限：自合同签定之日起24个月内完成项目验收。</w:t>
      </w:r>
    </w:p>
    <w:p>
      <w:pPr>
        <w:ind w:firstLine="420" w:firstLineChars="200"/>
        <w:rPr>
          <w:rFonts w:ascii="宋体" w:hAnsi="宋体" w:cs="仿宋_GB2312" w:hint="eastAsia"/>
          <w:szCs w:val="21"/>
        </w:rPr>
      </w:pPr>
      <w:r>
        <w:rPr>
          <w:rFonts w:ascii="宋体" w:hAnsi="宋体" w:cs="仿宋_GB2312" w:hint="eastAsia"/>
          <w:szCs w:val="21"/>
        </w:rPr>
        <w:t>（2）到货验收：中标人需在招标人发出交货通知清单之日起60天内完成硬件设备及成品软件交货，交货地点为深圳市宝安区人民医院。中标人需按照招标文件中的要求完成设备开箱、设备加电及安装实施与联调测试等工作。</w:t>
      </w:r>
    </w:p>
    <w:p>
      <w:pPr>
        <w:ind w:firstLine="420" w:firstLineChars="200"/>
        <w:rPr>
          <w:rFonts w:ascii="宋体" w:hAnsi="宋体" w:cs="仿宋_GB2312" w:hint="eastAsia"/>
          <w:szCs w:val="21"/>
        </w:rPr>
      </w:pPr>
      <w:r>
        <w:rPr>
          <w:rFonts w:ascii="宋体" w:hAnsi="宋体" w:cs="仿宋_GB2312" w:hint="eastAsia"/>
          <w:szCs w:val="21"/>
        </w:rPr>
        <w:t>（3）试运行：项目试运行不少于3个月，须对出现的问题进行记录和修复。在试运行阶段结束后，招标方组织评审验收，完成项目验收。</w:t>
      </w:r>
    </w:p>
    <w:p>
      <w:pPr>
        <w:ind w:firstLine="420" w:firstLineChars="200"/>
      </w:pPr>
    </w:p>
    <w:p>
      <w:pPr>
        <w:tabs>
          <w:tab w:val="left" w:pos="312"/>
        </w:tabs>
        <w:ind w:firstLine="420" w:firstLineChars="200"/>
        <w:jc w:val="left"/>
        <w:outlineLvl w:val="2"/>
        <w:rPr>
          <w:rFonts w:ascii="宋体" w:hAnsi="宋体" w:cs="仿宋_GB2312" w:hint="eastAsia"/>
          <w:b/>
          <w:szCs w:val="21"/>
        </w:rPr>
      </w:pPr>
      <w:bookmarkStart w:id="53" w:name="_Hlk205908169"/>
      <w:r>
        <w:rPr>
          <w:rFonts w:ascii="宋体" w:hAnsi="宋体" w:cs="仿宋_GB2312" w:hint="eastAsia"/>
          <w:b/>
          <w:szCs w:val="21"/>
        </w:rPr>
        <w:t>2.售后服务要求</w:t>
      </w:r>
    </w:p>
    <w:p>
      <w:pPr>
        <w:jc w:val="left"/>
        <w:rPr>
          <w:rFonts w:ascii="宋体" w:hAnsi="宋体" w:hint="eastAsia"/>
        </w:rPr>
      </w:pPr>
      <w:bookmarkEnd w:id="53"/>
      <w:r>
        <w:rPr>
          <w:rFonts w:ascii="宋体" w:hAnsi="宋体" w:hint="eastAsia"/>
        </w:rPr>
        <w:t>（1）本次项目终验通过后进入免费质保期，软件质保期为3年，硬件设施质保期为6年（</w:t>
      </w:r>
      <w:bookmarkStart w:id="54" w:name="_Hlk205908198"/>
      <w:r>
        <w:rPr>
          <w:rFonts w:ascii="宋体" w:hAnsi="宋体" w:hint="eastAsia"/>
        </w:rPr>
        <w:t>含6年硬件质保、6年软件升级、6年规则库升级、6年病毒库升级，不涉及的除外</w:t>
      </w:r>
      <w:bookmarkEnd w:id="54"/>
      <w:r>
        <w:rPr>
          <w:rFonts w:ascii="宋体" w:hAnsi="宋体" w:hint="eastAsia"/>
        </w:rPr>
        <w:t>）。投标人于质保期内提供快速高效服务以及远程协助，免费维保期过后，年度维护费用双方协商约定。除人为因素（如机械损伤）、不可抗力（如地震、火灾、水灾、台风、战争、虫鼠害等）外，在质保期内，所有维护（包括版本升级、需求修改）用户无须额外支付任何费用。免费质保期内，要求中标人提供3年的驻场服务，现场至少配备2名人员。</w:t>
      </w:r>
    </w:p>
    <w:p>
      <w:pPr>
        <w:jc w:val="left"/>
        <w:rPr>
          <w:rFonts w:ascii="宋体" w:hAnsi="宋体" w:hint="eastAsia"/>
        </w:rPr>
      </w:pPr>
      <w:r>
        <w:rPr>
          <w:rFonts w:ascii="宋体" w:hAnsi="宋体" w:hint="eastAsia"/>
        </w:rPr>
        <w:t>（2）投标方应在投标文件中说明在质保期内提供的服务计划，维护范围包括（包括但不限于）软件安装，调试、维护、巡检、功能完善、接口开发、性能调优、报表开发、接口开发等内容。</w:t>
      </w:r>
    </w:p>
    <w:p>
      <w:pPr>
        <w:jc w:val="left"/>
        <w:rPr>
          <w:rFonts w:ascii="宋体" w:hAnsi="宋体" w:hint="eastAsia"/>
        </w:rPr>
      </w:pPr>
      <w:r>
        <w:rPr>
          <w:rFonts w:ascii="宋体" w:hAnsi="宋体" w:hint="eastAsia"/>
        </w:rPr>
        <w:t>（3）在免费质保期内，投标方应确保系统的正常使用。提供7*24小时免费热线支持与Email支持，或通过网络远程通讯和远程控制的技术手段进行远程现场服务。在免费保修期内，一旦发生系统故障，投标人保证在接到通知 20分钟内做出明确响应和安排。若远程不能解决问题，须在 2 小时内赶到现场进行处理。根据要求到达现场提供问题解决方案和支持服务，包括各种系统故障、各种突发事件采取的应急措施、性能调优、技术咨询等。</w:t>
      </w:r>
    </w:p>
    <w:p>
      <w:r>
        <w:rPr>
          <w:rFonts w:ascii="宋体" w:hAnsi="宋体" w:hint="eastAsia"/>
        </w:rPr>
        <w:t>（4）项目验收合格后，质保期内每年提供不低于4次的例行维护及巡检，巡检后发现的问题立即整改。</w:t>
      </w:r>
    </w:p>
    <w:p>
      <w:pPr>
        <w:tabs>
          <w:tab w:val="left" w:pos="312"/>
        </w:tabs>
        <w:ind w:firstLine="420" w:firstLineChars="200"/>
        <w:jc w:val="left"/>
        <w:outlineLvl w:val="2"/>
        <w:rPr>
          <w:rFonts w:ascii="宋体" w:hAnsi="宋体" w:cs="仿宋_GB2312" w:hint="eastAsia"/>
          <w:b/>
          <w:szCs w:val="21"/>
        </w:rPr>
      </w:pPr>
      <w:r>
        <w:rPr>
          <w:rFonts w:ascii="宋体" w:hAnsi="宋体" w:cs="仿宋_GB2312" w:hint="eastAsia"/>
          <w:b/>
          <w:szCs w:val="21"/>
        </w:rPr>
        <w:t>3.验收方式</w:t>
      </w:r>
    </w:p>
    <w:p>
      <w:pPr>
        <w:jc w:val="left"/>
        <w:rPr>
          <w:rFonts w:ascii="宋体" w:hAnsi="宋体" w:hint="eastAsia"/>
        </w:rPr>
      </w:pPr>
      <w:r>
        <w:rPr>
          <w:rFonts w:ascii="宋体" w:hAnsi="宋体" w:hint="eastAsia"/>
        </w:rPr>
        <w:t>1.到货验收</w:t>
      </w:r>
    </w:p>
    <w:p>
      <w:pPr>
        <w:jc w:val="left"/>
        <w:rPr>
          <w:rFonts w:ascii="宋体" w:hAnsi="宋体" w:hint="eastAsia"/>
          <w:highlight w:val="yellow"/>
        </w:rPr>
      </w:pPr>
      <w:r>
        <w:rPr>
          <w:rFonts w:ascii="宋体" w:hAnsi="宋体" w:hint="eastAsia"/>
          <w:highlight w:val="yellow"/>
        </w:rPr>
        <w:t>（1）中标人须在验收时提供所投产品相关参数证明材料。</w:t>
      </w:r>
    </w:p>
    <w:p>
      <w:pPr>
        <w:jc w:val="left"/>
        <w:rPr>
          <w:rFonts w:ascii="宋体" w:hAnsi="宋体" w:hint="eastAsia"/>
        </w:rPr>
      </w:pPr>
      <w:r>
        <w:rPr>
          <w:rFonts w:ascii="宋体" w:hAnsi="宋体" w:hint="eastAsia"/>
        </w:rPr>
        <w:t>（2）软件和设备必须实行先报验后使用的原则，设备和软件进场前由中标人提交软件和设备进场报审表，入场前必须提前 24 小时通知招标人，由招标人、中标人共同验收。</w:t>
      </w:r>
    </w:p>
    <w:p>
      <w:pPr>
        <w:jc w:val="left"/>
        <w:rPr>
          <w:rFonts w:ascii="宋体" w:hAnsi="宋体" w:hint="eastAsia"/>
        </w:rPr>
      </w:pPr>
      <w:r>
        <w:rPr>
          <w:rFonts w:ascii="宋体" w:hAnsi="宋体" w:hint="eastAsia"/>
        </w:rPr>
        <w:t>（3）设备及软件在进场验收时，中标人应提交进场验收申请、进场设备清单、并提供第三方检测机构的检测报告，另外还需提供厂商产品彩页或产品文档或投标文件中技术规格要求提供的其他要求资料，证明其满足招标文件确定的技术指标，同时软件、设备报验必须实物与资料同步。</w:t>
      </w:r>
    </w:p>
    <w:p>
      <w:pPr>
        <w:jc w:val="left"/>
        <w:rPr>
          <w:rFonts w:ascii="宋体" w:hAnsi="宋体" w:hint="eastAsia"/>
        </w:rPr>
      </w:pPr>
      <w:r>
        <w:rPr>
          <w:rFonts w:ascii="宋体" w:hAnsi="宋体" w:hint="eastAsia"/>
        </w:rPr>
        <w:t>（4）参与验收各方人员未到齐时不得拆除原包装，不得进行验收。未经验收或验收不合格的产品及材料不得进场投入使用。</w:t>
      </w:r>
    </w:p>
    <w:p>
      <w:pPr>
        <w:jc w:val="left"/>
        <w:rPr>
          <w:rFonts w:ascii="宋体" w:hAnsi="宋体" w:hint="eastAsia"/>
        </w:rPr>
      </w:pPr>
      <w:r>
        <w:rPr>
          <w:rFonts w:ascii="宋体" w:hAnsi="宋体" w:hint="eastAsia"/>
        </w:rPr>
        <w:t>（5）根据招标人需要在重要设备和材料验收时，中标人安排设备生产商专业技术人员到场协助开箱检查验收。</w:t>
      </w:r>
    </w:p>
    <w:p>
      <w:pPr>
        <w:jc w:val="left"/>
        <w:rPr>
          <w:rFonts w:ascii="宋体" w:hAnsi="宋体" w:hint="eastAsia"/>
        </w:rPr>
      </w:pPr>
      <w:r>
        <w:rPr>
          <w:rFonts w:ascii="宋体" w:hAnsi="宋体" w:hint="eastAsia"/>
        </w:rPr>
        <w:t>（6）招标方保留对投标产品进行厂验的权力。若招标方不对投标产品进行厂验，但发现设备技术指标不满足合同承诺，招标方有权中止合同，并保留追诉由此引起的经济损失的权利。</w:t>
      </w:r>
    </w:p>
    <w:p>
      <w:pPr>
        <w:jc w:val="left"/>
      </w:pPr>
      <w:r>
        <w:rPr>
          <w:rFonts w:ascii="宋体" w:hAnsi="宋体" w:hint="eastAsia"/>
        </w:rPr>
        <w:t>（7）中标人硬件货物经过相关方检验认可后，具备可使用的条件后，签署验收报告，产品保修期自验收合格之日起算，由投标人提供产品保修文件。</w:t>
      </w:r>
    </w:p>
    <w:p>
      <w:pPr>
        <w:jc w:val="left"/>
        <w:rPr>
          <w:rFonts w:ascii="宋体" w:hAnsi="宋体" w:hint="eastAsia"/>
        </w:rPr>
      </w:pPr>
      <w:r>
        <w:rPr>
          <w:rFonts w:ascii="宋体" w:hAnsi="宋体" w:hint="eastAsia"/>
        </w:rPr>
        <w:t>2.当满足以下条件时，投标人向招标人提交验收申请：</w:t>
      </w:r>
    </w:p>
    <w:p>
      <w:pPr>
        <w:jc w:val="left"/>
        <w:rPr>
          <w:rFonts w:ascii="宋体" w:hAnsi="宋体" w:cs="仿宋_GB2312" w:hint="eastAsia"/>
          <w:szCs w:val="21"/>
        </w:rPr>
      </w:pPr>
      <w:r>
        <w:rPr>
          <w:rFonts w:ascii="宋体" w:hAnsi="宋体" w:hint="eastAsia"/>
        </w:rPr>
        <w:t>（1）到货验收：</w:t>
      </w:r>
      <w:r>
        <w:rPr>
          <w:rFonts w:ascii="宋体" w:hAnsi="宋体" w:cs="仿宋_GB2312" w:hint="eastAsia"/>
          <w:szCs w:val="21"/>
        </w:rPr>
        <w:t>中标人按招标人发出交货通知清单，将货物移交到招标人指定交货地点，且中标人需按照招标文件中的要求完成设备开箱、设备加电及安装实施与联调测试等工作。</w:t>
      </w:r>
    </w:p>
    <w:p>
      <w:pPr>
        <w:jc w:val="left"/>
        <w:rPr>
          <w:rFonts w:ascii="宋体" w:hAnsi="宋体" w:hint="eastAsia"/>
        </w:rPr>
      </w:pPr>
      <w:r>
        <w:rPr>
          <w:rFonts w:ascii="宋体" w:hAnsi="宋体" w:hint="eastAsia"/>
        </w:rPr>
        <w:t>（2）初步验收：投标人已按照合同规定完成了全部采购清单内容的交付、开发与实施等工作。</w:t>
      </w:r>
    </w:p>
    <w:p>
      <w:pPr>
        <w:jc w:val="left"/>
        <w:rPr>
          <w:rFonts w:ascii="宋体" w:hAnsi="宋体" w:hint="eastAsia"/>
        </w:rPr>
      </w:pPr>
      <w:r>
        <w:rPr>
          <w:rFonts w:ascii="宋体" w:hAnsi="宋体" w:hint="eastAsia"/>
        </w:rPr>
        <w:t>（3）最终验收：</w:t>
      </w:r>
      <w:r>
        <w:rPr>
          <w:rFonts w:ascii="宋体" w:hAnsi="宋体" w:cs="仿宋_GB2312" w:hint="eastAsia"/>
          <w:szCs w:val="21"/>
        </w:rPr>
        <w:t>在试运行阶段结束后，中标人按照项目实施计划表格提供整个项目阶段的全部交付物。</w:t>
      </w:r>
    </w:p>
    <w:p>
      <w:pPr>
        <w:jc w:val="left"/>
        <w:rPr>
          <w:rFonts w:ascii="宋体" w:hAnsi="宋体" w:hint="eastAsia"/>
        </w:rPr>
      </w:pPr>
      <w:r>
        <w:rPr>
          <w:rFonts w:ascii="宋体" w:hAnsi="宋体" w:hint="eastAsia"/>
        </w:rPr>
        <w:t>3.项目验收程序依次开展步骤为：</w:t>
      </w:r>
    </w:p>
    <w:p>
      <w:pPr>
        <w:jc w:val="left"/>
        <w:rPr>
          <w:rFonts w:ascii="宋体" w:hAnsi="宋体" w:hint="eastAsia"/>
        </w:rPr>
      </w:pPr>
      <w:r>
        <w:rPr>
          <w:rFonts w:ascii="宋体" w:hAnsi="宋体" w:hint="eastAsia"/>
        </w:rPr>
        <w:t>（1）到货验收、初步验收（根据招投标文件、合同、实施方案等文件进行）、试运行、第三方验收检测、项目终验评审；</w:t>
      </w:r>
    </w:p>
    <w:p>
      <w:pPr>
        <w:jc w:val="left"/>
        <w:rPr>
          <w:rFonts w:ascii="宋体" w:hAnsi="宋体" w:hint="eastAsia"/>
        </w:rPr>
      </w:pPr>
      <w:r>
        <w:rPr>
          <w:rFonts w:ascii="宋体" w:hAnsi="宋体" w:hint="eastAsia"/>
        </w:rPr>
        <w:t>（2）项目到货验收报告、初步验收报告、最终验收报告经监理方、采购方审核后盖章形成正式验收报告。</w:t>
      </w:r>
    </w:p>
    <w:p>
      <w:pPr>
        <w:tabs>
          <w:tab w:val="left" w:pos="312"/>
        </w:tabs>
        <w:ind w:firstLine="420" w:firstLineChars="200"/>
        <w:jc w:val="left"/>
        <w:outlineLvl w:val="2"/>
        <w:rPr>
          <w:rFonts w:ascii="宋体" w:hAnsi="宋体" w:cs="仿宋_GB2312" w:hint="eastAsia"/>
          <w:b/>
          <w:szCs w:val="21"/>
        </w:rPr>
      </w:pPr>
      <w:r>
        <w:rPr>
          <w:rFonts w:ascii="宋体" w:hAnsi="宋体" w:cs="仿宋_GB2312" w:hint="eastAsia"/>
          <w:b/>
          <w:szCs w:val="21"/>
        </w:rPr>
        <w:t>4.报价要求</w:t>
      </w:r>
    </w:p>
    <w:p>
      <w:pPr>
        <w:rPr>
          <w:rFonts w:ascii="宋体" w:hAnsi="宋体" w:cs="仿宋_GB2312" w:hint="eastAsia"/>
          <w:szCs w:val="21"/>
        </w:rPr>
      </w:pPr>
      <w:r>
        <w:rPr>
          <w:rFonts w:ascii="宋体" w:hAnsi="宋体" w:cs="仿宋_GB2312" w:hint="eastAsia"/>
          <w:szCs w:val="21"/>
        </w:rPr>
        <w:t>（1）项目报价不得超过预算控制金额（包含</w:t>
      </w:r>
      <w:r>
        <w:rPr>
          <w:rFonts w:ascii="宋体" w:hAnsi="宋体" w:hint="eastAsia"/>
          <w:color w:val="0000FF"/>
          <w:szCs w:val="21"/>
        </w:rPr>
        <w:t>设备安装的管线槽等辅材费用、施工费用等）</w:t>
      </w:r>
      <w:r>
        <w:rPr>
          <w:rFonts w:ascii="宋体" w:hAnsi="宋体" w:cs="仿宋_GB2312" w:hint="eastAsia"/>
          <w:szCs w:val="21"/>
        </w:rPr>
        <w:t>。</w:t>
      </w:r>
    </w:p>
    <w:p>
      <w:pPr>
        <w:rPr>
          <w:rFonts w:ascii="宋体" w:hAnsi="宋体" w:cs="仿宋_GB2312" w:hint="eastAsia"/>
          <w:szCs w:val="21"/>
        </w:rPr>
      </w:pPr>
      <w:r>
        <w:rPr>
          <w:rFonts w:ascii="宋体" w:hAnsi="宋体" w:cs="仿宋_GB2312" w:hint="eastAsia"/>
          <w:szCs w:val="21"/>
        </w:rPr>
        <w:t>（2）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ind w:firstLine="0"/>
        <w:rPr>
          <w:szCs w:val="21"/>
        </w:rPr>
      </w:pPr>
      <w:r>
        <w:rPr>
          <w:rFonts w:hint="eastAsia"/>
          <w:szCs w:val="21"/>
        </w:rPr>
        <w:t>（3）集成与接口要求：本项目包含与医院其他相关信息系统的对接与协助工作，医院协调第三方配合。</w:t>
      </w:r>
    </w:p>
    <w:p>
      <w:pPr>
        <w:pStyle w:val="NormalIndent"/>
      </w:pPr>
    </w:p>
    <w:p>
      <w:pPr>
        <w:tabs>
          <w:tab w:val="left" w:pos="312"/>
        </w:tabs>
        <w:ind w:firstLine="420" w:firstLineChars="200"/>
        <w:jc w:val="left"/>
        <w:outlineLvl w:val="2"/>
        <w:rPr>
          <w:rFonts w:ascii="宋体" w:hAnsi="宋体" w:cs="仿宋_GB2312" w:hint="eastAsia"/>
          <w:b/>
          <w:szCs w:val="21"/>
        </w:rPr>
      </w:pPr>
      <w:r>
        <w:rPr>
          <w:rFonts w:ascii="宋体" w:hAnsi="宋体" w:cs="仿宋_GB2312" w:hint="eastAsia"/>
          <w:b/>
          <w:szCs w:val="21"/>
        </w:rPr>
        <w:t>5.付款方式</w:t>
      </w:r>
    </w:p>
    <w:p>
      <w:pPr>
        <w:rPr>
          <w:rFonts w:ascii="宋体" w:hAnsi="宋体" w:hint="eastAsia"/>
        </w:rPr>
      </w:pPr>
      <w:r>
        <w:rPr>
          <w:rFonts w:ascii="宋体" w:hAnsi="宋体" w:hint="eastAsia"/>
        </w:rPr>
        <w:t>（1）首付款支付条件和金额</w:t>
      </w:r>
    </w:p>
    <w:p>
      <w:pPr>
        <w:rPr>
          <w:rFonts w:ascii="宋体" w:hAnsi="宋体" w:hint="eastAsia"/>
        </w:rPr>
      </w:pPr>
      <w:r>
        <w:rPr>
          <w:rFonts w:ascii="宋体" w:hAnsi="宋体" w:hint="eastAsia"/>
        </w:rPr>
        <w:t>合同签订且财政资金</w:t>
      </w:r>
      <w:r>
        <w:rPr>
          <w:rFonts w:ascii="宋体" w:hAnsi="宋体" w:cs="宋体" w:hint="eastAsia"/>
          <w:szCs w:val="21"/>
        </w:rPr>
        <w:t>下达后</w:t>
      </w:r>
      <w:r>
        <w:rPr>
          <w:rFonts w:ascii="宋体" w:hAnsi="宋体" w:hint="eastAsia"/>
        </w:rPr>
        <w:t>，</w:t>
      </w:r>
      <w:r>
        <w:rPr>
          <w:rFonts w:ascii="宋体" w:hAnsi="宋体" w:cs="宋体" w:hint="eastAsia"/>
          <w:szCs w:val="21"/>
        </w:rPr>
        <w:t>招标人按照国库集中支付制度和支付程序支付本合同总金额的30%</w:t>
      </w:r>
      <w:r>
        <w:rPr>
          <w:rFonts w:ascii="宋体" w:hAnsi="宋体" w:hint="eastAsia"/>
        </w:rPr>
        <w:t>。</w:t>
      </w:r>
      <w:r>
        <w:rPr>
          <w:rFonts w:ascii="宋体" w:hAnsi="宋体" w:cs="宋体" w:hint="eastAsia"/>
          <w:szCs w:val="21"/>
        </w:rPr>
        <w:t>支付款项相关的权利义务以合同约定为准。</w:t>
      </w:r>
    </w:p>
    <w:p>
      <w:pPr>
        <w:rPr>
          <w:rFonts w:ascii="宋体" w:hAnsi="宋体" w:hint="eastAsia"/>
        </w:rPr>
      </w:pPr>
    </w:p>
    <w:p>
      <w:pPr>
        <w:rPr>
          <w:rFonts w:ascii="宋体" w:hAnsi="宋体" w:hint="eastAsia"/>
        </w:rPr>
      </w:pPr>
      <w:r>
        <w:rPr>
          <w:rFonts w:ascii="宋体" w:hAnsi="宋体" w:hint="eastAsia"/>
        </w:rPr>
        <w:t>（2）到货验收款支付条件和金额</w:t>
      </w:r>
    </w:p>
    <w:p>
      <w:pPr>
        <w:rPr>
          <w:rFonts w:ascii="宋体" w:hAnsi="宋体" w:hint="eastAsia"/>
        </w:rPr>
      </w:pPr>
      <w:r>
        <w:rPr>
          <w:rFonts w:ascii="宋体" w:hAnsi="宋体" w:hint="eastAsia"/>
        </w:rPr>
        <w:t>项目采购的主要设备到货并完成到货验收且财政资金</w:t>
      </w:r>
      <w:r>
        <w:rPr>
          <w:rFonts w:ascii="宋体" w:hAnsi="宋体" w:cs="宋体" w:hint="eastAsia"/>
          <w:szCs w:val="21"/>
        </w:rPr>
        <w:t>下达</w:t>
      </w:r>
      <w:r>
        <w:rPr>
          <w:rFonts w:ascii="宋体" w:hAnsi="宋体" w:hint="eastAsia"/>
        </w:rPr>
        <w:t>后，</w:t>
      </w:r>
      <w:r>
        <w:rPr>
          <w:rFonts w:ascii="宋体" w:hAnsi="宋体" w:cs="宋体" w:hint="eastAsia"/>
          <w:szCs w:val="21"/>
        </w:rPr>
        <w:t>招标人按照国库集中支付制度和支付程序支付本合同总金额的25%。支付款项相关的权利义务以合同约定为准。</w:t>
      </w:r>
    </w:p>
    <w:p>
      <w:pPr>
        <w:rPr>
          <w:rFonts w:ascii="宋体" w:hAnsi="宋体" w:hint="eastAsia"/>
        </w:rPr>
      </w:pPr>
    </w:p>
    <w:p>
      <w:pPr>
        <w:rPr>
          <w:rFonts w:ascii="宋体" w:hAnsi="宋体" w:hint="eastAsia"/>
        </w:rPr>
      </w:pPr>
      <w:r>
        <w:rPr>
          <w:rFonts w:ascii="宋体" w:hAnsi="宋体" w:hint="eastAsia"/>
        </w:rPr>
        <w:t>（3）初验款支付条件和金额</w:t>
      </w:r>
    </w:p>
    <w:p>
      <w:pPr>
        <w:rPr>
          <w:rFonts w:ascii="宋体" w:hAnsi="宋体" w:hint="eastAsia"/>
        </w:rPr>
      </w:pPr>
      <w:r>
        <w:rPr>
          <w:rFonts w:ascii="宋体" w:hAnsi="宋体" w:hint="eastAsia"/>
        </w:rPr>
        <w:t>项目通过初步验收后，</w:t>
      </w:r>
      <w:r>
        <w:rPr>
          <w:rFonts w:ascii="宋体" w:hAnsi="宋体" w:cs="宋体" w:hint="eastAsia"/>
          <w:szCs w:val="21"/>
        </w:rPr>
        <w:t>招标人按照国库集中支付制度和支付程序支付本合同总金额的25%。支付款项相关的权利义务以合同约定为准。</w:t>
      </w:r>
    </w:p>
    <w:p>
      <w:pPr>
        <w:rPr>
          <w:rFonts w:ascii="宋体" w:hAnsi="宋体" w:hint="eastAsia"/>
        </w:rPr>
      </w:pPr>
    </w:p>
    <w:p>
      <w:pPr>
        <w:rPr>
          <w:rFonts w:ascii="宋体" w:hAnsi="宋体" w:hint="eastAsia"/>
        </w:rPr>
      </w:pPr>
      <w:r>
        <w:rPr>
          <w:rFonts w:ascii="宋体" w:hAnsi="宋体" w:hint="eastAsia"/>
        </w:rPr>
        <w:t>（4）终验款支付条件和金额</w:t>
      </w:r>
    </w:p>
    <w:p>
      <w:pPr>
        <w:rPr>
          <w:rFonts w:ascii="宋体" w:hAnsi="宋体" w:hint="eastAsia"/>
        </w:rPr>
      </w:pPr>
      <w:r>
        <w:rPr>
          <w:rFonts w:ascii="宋体" w:hAnsi="宋体" w:hint="eastAsia"/>
        </w:rPr>
        <w:t>项目通过竣工验收后，</w:t>
      </w:r>
      <w:r>
        <w:rPr>
          <w:rFonts w:ascii="宋体" w:hAnsi="宋体" w:cs="宋体" w:hint="eastAsia"/>
          <w:szCs w:val="21"/>
        </w:rPr>
        <w:t>招标人按照国库集中支付制度和支付程序支付本合同总金额的15%。支付款项相关的权利义务以合同约定为准。</w:t>
      </w:r>
    </w:p>
    <w:p>
      <w:pPr>
        <w:rPr>
          <w:rFonts w:ascii="宋体" w:hAnsi="宋体" w:hint="eastAsia"/>
        </w:rPr>
      </w:pPr>
    </w:p>
    <w:p>
      <w:pPr>
        <w:rPr>
          <w:rFonts w:ascii="宋体" w:hAnsi="宋体" w:hint="eastAsia"/>
        </w:rPr>
      </w:pPr>
      <w:r>
        <w:rPr>
          <w:rFonts w:ascii="宋体" w:hAnsi="宋体" w:hint="eastAsia"/>
        </w:rPr>
        <w:t>（5）尾款支付条件和金额</w:t>
      </w:r>
    </w:p>
    <w:p>
      <w:pPr>
        <w:rPr>
          <w:rFonts w:ascii="宋体" w:hAnsi="宋体" w:hint="eastAsia"/>
        </w:rPr>
      </w:pPr>
      <w:r>
        <w:rPr>
          <w:rFonts w:ascii="宋体" w:hAnsi="宋体" w:hint="eastAsia"/>
        </w:rPr>
        <w:t>①项目竣工并经招标人验收合格后，投标人应当向招标人提交竣工结算书，以及编制该竣工结算书所依据的全部工程资料（包括但不限于招标文件、投标文件、设计文件、施工图、设计变更通知单、洽商单、施工方案、竣工图等等）。</w:t>
      </w:r>
    </w:p>
    <w:p>
      <w:pPr>
        <w:rPr>
          <w:rFonts w:ascii="宋体" w:hAnsi="宋体" w:hint="eastAsia"/>
        </w:rPr>
      </w:pPr>
      <w:r>
        <w:rPr>
          <w:rFonts w:ascii="宋体" w:hAnsi="宋体" w:hint="eastAsia"/>
        </w:rPr>
        <w:t>②招标人收到投标人提供的①所列资料后，将会同投标人向深圳市宝安区住房和建设事务中心（下称“事务中心”）提出结算审核申请，并将投标人所提交的工程资料提交事务中心。</w:t>
      </w:r>
    </w:p>
    <w:p>
      <w:pPr>
        <w:rPr>
          <w:rFonts w:ascii="宋体" w:hAnsi="宋体" w:hint="eastAsia"/>
        </w:rPr>
      </w:pPr>
      <w:r>
        <w:rPr>
          <w:rFonts w:ascii="宋体" w:hAnsi="宋体" w:hint="eastAsia"/>
        </w:rPr>
        <w:t>③若投标人不提交竣工结算书或/和工程资料，或者不配合招标人向事务中心提出评审申请，经催告后（催告期不超过14天），投标人仍未履行前述义务的，视为同意招标人单方向事务中心提出评审申请，并以审定金额作为结算价。</w:t>
      </w:r>
    </w:p>
    <w:p>
      <w:pPr>
        <w:rPr>
          <w:rFonts w:ascii="宋体" w:hAnsi="宋体" w:hint="eastAsia"/>
        </w:rPr>
      </w:pPr>
      <w:r>
        <w:rPr>
          <w:rFonts w:ascii="宋体" w:hAnsi="宋体" w:hint="eastAsia"/>
        </w:rPr>
        <w:t>④　在事务中心出具的审计报告后，且财政资金下达后，招标人按照国库集中支付制度和支付程序支付至审核结算价的100%。</w:t>
      </w:r>
    </w:p>
    <w:p>
      <w:pPr>
        <w:ind w:firstLine="420" w:firstLineChars="200"/>
        <w:rPr>
          <w:rFonts w:ascii="宋体" w:eastAsia="仿宋_GB2312" w:hAnsi="宋体" w:cs="仿宋_GB2312" w:hint="eastAsia"/>
          <w:color w:val="000000"/>
          <w:szCs w:val="21"/>
          <w:u w:val="single"/>
        </w:rPr>
      </w:pPr>
      <w:r>
        <w:rPr>
          <w:rFonts w:ascii="宋体" w:eastAsia="仿宋_GB2312" w:hAnsi="宋体" w:cs="仿宋_GB2312" w:hint="eastAsia"/>
          <w:color w:val="000000"/>
          <w:szCs w:val="21"/>
          <w:u w:val="single"/>
        </w:rPr>
        <w:t>⑤关于竣工结算造价的审核，若投标人提交的资料齐全，但事务中心拒绝受理招标人报送的项目竣工结算审核时，由招标人另行委托有资质的第三方造价咨询公司进行审核，其审核结论与事务中心的审核结论具有同等法律效力。</w:t>
      </w:r>
    </w:p>
    <w:p>
      <w:pPr>
        <w:rPr>
          <w:rFonts w:ascii="宋体" w:hAnsi="宋体" w:hint="eastAsia"/>
        </w:rPr>
      </w:pPr>
      <w:r>
        <w:rPr>
          <w:rFonts w:ascii="宋体" w:hAnsi="宋体" w:hint="eastAsia"/>
        </w:rPr>
        <w:t>⑥若招标人前期已支付的合同价款超出最终结算价的，超过部分，投标人应当在结算价确定之日起的5个工作日内原路退还至招标人账户。</w:t>
      </w:r>
    </w:p>
    <w:p>
      <w:pPr>
        <w:tabs>
          <w:tab w:val="left" w:pos="312"/>
        </w:tabs>
        <w:ind w:firstLine="420" w:firstLineChars="200"/>
        <w:jc w:val="left"/>
        <w:outlineLvl w:val="2"/>
        <w:rPr>
          <w:rFonts w:ascii="宋体" w:hAnsi="宋体" w:cs="仿宋_GB2312" w:hint="eastAsia"/>
          <w:b/>
          <w:szCs w:val="21"/>
        </w:rPr>
      </w:pPr>
      <w:r>
        <w:rPr>
          <w:rFonts w:ascii="宋体" w:hAnsi="宋体" w:cs="仿宋_GB2312" w:hint="eastAsia"/>
          <w:b/>
          <w:szCs w:val="21"/>
        </w:rPr>
        <w:t>6.知识产权要求</w:t>
      </w:r>
    </w:p>
    <w:p>
      <w:pPr>
        <w:rPr>
          <w:rFonts w:ascii="宋体" w:hAnsi="宋体" w:hint="eastAsia"/>
        </w:rPr>
      </w:pPr>
      <w:r>
        <w:rPr>
          <w:rFonts w:ascii="宋体" w:hAnsi="宋体" w:hint="eastAsia"/>
        </w:rPr>
        <w:t>（1）投标人应保证，其所提供的货物在提供给采购单位前具有完全的所有权，投标产品（包括各种中间件、应用插件、各种工具等）任何一部分时，不会产生因第三方提出的包括但不限于侵犯其专利权、商标权、工业设计权等知识产权和侵犯其所有权、抵押权等物权及其他权利而引发的纠纷。</w:t>
      </w:r>
    </w:p>
    <w:p>
      <w:pPr>
        <w:rPr>
          <w:rFonts w:ascii="仿宋_GB2312" w:eastAsia="仿宋_GB2312" w:hAnsi="仿宋_GB2312" w:cs="仿宋_GB2312" w:hint="eastAsia"/>
          <w:sz w:val="28"/>
          <w:szCs w:val="28"/>
        </w:rPr>
      </w:pPr>
      <w:r>
        <w:rPr>
          <w:rFonts w:ascii="宋体" w:hAnsi="宋体" w:hint="eastAsia"/>
        </w:rPr>
        <w:t>（2）基于项目定制开发的软件，采购方具有完整知识产权和源代码。采购方拥有采购产品完整使用权，有权对采购产品进行重构或委托第三方运维，投标人不能设置各种加密、用户数量等方式进行限制。</w:t>
      </w:r>
    </w:p>
    <w:p>
      <w:pPr>
        <w:tabs>
          <w:tab w:val="left" w:pos="312"/>
        </w:tabs>
        <w:ind w:firstLine="420" w:firstLineChars="200"/>
        <w:jc w:val="left"/>
        <w:outlineLvl w:val="2"/>
        <w:rPr>
          <w:rFonts w:ascii="宋体" w:hAnsi="宋体" w:cs="仿宋_GB2312" w:hint="eastAsia"/>
          <w:b/>
          <w:szCs w:val="21"/>
        </w:rPr>
      </w:pPr>
      <w:r>
        <w:rPr>
          <w:rFonts w:ascii="宋体" w:hAnsi="宋体" w:cs="仿宋_GB2312" w:hint="eastAsia"/>
          <w:b/>
          <w:szCs w:val="21"/>
        </w:rPr>
        <w:t>7.培训要求</w:t>
      </w:r>
    </w:p>
    <w:p>
      <w:pPr>
        <w:pStyle w:val="NormalIndent"/>
        <w:rPr>
          <w:szCs w:val="21"/>
        </w:rPr>
      </w:pPr>
      <w:r>
        <w:rPr>
          <w:rFonts w:hint="eastAsia"/>
          <w:szCs w:val="21"/>
        </w:rPr>
        <w:t>（1）应针对系统使用人员、系统运行维护管理人员等不同对象制定有针对性的培训计划，如：提供主要面向工作人员及相关管理部门等使用系统人员的业务系统操作培训；提供主要面向系统管理及维护人员的系统日常维护培训，使其具备独立进行系统日常维护、故障的诊断与处理等方面的能力。</w:t>
      </w:r>
    </w:p>
    <w:p>
      <w:pPr>
        <w:pStyle w:val="NormalIndent"/>
        <w:rPr>
          <w:szCs w:val="21"/>
        </w:rPr>
      </w:pPr>
      <w:r>
        <w:rPr>
          <w:rFonts w:hint="eastAsia"/>
          <w:szCs w:val="21"/>
        </w:rPr>
        <w:t>（2）投标人应根据本次项目的实际建设内容，详细制定培训课程，内容包括但不限于培训内容、培训方式、讲师资质、培训教材、培训时间；培训地点场所由采购人提供。</w:t>
      </w:r>
    </w:p>
    <w:p>
      <w:pPr>
        <w:tabs>
          <w:tab w:val="left" w:pos="312"/>
        </w:tabs>
        <w:ind w:left="501"/>
        <w:jc w:val="left"/>
        <w:outlineLvl w:val="2"/>
        <w:rPr>
          <w:rFonts w:ascii="宋体" w:hAnsi="宋体" w:hint="eastAsia"/>
          <w:b/>
          <w:bCs/>
          <w:szCs w:val="21"/>
        </w:rPr>
      </w:pPr>
      <w:r>
        <w:rPr>
          <w:rFonts w:ascii="宋体" w:hAnsi="宋体" w:hint="eastAsia"/>
          <w:b/>
          <w:bCs/>
          <w:szCs w:val="21"/>
        </w:rPr>
        <w:t>8.其他需说明的事项</w:t>
      </w:r>
    </w:p>
    <w:p>
      <w:pPr>
        <w:rPr>
          <w:rFonts w:ascii="宋体" w:hAnsi="宋体" w:cs="仿宋_GB2312" w:hint="eastAsia"/>
          <w:szCs w:val="21"/>
        </w:rPr>
      </w:pPr>
      <w:r>
        <w:rPr>
          <w:rFonts w:ascii="宋体" w:hAnsi="宋体" w:cs="仿宋_GB2312" w:hint="eastAsia"/>
          <w:szCs w:val="21"/>
        </w:rPr>
        <w:t>（1）中标方应确保投标文件中的信息真实、有效。</w:t>
      </w:r>
    </w:p>
    <w:p>
      <w:pPr>
        <w:rPr>
          <w:rFonts w:ascii="宋体" w:hAnsi="宋体" w:cs="仿宋_GB2312" w:hint="eastAsia"/>
          <w:szCs w:val="21"/>
        </w:rPr>
      </w:pPr>
      <w:r>
        <w:rPr>
          <w:rFonts w:ascii="宋体" w:hAnsi="宋体" w:cs="仿宋_GB2312" w:hint="eastAsia"/>
          <w:szCs w:val="21"/>
        </w:rPr>
        <w:t>（2）中标方不得将项目非法分包或转包给任何单位和个人。否则，采购单位有权即刻终止合同，并要求中标方赔偿相应损失。</w:t>
      </w:r>
    </w:p>
    <w:p>
      <w:pPr>
        <w:rPr>
          <w:rFonts w:ascii="宋体" w:hAnsi="宋体" w:cs="仿宋_GB2312" w:hint="eastAsia"/>
          <w:szCs w:val="21"/>
        </w:rPr>
      </w:pPr>
      <w:r>
        <w:rPr>
          <w:rFonts w:ascii="宋体" w:hAnsi="宋体" w:cs="仿宋_GB2312" w:hint="eastAsia"/>
          <w:szCs w:val="21"/>
        </w:rPr>
        <w:t>（3）投标人应充分了解项目的位置、情况、道路及任何其它足以影响投标报价的情况，任何因忽视或误解项目情况而导致的索赔或服务期限延长申请将不获批准。</w:t>
      </w:r>
    </w:p>
    <w:p>
      <w:pPr>
        <w:pStyle w:val="NormalIndent"/>
        <w:rPr>
          <w:szCs w:val="21"/>
        </w:rPr>
      </w:pPr>
      <w:r>
        <w:rPr>
          <w:rFonts w:hint="eastAsia"/>
          <w:szCs w:val="21"/>
        </w:rPr>
        <w:t>（4）除政府采购合同继续履行将损害国家利益和社会公共利益外，双方当事人不得擅自变更、中止或者终止合同。</w:t>
      </w:r>
    </w:p>
    <w:p/>
    <w:p>
      <w:pPr>
        <w:tabs>
          <w:tab w:val="left" w:pos="312"/>
        </w:tabs>
        <w:ind w:firstLine="420" w:firstLineChars="200"/>
        <w:jc w:val="left"/>
        <w:outlineLvl w:val="2"/>
        <w:rPr>
          <w:rFonts w:ascii="宋体" w:hAnsi="宋体" w:cs="仿宋_GB2312" w:hint="eastAsia"/>
          <w:b/>
          <w:szCs w:val="21"/>
        </w:rPr>
      </w:pPr>
      <w:r>
        <w:rPr>
          <w:rFonts w:ascii="宋体" w:hAnsi="宋体" w:cs="仿宋_GB2312" w:hint="eastAsia"/>
          <w:b/>
          <w:szCs w:val="21"/>
        </w:rPr>
        <w:t>8.项目质量要求</w:t>
      </w:r>
    </w:p>
    <w:p>
      <w:pPr>
        <w:numPr>
          <w:ilvl w:val="0"/>
          <w:numId w:val="9"/>
        </w:numPr>
        <w:ind w:left="0" w:firstLine="420" w:firstLineChars="200"/>
        <w:jc w:val="left"/>
        <w:rPr>
          <w:rFonts w:ascii="宋体" w:hAnsi="宋体" w:hint="eastAsia"/>
          <w:szCs w:val="21"/>
        </w:rPr>
      </w:pPr>
      <w:r>
        <w:rPr>
          <w:rFonts w:ascii="宋体" w:hAnsi="宋体" w:hint="eastAsia"/>
          <w:szCs w:val="21"/>
        </w:rPr>
        <w:t>保证合同项中所供货物是全新的、未使用过的，并且是用质量优良的原材料和良好的工艺设计和制造，并经严格检验；完全满足规范、标准和合同对货物规定的所有有关安全和质量要求</w:t>
      </w:r>
    </w:p>
    <w:p>
      <w:pPr>
        <w:numPr>
          <w:ilvl w:val="0"/>
          <w:numId w:val="9"/>
        </w:numPr>
        <w:ind w:left="0" w:firstLine="420" w:firstLineChars="200"/>
        <w:jc w:val="left"/>
        <w:rPr>
          <w:rFonts w:ascii="宋体" w:hAnsi="宋体" w:hint="eastAsia"/>
          <w:szCs w:val="21"/>
        </w:rPr>
      </w:pPr>
      <w:r>
        <w:rPr>
          <w:rFonts w:ascii="宋体" w:hAnsi="宋体" w:hint="eastAsia"/>
          <w:szCs w:val="21"/>
        </w:rPr>
        <w:t>保证设备符合合同规定的寿命要求，对明显不符合寿命要求的部件投标方应随时更换和负进一步责任，同时保证设备在正常的寿命周期内，在正常使用维护条件下，不会因为任何潜在缺陷发生安全事故。若由于设备的潜在缺陷而导致安全事故，所有因此造成的直接损失和进一步的责任应由乙方负责。</w:t>
      </w:r>
    </w:p>
    <w:p>
      <w:pPr>
        <w:pStyle w:val="PlainText"/>
        <w:ind w:firstLine="420" w:firstLineChars="200"/>
        <w:rPr>
          <w:rFonts w:hAnsi="宋体" w:hint="eastAsia"/>
          <w:szCs w:val="21"/>
        </w:rPr>
      </w:pPr>
      <w:r>
        <w:rPr>
          <w:rFonts w:hAnsi="宋体" w:hint="eastAsia"/>
          <w:szCs w:val="21"/>
        </w:rPr>
        <w:t>（3）保证应用软件开发、数据处理、信息安全等交付成果，要求满足信息技术创新、安全可靠的要求。</w:t>
      </w:r>
    </w:p>
    <w:p>
      <w:pPr>
        <w:tabs>
          <w:tab w:val="left" w:pos="312"/>
        </w:tabs>
        <w:ind w:firstLine="420" w:firstLineChars="200"/>
        <w:jc w:val="left"/>
        <w:outlineLvl w:val="2"/>
        <w:rPr>
          <w:rFonts w:ascii="宋体" w:hAnsi="宋体" w:hint="eastAsia"/>
          <w:b/>
          <w:bCs/>
          <w:szCs w:val="21"/>
        </w:rPr>
      </w:pPr>
      <w:bookmarkStart w:id="55" w:name="OLE_LINK1"/>
      <w:r>
        <w:rPr>
          <w:rFonts w:ascii="宋体" w:hAnsi="宋体" w:cs="仿宋_GB2312" w:hint="eastAsia"/>
          <w:b/>
          <w:szCs w:val="21"/>
        </w:rPr>
        <w:t>9.</w:t>
      </w:r>
      <w:r>
        <w:rPr>
          <w:rFonts w:ascii="宋体" w:hAnsi="宋体" w:hint="eastAsia"/>
          <w:b/>
          <w:bCs/>
          <w:szCs w:val="21"/>
        </w:rPr>
        <w:t>人员要求</w:t>
      </w:r>
    </w:p>
    <w:p>
      <w:pPr>
        <w:pStyle w:val="PlainText"/>
        <w:ind w:firstLine="420" w:firstLineChars="200"/>
        <w:rPr>
          <w:rFonts w:hAnsi="宋体" w:hint="eastAsia"/>
          <w:szCs w:val="21"/>
        </w:rPr>
      </w:pPr>
      <w:bookmarkEnd w:id="55"/>
      <w:r>
        <w:rPr>
          <w:rFonts w:hAnsi="宋体" w:hint="eastAsia"/>
          <w:szCs w:val="21"/>
        </w:rPr>
        <w:t>要求成立针对信息系统建设的项目工作组，项目签约后系统开发及实施服务期间，</w:t>
      </w:r>
      <w:bookmarkStart w:id="56" w:name="OLE_LINK12"/>
      <w:r>
        <w:rPr>
          <w:rFonts w:hAnsi="宋体" w:hint="eastAsia"/>
          <w:szCs w:val="21"/>
        </w:rPr>
        <w:t>组建不少于10人的实施团队，其中4人驻场的实施小组（</w:t>
      </w:r>
      <w:r>
        <w:rPr>
          <w:rFonts w:hint="eastAsia"/>
          <w:szCs w:val="21"/>
        </w:rPr>
        <w:t>项目经理1人、软件开发人员3人</w:t>
      </w:r>
      <w:r>
        <w:rPr>
          <w:rFonts w:hAnsi="宋体" w:hint="eastAsia"/>
          <w:szCs w:val="21"/>
        </w:rPr>
        <w:t xml:space="preserve">）。成员要求如下： </w:t>
      </w:r>
    </w:p>
    <w:p>
      <w:pPr>
        <w:pStyle w:val="CommentText"/>
        <w:rPr>
          <w:rFonts w:hAnsi="宋体" w:hint="eastAsia"/>
          <w:kern w:val="2"/>
          <w:sz w:val="21"/>
          <w:szCs w:val="21"/>
        </w:rPr>
      </w:pPr>
      <w:r>
        <w:rPr>
          <w:rFonts w:hAnsi="宋体" w:hint="eastAsia"/>
          <w:kern w:val="2"/>
          <w:sz w:val="21"/>
          <w:szCs w:val="21"/>
        </w:rPr>
        <w:t>（1）项目负责人：1人，负责整体规划与执行、</w:t>
      </w:r>
      <w:r>
        <w:rPr>
          <w:rFonts w:hAnsi="宋体"/>
          <w:kern w:val="2"/>
          <w:sz w:val="21"/>
          <w:szCs w:val="21"/>
        </w:rPr>
        <w:t>团队管理</w:t>
      </w:r>
      <w:r>
        <w:rPr>
          <w:rFonts w:hAnsi="宋体" w:hint="eastAsia"/>
          <w:kern w:val="2"/>
          <w:sz w:val="21"/>
          <w:szCs w:val="21"/>
        </w:rPr>
        <w:t>、</w:t>
      </w:r>
      <w:r>
        <w:rPr>
          <w:rFonts w:hAnsi="宋体"/>
          <w:kern w:val="2"/>
          <w:sz w:val="21"/>
          <w:szCs w:val="21"/>
        </w:rPr>
        <w:t>风险与质量管控</w:t>
      </w:r>
      <w:r>
        <w:rPr>
          <w:rFonts w:hAnsi="宋体" w:hint="eastAsia"/>
          <w:kern w:val="2"/>
          <w:sz w:val="21"/>
          <w:szCs w:val="21"/>
        </w:rPr>
        <w:t>，并全权代表供应商执行各项技术及管理工作；</w:t>
      </w:r>
    </w:p>
    <w:p>
      <w:pPr>
        <w:pStyle w:val="CommentText"/>
        <w:rPr>
          <w:rFonts w:hAnsi="宋体" w:hint="eastAsia"/>
          <w:kern w:val="2"/>
          <w:sz w:val="21"/>
          <w:szCs w:val="21"/>
        </w:rPr>
      </w:pPr>
      <w:r>
        <w:rPr>
          <w:rFonts w:hAnsi="宋体" w:hint="eastAsia"/>
          <w:kern w:val="2"/>
          <w:sz w:val="21"/>
          <w:szCs w:val="21"/>
        </w:rPr>
        <w:t>（2）技术负责人：1人，负责整个项目技术</w:t>
      </w:r>
      <w:r>
        <w:rPr>
          <w:rFonts w:hAnsi="宋体"/>
          <w:kern w:val="2"/>
          <w:sz w:val="21"/>
          <w:szCs w:val="21"/>
        </w:rPr>
        <w:t>架构</w:t>
      </w:r>
      <w:r>
        <w:rPr>
          <w:rFonts w:hAnsi="宋体" w:hint="eastAsia"/>
          <w:kern w:val="2"/>
          <w:sz w:val="21"/>
          <w:szCs w:val="21"/>
        </w:rPr>
        <w:t>设计</w:t>
      </w:r>
      <w:r>
        <w:rPr>
          <w:rFonts w:hAnsi="宋体"/>
          <w:kern w:val="2"/>
          <w:sz w:val="21"/>
          <w:szCs w:val="21"/>
        </w:rPr>
        <w:t>，制定</w:t>
      </w:r>
      <w:r>
        <w:rPr>
          <w:rFonts w:hAnsi="宋体" w:hint="eastAsia"/>
          <w:kern w:val="2"/>
          <w:sz w:val="21"/>
          <w:szCs w:val="21"/>
        </w:rPr>
        <w:t>技术</w:t>
      </w:r>
      <w:r>
        <w:rPr>
          <w:rFonts w:hAnsi="宋体"/>
          <w:kern w:val="2"/>
          <w:sz w:val="21"/>
          <w:szCs w:val="21"/>
        </w:rPr>
        <w:t>标准</w:t>
      </w:r>
      <w:r>
        <w:rPr>
          <w:rFonts w:hAnsi="宋体" w:hint="eastAsia"/>
          <w:kern w:val="2"/>
          <w:sz w:val="21"/>
          <w:szCs w:val="21"/>
        </w:rPr>
        <w:t>及交付规范；</w:t>
      </w:r>
    </w:p>
    <w:p>
      <w:pPr>
        <w:pStyle w:val="CommentText"/>
        <w:rPr>
          <w:rFonts w:hAnsi="宋体" w:hint="eastAsia"/>
          <w:kern w:val="2"/>
          <w:sz w:val="21"/>
          <w:szCs w:val="21"/>
        </w:rPr>
      </w:pPr>
      <w:r>
        <w:rPr>
          <w:rFonts w:hAnsi="宋体" w:hint="eastAsia"/>
          <w:kern w:val="2"/>
          <w:sz w:val="21"/>
          <w:szCs w:val="21"/>
        </w:rPr>
        <w:t>（3）大数据负责人：1人，</w:t>
      </w:r>
      <w:r>
        <w:rPr>
          <w:rFonts w:hAnsi="宋体"/>
          <w:kern w:val="2"/>
          <w:sz w:val="21"/>
          <w:szCs w:val="21"/>
        </w:rPr>
        <w:t>设计数据架构与处理流程，挖掘数据价值并支持业务决策</w:t>
      </w:r>
      <w:r>
        <w:rPr>
          <w:rFonts w:hAnsi="宋体" w:hint="eastAsia"/>
          <w:kern w:val="2"/>
          <w:sz w:val="21"/>
          <w:szCs w:val="21"/>
        </w:rPr>
        <w:t>；</w:t>
      </w:r>
    </w:p>
    <w:p>
      <w:pPr>
        <w:pStyle w:val="CommentText"/>
        <w:rPr>
          <w:rFonts w:hAnsi="宋体" w:hint="eastAsia"/>
          <w:kern w:val="2"/>
          <w:sz w:val="21"/>
          <w:szCs w:val="21"/>
        </w:rPr>
      </w:pPr>
      <w:r>
        <w:rPr>
          <w:rFonts w:hAnsi="宋体" w:hint="eastAsia"/>
          <w:kern w:val="2"/>
          <w:sz w:val="21"/>
          <w:szCs w:val="21"/>
        </w:rPr>
        <w:t>（4）开发与实施人员：至少7人，负责项目的开发实施服务。</w:t>
      </w:r>
    </w:p>
    <w:p>
      <w:pPr>
        <w:tabs>
          <w:tab w:val="left" w:pos="312"/>
        </w:tabs>
        <w:ind w:firstLine="420" w:firstLineChars="200"/>
        <w:jc w:val="left"/>
        <w:outlineLvl w:val="2"/>
        <w:rPr>
          <w:rFonts w:ascii="宋体" w:hAnsi="宋体" w:hint="eastAsia"/>
          <w:b/>
          <w:bCs/>
          <w:szCs w:val="21"/>
        </w:rPr>
      </w:pPr>
      <w:bookmarkEnd w:id="56"/>
      <w:bookmarkStart w:id="57" w:name="_Hlk205906946"/>
      <w:r>
        <w:rPr>
          <w:rFonts w:ascii="宋体" w:hAnsi="宋体" w:cs="仿宋_GB2312" w:hint="eastAsia"/>
          <w:b/>
          <w:szCs w:val="21"/>
        </w:rPr>
        <w:t>10.系统性能</w:t>
      </w:r>
      <w:r>
        <w:rPr>
          <w:rFonts w:ascii="宋体" w:hAnsi="宋体" w:hint="eastAsia"/>
          <w:b/>
          <w:bCs/>
          <w:szCs w:val="21"/>
        </w:rPr>
        <w:t>要求</w:t>
      </w:r>
    </w:p>
    <w:p>
      <w:pPr>
        <w:pStyle w:val="CommentText"/>
        <w:widowControl/>
        <w:spacing w:after="120"/>
        <w:ind w:left="480"/>
        <w:rPr>
          <w:rFonts w:hAnsi="宋体" w:cs="宋体" w:hint="eastAsia"/>
          <w:kern w:val="2"/>
          <w:sz w:val="21"/>
          <w:szCs w:val="21"/>
        </w:rPr>
      </w:pPr>
      <w:bookmarkEnd w:id="57"/>
      <w:r>
        <w:rPr>
          <w:rFonts w:hAnsi="宋体" w:cs="宋体" w:hint="eastAsia"/>
          <w:kern w:val="2"/>
          <w:sz w:val="21"/>
          <w:szCs w:val="21"/>
        </w:rPr>
        <w:t>（1）稳定性指标需求</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1、系统有效工作时间：≥99.9%；</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2、项目出现故障后1小时内响应，2小时内安排技术人员提供不间断服务，直到故障排除，要求在24小时内排除故障或者用备件更换故障设备（自然灾害、网络和电力中断、外在环境原因等客观因素导致除外）。保证项目正常运转；</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（2）响应指标需求</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1、进行增、删、改业务（不含大对象数据类型）响应时间在3秒以内。</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2、查询操作的响应时间在3秒以内。</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（3）数据查询类业务性能需求</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数据查询类业务由于受到查询的复杂程度、查询的数据量大小等因素的影响，需要根据具体情况而定，具体如下：</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1、查询基础数据（匹配）的响应时间不大于</w:t>
      </w:r>
      <w:r>
        <w:rPr>
          <w:rFonts w:hAnsi="宋体" w:hint="eastAsia"/>
          <w:kern w:val="2"/>
          <w:sz w:val="21"/>
          <w:szCs w:val="21"/>
        </w:rPr>
        <w:t>10</w:t>
      </w:r>
      <w:r>
        <w:rPr>
          <w:rFonts w:hAnsi="宋体" w:cs="宋体" w:hint="eastAsia"/>
          <w:kern w:val="2"/>
          <w:sz w:val="21"/>
          <w:szCs w:val="21"/>
        </w:rPr>
        <w:t>秒。</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2、查询单个数据主题（千万级）的响应时间不大于</w:t>
      </w:r>
      <w:r>
        <w:rPr>
          <w:rFonts w:hAnsi="宋体" w:hint="eastAsia"/>
          <w:kern w:val="2"/>
          <w:sz w:val="21"/>
          <w:szCs w:val="21"/>
        </w:rPr>
        <w:t>10</w:t>
      </w:r>
      <w:r>
        <w:rPr>
          <w:rFonts w:hAnsi="宋体" w:cs="宋体" w:hint="eastAsia"/>
          <w:kern w:val="2"/>
          <w:sz w:val="21"/>
          <w:szCs w:val="21"/>
        </w:rPr>
        <w:t>秒。</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3、目录检索的响应时间不大于</w:t>
      </w:r>
      <w:r>
        <w:rPr>
          <w:rFonts w:hAnsi="宋体" w:hint="eastAsia"/>
          <w:kern w:val="2"/>
          <w:sz w:val="21"/>
          <w:szCs w:val="21"/>
        </w:rPr>
        <w:t>5</w:t>
      </w:r>
      <w:r>
        <w:rPr>
          <w:rFonts w:hAnsi="宋体" w:cs="宋体" w:hint="eastAsia"/>
          <w:kern w:val="2"/>
          <w:sz w:val="21"/>
          <w:szCs w:val="21"/>
        </w:rPr>
        <w:t>秒。</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4、查询统计报表（非实时统计）的响应时间不大于</w:t>
      </w:r>
      <w:r>
        <w:rPr>
          <w:rFonts w:hAnsi="宋体" w:hint="eastAsia"/>
          <w:kern w:val="2"/>
          <w:sz w:val="21"/>
          <w:szCs w:val="21"/>
        </w:rPr>
        <w:t>10</w:t>
      </w:r>
      <w:r>
        <w:rPr>
          <w:rFonts w:hAnsi="宋体" w:cs="宋体" w:hint="eastAsia"/>
          <w:kern w:val="2"/>
          <w:sz w:val="21"/>
          <w:szCs w:val="21"/>
        </w:rPr>
        <w:t>秒。</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5、复杂查询（十亿级）平均响应时间不大于</w:t>
      </w:r>
      <w:r>
        <w:rPr>
          <w:rFonts w:hAnsi="宋体" w:hint="eastAsia"/>
          <w:kern w:val="2"/>
          <w:sz w:val="21"/>
          <w:szCs w:val="21"/>
        </w:rPr>
        <w:t>15</w:t>
      </w:r>
      <w:r>
        <w:rPr>
          <w:rFonts w:hAnsi="宋体" w:cs="宋体" w:hint="eastAsia"/>
          <w:kern w:val="2"/>
          <w:sz w:val="21"/>
          <w:szCs w:val="21"/>
        </w:rPr>
        <w:t>秒。</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（4）统计分析类业务性能需求</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 xml:space="preserve">统计分析类业务由于受到统计分析功能的复杂程度、分析数据量大小等因素的影响，需要根据具体情况而定，具体如下： </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1、一般统计时间不大于</w:t>
      </w:r>
      <w:r>
        <w:rPr>
          <w:rFonts w:hAnsi="宋体" w:hint="eastAsia"/>
          <w:kern w:val="2"/>
          <w:sz w:val="21"/>
          <w:szCs w:val="21"/>
        </w:rPr>
        <w:t>10</w:t>
      </w:r>
      <w:r>
        <w:rPr>
          <w:rFonts w:hAnsi="宋体" w:cs="宋体" w:hint="eastAsia"/>
          <w:kern w:val="2"/>
          <w:sz w:val="21"/>
          <w:szCs w:val="21"/>
        </w:rPr>
        <w:t>秒。</w:t>
      </w:r>
    </w:p>
    <w:p>
      <w:pPr>
        <w:pStyle w:val="CommentText"/>
        <w:widowControl/>
        <w:spacing w:after="120"/>
        <w:ind w:left="480"/>
        <w:rPr>
          <w:rFonts w:hAnsi="宋体" w:cs="宋体" w:hint="eastAsia"/>
          <w:kern w:val="2"/>
          <w:sz w:val="21"/>
          <w:szCs w:val="21"/>
        </w:rPr>
      </w:pPr>
      <w:r>
        <w:rPr>
          <w:rFonts w:hAnsi="宋体" w:cs="宋体" w:hint="eastAsia"/>
          <w:kern w:val="2"/>
          <w:sz w:val="21"/>
          <w:szCs w:val="21"/>
        </w:rPr>
        <w:t>2、一般分析时间不大于</w:t>
      </w:r>
      <w:r>
        <w:rPr>
          <w:rFonts w:hAnsi="宋体" w:hint="eastAsia"/>
          <w:kern w:val="2"/>
          <w:sz w:val="21"/>
          <w:szCs w:val="21"/>
        </w:rPr>
        <w:t>15</w:t>
      </w:r>
      <w:r>
        <w:rPr>
          <w:rFonts w:hAnsi="宋体" w:cs="宋体" w:hint="eastAsia"/>
          <w:kern w:val="2"/>
          <w:sz w:val="21"/>
          <w:szCs w:val="21"/>
        </w:rPr>
        <w:t>秒。</w:t>
      </w:r>
    </w:p>
    <w:p>
      <w:pPr>
        <w:pStyle w:val="CommentText"/>
        <w:ind w:firstLine="420" w:firstLineChars="200"/>
        <w:rPr>
          <w:rFonts w:hAnsi="宋体" w:hint="eastAsia"/>
          <w:kern w:val="2"/>
          <w:sz w:val="21"/>
          <w:szCs w:val="21"/>
        </w:rPr>
      </w:pPr>
      <w:r>
        <w:rPr>
          <w:rFonts w:hAnsi="宋体" w:hint="eastAsia"/>
          <w:kern w:val="2"/>
          <w:sz w:val="21"/>
          <w:szCs w:val="21"/>
        </w:rPr>
        <w:t>（5）系统并发支持需求</w:t>
      </w:r>
    </w:p>
    <w:p>
      <w:pPr>
        <w:pStyle w:val="PlainText"/>
        <w:widowControl/>
        <w:spacing w:after="120"/>
        <w:ind w:left="480" w:firstLine="420" w:firstLineChars="200"/>
        <w:jc w:val="left"/>
        <w:rPr>
          <w:rFonts w:hAnsi="宋体" w:cs="宋体" w:hint="eastAsia"/>
          <w:kern w:val="0"/>
          <w:sz w:val="24"/>
          <w:szCs w:val="21"/>
        </w:rPr>
      </w:pPr>
      <w:r>
        <w:rPr>
          <w:rFonts w:hAnsi="宋体" w:cs="宋体" w:hint="eastAsia"/>
          <w:kern w:val="0"/>
          <w:sz w:val="24"/>
          <w:szCs w:val="21"/>
        </w:rPr>
        <w:t>系统须为</w:t>
      </w:r>
      <w:r>
        <w:rPr>
          <w:rFonts w:hAnsi="宋体" w:hint="eastAsia"/>
          <w:szCs w:val="21"/>
        </w:rPr>
        <w:t>医院</w:t>
      </w:r>
      <w:r>
        <w:rPr>
          <w:rFonts w:hAnsi="宋体" w:cs="宋体" w:hint="eastAsia"/>
          <w:kern w:val="0"/>
          <w:sz w:val="24"/>
          <w:szCs w:val="21"/>
        </w:rPr>
        <w:t>用户提</w:t>
      </w:r>
      <w:r>
        <w:rPr>
          <w:rFonts w:hAnsi="宋体" w:hint="eastAsia"/>
          <w:szCs w:val="21"/>
        </w:rPr>
        <w:t>供数据应用展示、智慧大脑数据中台</w:t>
      </w:r>
      <w:r>
        <w:rPr>
          <w:rFonts w:hAnsi="宋体" w:cs="宋体" w:hint="eastAsia"/>
          <w:kern w:val="0"/>
          <w:sz w:val="24"/>
          <w:szCs w:val="21"/>
        </w:rPr>
        <w:t>等核心功能，</w:t>
      </w:r>
      <w:r>
        <w:rPr>
          <w:rFonts w:hAnsi="宋体" w:hint="eastAsia"/>
          <w:szCs w:val="21"/>
        </w:rPr>
        <w:t>整体</w:t>
      </w:r>
      <w:r>
        <w:rPr>
          <w:rFonts w:hAnsi="宋体" w:cs="宋体" w:hint="eastAsia"/>
          <w:kern w:val="0"/>
          <w:sz w:val="24"/>
          <w:szCs w:val="21"/>
        </w:rPr>
        <w:t>需支持最大并发用户量</w:t>
      </w:r>
      <w:r>
        <w:rPr>
          <w:rFonts w:hAnsi="宋体" w:hint="eastAsia"/>
          <w:szCs w:val="21"/>
        </w:rPr>
        <w:t>≥150人。</w:t>
      </w:r>
    </w:p>
    <w:p>
      <w:pPr>
        <w:pStyle w:val="BodyText"/>
      </w:pPr>
    </w:p>
    <w:p>
      <w:pPr>
        <w:pStyle w:val="Heading2"/>
        <w:numPr>
          <w:ilvl w:val="0"/>
          <w:numId w:val="10"/>
        </w:numPr>
        <w:spacing w:before="120" w:beforeLines="50" w:after="120" w:afterLines="50"/>
        <w:rPr>
          <w:rFonts w:hint="eastAsia"/>
          <w:lang w:eastAsia="zh-CN"/>
        </w:rPr>
      </w:pPr>
      <w:r>
        <w:rPr>
          <w:rFonts w:hint="eastAsia"/>
          <w:szCs w:val="24"/>
          <w:lang w:val="en-US" w:eastAsia="zh-CN"/>
        </w:rPr>
        <w:t>演示要求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（一）总体要求：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投标（谈判）供应商授权委托人请于</w:t>
      </w:r>
      <w:r>
        <w:rPr>
          <w:rFonts w:ascii="宋体" w:eastAsia="宋体" w:hAnsi="宋体" w:cs="宋体" w:hint="eastAsia"/>
          <w:b/>
          <w:bCs/>
          <w:color w:val="FF0000"/>
          <w:sz w:val="21"/>
          <w:szCs w:val="21"/>
        </w:rPr>
        <w:t>本项目开标时间起60分钟内到达深圳交易集团有限公司宝安分公司（深圳市宝安区2区湖滨东路40号）1楼服务大厅按现场工作人员指引填写《现场演示签到表</w:t>
      </w:r>
      <w:r>
        <w:rPr>
          <w:rFonts w:ascii="宋体" w:eastAsia="宋体" w:hAnsi="宋体" w:cs="宋体" w:hint="eastAsia"/>
          <w:b/>
          <w:bCs/>
          <w:color w:val="FF0000"/>
          <w:sz w:val="21"/>
          <w:szCs w:val="21"/>
          <w:lang w:eastAsia="zh-CN"/>
        </w:rPr>
        <w:t>》</w:t>
      </w:r>
      <w:r>
        <w:rPr>
          <w:rFonts w:ascii="宋体" w:eastAsia="宋体" w:hAnsi="宋体" w:cs="宋体" w:hint="eastAsia"/>
          <w:b/>
          <w:bCs/>
          <w:color w:val="FF0000"/>
          <w:sz w:val="21"/>
          <w:szCs w:val="21"/>
        </w:rPr>
        <w:t>，迟到或缺席将会导致演示及答辩相关评分项得0分。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现场演示（方案讲解）地点提供大屏幕投影设备，可外接笔记本电脑和投影机，外接设备由投标公司自备。由于场地有限，建议不携带过大设备。</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每个投标（谈判）供应商</w:t>
      </w:r>
      <w:r>
        <w:rPr>
          <w:rFonts w:ascii="宋体" w:eastAsia="宋体" w:hAnsi="宋体" w:cs="宋体" w:hint="eastAsia"/>
          <w:sz w:val="21"/>
          <w:szCs w:val="21"/>
          <w:lang w:val="en-US" w:eastAsia="zh-CN"/>
        </w:rPr>
        <w:t>演示及答辩时间不超过</w:t>
      </w:r>
      <w:r>
        <w:rPr>
          <w:rFonts w:ascii="宋体" w:hAnsi="宋体" w:cs="宋体" w:hint="eastAsia"/>
          <w:sz w:val="21"/>
          <w:szCs w:val="21"/>
          <w:highlight w:val="yellow"/>
          <w:lang w:val="en-US" w:eastAsia="zh-CN"/>
        </w:rPr>
        <w:t>20</w:t>
      </w:r>
      <w:r>
        <w:rPr>
          <w:rFonts w:ascii="宋体" w:eastAsia="宋体" w:hAnsi="宋体" w:cs="宋体" w:hint="eastAsia"/>
          <w:sz w:val="21"/>
          <w:szCs w:val="21"/>
          <w:lang w:val="en-US" w:eastAsia="zh-CN"/>
        </w:rPr>
        <w:t>分钟，其中演示时间不超过</w:t>
      </w:r>
      <w:r>
        <w:rPr>
          <w:rFonts w:ascii="宋体" w:hAnsi="宋体" w:cs="宋体" w:hint="eastAsia"/>
          <w:sz w:val="21"/>
          <w:szCs w:val="21"/>
          <w:highlight w:val="yellow"/>
          <w:lang w:val="en-US" w:eastAsia="zh-CN"/>
        </w:rPr>
        <w:t>15</w:t>
      </w:r>
      <w:r>
        <w:rPr>
          <w:rFonts w:ascii="宋体" w:eastAsia="宋体" w:hAnsi="宋体" w:cs="宋体" w:hint="eastAsia"/>
          <w:sz w:val="21"/>
          <w:szCs w:val="21"/>
          <w:lang w:val="en-US" w:eastAsia="zh-CN"/>
        </w:rPr>
        <w:t>分钟</w:t>
      </w:r>
      <w:r>
        <w:rPr>
          <w:rFonts w:ascii="宋体" w:eastAsia="宋体" w:hAnsi="宋体" w:cs="宋体" w:hint="eastAsia"/>
          <w:sz w:val="21"/>
          <w:szCs w:val="21"/>
        </w:rPr>
        <w:t>（期间评委可能会进行提问，并有权酌情延长时间）。现场演示人员</w:t>
      </w:r>
      <w:r>
        <w:rPr>
          <w:rFonts w:ascii="宋体" w:eastAsia="宋体" w:hAnsi="宋体" w:cs="宋体" w:hint="eastAsia"/>
          <w:sz w:val="21"/>
          <w:szCs w:val="21"/>
          <w:lang w:val="en-US" w:eastAsia="zh-CN"/>
        </w:rPr>
        <w:t>一般</w:t>
      </w:r>
      <w:r>
        <w:rPr>
          <w:rFonts w:ascii="宋体" w:eastAsia="宋体" w:hAnsi="宋体" w:cs="宋体" w:hint="eastAsia"/>
          <w:sz w:val="21"/>
          <w:szCs w:val="21"/>
        </w:rPr>
        <w:t>不得超过</w:t>
      </w:r>
      <w:r>
        <w:rPr>
          <w:rFonts w:ascii="宋体" w:eastAsia="宋体" w:hAnsi="宋体" w:cs="宋体" w:hint="eastAsia"/>
          <w:b/>
          <w:bCs/>
          <w:sz w:val="21"/>
          <w:szCs w:val="21"/>
        </w:rPr>
        <w:t>2</w:t>
      </w:r>
      <w:r>
        <w:rPr>
          <w:rFonts w:ascii="宋体" w:eastAsia="宋体" w:hAnsi="宋体" w:cs="宋体" w:hint="eastAsia"/>
          <w:sz w:val="21"/>
          <w:szCs w:val="21"/>
        </w:rPr>
        <w:t>人。</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（二）具体程序：</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rPr>
      </w:pPr>
      <w:r>
        <w:rPr>
          <w:rFonts w:ascii="宋体" w:eastAsia="宋体" w:hAnsi="宋体" w:cs="宋体" w:hint="eastAsia"/>
          <w:sz w:val="21"/>
          <w:szCs w:val="21"/>
        </w:rPr>
        <w:t>1、投标（谈判）供应商授权委托人</w:t>
      </w:r>
      <w:r>
        <w:rPr>
          <w:rFonts w:ascii="宋体" w:eastAsia="宋体" w:hAnsi="宋体" w:cs="宋体" w:hint="eastAsia"/>
          <w:bCs/>
          <w:sz w:val="21"/>
          <w:szCs w:val="21"/>
        </w:rPr>
        <w:t>需在</w:t>
      </w:r>
      <w:r>
        <w:rPr>
          <w:rFonts w:ascii="宋体" w:eastAsia="宋体" w:hAnsi="宋体" w:cs="宋体" w:hint="eastAsia"/>
          <w:b/>
          <w:bCs/>
          <w:sz w:val="21"/>
          <w:szCs w:val="21"/>
        </w:rPr>
        <w:t>现场演示签到截止时间前</w:t>
      </w:r>
      <w:r>
        <w:rPr>
          <w:rFonts w:ascii="宋体" w:eastAsia="宋体" w:hAnsi="宋体" w:cs="宋体" w:hint="eastAsia"/>
          <w:bCs/>
          <w:sz w:val="21"/>
          <w:szCs w:val="21"/>
        </w:rPr>
        <w:t>，提供法定代表人（负责人）授权委托书（加盖公章）、授权委托人身份证（港澳台居民可提供来往通行证；非中国国籍管辖范围人员，可提供公安部门认可的身份证明材料，下同）原件，到</w:t>
      </w:r>
      <w:r>
        <w:rPr>
          <w:rFonts w:ascii="宋体" w:eastAsia="宋体" w:hAnsi="宋体" w:cs="宋体" w:hint="eastAsia"/>
          <w:b/>
          <w:sz w:val="21"/>
          <w:szCs w:val="21"/>
        </w:rPr>
        <w:t>政府集中采购机构指定签到地点</w:t>
      </w:r>
      <w:r>
        <w:rPr>
          <w:rFonts w:ascii="宋体" w:eastAsia="宋体" w:hAnsi="宋体" w:cs="宋体" w:hint="eastAsia"/>
          <w:bCs/>
          <w:sz w:val="21"/>
          <w:szCs w:val="21"/>
        </w:rPr>
        <w:t>按现场工作人员指引填写《</w:t>
      </w:r>
      <w:r>
        <w:rPr>
          <w:rFonts w:ascii="宋体" w:eastAsia="宋体" w:hAnsi="宋体" w:cs="宋体" w:hint="eastAsia"/>
          <w:b w:val="0"/>
          <w:bCs w:val="0"/>
          <w:sz w:val="21"/>
          <w:szCs w:val="21"/>
        </w:rPr>
        <w:t>现场演示</w:t>
      </w:r>
      <w:r>
        <w:rPr>
          <w:rFonts w:ascii="宋体" w:eastAsia="宋体" w:hAnsi="宋体" w:cs="宋体" w:hint="eastAsia"/>
          <w:bCs/>
          <w:sz w:val="21"/>
          <w:szCs w:val="21"/>
        </w:rPr>
        <w:t>签到表》。</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lang w:eastAsia="zh-CN"/>
        </w:rPr>
      </w:pPr>
      <w:r>
        <w:rPr>
          <w:rFonts w:ascii="宋体" w:eastAsia="宋体" w:hAnsi="宋体" w:cs="宋体" w:hint="eastAsia"/>
          <w:bCs/>
          <w:sz w:val="21"/>
          <w:szCs w:val="21"/>
        </w:rPr>
        <w:t>特别注意事项：（1）资料提供不齐全的，不予签到；（2）招标</w:t>
      </w:r>
      <w:r>
        <w:rPr>
          <w:rFonts w:ascii="宋体" w:eastAsia="宋体" w:hAnsi="宋体" w:cs="宋体" w:hint="eastAsia"/>
          <w:bCs/>
          <w:sz w:val="21"/>
          <w:szCs w:val="21"/>
          <w:lang w:val="en-US" w:eastAsia="zh-CN"/>
        </w:rPr>
        <w:t>文件</w:t>
      </w:r>
      <w:r>
        <w:rPr>
          <w:rFonts w:ascii="宋体" w:eastAsia="宋体" w:hAnsi="宋体" w:cs="宋体" w:hint="eastAsia"/>
          <w:bCs/>
          <w:sz w:val="21"/>
          <w:szCs w:val="21"/>
        </w:rPr>
        <w:t>规定的</w:t>
      </w:r>
      <w:r>
        <w:rPr>
          <w:rFonts w:ascii="宋体" w:eastAsia="宋体" w:hAnsi="宋体" w:cs="宋体" w:hint="eastAsia"/>
          <w:bCs/>
          <w:sz w:val="21"/>
          <w:szCs w:val="21"/>
          <w:lang w:val="en-US" w:eastAsia="zh-CN"/>
        </w:rPr>
        <w:t>演示时间</w:t>
      </w:r>
      <w:r>
        <w:rPr>
          <w:rFonts w:ascii="宋体" w:eastAsia="宋体" w:hAnsi="宋体" w:cs="宋体" w:hint="eastAsia"/>
          <w:bCs/>
          <w:sz w:val="21"/>
          <w:szCs w:val="21"/>
        </w:rPr>
        <w:t>后，不再受理签到；（3）未进行签到的人员，不能参与</w:t>
      </w:r>
      <w:r>
        <w:rPr>
          <w:rFonts w:ascii="宋体" w:eastAsia="宋体" w:hAnsi="宋体" w:cs="宋体" w:hint="eastAsia"/>
          <w:b/>
          <w:bCs/>
          <w:sz w:val="21"/>
          <w:szCs w:val="21"/>
        </w:rPr>
        <w:t>现场演示</w:t>
      </w:r>
      <w:r>
        <w:rPr>
          <w:rFonts w:ascii="宋体" w:eastAsia="宋体" w:hAnsi="宋体" w:cs="宋体" w:hint="eastAsia"/>
          <w:bCs/>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0"/>
          <w:sz w:val="21"/>
          <w:szCs w:val="21"/>
        </w:rPr>
      </w:pPr>
      <w:r>
        <w:rPr>
          <w:rFonts w:ascii="宋体" w:eastAsia="宋体" w:hAnsi="宋体" w:cs="宋体" w:hint="eastAsia"/>
          <w:sz w:val="21"/>
          <w:szCs w:val="21"/>
        </w:rPr>
        <w:t>2、</w:t>
      </w:r>
      <w:r>
        <w:rPr>
          <w:rFonts w:ascii="宋体" w:eastAsia="宋体" w:hAnsi="宋体" w:cs="宋体" w:hint="eastAsia"/>
          <w:bCs/>
          <w:sz w:val="21"/>
          <w:szCs w:val="21"/>
        </w:rPr>
        <w:t>签到截止时间</w:t>
      </w:r>
      <w:r>
        <w:rPr>
          <w:rFonts w:ascii="宋体" w:eastAsia="宋体" w:hAnsi="宋体" w:cs="宋体" w:hint="eastAsia"/>
          <w:kern w:val="0"/>
          <w:sz w:val="21"/>
          <w:szCs w:val="21"/>
        </w:rPr>
        <w:t>后正式进行</w:t>
      </w:r>
      <w:r>
        <w:rPr>
          <w:rFonts w:ascii="宋体" w:eastAsia="宋体" w:hAnsi="宋体" w:cs="宋体" w:hint="eastAsia"/>
          <w:b/>
          <w:bCs/>
          <w:sz w:val="21"/>
          <w:szCs w:val="21"/>
        </w:rPr>
        <w:t>现场演示</w:t>
      </w:r>
      <w:r>
        <w:rPr>
          <w:rFonts w:ascii="宋体" w:eastAsia="宋体" w:hAnsi="宋体" w:cs="宋体" w:hint="eastAsia"/>
          <w:kern w:val="0"/>
          <w:sz w:val="21"/>
          <w:szCs w:val="21"/>
        </w:rPr>
        <w:t>。</w:t>
      </w:r>
      <w:r>
        <w:rPr>
          <w:rFonts w:ascii="宋体" w:eastAsia="宋体" w:hAnsi="宋体" w:cs="宋体" w:hint="eastAsia"/>
          <w:b/>
          <w:bCs/>
          <w:sz w:val="21"/>
          <w:szCs w:val="21"/>
        </w:rPr>
        <w:t>现场演示</w:t>
      </w:r>
      <w:r>
        <w:rPr>
          <w:rFonts w:ascii="宋体" w:eastAsia="宋体" w:hAnsi="宋体" w:cs="宋体" w:hint="eastAsia"/>
          <w:kern w:val="0"/>
          <w:sz w:val="21"/>
          <w:szCs w:val="21"/>
        </w:rPr>
        <w:t>正式开始</w:t>
      </w:r>
      <w:r>
        <w:rPr>
          <w:rFonts w:ascii="宋体" w:eastAsia="宋体" w:hAnsi="宋体" w:cs="宋体" w:hint="eastAsia"/>
          <w:kern w:val="0"/>
          <w:sz w:val="21"/>
          <w:szCs w:val="21"/>
          <w:lang w:eastAsia="zh-CN"/>
        </w:rPr>
        <w:t>前</w:t>
      </w:r>
      <w:r>
        <w:rPr>
          <w:rFonts w:ascii="宋体" w:eastAsia="宋体" w:hAnsi="宋体" w:cs="宋体" w:hint="eastAsia"/>
          <w:kern w:val="0"/>
          <w:sz w:val="21"/>
          <w:szCs w:val="21"/>
        </w:rPr>
        <w:t>将进行身份核对；核对内容为</w:t>
      </w:r>
      <w:r>
        <w:rPr>
          <w:rFonts w:ascii="宋体" w:eastAsia="宋体" w:hAnsi="宋体" w:cs="宋体" w:hint="eastAsia"/>
          <w:b/>
          <w:bCs/>
          <w:sz w:val="21"/>
          <w:szCs w:val="21"/>
        </w:rPr>
        <w:t>现场演示</w:t>
      </w:r>
      <w:r>
        <w:rPr>
          <w:rFonts w:ascii="宋体" w:eastAsia="宋体" w:hAnsi="宋体" w:cs="宋体" w:hint="eastAsia"/>
          <w:kern w:val="0"/>
          <w:sz w:val="21"/>
          <w:szCs w:val="21"/>
        </w:rPr>
        <w:t>人员提供的“</w:t>
      </w:r>
      <w:r>
        <w:rPr>
          <w:rFonts w:ascii="宋体" w:eastAsia="宋体" w:hAnsi="宋体" w:cs="宋体" w:hint="eastAsia"/>
          <w:bCs/>
          <w:sz w:val="21"/>
          <w:szCs w:val="21"/>
        </w:rPr>
        <w:t>法定代表人（负责人）授权委托书（加盖公章）、授权委托人身份证原件</w:t>
      </w:r>
      <w:r>
        <w:rPr>
          <w:rFonts w:ascii="宋体" w:eastAsia="宋体" w:hAnsi="宋体" w:cs="宋体" w:hint="eastAsia"/>
          <w:kern w:val="0"/>
          <w:sz w:val="21"/>
          <w:szCs w:val="21"/>
        </w:rPr>
        <w:t>”。资料不齐全的人员，不得参与</w:t>
      </w:r>
      <w:r>
        <w:rPr>
          <w:rFonts w:ascii="宋体" w:eastAsia="宋体" w:hAnsi="宋体" w:cs="宋体" w:hint="eastAsia"/>
          <w:b/>
          <w:bCs/>
          <w:sz w:val="21"/>
          <w:szCs w:val="21"/>
        </w:rPr>
        <w:t>现场演示</w:t>
      </w:r>
      <w:r>
        <w:rPr>
          <w:rFonts w:ascii="宋体" w:eastAsia="宋体" w:hAnsi="宋体" w:cs="宋体" w:hint="eastAsia"/>
          <w:kern w:val="0"/>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（三）</w:t>
      </w:r>
      <w:r>
        <w:rPr>
          <w:rFonts w:ascii="宋体" w:eastAsia="宋体" w:hAnsi="宋体" w:cs="宋体" w:hint="eastAsia"/>
          <w:sz w:val="21"/>
          <w:szCs w:val="21"/>
          <w:lang w:eastAsia="zh-CN"/>
        </w:rPr>
        <w:t>其他</w:t>
      </w:r>
      <w:r>
        <w:rPr>
          <w:rFonts w:ascii="宋体" w:eastAsia="宋体" w:hAnsi="宋体" w:cs="宋体" w:hint="eastAsia"/>
          <w:sz w:val="21"/>
          <w:szCs w:val="21"/>
        </w:rPr>
        <w:t>现场演示规则：</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A.参加本次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的各投标（谈判）供应商，均认为本次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的程序和环境能够满足</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基本条件，并对本</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方案要求内的各项规定不做事后异议，且能够严格遵守相关规定。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B.</w:t>
      </w:r>
      <w:r>
        <w:rPr>
          <w:rFonts w:ascii="宋体" w:eastAsia="宋体" w:hAnsi="宋体" w:cs="宋体" w:hint="eastAsia"/>
          <w:b/>
          <w:bCs/>
          <w:kern w:val="2"/>
          <w:sz w:val="21"/>
          <w:szCs w:val="21"/>
          <w:lang w:val="en-US" w:eastAsia="zh-CN" w:bidi="ar-SA"/>
        </w:rPr>
        <w:t>现场演示可以</w:t>
      </w:r>
      <w:r>
        <w:rPr>
          <w:rFonts w:ascii="宋体" w:eastAsia="宋体" w:hAnsi="宋体" w:cs="宋体" w:hint="eastAsia"/>
          <w:kern w:val="2"/>
          <w:sz w:val="21"/>
          <w:szCs w:val="21"/>
          <w:lang w:val="en-US" w:eastAsia="zh-CN" w:bidi="ar-SA"/>
        </w:rPr>
        <w:t>在评审前进行。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原则上</w:t>
      </w:r>
      <w:r>
        <w:rPr>
          <w:rFonts w:ascii="宋体" w:eastAsia="宋体" w:hAnsi="宋体" w:cs="宋体" w:hint="eastAsia"/>
          <w:b/>
          <w:bCs/>
          <w:kern w:val="2"/>
          <w:sz w:val="21"/>
          <w:szCs w:val="21"/>
          <w:lang w:val="en-US" w:eastAsia="zh-CN" w:bidi="ar-SA"/>
        </w:rPr>
        <w:t>按签到顺序</w:t>
      </w:r>
      <w:r>
        <w:rPr>
          <w:rFonts w:ascii="宋体" w:eastAsia="宋体" w:hAnsi="宋体" w:cs="宋体" w:hint="eastAsia"/>
          <w:kern w:val="2"/>
          <w:sz w:val="21"/>
          <w:szCs w:val="21"/>
          <w:lang w:val="en-US" w:eastAsia="zh-CN" w:bidi="ar-SA"/>
        </w:rPr>
        <w:t>依次进行（经评委同意，可以酌情进行调整）。一个供应商一次性</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完毕。一个供应商在进行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时，其他供应商不得进入现场。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期间，评委可视情况对讲解人员进行提问。</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C.投标人对本次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条件的不确定性疑虑应在开始前做书面表达，若所有疑虑不能完全消除，并认为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结果仍会产生误判，则可以退出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D.由于</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时间有限，投标人同意承担其现场演示结果不确定性的风险，即同意专家以方案讲解情况的判定结论。</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E.本次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的结果，仅对本项目评审委员会（谈判小组）负责，无义务向其余各方出具方案讲解结果。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F.风险及费用说明：各项费用由供应商自理、风险自负。</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lang w:eastAsia="zh-CN"/>
        </w:rPr>
      </w:pPr>
      <w:r>
        <w:rPr>
          <w:rFonts w:ascii="宋体" w:eastAsia="宋体" w:hAnsi="宋体" w:cs="宋体" w:hint="eastAsia"/>
          <w:sz w:val="21"/>
          <w:szCs w:val="21"/>
          <w:lang w:eastAsia="zh-CN"/>
        </w:rPr>
        <w:t>（四）演示内容及要求表：</w:t>
      </w:r>
    </w:p>
    <w:tbl>
      <w:tblPr>
        <w:tblStyle w:val="TableNormal"/>
        <w:tblpPr w:leftFromText="180" w:rightFromText="180" w:vertAnchor="text" w:horzAnchor="page" w:tblpX="2111" w:tblpY="59"/>
        <w:tblOverlap w:val="never"/>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2336"/>
        <w:gridCol w:w="2787"/>
        <w:gridCol w:w="2161"/>
      </w:tblGrid>
      <w:tr>
        <w:tblPrEx>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75"/>
        </w:trPr>
        <w:tc>
          <w:tcPr>
            <w:tcW w:w="674"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序号</w:t>
            </w:r>
          </w:p>
        </w:tc>
        <w:tc>
          <w:tcPr>
            <w:tcW w:w="2336"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演示项目</w:t>
            </w:r>
          </w:p>
        </w:tc>
        <w:tc>
          <w:tcPr>
            <w:tcW w:w="278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演示形式要求</w:t>
            </w:r>
          </w:p>
        </w:tc>
        <w:tc>
          <w:tcPr>
            <w:tcW w:w="216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演示具体内容要求</w:t>
            </w:r>
          </w:p>
        </w:tc>
      </w:tr>
      <w:tr>
        <w:tblPrEx>
          <w:tblW w:w="7958" w:type="dxa"/>
          <w:tblInd w:w="0" w:type="dxa"/>
          <w:tblLayout w:type="fixed"/>
          <w:tblCellMar>
            <w:top w:w="0" w:type="dxa"/>
            <w:left w:w="108" w:type="dxa"/>
            <w:bottom w:w="0" w:type="dxa"/>
            <w:right w:w="108" w:type="dxa"/>
          </w:tblCellMar>
        </w:tblPrEx>
        <w:trPr>
          <w:trHeight w:val="1476"/>
        </w:trPr>
        <w:tc>
          <w:tcPr>
            <w:tcW w:w="674"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1</w:t>
            </w:r>
          </w:p>
        </w:tc>
        <w:tc>
          <w:tcPr>
            <w:tcW w:w="2336"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具体演示内容详见评标信息“演示”中的“评分准则”</w:t>
            </w:r>
          </w:p>
        </w:tc>
        <w:tc>
          <w:tcPr>
            <w:tcW w:w="278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Cs w:val="21"/>
              </w:rPr>
              <w:t>投标人使用</w:t>
            </w:r>
            <w:r>
              <w:rPr>
                <w:rFonts w:ascii="宋体" w:hAnsi="宋体" w:cs="宋体" w:hint="eastAsia"/>
                <w:color w:val="000000"/>
                <w:kern w:val="0"/>
                <w:szCs w:val="21"/>
              </w:rPr>
              <w:t>系统或Demo进行演示</w:t>
            </w:r>
            <w:r>
              <w:rPr>
                <w:rFonts w:ascii="宋体" w:hAnsi="宋体" w:cs="宋体" w:hint="eastAsia"/>
                <w:szCs w:val="21"/>
              </w:rPr>
              <w:t>，要求功能展示完备、演示过程中无系统故障，PPT、FLASH、静态页面等展示不得分</w:t>
            </w:r>
            <w:r>
              <w:rPr>
                <w:rFonts w:ascii="宋体" w:hAnsi="宋体" w:cs="宋体" w:hint="eastAsia"/>
                <w:szCs w:val="21"/>
                <w:lang w:eastAsia="zh-CN"/>
              </w:rPr>
              <w:t>。</w:t>
            </w:r>
          </w:p>
        </w:tc>
        <w:tc>
          <w:tcPr>
            <w:tcW w:w="216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eastAsia="zh-CN"/>
              </w:rPr>
            </w:pPr>
            <w:r>
              <w:rPr>
                <w:rFonts w:ascii="宋体" w:eastAsia="宋体" w:hAnsi="宋体" w:cs="宋体" w:hint="eastAsia"/>
                <w:sz w:val="21"/>
                <w:szCs w:val="21"/>
                <w:lang w:val="en-US" w:eastAsia="zh-CN"/>
              </w:rPr>
              <w:t>具体演示内容详见评标信息“演示”中的“评分准则”</w:t>
            </w:r>
          </w:p>
        </w:tc>
      </w:tr>
    </w:tbl>
    <w:p/>
    <w:p>
      <w:pPr>
        <w:pStyle w:val="Heading2"/>
        <w:spacing w:before="120" w:beforeLines="50" w:after="120" w:afterLines="50"/>
        <w:rPr>
          <w:szCs w:val="24"/>
        </w:rPr>
      </w:pPr>
      <w:r>
        <w:rPr>
          <w:rFonts w:hint="eastAsia"/>
          <w:szCs w:val="24"/>
          <w:lang w:val="en-US" w:eastAsia="zh-CN"/>
        </w:rPr>
        <w:t>八</w:t>
      </w:r>
      <w:r>
        <w:rPr>
          <w:rFonts w:hint="eastAsia"/>
          <w:szCs w:val="24"/>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11"/>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hint="eastAsia"/>
          <w:sz w:val="24"/>
        </w:rPr>
      </w:pPr>
      <w:r>
        <w:rPr>
          <w:rFonts w:ascii="宋体" w:hAnsi="宋体" w:hint="eastAsia"/>
          <w:sz w:val="24"/>
        </w:rPr>
        <w:t>投标文件组成：</w:t>
      </w:r>
    </w:p>
    <w:p>
      <w:pPr>
        <w:ind w:firstLine="1050" w:firstLineChars="500"/>
        <w:rPr>
          <w:rFonts w:ascii="宋体" w:hAnsi="宋体" w:hint="eastAsia"/>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58" w:name="_Hlk72070784"/>
      <w:r>
        <w:rPr>
          <w:rFonts w:hint="eastAsia"/>
          <w:szCs w:val="21"/>
        </w:rPr>
        <w:t>投标函</w:t>
      </w:r>
      <w:bookmarkEnd w:id="58"/>
      <w:r>
        <w:rPr>
          <w:rFonts w:hint="eastAsia"/>
          <w:szCs w:val="21"/>
        </w:rPr>
        <w:t>；</w:t>
      </w:r>
    </w:p>
    <w:p>
      <w:pPr>
        <w:ind w:left="718" w:firstLine="1418" w:leftChars="342" w:firstLineChars="675"/>
        <w:rPr>
          <w:szCs w:val="21"/>
        </w:rPr>
      </w:pPr>
      <w:r>
        <w:rPr>
          <w:rFonts w:hint="eastAsia"/>
          <w:szCs w:val="21"/>
        </w:rPr>
        <w:t>（2）</w:t>
      </w:r>
      <w:bookmarkStart w:id="59" w:name="_Hlk72062521"/>
      <w:r>
        <w:rPr>
          <w:rFonts w:hint="eastAsia"/>
          <w:szCs w:val="21"/>
        </w:rPr>
        <w:t>政府采购投标及履约承诺函</w:t>
      </w:r>
      <w:bookmarkEnd w:id="59"/>
      <w:r>
        <w:rPr>
          <w:rFonts w:hint="eastAsia"/>
          <w:szCs w:val="21"/>
        </w:rPr>
        <w:t>；</w:t>
      </w:r>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60" w:name="_Hlk72257201"/>
      <w:r>
        <w:rPr>
          <w:rFonts w:hint="eastAsia"/>
          <w:szCs w:val="21"/>
        </w:rPr>
        <w:t>（</w:t>
      </w:r>
      <w:r>
        <w:rPr>
          <w:szCs w:val="21"/>
        </w:rPr>
        <w:t>4</w:t>
      </w:r>
      <w:r>
        <w:rPr>
          <w:rFonts w:hint="eastAsia"/>
          <w:szCs w:val="21"/>
        </w:rPr>
        <w:t>）</w:t>
      </w:r>
      <w:bookmarkEnd w:id="60"/>
      <w:r>
        <w:rPr>
          <w:rFonts w:hint="eastAsia"/>
          <w:szCs w:val="21"/>
        </w:rPr>
        <w:t>项目详细报价；</w:t>
      </w:r>
    </w:p>
    <w:p>
      <w:pPr>
        <w:ind w:left="718" w:firstLine="1418" w:leftChars="342" w:firstLineChars="675"/>
        <w:rPr>
          <w:szCs w:val="21"/>
        </w:rPr>
      </w:pPr>
      <w:r>
        <w:rPr>
          <w:rFonts w:hint="eastAsia"/>
          <w:szCs w:val="21"/>
        </w:rPr>
        <w:t>（5）投标人体系认证情况；</w:t>
      </w:r>
    </w:p>
    <w:p>
      <w:pPr>
        <w:ind w:left="718" w:firstLine="1418" w:leftChars="342" w:firstLineChars="675"/>
        <w:rPr>
          <w:szCs w:val="21"/>
        </w:rPr>
      </w:pPr>
      <w:r>
        <w:rPr>
          <w:rFonts w:hint="eastAsia"/>
          <w:szCs w:val="21"/>
        </w:rPr>
        <w:t>（6）投标人同类项目业绩情况；</w:t>
      </w:r>
    </w:p>
    <w:p>
      <w:pPr>
        <w:ind w:left="718" w:firstLine="1418" w:leftChars="342" w:firstLineChars="675"/>
        <w:rPr>
          <w:szCs w:val="21"/>
        </w:rPr>
      </w:pPr>
      <w:r>
        <w:rPr>
          <w:rFonts w:hint="eastAsia"/>
          <w:szCs w:val="21"/>
        </w:rPr>
        <w:t>（7）投标人自主知识产权产品（创新、设计）情况；</w:t>
      </w:r>
    </w:p>
    <w:p>
      <w:pPr>
        <w:ind w:left="718" w:firstLine="1418" w:leftChars="342" w:firstLineChars="675"/>
        <w:rPr>
          <w:szCs w:val="21"/>
        </w:rPr>
      </w:pPr>
      <w:r>
        <w:rPr>
          <w:rFonts w:hint="eastAsia"/>
          <w:szCs w:val="21"/>
        </w:rPr>
        <w:t>（8）投标人认为需要加以说明的其他内容（公开）；</w:t>
      </w:r>
    </w:p>
    <w:p>
      <w:pPr>
        <w:ind w:firstLine="1050" w:firstLineChars="500"/>
        <w:rPr>
          <w:rFonts w:ascii="宋体" w:hAnsi="宋体" w:hint="eastAsia"/>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（1）供应商基本情况表；</w:t>
      </w:r>
    </w:p>
    <w:p>
      <w:pPr>
        <w:ind w:left="718" w:firstLine="1418" w:leftChars="342" w:firstLineChars="675"/>
        <w:rPr>
          <w:szCs w:val="21"/>
        </w:rPr>
      </w:pPr>
      <w:r>
        <w:rPr>
          <w:rFonts w:hint="eastAsia"/>
          <w:szCs w:val="21"/>
        </w:rPr>
        <w:t>（2）法定代表人（负责人）证明书；</w:t>
      </w:r>
    </w:p>
    <w:p>
      <w:pPr>
        <w:ind w:left="718" w:firstLine="1418" w:leftChars="342" w:firstLineChars="675"/>
        <w:rPr>
          <w:szCs w:val="21"/>
        </w:rPr>
      </w:pPr>
      <w:r>
        <w:rPr>
          <w:rFonts w:hint="eastAsia"/>
          <w:szCs w:val="21"/>
        </w:rPr>
        <w:t>（3）投标文件签署授权委托书；</w:t>
      </w:r>
    </w:p>
    <w:p>
      <w:pPr>
        <w:ind w:left="718" w:firstLine="1418" w:leftChars="342" w:firstLineChars="675"/>
        <w:rPr>
          <w:szCs w:val="21"/>
        </w:rPr>
      </w:pPr>
      <w:r>
        <w:rPr>
          <w:rFonts w:hint="eastAsia"/>
          <w:szCs w:val="21"/>
        </w:rPr>
        <w:t>（4）</w:t>
      </w:r>
      <w:r>
        <w:rPr>
          <w:szCs w:val="21"/>
        </w:rPr>
        <w:t>实质性条款响应情况表</w:t>
      </w:r>
      <w:r>
        <w:rPr>
          <w:rFonts w:hint="eastAsia"/>
          <w:szCs w:val="21"/>
        </w:rPr>
        <w:t>；</w:t>
      </w:r>
    </w:p>
    <w:p>
      <w:pPr>
        <w:ind w:left="718" w:firstLine="1418" w:leftChars="342" w:firstLineChars="675"/>
        <w:rPr>
          <w:szCs w:val="21"/>
        </w:rPr>
      </w:pPr>
      <w:r>
        <w:rPr>
          <w:rFonts w:hint="eastAsia"/>
          <w:szCs w:val="21"/>
        </w:rPr>
        <w:t>（5）技术要求偏离表；</w:t>
      </w:r>
    </w:p>
    <w:p>
      <w:pPr>
        <w:ind w:left="718" w:firstLine="1418" w:leftChars="342" w:firstLineChars="675"/>
        <w:rPr>
          <w:szCs w:val="21"/>
        </w:rPr>
      </w:pPr>
      <w:r>
        <w:rPr>
          <w:rFonts w:hint="eastAsia"/>
          <w:szCs w:val="21"/>
        </w:rPr>
        <w:t>（6）拟安排的项目主要团队成员（主要技术人员）情况；</w:t>
      </w:r>
    </w:p>
    <w:p>
      <w:pPr>
        <w:ind w:left="718" w:firstLine="1418" w:leftChars="342" w:firstLineChars="675"/>
        <w:rPr>
          <w:szCs w:val="21"/>
        </w:rPr>
      </w:pPr>
      <w:r>
        <w:rPr>
          <w:rFonts w:hint="eastAsia"/>
          <w:szCs w:val="21"/>
        </w:rPr>
        <w:t>（7）项目实施方案；</w:t>
      </w:r>
    </w:p>
    <w:p>
      <w:pPr>
        <w:ind w:left="718" w:firstLine="1418" w:leftChars="342" w:firstLineChars="675"/>
        <w:rPr>
          <w:szCs w:val="21"/>
        </w:rPr>
      </w:pPr>
      <w:r>
        <w:rPr>
          <w:rFonts w:hint="eastAsia"/>
          <w:szCs w:val="21"/>
        </w:rPr>
        <w:t>（8）投标人认为需要加以说明的其他内容（不公开）；</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61" w:name="_Hlk73818812"/>
      <w:r>
        <w:rPr>
          <w:rFonts w:hint="eastAsia"/>
          <w:szCs w:val="21"/>
        </w:rPr>
        <w:t>1、根据已收到贵单位的项目编号为</w:t>
      </w:r>
      <w:r>
        <w:rPr>
          <w:rFonts w:hint="eastAsia"/>
          <w:szCs w:val="21"/>
          <w:u w:val="thick"/>
        </w:rPr>
        <w:t xml:space="preserve">    </w:t>
      </w:r>
      <w:r>
        <w:rPr>
          <w:rFonts w:hint="eastAsia"/>
          <w:sz w:val="21"/>
          <w:szCs w:val="21"/>
          <w:u w:val="thick"/>
        </w:rPr>
        <w:t>BACG2025000230</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深圳市宝安区人民医院大数据平台、信息安全建设项目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62" w:name="_Hlk72263588"/>
      <w:r>
        <w:rPr>
          <w:rFonts w:hint="eastAsia"/>
          <w:szCs w:val="21"/>
        </w:rPr>
        <w:t>愿意按照招标文件要求承包上述项目并修补其任何缺陷。</w:t>
      </w:r>
      <w:bookmarkEnd w:id="62"/>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61"/>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63"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63"/>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11"/>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bookmarkStart w:id="64"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4"/>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pStyle w:val="Heading3"/>
        <w:jc w:val="center"/>
        <w:rPr>
          <w:rFonts w:ascii="黑体" w:eastAsia="黑体" w:hint="eastAsia"/>
          <w:sz w:val="24"/>
          <w:szCs w:val="24"/>
        </w:rPr>
      </w:pPr>
      <w:r>
        <w:rPr>
          <w:rFonts w:ascii="黑体" w:eastAsia="黑体" w:hint="eastAsia"/>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26"/>
        <w:gridCol w:w="2738"/>
        <w:gridCol w:w="2365"/>
        <w:gridCol w:w="155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526" w:type="dxa"/>
            <w:noWrap w:val="0"/>
            <w:vAlign w:val="center"/>
          </w:tcPr>
          <w:p>
            <w:pPr>
              <w:spacing w:line="360" w:lineRule="auto"/>
              <w:jc w:val="center"/>
              <w:rPr>
                <w:rFonts w:ascii="宋体" w:hAnsi="宋体" w:cs="宋体"/>
                <w:sz w:val="20"/>
                <w:szCs w:val="20"/>
              </w:rPr>
            </w:pPr>
            <w:r>
              <w:rPr>
                <w:rFonts w:ascii="宋体" w:hAnsi="宋体" w:cs="宋体"/>
                <w:sz w:val="20"/>
                <w:szCs w:val="20"/>
              </w:rPr>
              <w:t>序号</w:t>
            </w:r>
          </w:p>
        </w:tc>
        <w:tc>
          <w:tcPr>
            <w:tcW w:w="2738" w:type="dxa"/>
            <w:noWrap w:val="0"/>
            <w:vAlign w:val="center"/>
          </w:tcPr>
          <w:p>
            <w:pPr>
              <w:spacing w:line="360" w:lineRule="auto"/>
              <w:jc w:val="center"/>
              <w:rPr>
                <w:rFonts w:ascii="宋体" w:hAnsi="宋体" w:cs="宋体"/>
                <w:sz w:val="20"/>
                <w:szCs w:val="20"/>
              </w:rPr>
            </w:pPr>
            <w:r>
              <w:rPr>
                <w:rFonts w:ascii="宋体" w:hAnsi="宋体" w:cs="宋体"/>
                <w:sz w:val="20"/>
                <w:szCs w:val="20"/>
              </w:rPr>
              <w:t>支出项名称</w:t>
            </w:r>
          </w:p>
        </w:tc>
        <w:tc>
          <w:tcPr>
            <w:tcW w:w="2365" w:type="dxa"/>
            <w:noWrap w:val="0"/>
            <w:vAlign w:val="center"/>
          </w:tcPr>
          <w:p>
            <w:pPr>
              <w:spacing w:line="360" w:lineRule="auto"/>
              <w:jc w:val="center"/>
              <w:rPr>
                <w:rFonts w:ascii="宋体" w:hAnsi="宋体" w:cs="宋体"/>
                <w:sz w:val="20"/>
                <w:szCs w:val="20"/>
              </w:rPr>
            </w:pPr>
            <w:r>
              <w:rPr>
                <w:rFonts w:ascii="宋体" w:hAnsi="宋体" w:cs="宋体" w:hint="eastAsia"/>
                <w:sz w:val="20"/>
                <w:szCs w:val="20"/>
              </w:rPr>
              <w:t>单项金额</w:t>
            </w:r>
            <w:r>
              <w:rPr>
                <w:rFonts w:ascii="宋体" w:hAnsi="宋体" w:cs="宋体"/>
                <w:sz w:val="20"/>
                <w:szCs w:val="20"/>
              </w:rPr>
              <w:t>（元）</w:t>
            </w:r>
          </w:p>
        </w:tc>
        <w:tc>
          <w:tcPr>
            <w:tcW w:w="1559" w:type="dxa"/>
            <w:noWrap w:val="0"/>
            <w:vAlign w:val="center"/>
          </w:tcPr>
          <w:p>
            <w:pPr>
              <w:spacing w:line="360" w:lineRule="auto"/>
              <w:jc w:val="center"/>
              <w:rPr>
                <w:rFonts w:ascii="宋体" w:hAnsi="宋体" w:cs="宋体"/>
                <w:sz w:val="20"/>
                <w:szCs w:val="20"/>
              </w:rPr>
            </w:pPr>
            <w:r>
              <w:rPr>
                <w:rFonts w:ascii="宋体" w:hAnsi="宋体" w:cs="宋体"/>
                <w:sz w:val="20"/>
                <w:szCs w:val="20"/>
              </w:rPr>
              <w:t>备注</w:t>
            </w:r>
          </w:p>
        </w:tc>
      </w:tr>
      <w:tr>
        <w:tblPrEx>
          <w:tblW w:w="0" w:type="auto"/>
          <w:tblInd w:w="0" w:type="dxa"/>
          <w:tblCellMar>
            <w:top w:w="0" w:type="dxa"/>
            <w:left w:w="108" w:type="dxa"/>
            <w:bottom w:w="0" w:type="dxa"/>
            <w:right w:w="108" w:type="dxa"/>
          </w:tblCellMar>
        </w:tblPrEx>
        <w:tc>
          <w:tcPr>
            <w:tcW w:w="1526" w:type="dxa"/>
            <w:noWrap w:val="0"/>
            <w:vAlign w:val="center"/>
          </w:tcPr>
          <w:p>
            <w:pPr>
              <w:spacing w:line="360" w:lineRule="auto"/>
              <w:jc w:val="center"/>
              <w:rPr>
                <w:rFonts w:ascii="宋体" w:hAnsi="宋体" w:cs="宋体" w:hint="eastAsia"/>
                <w:sz w:val="20"/>
                <w:szCs w:val="20"/>
              </w:rPr>
            </w:pPr>
            <w:r>
              <w:rPr>
                <w:rFonts w:ascii="宋体" w:hAnsi="宋体" w:cs="宋体" w:hint="eastAsia"/>
                <w:sz w:val="20"/>
                <w:szCs w:val="20"/>
              </w:rPr>
              <w:t>1</w:t>
            </w:r>
          </w:p>
        </w:tc>
        <w:tc>
          <w:tcPr>
            <w:tcW w:w="2738" w:type="dxa"/>
            <w:noWrap w:val="0"/>
            <w:vAlign w:val="center"/>
          </w:tcPr>
          <w:p>
            <w:pPr>
              <w:spacing w:line="360" w:lineRule="auto"/>
              <w:jc w:val="center"/>
              <w:rPr>
                <w:rFonts w:ascii="宋体" w:hAnsi="宋体" w:cs="宋体"/>
                <w:sz w:val="20"/>
                <w:szCs w:val="20"/>
              </w:rPr>
            </w:pPr>
            <w:r>
              <w:rPr>
                <w:rFonts w:ascii="宋体" w:hAnsi="宋体" w:cs="宋体" w:hint="eastAsia"/>
                <w:sz w:val="20"/>
                <w:szCs w:val="20"/>
              </w:rPr>
              <w:t>大数据平台软件开发服务</w:t>
            </w:r>
            <w:r>
              <w:rPr>
                <w:rFonts w:ascii="宋体" w:hAnsi="宋体" w:cs="宋体"/>
                <w:sz w:val="20"/>
                <w:szCs w:val="20"/>
              </w:rPr>
              <w:t>费用</w:t>
            </w:r>
          </w:p>
        </w:tc>
        <w:tc>
          <w:tcPr>
            <w:tcW w:w="2365" w:type="dxa"/>
            <w:noWrap w:val="0"/>
            <w:vAlign w:val="center"/>
          </w:tcPr>
          <w:p>
            <w:pPr>
              <w:spacing w:line="360" w:lineRule="auto"/>
              <w:jc w:val="center"/>
              <w:rPr>
                <w:rFonts w:ascii="宋体" w:hAnsi="宋体" w:cs="宋体"/>
                <w:sz w:val="20"/>
                <w:szCs w:val="20"/>
              </w:rPr>
            </w:pPr>
          </w:p>
        </w:tc>
        <w:tc>
          <w:tcPr>
            <w:tcW w:w="1559" w:type="dxa"/>
            <w:noWrap w:val="0"/>
            <w:vAlign w:val="center"/>
          </w:tcPr>
          <w:p>
            <w:pPr>
              <w:spacing w:line="360" w:lineRule="auto"/>
              <w:jc w:val="center"/>
              <w:rPr>
                <w:rFonts w:ascii="宋体" w:hAnsi="宋体" w:cs="宋体"/>
                <w:sz w:val="20"/>
                <w:szCs w:val="20"/>
              </w:rPr>
            </w:pPr>
          </w:p>
        </w:tc>
      </w:tr>
      <w:tr>
        <w:tblPrEx>
          <w:tblW w:w="0" w:type="auto"/>
          <w:tblInd w:w="0" w:type="dxa"/>
          <w:tblCellMar>
            <w:top w:w="0" w:type="dxa"/>
            <w:left w:w="108" w:type="dxa"/>
            <w:bottom w:w="0" w:type="dxa"/>
            <w:right w:w="108" w:type="dxa"/>
          </w:tblCellMar>
        </w:tblPrEx>
        <w:tc>
          <w:tcPr>
            <w:tcW w:w="1526" w:type="dxa"/>
            <w:noWrap w:val="0"/>
            <w:vAlign w:val="center"/>
          </w:tcPr>
          <w:p>
            <w:pPr>
              <w:spacing w:line="360" w:lineRule="auto"/>
              <w:jc w:val="center"/>
              <w:rPr>
                <w:rFonts w:ascii="宋体" w:hAnsi="宋体" w:cs="宋体" w:hint="eastAsia"/>
                <w:sz w:val="20"/>
                <w:szCs w:val="20"/>
              </w:rPr>
            </w:pPr>
            <w:r>
              <w:rPr>
                <w:rFonts w:ascii="宋体" w:hAnsi="宋体" w:cs="宋体" w:hint="eastAsia"/>
                <w:sz w:val="20"/>
                <w:szCs w:val="20"/>
              </w:rPr>
              <w:t>2</w:t>
            </w:r>
          </w:p>
        </w:tc>
        <w:tc>
          <w:tcPr>
            <w:tcW w:w="2738" w:type="dxa"/>
            <w:noWrap w:val="0"/>
            <w:vAlign w:val="center"/>
          </w:tcPr>
          <w:p>
            <w:pPr>
              <w:spacing w:line="360" w:lineRule="auto"/>
              <w:jc w:val="center"/>
              <w:rPr>
                <w:rFonts w:ascii="宋体" w:hAnsi="宋体" w:cs="宋体"/>
                <w:sz w:val="20"/>
                <w:szCs w:val="20"/>
              </w:rPr>
            </w:pPr>
            <w:r>
              <w:rPr>
                <w:rFonts w:ascii="宋体" w:hAnsi="宋体" w:cs="宋体" w:hint="eastAsia"/>
                <w:sz w:val="20"/>
                <w:szCs w:val="20"/>
              </w:rPr>
              <w:t>大数据平台软件采购服务</w:t>
            </w:r>
            <w:r>
              <w:rPr>
                <w:rFonts w:ascii="宋体" w:hAnsi="宋体" w:cs="宋体"/>
                <w:sz w:val="20"/>
                <w:szCs w:val="20"/>
              </w:rPr>
              <w:t>费用</w:t>
            </w:r>
          </w:p>
        </w:tc>
        <w:tc>
          <w:tcPr>
            <w:tcW w:w="2365" w:type="dxa"/>
            <w:noWrap w:val="0"/>
            <w:vAlign w:val="center"/>
          </w:tcPr>
          <w:p>
            <w:pPr>
              <w:spacing w:line="360" w:lineRule="auto"/>
              <w:jc w:val="center"/>
              <w:rPr>
                <w:rFonts w:ascii="宋体" w:hAnsi="宋体" w:cs="宋体"/>
                <w:sz w:val="20"/>
                <w:szCs w:val="20"/>
              </w:rPr>
            </w:pPr>
          </w:p>
        </w:tc>
        <w:tc>
          <w:tcPr>
            <w:tcW w:w="1559" w:type="dxa"/>
            <w:noWrap w:val="0"/>
            <w:vAlign w:val="center"/>
          </w:tcPr>
          <w:p>
            <w:pPr>
              <w:spacing w:line="360" w:lineRule="auto"/>
              <w:jc w:val="center"/>
              <w:rPr>
                <w:rFonts w:ascii="宋体" w:hAnsi="宋体" w:cs="宋体"/>
                <w:sz w:val="20"/>
                <w:szCs w:val="20"/>
              </w:rPr>
            </w:pPr>
          </w:p>
        </w:tc>
      </w:tr>
      <w:tr>
        <w:tblPrEx>
          <w:tblW w:w="0" w:type="auto"/>
          <w:tblInd w:w="0" w:type="dxa"/>
          <w:tblCellMar>
            <w:top w:w="0" w:type="dxa"/>
            <w:left w:w="108" w:type="dxa"/>
            <w:bottom w:w="0" w:type="dxa"/>
            <w:right w:w="108" w:type="dxa"/>
          </w:tblCellMar>
        </w:tblPrEx>
        <w:tc>
          <w:tcPr>
            <w:tcW w:w="1526" w:type="dxa"/>
            <w:noWrap w:val="0"/>
            <w:vAlign w:val="center"/>
          </w:tcPr>
          <w:p>
            <w:pPr>
              <w:spacing w:line="360" w:lineRule="auto"/>
              <w:jc w:val="center"/>
              <w:rPr>
                <w:rFonts w:ascii="宋体" w:hAnsi="宋体" w:cs="宋体" w:hint="eastAsia"/>
                <w:sz w:val="20"/>
                <w:szCs w:val="20"/>
              </w:rPr>
            </w:pPr>
            <w:r>
              <w:rPr>
                <w:rFonts w:ascii="宋体" w:hAnsi="宋体" w:cs="宋体" w:hint="eastAsia"/>
                <w:sz w:val="20"/>
                <w:szCs w:val="20"/>
              </w:rPr>
              <w:t>3</w:t>
            </w:r>
          </w:p>
        </w:tc>
        <w:tc>
          <w:tcPr>
            <w:tcW w:w="2738" w:type="dxa"/>
            <w:noWrap w:val="0"/>
            <w:vAlign w:val="center"/>
          </w:tcPr>
          <w:p>
            <w:pPr>
              <w:spacing w:line="360" w:lineRule="auto"/>
              <w:jc w:val="center"/>
              <w:rPr>
                <w:rFonts w:ascii="宋体" w:hAnsi="宋体" w:cs="宋体"/>
                <w:sz w:val="20"/>
                <w:szCs w:val="20"/>
              </w:rPr>
            </w:pPr>
            <w:r>
              <w:rPr>
                <w:rFonts w:ascii="宋体" w:hAnsi="宋体" w:cs="宋体" w:hint="eastAsia"/>
                <w:sz w:val="20"/>
                <w:szCs w:val="20"/>
              </w:rPr>
              <w:t>信息安全和商用密码</w:t>
            </w:r>
            <w:r>
              <w:rPr>
                <w:rFonts w:ascii="宋体" w:hAnsi="宋体" w:cs="宋体"/>
                <w:sz w:val="20"/>
                <w:szCs w:val="20"/>
              </w:rPr>
              <w:t>费用</w:t>
            </w:r>
          </w:p>
        </w:tc>
        <w:tc>
          <w:tcPr>
            <w:tcW w:w="2365" w:type="dxa"/>
            <w:noWrap w:val="0"/>
            <w:vAlign w:val="center"/>
          </w:tcPr>
          <w:p>
            <w:pPr>
              <w:spacing w:line="360" w:lineRule="auto"/>
              <w:jc w:val="center"/>
              <w:rPr>
                <w:rFonts w:ascii="宋体" w:hAnsi="宋体" w:cs="宋体"/>
                <w:sz w:val="20"/>
                <w:szCs w:val="20"/>
              </w:rPr>
            </w:pPr>
          </w:p>
        </w:tc>
        <w:tc>
          <w:tcPr>
            <w:tcW w:w="1559" w:type="dxa"/>
            <w:noWrap w:val="0"/>
            <w:vAlign w:val="center"/>
          </w:tcPr>
          <w:p>
            <w:pPr>
              <w:spacing w:line="360" w:lineRule="auto"/>
              <w:jc w:val="center"/>
              <w:rPr>
                <w:rFonts w:ascii="宋体" w:hAnsi="宋体" w:cs="宋体"/>
                <w:sz w:val="20"/>
                <w:szCs w:val="20"/>
              </w:rPr>
            </w:pPr>
            <w:r>
              <w:rPr>
                <w:rFonts w:ascii="宋体" w:hAnsi="宋体" w:cs="宋体" w:hint="eastAsia"/>
                <w:sz w:val="20"/>
                <w:szCs w:val="20"/>
              </w:rPr>
              <w:t>详细报价详见《信息安全和商用密码报价清单》</w:t>
            </w:r>
          </w:p>
        </w:tc>
      </w:tr>
      <w:tr>
        <w:tblPrEx>
          <w:tblW w:w="0" w:type="auto"/>
          <w:tblInd w:w="0" w:type="dxa"/>
          <w:tblCellMar>
            <w:top w:w="0" w:type="dxa"/>
            <w:left w:w="108" w:type="dxa"/>
            <w:bottom w:w="0" w:type="dxa"/>
            <w:right w:w="108" w:type="dxa"/>
          </w:tblCellMar>
        </w:tblPrEx>
        <w:tc>
          <w:tcPr>
            <w:tcW w:w="4264" w:type="dxa"/>
            <w:gridSpan w:val="2"/>
            <w:noWrap w:val="0"/>
            <w:vAlign w:val="center"/>
          </w:tcPr>
          <w:p>
            <w:pPr>
              <w:spacing w:line="360" w:lineRule="auto"/>
              <w:jc w:val="center"/>
              <w:rPr>
                <w:rFonts w:ascii="宋体" w:hAnsi="宋体" w:cs="宋体"/>
                <w:sz w:val="20"/>
                <w:szCs w:val="20"/>
              </w:rPr>
            </w:pPr>
            <w:r>
              <w:rPr>
                <w:rFonts w:ascii="宋体" w:hAnsi="宋体" w:cs="宋体" w:hint="eastAsia"/>
                <w:sz w:val="20"/>
                <w:szCs w:val="20"/>
              </w:rPr>
              <w:t>投标总价（单位：元）（投标总报价=上述第1-3项合价之和）</w:t>
            </w:r>
          </w:p>
        </w:tc>
        <w:tc>
          <w:tcPr>
            <w:tcW w:w="2365" w:type="dxa"/>
            <w:noWrap w:val="0"/>
            <w:vAlign w:val="center"/>
          </w:tcPr>
          <w:p>
            <w:pPr>
              <w:spacing w:line="360" w:lineRule="auto"/>
              <w:jc w:val="center"/>
              <w:rPr>
                <w:rFonts w:ascii="宋体" w:hAnsi="宋体" w:cs="宋体"/>
                <w:sz w:val="20"/>
                <w:szCs w:val="20"/>
              </w:rPr>
            </w:pPr>
          </w:p>
        </w:tc>
        <w:tc>
          <w:tcPr>
            <w:tcW w:w="1559" w:type="dxa"/>
            <w:noWrap w:val="0"/>
            <w:vAlign w:val="center"/>
          </w:tcPr>
          <w:p>
            <w:pPr>
              <w:spacing w:line="360" w:lineRule="auto"/>
              <w:jc w:val="center"/>
              <w:rPr>
                <w:rFonts w:ascii="宋体" w:hAnsi="宋体" w:cs="宋体"/>
                <w:sz w:val="20"/>
                <w:szCs w:val="20"/>
              </w:rPr>
            </w:pPr>
          </w:p>
        </w:tc>
      </w:tr>
    </w:tbl>
    <w:p>
      <w:pPr>
        <w:rPr>
          <w:rFonts w:ascii="宋体" w:hAnsi="宋体" w:cs="宋体" w:hint="eastAsia"/>
          <w:sz w:val="20"/>
          <w:szCs w:val="20"/>
        </w:rPr>
      </w:pPr>
    </w:p>
    <w:p>
      <w:pPr>
        <w:spacing w:after="60" w:afterLines="25" w:line="300" w:lineRule="auto"/>
        <w:rPr>
          <w:rFonts w:ascii="宋体" w:hAnsi="宋体"/>
          <w:b/>
          <w:color w:val="FF0000"/>
          <w:szCs w:val="21"/>
        </w:rPr>
      </w:pPr>
      <w:r>
        <w:rPr>
          <w:rFonts w:ascii="宋体" w:hAnsi="宋体" w:hint="eastAsia"/>
          <w:b/>
          <w:color w:val="FF0000"/>
          <w:szCs w:val="21"/>
        </w:rPr>
        <w:t>说明：</w:t>
      </w:r>
    </w:p>
    <w:p>
      <w:pPr>
        <w:spacing w:after="60" w:afterLines="25" w:line="300" w:lineRule="auto"/>
        <w:rPr>
          <w:rFonts w:ascii="宋体" w:hAnsi="宋体"/>
          <w:b/>
          <w:color w:val="FF0000"/>
          <w:szCs w:val="21"/>
        </w:rPr>
      </w:pPr>
      <w:r>
        <w:rPr>
          <w:rFonts w:ascii="宋体" w:hAnsi="宋体" w:hint="eastAsia"/>
          <w:b/>
          <w:color w:val="FF0000"/>
          <w:szCs w:val="21"/>
        </w:rPr>
        <w:t>1、本项目预算金额为人民币</w:t>
      </w:r>
      <w:r>
        <w:rPr>
          <w:rFonts w:ascii="宋体" w:hAnsi="宋体" w:hint="eastAsia"/>
          <w:b/>
          <w:color w:val="FF0000"/>
          <w:szCs w:val="21"/>
          <w:highlight w:val="yellow"/>
        </w:rPr>
        <w:t>25,704,700.00</w:t>
      </w:r>
      <w:r>
        <w:rPr>
          <w:rFonts w:ascii="宋体" w:hAnsi="宋体" w:hint="eastAsia"/>
          <w:b/>
          <w:color w:val="FF0000"/>
          <w:szCs w:val="21"/>
        </w:rPr>
        <w:t>元。投标总价超出预算金额将作投标无效处理。</w:t>
      </w:r>
    </w:p>
    <w:p>
      <w:pPr>
        <w:spacing w:after="60" w:afterLines="25" w:line="300" w:lineRule="auto"/>
        <w:rPr>
          <w:rFonts w:ascii="宋体" w:hAnsi="宋体"/>
          <w:b/>
          <w:color w:val="FF0000"/>
          <w:szCs w:val="21"/>
        </w:rPr>
      </w:pPr>
      <w:r>
        <w:rPr>
          <w:rFonts w:ascii="宋体" w:hAnsi="宋体" w:hint="eastAsia"/>
          <w:b/>
          <w:color w:val="FF0000"/>
          <w:szCs w:val="21"/>
        </w:rPr>
        <w:t>2、分项报价清单中投标单价核算总额与投标总价不一致的，以开标一览表中投标总价为准，修改单价（评标现场，评委会可组织投标人进行澄清）。修正后的单价经投标人确认后产生约束力，投标人不确认的，其投标无效。</w:t>
      </w:r>
    </w:p>
    <w:p>
      <w:pPr>
        <w:spacing w:after="60" w:afterLines="25" w:line="360" w:lineRule="auto"/>
        <w:rPr>
          <w:rFonts w:ascii="宋体" w:hAnsi="宋体"/>
          <w:b/>
          <w:color w:val="FF0000"/>
          <w:szCs w:val="21"/>
        </w:rPr>
      </w:pPr>
      <w:r>
        <w:rPr>
          <w:rFonts w:ascii="宋体" w:hAnsi="宋体" w:hint="eastAsia"/>
          <w:b/>
          <w:color w:val="FF0000"/>
          <w:szCs w:val="21"/>
        </w:rPr>
        <w:t>3、以上各项报价必须填写且最多保留至小数点后两位，否则作投标无效处理。</w:t>
      </w:r>
    </w:p>
    <w:p>
      <w:pPr>
        <w:spacing w:after="60" w:afterLines="25" w:line="300" w:lineRule="auto"/>
        <w:rPr>
          <w:rFonts w:ascii="宋体" w:hAnsi="宋体" w:hint="eastAsia"/>
          <w:b/>
          <w:color w:val="FF0000"/>
          <w:szCs w:val="21"/>
        </w:rPr>
      </w:pPr>
      <w:r>
        <w:rPr>
          <w:rFonts w:ascii="宋体" w:hAnsi="宋体" w:hint="eastAsia"/>
          <w:b/>
          <w:color w:val="FF0000"/>
          <w:szCs w:val="21"/>
        </w:rPr>
        <w:t>4、本项目结算时，且最终结算不得超出本项目中标总金额。</w:t>
      </w:r>
    </w:p>
    <w:p>
      <w:pPr>
        <w:tabs>
          <w:tab w:val="left" w:pos="720"/>
        </w:tabs>
        <w:jc w:val="center"/>
        <w:rPr>
          <w:b/>
          <w:sz w:val="24"/>
        </w:rPr>
      </w:pPr>
      <w:r>
        <w:rPr>
          <w:rFonts w:hint="eastAsia"/>
          <w:b/>
          <w:sz w:val="24"/>
        </w:rPr>
        <w:t>（二）</w:t>
      </w:r>
      <w:bookmarkStart w:id="65" w:name="_Hlk72073235"/>
      <w:r>
        <w:rPr>
          <w:rFonts w:hint="eastAsia"/>
          <w:b/>
          <w:sz w:val="24"/>
        </w:rPr>
        <w:t>信息安全和商用密码报价清单</w:t>
      </w:r>
      <w:bookmarkEnd w:id="65"/>
    </w:p>
    <w:p>
      <w:pPr>
        <w:rPr>
          <w:b/>
          <w:bCs/>
        </w:rPr>
      </w:pPr>
    </w:p>
    <w:p/>
    <w:tbl>
      <w:tblPr>
        <w:tblStyle w:val="TableNormal"/>
        <w:tblW w:w="4727" w:type="pct"/>
        <w:tblInd w:w="0" w:type="dxa"/>
        <w:tblLayout w:type="fixed"/>
        <w:tblCellMar>
          <w:top w:w="0" w:type="dxa"/>
          <w:left w:w="108" w:type="dxa"/>
          <w:bottom w:w="0" w:type="dxa"/>
          <w:right w:w="108" w:type="dxa"/>
        </w:tblCellMar>
      </w:tblPr>
      <w:tblGrid>
        <w:gridCol w:w="929"/>
        <w:gridCol w:w="948"/>
        <w:gridCol w:w="600"/>
        <w:gridCol w:w="600"/>
        <w:gridCol w:w="600"/>
        <w:gridCol w:w="916"/>
        <w:gridCol w:w="556"/>
        <w:gridCol w:w="789"/>
        <w:gridCol w:w="822"/>
        <w:gridCol w:w="1303"/>
      </w:tblGrid>
      <w:tr>
        <w:tblPrEx>
          <w:tblW w:w="4727" w:type="pct"/>
          <w:tblInd w:w="0" w:type="dxa"/>
          <w:tblLayout w:type="fixed"/>
          <w:tblCellMar>
            <w:top w:w="0" w:type="dxa"/>
            <w:left w:w="108" w:type="dxa"/>
            <w:bottom w:w="0" w:type="dxa"/>
            <w:right w:w="108" w:type="dxa"/>
          </w:tblCellMar>
        </w:tblPrEx>
        <w:trPr>
          <w:trHeight w:val="251"/>
        </w:trPr>
        <w:tc>
          <w:tcPr>
            <w:tcW w:w="576" w:type="pct"/>
            <w:tcBorders>
              <w:top w:val="single" w:sz="4" w:space="0" w:color="auto"/>
              <w:left w:val="single" w:sz="4" w:space="0" w:color="auto"/>
              <w:bottom w:val="single" w:sz="4" w:space="0" w:color="auto"/>
              <w:right w:val="single" w:sz="4" w:space="0" w:color="auto"/>
            </w:tcBorders>
            <w:shd w:val="clear" w:color="000000" w:fill="auto"/>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588" w:type="pct"/>
            <w:tcBorders>
              <w:top w:val="single" w:sz="4" w:space="0" w:color="auto"/>
              <w:left w:val="nil"/>
              <w:bottom w:val="single" w:sz="4" w:space="0" w:color="auto"/>
              <w:right w:val="single" w:sz="4" w:space="0" w:color="auto"/>
            </w:tcBorders>
            <w:shd w:val="clear" w:color="000000" w:fill="auto"/>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设备名称</w:t>
            </w:r>
          </w:p>
        </w:tc>
        <w:tc>
          <w:tcPr>
            <w:tcW w:w="372" w:type="pct"/>
            <w:tcBorders>
              <w:top w:val="single" w:sz="4" w:space="0" w:color="auto"/>
              <w:left w:val="nil"/>
              <w:bottom w:val="single" w:sz="4" w:space="0" w:color="auto"/>
              <w:right w:val="single" w:sz="4" w:space="0" w:color="auto"/>
            </w:tcBorders>
            <w:shd w:val="clear" w:color="auto" w:fill="auto"/>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品牌</w:t>
            </w:r>
          </w:p>
        </w:tc>
        <w:tc>
          <w:tcPr>
            <w:tcW w:w="372" w:type="pct"/>
            <w:tcBorders>
              <w:top w:val="single" w:sz="4" w:space="0" w:color="auto"/>
              <w:left w:val="nil"/>
              <w:bottom w:val="single" w:sz="4" w:space="0" w:color="auto"/>
              <w:right w:val="single" w:sz="4" w:space="0" w:color="auto"/>
            </w:tcBorders>
            <w:shd w:val="clear" w:color="auto" w:fill="auto"/>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规格/型号</w:t>
            </w:r>
          </w:p>
        </w:tc>
        <w:tc>
          <w:tcPr>
            <w:tcW w:w="372" w:type="pct"/>
            <w:tcBorders>
              <w:top w:val="single" w:sz="4" w:space="0" w:color="auto"/>
              <w:left w:val="nil"/>
              <w:bottom w:val="single" w:sz="4" w:space="0" w:color="auto"/>
              <w:right w:val="single" w:sz="4" w:space="0" w:color="auto"/>
            </w:tcBorders>
            <w:shd w:val="clear" w:color="auto" w:fill="auto"/>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原产地</w:t>
            </w:r>
          </w:p>
        </w:tc>
        <w:tc>
          <w:tcPr>
            <w:tcW w:w="568" w:type="pct"/>
            <w:tcBorders>
              <w:top w:val="single" w:sz="4" w:space="0" w:color="auto"/>
              <w:left w:val="nil"/>
              <w:bottom w:val="single" w:sz="4" w:space="0" w:color="auto"/>
              <w:right w:val="single" w:sz="4" w:space="0" w:color="auto"/>
            </w:tcBorders>
            <w:shd w:val="clear" w:color="auto" w:fill="auto"/>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制造商名称</w:t>
            </w:r>
          </w:p>
        </w:tc>
        <w:tc>
          <w:tcPr>
            <w:tcW w:w="345" w:type="pct"/>
            <w:tcBorders>
              <w:top w:val="single" w:sz="4" w:space="0" w:color="auto"/>
              <w:left w:val="nil"/>
              <w:bottom w:val="single" w:sz="4" w:space="0" w:color="auto"/>
              <w:right w:val="single" w:sz="4" w:space="0" w:color="auto"/>
            </w:tcBorders>
            <w:shd w:val="clear" w:color="000000" w:fill="auto"/>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数量</w:t>
            </w:r>
          </w:p>
        </w:tc>
        <w:tc>
          <w:tcPr>
            <w:tcW w:w="489" w:type="pct"/>
            <w:tcBorders>
              <w:top w:val="single" w:sz="4" w:space="0" w:color="auto"/>
              <w:left w:val="nil"/>
              <w:bottom w:val="single" w:sz="4" w:space="0" w:color="auto"/>
              <w:right w:val="single" w:sz="4" w:space="0" w:color="auto"/>
            </w:tcBorders>
            <w:shd w:val="clear" w:color="000000" w:fill="auto"/>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单位</w:t>
            </w:r>
          </w:p>
        </w:tc>
        <w:tc>
          <w:tcPr>
            <w:tcW w:w="510" w:type="pct"/>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单价(元)</w:t>
            </w:r>
          </w:p>
        </w:tc>
        <w:tc>
          <w:tcPr>
            <w:tcW w:w="802" w:type="pct"/>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合价(元)</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一</w:t>
            </w:r>
          </w:p>
        </w:tc>
        <w:tc>
          <w:tcPr>
            <w:tcW w:w="4423" w:type="pct"/>
            <w:gridSpan w:val="9"/>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信息安全</w:t>
            </w: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（一）石岩灾备中心</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数据中心防火墙（石岩灾备中心)</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（二）二期数据中心</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数据中心防火墙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（三）原门诊数据中心</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58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数据中心防火墙（原门诊楼数据中心）</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（四）内网出口区</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网络入侵防护系统 </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58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出口防火墙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防毒墙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（五）非业务外网出口区</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防火墙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防毒墙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负载均衡</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上网行为管理</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（六)业务外网出口区</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防火墙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上网行为管理</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抗拒绝服务系统</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防毒墙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沙箱</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网络入侵防护系统 </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w:t>
            </w:r>
          </w:p>
        </w:tc>
        <w:tc>
          <w:tcPr>
            <w:tcW w:w="58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零信任网关</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(七） 外网DMZ服务区</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WEB应用防火墙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w:t>
            </w:r>
          </w:p>
        </w:tc>
        <w:tc>
          <w:tcPr>
            <w:tcW w:w="58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Web应用防火墙</w:t>
            </w: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w:t>
            </w:r>
          </w:p>
        </w:tc>
        <w:tc>
          <w:tcPr>
            <w:tcW w:w="58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网页防篡改</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蜜罐</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（八）党政专网出口区</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防火墙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（九）外网运维管理区</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态势感知探针</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w:t>
            </w:r>
          </w:p>
        </w:tc>
        <w:tc>
          <w:tcPr>
            <w:tcW w:w="58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日志审计系统(信创)</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（十）内网运维管理区</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漏洞扫描系统</w:t>
            </w: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API风险监测预警系统</w:t>
            </w: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APT威胁检测 </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沙箱分析系统 </w:t>
            </w: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w:t>
            </w:r>
          </w:p>
        </w:tc>
        <w:tc>
          <w:tcPr>
            <w:tcW w:w="58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日志审计系统(信创)</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58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堡垒机</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服务器安全管理系统</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32</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终端安全管理系统</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33</w:t>
            </w:r>
          </w:p>
        </w:tc>
        <w:tc>
          <w:tcPr>
            <w:tcW w:w="588"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超融合配套AV+DPI软件授权</w:t>
            </w: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489"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34</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虚拟桌面终端安全管理系统</w:t>
            </w: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1000</w:t>
            </w:r>
          </w:p>
        </w:tc>
        <w:tc>
          <w:tcPr>
            <w:tcW w:w="489"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点</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35</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态势感知探针</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36</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跨网文件交换系统</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37</w:t>
            </w:r>
          </w:p>
        </w:tc>
        <w:tc>
          <w:tcPr>
            <w:tcW w:w="58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网络质量感知系统</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38</w:t>
            </w:r>
          </w:p>
        </w:tc>
        <w:tc>
          <w:tcPr>
            <w:tcW w:w="58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网络数据防泄漏</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39</w:t>
            </w:r>
          </w:p>
        </w:tc>
        <w:tc>
          <w:tcPr>
            <w:tcW w:w="58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数据安全分类分级系统</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40</w:t>
            </w:r>
          </w:p>
        </w:tc>
        <w:tc>
          <w:tcPr>
            <w:tcW w:w="58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数据库安全审计</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41</w:t>
            </w:r>
          </w:p>
        </w:tc>
        <w:tc>
          <w:tcPr>
            <w:tcW w:w="58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数据动态脱敏系统</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42</w:t>
            </w:r>
          </w:p>
        </w:tc>
        <w:tc>
          <w:tcPr>
            <w:tcW w:w="58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数据库防火墙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shd w:val="clear" w:color="auto" w:fill="auto"/>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43</w:t>
            </w:r>
          </w:p>
        </w:tc>
        <w:tc>
          <w:tcPr>
            <w:tcW w:w="588" w:type="pct"/>
            <w:tcBorders>
              <w:top w:val="nil"/>
              <w:left w:val="nil"/>
              <w:bottom w:val="single" w:sz="4" w:space="0" w:color="auto"/>
              <w:right w:val="single" w:sz="4" w:space="0" w:color="auto"/>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企业安全验证平台</w:t>
            </w: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44</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企业终端安全管理系统</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3000</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点</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（十一）内网核心交换机与外网核心交换机之间</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45</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防火墙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（十二）物联网安全</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46</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物联网安全网关</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（十三）网络及安全运营平台</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47</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安全监测与响应管理平台</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48</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安全GPT智能运营</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年</w:t>
            </w:r>
          </w:p>
        </w:tc>
        <w:tc>
          <w:tcPr>
            <w:tcW w:w="510"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二</w:t>
            </w:r>
          </w:p>
        </w:tc>
        <w:tc>
          <w:tcPr>
            <w:tcW w:w="4423" w:type="pct"/>
            <w:gridSpan w:val="9"/>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商业密码</w:t>
            </w: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IPSec/SSL VPN综合安全网关</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服务器密码机</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协同签名系统</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台</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协同签名密码模块</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密码服务平台</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套</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智能密码钥匙</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个</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SM2站点证书</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张</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RSA2048站点证书</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张</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国密浏览器</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个</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接口集成对接服务</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项</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个人数字证书</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张</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76" w:type="pc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588"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手机端协同个人数字证书</w:t>
            </w: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7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568"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345"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489"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张</w:t>
            </w:r>
          </w:p>
        </w:tc>
        <w:tc>
          <w:tcPr>
            <w:tcW w:w="510"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w:t>
            </w:r>
          </w:p>
        </w:tc>
        <w:tc>
          <w:tcPr>
            <w:tcW w:w="802" w:type="pct"/>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r>
      <w:tr>
        <w:tblPrEx>
          <w:tblW w:w="4727" w:type="pct"/>
          <w:tblInd w:w="0" w:type="dxa"/>
          <w:tblLayout w:type="fixed"/>
          <w:tblCellMar>
            <w:top w:w="0" w:type="dxa"/>
            <w:left w:w="108" w:type="dxa"/>
            <w:bottom w:w="0" w:type="dxa"/>
            <w:right w:w="108" w:type="dxa"/>
          </w:tblCellMar>
        </w:tblPrEx>
        <w:trPr>
          <w:trHeight w:val="312"/>
        </w:trPr>
        <w:tc>
          <w:tcPr>
            <w:tcW w:w="5000" w:type="pct"/>
            <w:gridSpan w:val="10"/>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sz w:val="20"/>
                <w:szCs w:val="20"/>
              </w:rPr>
              <w:t>信息安全和商用密码</w:t>
            </w:r>
            <w:r>
              <w:rPr>
                <w:rFonts w:ascii="宋体" w:hAnsi="宋体" w:cs="宋体"/>
                <w:sz w:val="20"/>
                <w:szCs w:val="20"/>
              </w:rPr>
              <w:t>费用</w:t>
            </w:r>
            <w:r>
              <w:rPr>
                <w:rFonts w:ascii="宋体" w:hAnsi="宋体" w:cs="宋体" w:hint="eastAsia"/>
                <w:sz w:val="20"/>
                <w:szCs w:val="20"/>
              </w:rPr>
              <w:t>（</w:t>
            </w:r>
            <w:r>
              <w:rPr>
                <w:rFonts w:hint="eastAsia"/>
                <w:bCs/>
                <w:szCs w:val="21"/>
              </w:rPr>
              <w:t>币种：人民币；单位：元） 小写：            大写：</w:t>
            </w:r>
          </w:p>
        </w:tc>
      </w:tr>
    </w:tbl>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66"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由供应商承担。经评审委员会认定，在使用综合评分法的项目中一项此类填写错误或缺漏将按照一项普通招标技术要求（一般参数/普通参数）负偏离扣分处理。</w:t>
      </w:r>
      <w:bookmarkEnd w:id="66"/>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pStyle w:val="BodyText"/>
      </w:pPr>
    </w:p>
    <w:p>
      <w:pPr>
        <w:pStyle w:val="BodyText2"/>
      </w:pPr>
    </w:p>
    <w:p>
      <w:pPr>
        <w:pStyle w:val="BodyText2"/>
      </w:pPr>
    </w:p>
    <w:p>
      <w:pPr>
        <w:pStyle w:val="Heading3"/>
        <w:jc w:val="center"/>
        <w:rPr>
          <w:rFonts w:ascii="黑体" w:eastAsia="黑体" w:hint="eastAsia"/>
          <w:sz w:val="24"/>
          <w:szCs w:val="24"/>
        </w:rPr>
      </w:pPr>
      <w:r>
        <w:rPr>
          <w:rFonts w:ascii="黑体" w:eastAsia="黑体" w:hint="eastAsia"/>
          <w:sz w:val="24"/>
          <w:szCs w:val="24"/>
        </w:rPr>
        <w:t>五、投标人体系认证情况（格式自定）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hint="eastAsia"/>
          <w:sz w:val="24"/>
          <w:szCs w:val="24"/>
        </w:rPr>
      </w:pPr>
      <w:r>
        <w:rPr>
          <w:rFonts w:ascii="黑体" w:eastAsia="黑体" w:hint="eastAsia"/>
          <w:sz w:val="24"/>
          <w:szCs w:val="24"/>
        </w:rPr>
        <w:t>六、投标人同类项目业绩情况（格式自定）</w:t>
      </w:r>
    </w:p>
    <w:p>
      <w:pPr>
        <w:pStyle w:val="BodyText"/>
        <w:rPr>
          <w:b w:val="0"/>
          <w:bCs w:val="0"/>
        </w:rPr>
      </w:pPr>
      <w:r>
        <w:rPr>
          <w:rFonts w:hint="eastAsia"/>
          <w:b w:val="0"/>
          <w:bCs w:val="0"/>
        </w:rPr>
        <w:t>（特别提示：投标人须按本招标文件评标信息中这一评审因素要求，提供证明资料）</w:t>
      </w:r>
    </w:p>
    <w:p>
      <w:pPr>
        <w:ind w:firstLine="630" w:firstLineChars="300"/>
        <w:rPr>
          <w:sz w:val="24"/>
        </w:rPr>
      </w:pPr>
    </w:p>
    <w:p>
      <w:pPr>
        <w:pStyle w:val="Heading3"/>
        <w:jc w:val="center"/>
        <w:rPr>
          <w:rFonts w:ascii="黑体" w:eastAsia="黑体" w:hint="eastAsia"/>
          <w:sz w:val="24"/>
          <w:szCs w:val="24"/>
        </w:rPr>
      </w:pPr>
      <w:r>
        <w:rPr>
          <w:rFonts w:ascii="黑体" w:eastAsia="黑体" w:hint="eastAsia"/>
          <w:sz w:val="24"/>
          <w:szCs w:val="24"/>
        </w:rPr>
        <w:t>七、投标人自主知识产权产品（创新、设计）情况（格式自定）</w:t>
      </w:r>
    </w:p>
    <w:p>
      <w:pPr>
        <w:pStyle w:val="BodyText"/>
        <w:rPr>
          <w:b w:val="0"/>
          <w:bCs w:val="0"/>
        </w:rPr>
      </w:pPr>
      <w:r>
        <w:rPr>
          <w:rFonts w:hint="eastAsia"/>
          <w:b w:val="0"/>
          <w:bCs w:val="0"/>
        </w:rPr>
        <w:t>（特别提示：投标人须按本招标文件评标信息中这一评审因素要求，提供证明资料）</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67" w:name="_Hlk72092499"/>
      <w:r>
        <w:rPr>
          <w:rFonts w:ascii="黑体" w:eastAsia="黑体" w:hint="eastAsia"/>
          <w:b w:val="0"/>
          <w:sz w:val="24"/>
        </w:rPr>
        <w:t>供应商基本情况表</w:t>
      </w:r>
      <w:bookmarkEnd w:id="67"/>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numPr>
          <w:ilvl w:val="0"/>
          <w:numId w:val="0"/>
        </w:numPr>
        <w:spacing w:line="360" w:lineRule="auto"/>
        <w:ind w:firstLine="420" w:firstLineChars="200"/>
        <w:outlineLvl w:val="9"/>
        <w:rPr>
          <w:rFonts w:eastAsia="宋体" w:hint="eastAsia"/>
          <w:color w:val="auto"/>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2"/>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2"/>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12"/>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ind w:firstLine="420" w:firstLineChars="200"/>
        <w:rPr>
          <w:rFonts w:ascii="黑体" w:eastAsia="黑体" w:hAnsi="黑体" w:cs="黑体" w:hint="eastAsia"/>
          <w:b/>
          <w:bCs/>
          <w:color w:val="auto"/>
          <w:sz w:val="24"/>
          <w:szCs w:val="24"/>
          <w:u w:val="none"/>
          <w:lang w:val="en-US" w:eastAsia="zh-CN"/>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ind w:firstLine="420" w:firstLineChars="200"/>
        <w:rPr>
          <w:rFonts w:hint="eastAsia"/>
          <w:b/>
          <w:sz w:val="24"/>
          <w:szCs w:val="22"/>
        </w:rPr>
        <w:sectPr>
          <w:pgSz w:w="11907" w:h="16840"/>
          <w:pgMar w:top="1440" w:right="1797" w:bottom="1440" w:left="1797" w:header="851" w:footer="992" w:gutter="0"/>
          <w:cols w:num="1" w:space="425"/>
          <w:titlePg/>
          <w:docGrid w:linePitch="462" w:charSpace="0"/>
        </w:sect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Title"/>
        <w:snapToGrid w:val="0"/>
        <w:spacing w:before="0" w:after="0" w:line="240" w:lineRule="auto"/>
        <w:jc w:val="both"/>
        <w:outlineLvl w:val="9"/>
        <w:rPr>
          <w:rFonts w:ascii="方正小标宋简体" w:eastAsia="方正小标宋简体" w:hAnsi="方正小标宋简体" w:cs="方正小标宋简体" w:hint="eastAsia"/>
          <w:b w:val="0"/>
          <w:bCs w:val="0"/>
          <w:color w:val="auto"/>
          <w:sz w:val="44"/>
          <w:szCs w:val="44"/>
          <w:lang w:val="en-US" w:eastAsia="zh-CN"/>
        </w:rPr>
      </w:pPr>
    </w:p>
    <w:p>
      <w:pPr>
        <w:pStyle w:val="Title"/>
        <w:snapToGrid w:val="0"/>
        <w:spacing w:before="0" w:after="0" w:line="240" w:lineRule="auto"/>
        <w:outlineLvl w:val="2"/>
        <w:rPr>
          <w:rFonts w:eastAsia="宋体" w:hint="default"/>
          <w:lang w:val="en-US" w:eastAsia="zh-CN"/>
        </w:rPr>
      </w:pPr>
      <w:r>
        <w:rPr>
          <w:rFonts w:ascii="黑体" w:eastAsia="黑体" w:hAnsi="宋体" w:cs="Times New Roman" w:hint="eastAsia"/>
          <w:b w:val="0"/>
          <w:bCs/>
          <w:kern w:val="0"/>
          <w:sz w:val="24"/>
          <w:szCs w:val="24"/>
          <w:lang w:val="en-US" w:eastAsia="zh-CN" w:bidi="ar-SA"/>
        </w:rPr>
        <w:t>四、</w:t>
      </w:r>
      <w:bookmarkStart w:id="68" w:name="_Hlk72092634"/>
      <w:r>
        <w:rPr>
          <w:rFonts w:ascii="黑体" w:eastAsia="黑体" w:hint="eastAsia"/>
          <w:b w:val="0"/>
          <w:kern w:val="0"/>
          <w:sz w:val="24"/>
          <w:szCs w:val="24"/>
        </w:rPr>
        <w:t>实质性条款响应情况表</w:t>
      </w:r>
      <w:bookmarkEnd w:id="68"/>
    </w:p>
    <w:p>
      <w:pPr>
        <w:pStyle w:val="NoSpacing"/>
      </w:pP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788"/>
        <w:gridCol w:w="1464"/>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69" w:name="_Hlk72092651"/>
            <w:r>
              <w:rPr>
                <w:rFonts w:ascii="宋体" w:hAnsi="宋体" w:hint="eastAsia"/>
                <w:kern w:val="0"/>
                <w:szCs w:val="21"/>
              </w:rPr>
              <w:t>序号</w:t>
            </w:r>
          </w:p>
        </w:tc>
        <w:tc>
          <w:tcPr>
            <w:tcW w:w="278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bookmarkEnd w:id="69"/>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2788" w:type="dxa"/>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num="1" w:space="425"/>
          <w:titlePg/>
          <w:docGrid w:linePitch="462" w:charSpace="0"/>
        </w:sectPr>
      </w:pPr>
    </w:p>
    <w:p>
      <w:pPr>
        <w:ind w:firstLine="420" w:firstLineChars="200"/>
      </w:pPr>
    </w:p>
    <w:p>
      <w:pPr>
        <w:rPr>
          <w:b/>
          <w:bCs/>
          <w:sz w:val="24"/>
        </w:rPr>
      </w:pPr>
    </w:p>
    <w:p>
      <w:pPr>
        <w:keepNext/>
        <w:keepLines/>
        <w:pageBreakBefore/>
        <w:numPr>
          <w:ilvl w:val="0"/>
          <w:numId w:val="13"/>
        </w:numPr>
        <w:adjustRightInd w:val="0"/>
        <w:snapToGrid w:val="0"/>
        <w:spacing w:line="360" w:lineRule="auto"/>
        <w:jc w:val="center"/>
        <w:textAlignment w:val="baseline"/>
        <w:outlineLvl w:val="2"/>
        <w:rPr>
          <w:rFonts w:ascii="黑体" w:eastAsia="黑体" w:hAnsi="宋体" w:hint="eastAsia"/>
          <w:bCs/>
          <w:kern w:val="0"/>
          <w:sz w:val="24"/>
        </w:rPr>
      </w:pPr>
      <w:r>
        <w:rPr>
          <w:rFonts w:ascii="黑体" w:eastAsia="黑体" w:hint="eastAsia"/>
          <w:sz w:val="24"/>
        </w:rPr>
        <w:t>技术要求偏离</w:t>
      </w:r>
      <w:r>
        <w:rPr>
          <w:rFonts w:ascii="黑体" w:eastAsia="黑体" w:hAnsi="宋体" w:hint="eastAsia"/>
          <w:bCs/>
          <w:kern w:val="0"/>
          <w:sz w:val="24"/>
        </w:rPr>
        <w:t>表</w:t>
      </w:r>
    </w:p>
    <w:p>
      <w:pPr>
        <w:rPr>
          <w:szCs w:val="20"/>
        </w:rPr>
      </w:pPr>
      <w:r>
        <w:rPr>
          <w:rFonts w:hint="eastAsia"/>
          <w:szCs w:val="20"/>
        </w:rPr>
        <w:t>1、大数据平台技术需求</w:t>
      </w:r>
    </w:p>
    <w:p>
      <w:pPr>
        <w:rPr>
          <w:szCs w:val="20"/>
        </w:rPr>
      </w:pPr>
      <w:r>
        <w:rPr>
          <w:rFonts w:hint="eastAsia"/>
          <w:szCs w:val="20"/>
        </w:rPr>
        <w:t>1）数据应用展示技术需求</w:t>
      </w:r>
    </w:p>
    <w:tbl>
      <w:tblPr>
        <w:tblStyle w:val="TableNormal"/>
        <w:tblW w:w="9292" w:type="dxa"/>
        <w:tblInd w:w="0" w:type="dxa"/>
        <w:tblLayout w:type="fixed"/>
        <w:tblCellMar>
          <w:top w:w="0" w:type="dxa"/>
          <w:left w:w="108" w:type="dxa"/>
          <w:bottom w:w="0" w:type="dxa"/>
          <w:right w:w="108" w:type="dxa"/>
        </w:tblCellMar>
      </w:tblPr>
      <w:tblGrid>
        <w:gridCol w:w="562"/>
        <w:gridCol w:w="993"/>
        <w:gridCol w:w="992"/>
        <w:gridCol w:w="1105"/>
        <w:gridCol w:w="1937"/>
        <w:gridCol w:w="1937"/>
        <w:gridCol w:w="883"/>
        <w:gridCol w:w="883"/>
      </w:tblGrid>
      <w:tr>
        <w:tblPrEx>
          <w:tblW w:w="9292"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993"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系统名称</w:t>
            </w:r>
          </w:p>
        </w:tc>
        <w:tc>
          <w:tcPr>
            <w:tcW w:w="992"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系统功能</w:t>
            </w:r>
          </w:p>
        </w:tc>
        <w:tc>
          <w:tcPr>
            <w:tcW w:w="1105"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子模块</w:t>
            </w:r>
          </w:p>
        </w:tc>
        <w:tc>
          <w:tcPr>
            <w:tcW w:w="1937"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招标</w:t>
            </w:r>
            <w:r>
              <w:rPr>
                <w:rFonts w:ascii="宋体" w:hAnsi="宋体" w:cs="宋体" w:hint="eastAsia"/>
                <w:b/>
                <w:bCs/>
                <w:color w:val="000000"/>
                <w:szCs w:val="21"/>
              </w:rPr>
              <w:t>技术要求</w:t>
            </w:r>
          </w:p>
        </w:tc>
        <w:tc>
          <w:tcPr>
            <w:tcW w:w="1937"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投标技术响应</w:t>
            </w:r>
          </w:p>
        </w:tc>
        <w:tc>
          <w:tcPr>
            <w:tcW w:w="883"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偏离情况</w:t>
            </w:r>
          </w:p>
        </w:tc>
        <w:tc>
          <w:tcPr>
            <w:tcW w:w="883"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说明</w:t>
            </w: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993" w:type="dxa"/>
            <w:vMerge w:val="restart"/>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数据资产综合分析</w:t>
            </w:r>
          </w:p>
        </w:tc>
        <w:tc>
          <w:tcPr>
            <w:tcW w:w="992" w:type="dxa"/>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湖仓一体化平台监控</w:t>
            </w:r>
          </w:p>
        </w:tc>
        <w:tc>
          <w:tcPr>
            <w:tcW w:w="1105" w:type="dxa"/>
            <w:tcBorders>
              <w:top w:val="single" w:sz="4" w:space="0" w:color="000000"/>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数据查询</w:t>
            </w:r>
          </w:p>
        </w:tc>
        <w:tc>
          <w:tcPr>
            <w:tcW w:w="1937"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支持实时在线数据查询，用户可选择指定数据库和数据表，自定义编写SQL语句进行实时数据查询。系统可提供查询历史管理及结果导出功能。</w:t>
            </w:r>
          </w:p>
        </w:tc>
        <w:tc>
          <w:tcPr>
            <w:tcW w:w="1937"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17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贴源层</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将ODS层数据表按照来源系统和业务类型进行分层分类展示，可展示数据表的来源、采集方式、存储状态、质控规则、血缘关系等元数据信息。提供快捷跳转和属性维护功能。系统支持多维度的元数据过滤和检索。（</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资产层</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支持将BIZ层数据表按照业务类型及概念模型进行分类分层展示，展示每个数据表的存储状态、质控结果、异常信息及血缘关系。系统提供模型结构和物理表信息查看功能，支持快捷跳转及分类属性维护。</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宽表层</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支持对原子指标层(atommetric层)数据表按照业务类型进行分类管理和展示，提供详细的表结构、质控规则、质控异常及血缘关系查看。</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应用层</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支持将ADS层数据表按照应用系统和业务类型进行分类分层展示，详细展示存储状态、质控规则、异常数据和血缘关系。支持模型信息、明细数据、物理表信息的查看。</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指标一览</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业务指标按照评价主体、评价事项及来源文件进行多维分类展示，提供指标名称、口径、分类属性等详细信息，支持指标定义查看和分类属性维护。支持指标值的多周期趋势展示（如日、周、月、季、年），包含同比、环比增长率和趋势图表。支持查看指标计算SQL。</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标签一览</w:t>
            </w:r>
          </w:p>
        </w:tc>
        <w:tc>
          <w:tcPr>
            <w:tcW w:w="1937" w:type="dxa"/>
            <w:tcBorders>
              <w:top w:val="nil"/>
              <w:left w:val="nil"/>
              <w:bottom w:val="single" w:sz="4" w:space="0" w:color="auto"/>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标签按照业务分类及概念模型分类分层展示，展示标签名称、数据类型、描述及分类属性。支持标签值分布及定义查看。支持分层展示标签的上游依赖（包括贴源层、资产层对象、数据范围等）及下游应用（如指标、数据服务等），并支持上下游对象详情跳转。</w:t>
            </w:r>
          </w:p>
        </w:tc>
        <w:tc>
          <w:tcPr>
            <w:tcW w:w="1937" w:type="dxa"/>
            <w:tcBorders>
              <w:top w:val="nil"/>
              <w:left w:val="nil"/>
              <w:bottom w:val="single" w:sz="4" w:space="0" w:color="auto"/>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资产大盘</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资产层总体数据量和异常数据量展示，支持按照概念模型分类展示固定资产、药品耗材、业务场所、组织机构、产品服务及基础数据资产对象的数据量和异常数据量情况。支持快速跳转至资产对象详情，实现资产异常的即时识别和响应。</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6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single" w:sz="4" w:space="0" w:color="auto"/>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资产地图</w:t>
            </w:r>
          </w:p>
        </w:tc>
        <w:tc>
          <w:tcPr>
            <w:tcW w:w="1937" w:type="dxa"/>
            <w:tcBorders>
              <w:top w:val="single" w:sz="4" w:space="0" w:color="auto"/>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资产地图数据的即时查询，提供模型、指标、标签、数据元、值域及允许值等多类资产的模糊关键词搜索。支持查看检索结果的资产详情及更新状态，支持结果对象名称及更新时间展示，并支持一键跳转至详细资产页面。</w:t>
            </w:r>
          </w:p>
        </w:tc>
        <w:tc>
          <w:tcPr>
            <w:tcW w:w="1937" w:type="dxa"/>
            <w:tcBorders>
              <w:top w:val="single" w:sz="4" w:space="0" w:color="auto"/>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湖仓一体平台基础监控</w:t>
            </w: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元数管理功能</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支持元数据的标准化管理。支持对系统内元数据对象进行新增、编辑、删除操作。支持与具体业务场景绑定，形成元数据与实际业务间的关联映射。</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提供元数据的模糊查询功能，支持对绑定的元数据进行快速检索，并能展示元数据相关的字段信息、所属库表、使用场景等关键内容，方便用户快速定位与分析。</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26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数据总览</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▲支持数据存储总览与核心指标监测。系统支持对平台内总表数量、总存储量、磁盘使用率等关键指标的实时统计与展示，提供数据资产总体概况，辅助用户进行容量预警与资源管理。（</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视图管理功能</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支持视图表统一管理与数据查看。支持系统内视图对象的集中管理，包括所有视图表的查询、新建视图定义及视图数据预览等功能。</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77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库表管理功能</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▲支持库表信息集中展示与配置。系统支持按数据库与表之间的组织关系，展示各数据层的数据库配置、表的存储空间、记录数、字段定义、数据预览等内容，并支持数据表的创建与配置操作。（</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70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存储监控功能</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▲支持资源监控与SQL执行统计。（</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支持对系统资源（包括内存使用、磁盘空间、IO读写速率等）进行实时监控。支持按时间维度统计各用户自定义 SQ的执行情况，包括执行次数、数据扫描量、资源使用情况（CPU、内存等）及慢 SQ分析等。</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支持SQL执行明细与系统进程查询。提供用户自定义SQL的执行明细查询功能，支持按用户、时间范围查看每次执行的具体信息；支持查询当前所有SQL执行进程状态。</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支持SQL性能分析辅助功能。用户可输入自定义SQL语句，系统可对其执行性能进行分析并提供优化建议，辅助用户提升SQL质量和系统整体运行效率。</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冷热分离管理功能</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▲支持冷热库分层展示与查询。系统支持将平台内数据按冷热分层展示，支持对热库、冷库表的搜索与查询，并支持配置热库数据保留策略及告警规则。（</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409"/>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冷库调度任务配置与运维管理。支持对冷库迁移、建表、结构比对等任务进行配置，并可按全部、任务调度异常、待执行、执行中、成功、失败等状态分类查询任务执行情况。同时支持对异常任务进行重启、失败任务重跑、待执行任务终止等操作。</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支持结构比对与数据迁移任务执行。支持发起冷表结构对比任务，系统可提供比对结果明细，支持按表名、时间等条件对热库表当前数据量及阈值超限情况进行分析，并可手动发起冷库迁移任务。</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存储质控功能</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支持多维存储异常检测与展示。系统支持自动检测并展示模型异常、字段扩展异常、副本异常、分桶数异常、持久化配置异常、系统批次号缺失、起始时间异常、行数异常、tablets异常等多类存储质控项。</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系统配置</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支持数据源与系统资源配置管理。支持新增数据源库信息，并可设置额外字段、分桶策略、报警阈值等元配置项。支持对指定源表设置报警阈值，实现指标化监控。</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资源分组与角色授权管理。支持新增、编辑、删除SR资源分组，包括CPU、内存、最大并发数等配置；支持按系统角色进行资源授权，并将角色授权关系分配给用户，实现资源使用管控；亦支持直接将资源组授权至用户。</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支持系统缓存信息展示与维护。系统支持查看当前缓存状态，并提供一键手动清理缓存的能力。</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数据治理可视化</w:t>
            </w: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清洗配置</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提供ODS层数据表及字段结构的可视化浏览能力。</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支持通过图形化操作界面或自定义SQL方式配置源表与目标表之间的数据过滤规则。</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支持基于字段级别设置清洗规则，可通过SQL脚本灵活定义，系统支持规则预览功能，并可同步查看业务字段说明、值域映射等基础信息。</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支持清洗规则的保存、版本管理与人工触发执行。</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支持对配置完成的清洗规则进行启用操作。</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支持对生效的清洗规则进行打包管理。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支持上传导入新的规则包，实现清洗规则快速更新和环境部署。</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支持根据清洗任务执行明细追溯相关规则配置，辅助进行异常排查与规则优化。</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映射配置</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支持以目录结构方式对主数据进行分类管理，提升主数据组织与查询效率。</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支持主数据及其明细内容的新增、修改与删除操作。</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支持通过标准化文件模板对主数据及明细进行批量导入与导出。</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支持主数据及明细与采集源主数据之间映射关系的新增、编辑与删除。</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支持主数据映射关系的文件导入与导出。</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支持以目录形式对业务值域进行分类管理，支持值域组织与可视化管理。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支持业务值域及允许值的新增、编辑、删除等维护操作。</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支持业务值域及允许值的文件批量导入与导出。</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支持配置业务值域及允许值与采集源值域之间的映射关系，支持新增、编辑与删除操作。</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支持值域映射关系通过文件进行批量导入与导出。</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43</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映射失败数据处理（OE数据）</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支持清洗数据表结构信息及数据明细的查询。</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44</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▲支持配置清洗任务的自动重跑策略，实现数据处理的容错机制。（</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45</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支持手动发起清洗数据的重跑任务。</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46</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清洗任务重跑（消息队列回溯）</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▲支持通过定时任务或手动方式触发消息队列的数据回溯处理任务。（</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47</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支持根据指定时间区间执行消息队列数据回溯操作。</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48</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支持针对测试数据执行消息队列回溯任务，辅助规则验证与流程调试。</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49</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全量重采</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▲支持基于指定ODS表手动发起全量数据的重新采集与清洗处理。（</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50</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支持设置全量重采任务对应的Topic名称及数据入库规则。</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51</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清洗任务管理</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支持根据表名、任务状态等条件查询OE任务的执行情况及子任务详细信息。</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52</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支持查询消息队列回溯任务的执行状态，支持失败任务明细的追踪与分析。</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53</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支持查询全量重采任务的执行状态，支持展示任务采集配置及相关运行信息。</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54</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系统配置</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支持通过值域允许值反查对应物理表字段，并可配置表级白名单权限。</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55</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支持配置OE数据的目标写入规则。</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56</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支持系统内置函数的信息查询。</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57</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支持对指定数据源表的过滤规则进行启用或停用控制。</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58</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支持数据过滤规则的新增、编辑、查询、启用与停用，支持图形化与SQL脚本双方式配置。</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59</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提供清洗任务、异常信息、消息队列积压等关键指标的集中监控界面。</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60</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shd w:val="clear" w:color="000000" w:fill="FFFFFF"/>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运维监控</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支持集中展示数据清洗相关的运维监控信息。</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61</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支持消息队列积压数据的可视化查询及其影响表的关联分析。</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62</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支持查询存在写入异常的ODS表及其详细信息。</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63</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支持数据解析过程中异常信息的记录与查询。</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64</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支持展示清洗执行过程中的异常清单。</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65</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支持查询目标表写入失败等异常情况的信息。</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66</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支持消费者任务状态的实时查询，可在界面发起临时增量任务。</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67</w:t>
            </w:r>
          </w:p>
        </w:tc>
        <w:tc>
          <w:tcPr>
            <w:tcW w:w="993" w:type="dxa"/>
            <w:vMerge/>
            <w:tcBorders>
              <w:top w:val="single" w:sz="4" w:space="0" w:color="auto"/>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shd w:val="clear" w:color="auto" w:fill="auto"/>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shd w:val="clear" w:color="auto" w:fill="auto"/>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支持统计分析目标表的写入操作情况，提供数据处理趋势与负载参考。</w:t>
            </w:r>
          </w:p>
        </w:tc>
        <w:tc>
          <w:tcPr>
            <w:tcW w:w="1937"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shd w:val="clear" w:color="000000" w:fill="FFFFFF"/>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63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数据溯源</w:t>
            </w: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任务诊断与补数</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支持统一平台内多种任务类型的全局诊断管理，涵盖表采集任务、自定义SQL采集任务、消息队列任务、清洗任务、数据开发任务、标签任务、指标固化任务等。</w:t>
            </w:r>
            <w:r>
              <w:rPr>
                <w:rFonts w:ascii="宋体" w:hAnsi="宋体" w:cs="宋体" w:hint="eastAsia"/>
                <w:color w:val="000000"/>
                <w:kern w:val="0"/>
                <w:szCs w:val="21"/>
              </w:rPr>
              <w:br/>
            </w:r>
            <w:r>
              <w:rPr>
                <w:rFonts w:ascii="宋体" w:hAnsi="宋体" w:cs="宋体" w:hint="eastAsia"/>
                <w:color w:val="000000"/>
                <w:kern w:val="0"/>
                <w:szCs w:val="21"/>
              </w:rPr>
              <w:t>2. 支持通过任务名称、ID、目标表、源表等关键字段进行模糊/精准查询，支持高亮关键字命中信息展示。</w:t>
            </w:r>
            <w:r>
              <w:rPr>
                <w:rFonts w:ascii="宋体" w:hAnsi="宋体" w:cs="宋体" w:hint="eastAsia"/>
                <w:color w:val="000000"/>
                <w:kern w:val="0"/>
                <w:szCs w:val="21"/>
              </w:rPr>
              <w:br/>
            </w:r>
            <w:r>
              <w:rPr>
                <w:rFonts w:ascii="宋体" w:hAnsi="宋体" w:cs="宋体" w:hint="eastAsia"/>
                <w:color w:val="000000"/>
                <w:kern w:val="0"/>
                <w:szCs w:val="21"/>
              </w:rPr>
              <w:t>3. 支持任务类型、名称、配置ID、实例ID等多维度组合查询。</w:t>
            </w:r>
            <w:r>
              <w:rPr>
                <w:rFonts w:ascii="宋体" w:hAnsi="宋体" w:cs="宋体" w:hint="eastAsia"/>
                <w:color w:val="000000"/>
                <w:kern w:val="0"/>
                <w:szCs w:val="21"/>
              </w:rPr>
              <w:br/>
            </w:r>
            <w:r>
              <w:rPr>
                <w:rFonts w:ascii="宋体" w:hAnsi="宋体" w:cs="宋体" w:hint="eastAsia"/>
                <w:color w:val="000000"/>
                <w:kern w:val="0"/>
                <w:szCs w:val="21"/>
              </w:rPr>
              <w:t>4. 支持在统一界面展示任务配置详情、历史及实时执行状态、任务血缘信息。</w:t>
            </w:r>
            <w:r>
              <w:rPr>
                <w:rFonts w:ascii="宋体" w:hAnsi="宋体" w:cs="宋体" w:hint="eastAsia"/>
                <w:color w:val="000000"/>
                <w:kern w:val="0"/>
                <w:szCs w:val="21"/>
              </w:rPr>
              <w:br/>
            </w:r>
            <w:r>
              <w:rPr>
                <w:rFonts w:ascii="宋体" w:hAnsi="宋体" w:cs="宋体" w:hint="eastAsia"/>
                <w:color w:val="000000"/>
                <w:kern w:val="0"/>
                <w:szCs w:val="21"/>
              </w:rPr>
              <w:t>5. 支持链路级别补数与重跑操作，针对业务表结构调整（如字段新增）场景，支持链路下游数据表字段补齐、补数及数据重跑。</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系统问题诊断</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支持全链路任务运行状态实时检测，基于参数阈值自动识别潜在问题任务，辅助运维人员提前干预。支持问题项智能提示及优化建议。</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数据血缘分析</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支持图形化展示数据表上下游依赖关系，支持表级血缘、字段级血缘的可视化查询，图形方式直观展现链路拓扑。</w:t>
            </w:r>
            <w:r>
              <w:rPr>
                <w:rFonts w:ascii="宋体" w:hAnsi="宋体" w:cs="宋体" w:hint="eastAsia"/>
                <w:color w:val="000000"/>
                <w:kern w:val="0"/>
                <w:szCs w:val="21"/>
              </w:rPr>
              <w:br/>
            </w:r>
            <w:r>
              <w:rPr>
                <w:rFonts w:ascii="宋体" w:hAnsi="宋体" w:cs="宋体" w:hint="eastAsia"/>
                <w:color w:val="000000"/>
                <w:kern w:val="0"/>
                <w:szCs w:val="21"/>
              </w:rPr>
              <w:t>2. 支持血缘关系来源SQL追溯，支持字段级血缘按字段关键字查询指定链路。</w:t>
            </w:r>
            <w:r>
              <w:rPr>
                <w:rFonts w:ascii="宋体" w:hAnsi="宋体" w:cs="宋体" w:hint="eastAsia"/>
                <w:color w:val="000000"/>
                <w:kern w:val="0"/>
                <w:szCs w:val="21"/>
              </w:rPr>
              <w:br/>
            </w:r>
            <w:r>
              <w:rPr>
                <w:rFonts w:ascii="宋体" w:hAnsi="宋体" w:cs="宋体" w:hint="eastAsia"/>
                <w:color w:val="000000"/>
                <w:kern w:val="0"/>
                <w:szCs w:val="21"/>
              </w:rPr>
              <w:t>3. 支持手动刷新血缘信息，系统支持异常SQL解析失败自动告警，保障血缘信息的时效性与准确性。</w:t>
            </w:r>
            <w:r>
              <w:rPr>
                <w:rFonts w:ascii="宋体" w:hAnsi="宋体" w:cs="宋体" w:hint="eastAsia"/>
                <w:color w:val="000000"/>
                <w:kern w:val="0"/>
                <w:szCs w:val="21"/>
              </w:rPr>
              <w:br/>
            </w:r>
            <w:r>
              <w:rPr>
                <w:rFonts w:ascii="宋体" w:hAnsi="宋体" w:cs="宋体" w:hint="eastAsia"/>
                <w:color w:val="000000"/>
                <w:kern w:val="0"/>
                <w:szCs w:val="21"/>
              </w:rPr>
              <w:t>4.支持孤岛节点和异常SQL的自动检测。</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21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任务血缘分析</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支持以有向图形式展示整链路任务依赖关系，包括采集、清洗、业务过程、业务定义、ADS、标签任务、固化任务等任务间的依赖链路。</w:t>
            </w:r>
            <w:r>
              <w:rPr>
                <w:rFonts w:ascii="宋体" w:hAnsi="宋体" w:cs="宋体" w:hint="eastAsia"/>
                <w:color w:val="000000"/>
                <w:kern w:val="0"/>
                <w:szCs w:val="21"/>
              </w:rPr>
              <w:br/>
            </w:r>
            <w:r>
              <w:rPr>
                <w:rFonts w:ascii="宋体" w:hAnsi="宋体" w:cs="宋体" w:hint="eastAsia"/>
                <w:color w:val="000000"/>
                <w:kern w:val="0"/>
                <w:szCs w:val="21"/>
              </w:rPr>
              <w:t>2. 支持按单节点查询其上下游依赖关系，支持点击节点查看详情，支持一键跳转至任务配置与实例查看页面。</w:t>
            </w:r>
            <w:r>
              <w:rPr>
                <w:rFonts w:ascii="宋体" w:hAnsi="宋体" w:cs="宋体" w:hint="eastAsia"/>
                <w:color w:val="000000"/>
                <w:kern w:val="0"/>
                <w:szCs w:val="21"/>
              </w:rPr>
              <w:br/>
            </w:r>
            <w:r>
              <w:rPr>
                <w:rFonts w:ascii="宋体" w:hAnsi="宋体" w:cs="宋体" w:hint="eastAsia"/>
                <w:color w:val="000000"/>
                <w:kern w:val="0"/>
                <w:szCs w:val="21"/>
              </w:rPr>
              <w:t>3. 支持任务血缘定时刷新及手动实时刷新。</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业务血缘分析</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 支持以有向图形式展示ODS、病历文书、业务过程、业务定义、ADS、标签、原子指标、派生指标、复合指标、报表等对象之间的业务血缘关系。</w:t>
            </w:r>
            <w:r>
              <w:rPr>
                <w:rFonts w:ascii="宋体" w:hAnsi="宋体" w:cs="宋体" w:hint="eastAsia"/>
                <w:color w:val="000000"/>
                <w:kern w:val="0"/>
                <w:szCs w:val="21"/>
              </w:rPr>
              <w:br/>
            </w:r>
            <w:r>
              <w:rPr>
                <w:rFonts w:ascii="宋体" w:hAnsi="宋体" w:cs="宋体" w:hint="eastAsia"/>
                <w:color w:val="000000"/>
                <w:kern w:val="0"/>
                <w:szCs w:val="21"/>
              </w:rPr>
              <w:t>2. 支持业务血缘单节点上下游查询，支持节点详情查看及跳转至相关业务页面。</w:t>
            </w:r>
            <w:r>
              <w:rPr>
                <w:rFonts w:ascii="宋体" w:hAnsi="宋体" w:cs="宋体" w:hint="eastAsia"/>
                <w:color w:val="000000"/>
                <w:kern w:val="0"/>
                <w:szCs w:val="21"/>
              </w:rPr>
              <w:br/>
            </w:r>
            <w:r>
              <w:rPr>
                <w:rFonts w:ascii="宋体" w:hAnsi="宋体" w:cs="宋体" w:hint="eastAsia"/>
                <w:color w:val="000000"/>
                <w:kern w:val="0"/>
                <w:szCs w:val="21"/>
              </w:rPr>
              <w:t>3. 支持业务血缘的定时更新与手动实时刷新。</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数据质量概览</w:t>
            </w: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质控配置</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按业务目录查询表及其字段信息；支持字段级质控规则的新增、编辑、删除，规则维度包括完整性、规范性、一致性、及时性、有效性等；支持引用规则库模板进行快速配置；支持配置各质控维度的权重占比。（</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74</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自定义目录管理表级质控信息；支持表结构变更、表写入实效、汇总类/明细类自定义SQL、表数据量、数据波动性等规则的新增、编辑、删除、启用/停用；支持基于单表手动或调度执行质控任务，并查看质控结果。</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75</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自定义目录维护跨源表间的质控信息；支持表结构对比、数据量一致性、自定义数据量对比、抽样/全量明细数据对比等规则配置；支持任务的新增、编辑、删除、启用/停用、手动执行和调度设置；支持质控结果查看。</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76</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质控任务管理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任务调度状态分类查询，包括全部、调度异常、待执行、执行中、执行成功、执行失败等状态；支持失败任务重跑、异常任务重启、待执行任务终止等操作；支持字段级、表级、跨源质控任务的分类管理与批量调度。</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77</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质控结果分析</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支持查看字段级、表级、跨源质控整体结果与趋势变化；支持异常数据明细下钻查看；支持多维度（如字段、表、源、质控规则）聚合分析与趋势图展示。</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78</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全局质控报告输出</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▲支持对全院所有质控表的质控结果进行汇总与趋势展示，输出统一质控报告。（</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208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79</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数据资产管理</w:t>
            </w: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资产模型管理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资产对象模型的新建、编辑、删除、复制操作，支持模型审核流程，具备模型上下游影响面评估能力。支持模型元数据信息管理，包括属性定义、数据类型、长度、引用数据元等，支持模型属性新增、编辑、删除操作。支持模型自洽性检测。支持根据逻辑模型信息发布并创建物理模型表，支持查看物理表DDL变更记录，具备模型变更历史版本管理和回溯能力，支持按模型变更历史版本查看和追溯。支持建立模型对象之间的关联关系，包括资产对象之间、资产对象与不同版本主数据及值域的关联关系，支持模型属性间单一及多对多关联，支持关联跨模型分类主键。</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7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80</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宽表模型管理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按照逻辑模型配置创建对应的物理宽表，支持构建跨模型的宽表结构。应支持创建3个及以内模型关联关系的逻辑宽表，亦支持3个以上模型关联关系的物理宽表。支持用户灵活选择物理模型字段，并通过SQL配置模型间关联关系。支持对象模型的新增、编辑、删除、复制操作。支持对对象模型的修改自动评估其对下游原子指标的影响。</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81</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应用模型管理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系统支持创建符合医疗业务场景的标准应用模型，例如与360全景数据、互联互通相关的业务模型。支持根据逻辑模型信息自动发布并创建对应的物理模型表。应支持查看物理表DDL变更记录。支持模型对象的新增、编辑、删除、复制等全生命周期管理，并支持模型审核流程以保障模型变更质量。支持设置模型属性的数据类型、长度及引用的数据元。系统应支持模型自洽性检测，防止模型定义存在逻辑冲突。（</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82</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数据元管理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对国家发布的标准数据元进行全面管理，包括新增、编辑、删除操作，并支持数据元的审核机制。支持数据元的元数据信息配置，如来源、来源文件、生效值域、数据类型和数据长度。系统支持国家标准数据元的导入功能。支持数据元的自洽检测，自动检查数据元之间的逻辑一致性，减少配置错误。支持对枚举类型数据元的值域关联管理，能够灵活切换并维护对应的生效值域，满足多场景应用需求。</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83</w:t>
            </w:r>
          </w:p>
        </w:tc>
        <w:tc>
          <w:tcPr>
            <w:tcW w:w="993"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值域管理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对国家发布的标准值域进行全面管理，涵盖值域的新增、编辑、删除等操作。支持对值域的来源及来源文件信息的详细配置。支持国家标准值域的导入功能。系统支持值域允许值的完整生命周期管理，包括允许值的新增、编辑、删除及批量导入操作。支持对值域关联的允许值进行灵活维护，满足业务多样化需求。</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84</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全院运营监测</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门急诊管理首页 </w:t>
            </w:r>
          </w:p>
        </w:tc>
        <w:tc>
          <w:tcPr>
            <w:tcW w:w="1105" w:type="dxa"/>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支持按照多种条件，对门急诊数据进行查询、检索，实现对不同时间段、不同科室等多维度数据的统计分析。</w:t>
            </w:r>
          </w:p>
        </w:tc>
        <w:tc>
          <w:tcPr>
            <w:tcW w:w="1937"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45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门急诊管理关键指标监测</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▲支持对指标的本期数据、上期数据、同期数据、环比增长率、同比增长率进行展示，并支持统计报表的导出功能。主要包含以下指标：</w:t>
            </w:r>
            <w:r>
              <w:rPr>
                <w:rFonts w:ascii="宋体" w:hAnsi="宋体" w:cs="宋体" w:hint="eastAsia"/>
                <w:b/>
                <w:bCs/>
                <w:color w:val="000000"/>
                <w:kern w:val="0"/>
                <w:szCs w:val="21"/>
              </w:rPr>
              <w:br/>
            </w:r>
            <w:r>
              <w:rPr>
                <w:rFonts w:ascii="宋体" w:hAnsi="宋体" w:cs="宋体" w:hint="eastAsia"/>
                <w:b/>
                <w:bCs/>
                <w:color w:val="000000"/>
                <w:kern w:val="0"/>
                <w:szCs w:val="21"/>
              </w:rPr>
              <w:t>1.门急诊总人次</w:t>
            </w:r>
            <w:r>
              <w:rPr>
                <w:rFonts w:ascii="宋体" w:hAnsi="宋体" w:cs="宋体" w:hint="eastAsia"/>
                <w:b/>
                <w:bCs/>
                <w:color w:val="000000"/>
                <w:kern w:val="0"/>
                <w:szCs w:val="21"/>
              </w:rPr>
              <w:br/>
            </w:r>
            <w:r>
              <w:rPr>
                <w:rFonts w:ascii="宋体" w:hAnsi="宋体" w:cs="宋体" w:hint="eastAsia"/>
                <w:b/>
                <w:bCs/>
                <w:color w:val="000000"/>
                <w:kern w:val="0"/>
                <w:szCs w:val="21"/>
              </w:rPr>
              <w:t>2.日均门诊人次</w:t>
            </w:r>
            <w:r>
              <w:rPr>
                <w:rFonts w:ascii="宋体" w:hAnsi="宋体" w:cs="宋体" w:hint="eastAsia"/>
                <w:b/>
                <w:bCs/>
                <w:color w:val="000000"/>
                <w:kern w:val="0"/>
                <w:szCs w:val="21"/>
              </w:rPr>
              <w:br/>
            </w:r>
            <w:r>
              <w:rPr>
                <w:rFonts w:ascii="宋体" w:hAnsi="宋体" w:cs="宋体" w:hint="eastAsia"/>
                <w:b/>
                <w:bCs/>
                <w:color w:val="000000"/>
                <w:kern w:val="0"/>
                <w:szCs w:val="21"/>
              </w:rPr>
              <w:t>3.急诊抢救成功率</w:t>
            </w:r>
            <w:r>
              <w:rPr>
                <w:rFonts w:ascii="宋体" w:hAnsi="宋体" w:cs="宋体" w:hint="eastAsia"/>
                <w:b/>
                <w:bCs/>
                <w:color w:val="000000"/>
                <w:kern w:val="0"/>
                <w:szCs w:val="21"/>
              </w:rPr>
              <w:br/>
            </w:r>
            <w:r>
              <w:rPr>
                <w:rFonts w:ascii="宋体" w:hAnsi="宋体" w:cs="宋体" w:hint="eastAsia"/>
                <w:b/>
                <w:bCs/>
                <w:color w:val="000000"/>
                <w:kern w:val="0"/>
                <w:szCs w:val="21"/>
              </w:rPr>
              <w:t>4.急诊患者滞留&gt;24小时人次</w:t>
            </w:r>
            <w:r>
              <w:rPr>
                <w:rFonts w:ascii="宋体" w:hAnsi="宋体" w:cs="宋体" w:hint="eastAsia"/>
                <w:b/>
                <w:bCs/>
                <w:color w:val="000000"/>
                <w:kern w:val="0"/>
                <w:szCs w:val="21"/>
              </w:rPr>
              <w:br/>
            </w:r>
            <w:r>
              <w:rPr>
                <w:rFonts w:ascii="宋体" w:hAnsi="宋体" w:cs="宋体" w:hint="eastAsia"/>
                <w:b/>
                <w:bCs/>
                <w:color w:val="000000"/>
                <w:kern w:val="0"/>
                <w:szCs w:val="21"/>
              </w:rPr>
              <w:t>5.三级分诊准确率</w:t>
            </w:r>
            <w:r>
              <w:rPr>
                <w:rFonts w:ascii="宋体" w:hAnsi="宋体" w:cs="宋体" w:hint="eastAsia"/>
                <w:b/>
                <w:bCs/>
                <w:color w:val="000000"/>
                <w:kern w:val="0"/>
                <w:szCs w:val="21"/>
              </w:rPr>
              <w:br/>
            </w:r>
            <w:r>
              <w:rPr>
                <w:rFonts w:ascii="宋体" w:hAnsi="宋体" w:cs="宋体" w:hint="eastAsia"/>
                <w:b/>
                <w:bCs/>
                <w:color w:val="000000"/>
                <w:kern w:val="0"/>
                <w:szCs w:val="21"/>
              </w:rPr>
              <w:t>6.首诊负责制执行率</w:t>
            </w:r>
            <w:r>
              <w:rPr>
                <w:rFonts w:ascii="宋体" w:hAnsi="宋体" w:cs="宋体" w:hint="eastAsia"/>
                <w:b/>
                <w:bCs/>
                <w:color w:val="000000"/>
                <w:kern w:val="0"/>
                <w:szCs w:val="21"/>
              </w:rPr>
              <w:br/>
            </w:r>
            <w:r>
              <w:rPr>
                <w:rFonts w:ascii="宋体" w:hAnsi="宋体" w:cs="宋体" w:hint="eastAsia"/>
                <w:b/>
                <w:bCs/>
                <w:color w:val="000000"/>
                <w:kern w:val="0"/>
                <w:szCs w:val="21"/>
              </w:rPr>
              <w:t>7.门诊挂号到就诊平均等待时长</w:t>
            </w:r>
            <w:r>
              <w:rPr>
                <w:rFonts w:ascii="宋体" w:hAnsi="宋体" w:cs="宋体" w:hint="eastAsia"/>
                <w:b/>
                <w:bCs/>
                <w:color w:val="000000"/>
                <w:kern w:val="0"/>
                <w:szCs w:val="21"/>
              </w:rPr>
              <w:br/>
            </w:r>
            <w:r>
              <w:rPr>
                <w:rFonts w:ascii="宋体" w:hAnsi="宋体" w:cs="宋体" w:hint="eastAsia"/>
                <w:b/>
                <w:bCs/>
                <w:color w:val="000000"/>
                <w:kern w:val="0"/>
                <w:szCs w:val="21"/>
              </w:rPr>
              <w:t>8.门诊患者满意度</w:t>
            </w:r>
            <w:r>
              <w:rPr>
                <w:rFonts w:ascii="宋体" w:hAnsi="宋体" w:cs="宋体" w:hint="eastAsia"/>
                <w:b/>
                <w:bCs/>
                <w:color w:val="000000"/>
                <w:kern w:val="0"/>
                <w:szCs w:val="21"/>
              </w:rPr>
              <w:br/>
            </w:r>
            <w:r>
              <w:rPr>
                <w:rFonts w:ascii="宋体" w:hAnsi="宋体" w:cs="宋体" w:hint="eastAsia"/>
                <w:b/>
                <w:bCs/>
                <w:color w:val="000000"/>
                <w:kern w:val="0"/>
                <w:szCs w:val="21"/>
              </w:rPr>
              <w:t>9门急诊抗菌药物使用率</w:t>
            </w:r>
            <w:r>
              <w:rPr>
                <w:rFonts w:ascii="宋体" w:hAnsi="宋体" w:cs="宋体" w:hint="eastAsia"/>
                <w:b/>
                <w:bCs/>
                <w:color w:val="000000"/>
                <w:kern w:val="0"/>
                <w:szCs w:val="21"/>
              </w:rPr>
              <w:br/>
            </w:r>
            <w:r>
              <w:rPr>
                <w:rFonts w:ascii="宋体" w:hAnsi="宋体" w:cs="宋体" w:hint="eastAsia"/>
                <w:b/>
                <w:bCs/>
                <w:color w:val="000000"/>
                <w:kern w:val="0"/>
                <w:szCs w:val="21"/>
              </w:rPr>
              <w:t>10.门诊退号率/重复挂号率。</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支持采用环形图、柱状图等更直观的方式对门急诊人次构成、门急诊次均费用构成及全院门急诊次均费用前10位的科室进行展示。</w:t>
            </w:r>
          </w:p>
        </w:tc>
        <w:tc>
          <w:tcPr>
            <w:tcW w:w="1937" w:type="dxa"/>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支持从全院-科室-医疗组-医生的层级下钻分析，整体监控门急诊业务运营情况。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住院管理首页 </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支持按照多种条件，对住院数据进行查询、检索，实现对不同时间段、不同科室等多维度数据的统计分析。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45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住院管理关键指标监测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▲支持对指标的本期数据、上期数据、同期数据、环比增长率、同比增长率进行展示，并支持统计报表的导出功能。主要包含以下指标：</w:t>
            </w:r>
            <w:r>
              <w:rPr>
                <w:rFonts w:ascii="宋体" w:hAnsi="宋体" w:cs="宋体" w:hint="eastAsia"/>
                <w:b/>
                <w:bCs/>
                <w:color w:val="000000"/>
                <w:kern w:val="0"/>
                <w:szCs w:val="21"/>
              </w:rPr>
              <w:br/>
            </w:r>
            <w:r>
              <w:rPr>
                <w:rFonts w:ascii="宋体" w:hAnsi="宋体" w:cs="宋体" w:hint="eastAsia"/>
                <w:b/>
                <w:bCs/>
                <w:color w:val="000000"/>
                <w:kern w:val="0"/>
                <w:szCs w:val="21"/>
              </w:rPr>
              <w:t>1.出院患者总人数</w:t>
            </w:r>
            <w:r>
              <w:rPr>
                <w:rFonts w:ascii="宋体" w:hAnsi="宋体" w:cs="宋体" w:hint="eastAsia"/>
                <w:b/>
                <w:bCs/>
                <w:color w:val="000000"/>
                <w:kern w:val="0"/>
                <w:szCs w:val="21"/>
              </w:rPr>
              <w:br/>
            </w:r>
            <w:r>
              <w:rPr>
                <w:rFonts w:ascii="宋体" w:hAnsi="宋体" w:cs="宋体" w:hint="eastAsia"/>
                <w:b/>
                <w:bCs/>
                <w:color w:val="000000"/>
                <w:kern w:val="0"/>
                <w:szCs w:val="21"/>
              </w:rPr>
              <w:t>2.出院患者平均住院日</w:t>
            </w:r>
            <w:r>
              <w:rPr>
                <w:rFonts w:ascii="宋体" w:hAnsi="宋体" w:cs="宋体" w:hint="eastAsia"/>
                <w:b/>
                <w:bCs/>
                <w:color w:val="000000"/>
                <w:kern w:val="0"/>
                <w:szCs w:val="21"/>
              </w:rPr>
              <w:br/>
            </w:r>
            <w:r>
              <w:rPr>
                <w:rFonts w:ascii="宋体" w:hAnsi="宋体" w:cs="宋体" w:hint="eastAsia"/>
                <w:b/>
                <w:bCs/>
                <w:color w:val="000000"/>
                <w:kern w:val="0"/>
                <w:szCs w:val="21"/>
              </w:rPr>
              <w:t>3.病床使用率</w:t>
            </w:r>
            <w:r>
              <w:rPr>
                <w:rFonts w:ascii="宋体" w:hAnsi="宋体" w:cs="宋体" w:hint="eastAsia"/>
                <w:b/>
                <w:bCs/>
                <w:color w:val="000000"/>
                <w:kern w:val="0"/>
                <w:szCs w:val="21"/>
              </w:rPr>
              <w:br/>
            </w:r>
            <w:r>
              <w:rPr>
                <w:rFonts w:ascii="宋体" w:hAnsi="宋体" w:cs="宋体" w:hint="eastAsia"/>
                <w:b/>
                <w:bCs/>
                <w:color w:val="000000"/>
                <w:kern w:val="0"/>
                <w:szCs w:val="21"/>
              </w:rPr>
              <w:t>4.床位周转次数</w:t>
            </w:r>
            <w:r>
              <w:rPr>
                <w:rFonts w:ascii="宋体" w:hAnsi="宋体" w:cs="宋体" w:hint="eastAsia"/>
                <w:b/>
                <w:bCs/>
                <w:color w:val="000000"/>
                <w:kern w:val="0"/>
                <w:szCs w:val="21"/>
              </w:rPr>
              <w:br/>
            </w:r>
            <w:r>
              <w:rPr>
                <w:rFonts w:ascii="宋体" w:hAnsi="宋体" w:cs="宋体" w:hint="eastAsia"/>
                <w:b/>
                <w:bCs/>
                <w:color w:val="000000"/>
                <w:kern w:val="0"/>
                <w:szCs w:val="21"/>
              </w:rPr>
              <w:t>5.出入院人数比</w:t>
            </w:r>
            <w:r>
              <w:rPr>
                <w:rFonts w:ascii="宋体" w:hAnsi="宋体" w:cs="宋体" w:hint="eastAsia"/>
                <w:b/>
                <w:bCs/>
                <w:color w:val="000000"/>
                <w:kern w:val="0"/>
                <w:szCs w:val="21"/>
              </w:rPr>
              <w:br/>
            </w:r>
            <w:r>
              <w:rPr>
                <w:rFonts w:ascii="宋体" w:hAnsi="宋体" w:cs="宋体" w:hint="eastAsia"/>
                <w:b/>
                <w:bCs/>
                <w:color w:val="000000"/>
                <w:kern w:val="0"/>
                <w:szCs w:val="21"/>
              </w:rPr>
              <w:t>6.住院抗菌药物使用强度（DDDs）</w:t>
            </w:r>
            <w:r>
              <w:rPr>
                <w:rFonts w:ascii="宋体" w:hAnsi="宋体" w:cs="宋体" w:hint="eastAsia"/>
                <w:b/>
                <w:bCs/>
                <w:color w:val="000000"/>
                <w:kern w:val="0"/>
                <w:szCs w:val="21"/>
              </w:rPr>
              <w:br/>
            </w:r>
            <w:r>
              <w:rPr>
                <w:rFonts w:ascii="宋体" w:hAnsi="宋体" w:cs="宋体" w:hint="eastAsia"/>
                <w:b/>
                <w:bCs/>
                <w:color w:val="000000"/>
                <w:kern w:val="0"/>
                <w:szCs w:val="21"/>
              </w:rPr>
              <w:t>7.重返住院率（7天、30天）</w:t>
            </w:r>
            <w:r>
              <w:rPr>
                <w:rFonts w:ascii="宋体" w:hAnsi="宋体" w:cs="宋体" w:hint="eastAsia"/>
                <w:b/>
                <w:bCs/>
                <w:color w:val="000000"/>
                <w:kern w:val="0"/>
                <w:szCs w:val="21"/>
              </w:rPr>
              <w:br/>
            </w:r>
            <w:r>
              <w:rPr>
                <w:rFonts w:ascii="宋体" w:hAnsi="宋体" w:cs="宋体" w:hint="eastAsia"/>
                <w:b/>
                <w:bCs/>
                <w:color w:val="000000"/>
                <w:kern w:val="0"/>
                <w:szCs w:val="21"/>
              </w:rPr>
              <w:t>8.住院死亡率</w:t>
            </w:r>
            <w:r>
              <w:rPr>
                <w:rFonts w:ascii="宋体" w:hAnsi="宋体" w:cs="宋体" w:hint="eastAsia"/>
                <w:b/>
                <w:bCs/>
                <w:color w:val="000000"/>
                <w:kern w:val="0"/>
                <w:szCs w:val="21"/>
              </w:rPr>
              <w:br/>
            </w:r>
            <w:r>
              <w:rPr>
                <w:rFonts w:ascii="宋体" w:hAnsi="宋体" w:cs="宋体" w:hint="eastAsia"/>
                <w:b/>
                <w:bCs/>
                <w:color w:val="000000"/>
                <w:kern w:val="0"/>
                <w:szCs w:val="21"/>
              </w:rPr>
              <w:t>9.住院手术占比</w:t>
            </w:r>
            <w:r>
              <w:rPr>
                <w:rFonts w:ascii="宋体" w:hAnsi="宋体" w:cs="宋体" w:hint="eastAsia"/>
                <w:b/>
                <w:bCs/>
                <w:color w:val="000000"/>
                <w:kern w:val="0"/>
                <w:szCs w:val="21"/>
              </w:rPr>
              <w:br/>
            </w:r>
            <w:r>
              <w:rPr>
                <w:rFonts w:ascii="宋体" w:hAnsi="宋体" w:cs="宋体" w:hint="eastAsia"/>
                <w:b/>
                <w:bCs/>
                <w:color w:val="000000"/>
                <w:kern w:val="0"/>
                <w:szCs w:val="21"/>
              </w:rPr>
              <w:t>10.DRG出院组数/CMI值。</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采用环形图、柱状图等更直观的方式对出院人次构成、住院次均费用构成及全院住院结账次均费用前10位的科室进行展示，且支持采用柱状图对全院住院次均费用前5、前10、前20、后5、后10、后20的科室及全院所有科室（升序、降序）进行排列展示。</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支持实现从全院-科室-医疗组-医生的层级下钻分析，整体监控住院业务运营情况。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医保控费分析 </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支持按照多种条件，对医保数据进行查询、检索，实现对不同时间段、不同科室等多维度数据的统计分析。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417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医保控费关键指标监测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▲支持对指标的本期数据、上期数据、同期数据、环比增长率、同比增长率进行展示，并支持统计报表的导出功能。主要包含以下指标：</w:t>
            </w:r>
            <w:r>
              <w:rPr>
                <w:rFonts w:ascii="宋体" w:hAnsi="宋体" w:cs="宋体" w:hint="eastAsia"/>
                <w:b/>
                <w:bCs/>
                <w:color w:val="000000"/>
                <w:kern w:val="0"/>
                <w:szCs w:val="21"/>
              </w:rPr>
              <w:br/>
            </w:r>
            <w:r>
              <w:rPr>
                <w:rFonts w:ascii="宋体" w:hAnsi="宋体" w:cs="宋体" w:hint="eastAsia"/>
                <w:b/>
                <w:bCs/>
                <w:color w:val="000000"/>
                <w:kern w:val="0"/>
                <w:szCs w:val="21"/>
              </w:rPr>
              <w:t>1.人均医保费用（门诊/住院）</w:t>
            </w:r>
            <w:r>
              <w:rPr>
                <w:rFonts w:ascii="宋体" w:hAnsi="宋体" w:cs="宋体" w:hint="eastAsia"/>
                <w:b/>
                <w:bCs/>
                <w:color w:val="000000"/>
                <w:kern w:val="0"/>
                <w:szCs w:val="21"/>
              </w:rPr>
              <w:br/>
            </w:r>
            <w:r>
              <w:rPr>
                <w:rFonts w:ascii="宋体" w:hAnsi="宋体" w:cs="宋体" w:hint="eastAsia"/>
                <w:b/>
                <w:bCs/>
                <w:color w:val="000000"/>
                <w:kern w:val="0"/>
                <w:szCs w:val="21"/>
              </w:rPr>
              <w:t>2.病组点数/DRG总分值</w:t>
            </w:r>
            <w:r>
              <w:rPr>
                <w:rFonts w:ascii="宋体" w:hAnsi="宋体" w:cs="宋体" w:hint="eastAsia"/>
                <w:b/>
                <w:bCs/>
                <w:color w:val="000000"/>
                <w:kern w:val="0"/>
                <w:szCs w:val="21"/>
              </w:rPr>
              <w:br/>
            </w:r>
            <w:r>
              <w:rPr>
                <w:rFonts w:ascii="宋体" w:hAnsi="宋体" w:cs="宋体" w:hint="eastAsia"/>
                <w:b/>
                <w:bCs/>
                <w:color w:val="000000"/>
                <w:kern w:val="0"/>
                <w:szCs w:val="21"/>
              </w:rPr>
              <w:t>3.费用结构占比（三大项）</w:t>
            </w:r>
            <w:r>
              <w:rPr>
                <w:rFonts w:ascii="宋体" w:hAnsi="宋体" w:cs="宋体" w:hint="eastAsia"/>
                <w:b/>
                <w:bCs/>
                <w:color w:val="000000"/>
                <w:kern w:val="0"/>
                <w:szCs w:val="21"/>
              </w:rPr>
              <w:br/>
            </w:r>
            <w:r>
              <w:rPr>
                <w:rFonts w:ascii="宋体" w:hAnsi="宋体" w:cs="宋体" w:hint="eastAsia"/>
                <w:b/>
                <w:bCs/>
                <w:color w:val="000000"/>
                <w:kern w:val="0"/>
                <w:szCs w:val="21"/>
              </w:rPr>
              <w:t>4.高值耗材使用频次及占比</w:t>
            </w:r>
            <w:r>
              <w:rPr>
                <w:rFonts w:ascii="宋体" w:hAnsi="宋体" w:cs="宋体" w:hint="eastAsia"/>
                <w:b/>
                <w:bCs/>
                <w:color w:val="000000"/>
                <w:kern w:val="0"/>
                <w:szCs w:val="21"/>
              </w:rPr>
              <w:br/>
            </w:r>
            <w:r>
              <w:rPr>
                <w:rFonts w:ascii="宋体" w:hAnsi="宋体" w:cs="宋体" w:hint="eastAsia"/>
                <w:b/>
                <w:bCs/>
                <w:color w:val="000000"/>
                <w:kern w:val="0"/>
                <w:szCs w:val="21"/>
              </w:rPr>
              <w:t>5.医保基金支付比例</w:t>
            </w:r>
            <w:r>
              <w:rPr>
                <w:rFonts w:ascii="宋体" w:hAnsi="宋体" w:cs="宋体" w:hint="eastAsia"/>
                <w:b/>
                <w:bCs/>
                <w:color w:val="000000"/>
                <w:kern w:val="0"/>
                <w:szCs w:val="21"/>
              </w:rPr>
              <w:br/>
            </w:r>
            <w:r>
              <w:rPr>
                <w:rFonts w:ascii="宋体" w:hAnsi="宋体" w:cs="宋体" w:hint="eastAsia"/>
                <w:b/>
                <w:bCs/>
                <w:color w:val="000000"/>
                <w:kern w:val="0"/>
                <w:szCs w:val="21"/>
              </w:rPr>
              <w:t>6.医保不合规费用占比</w:t>
            </w:r>
            <w:r>
              <w:rPr>
                <w:rFonts w:ascii="宋体" w:hAnsi="宋体" w:cs="宋体" w:hint="eastAsia"/>
                <w:b/>
                <w:bCs/>
                <w:color w:val="000000"/>
                <w:kern w:val="0"/>
                <w:szCs w:val="21"/>
              </w:rPr>
              <w:br/>
            </w:r>
            <w:r>
              <w:rPr>
                <w:rFonts w:ascii="宋体" w:hAnsi="宋体" w:cs="宋体" w:hint="eastAsia"/>
                <w:b/>
                <w:bCs/>
                <w:color w:val="000000"/>
                <w:kern w:val="0"/>
                <w:szCs w:val="21"/>
              </w:rPr>
              <w:t>7.次均费用变动趋势</w:t>
            </w:r>
            <w:r>
              <w:rPr>
                <w:rFonts w:ascii="宋体" w:hAnsi="宋体" w:cs="宋体" w:hint="eastAsia"/>
                <w:b/>
                <w:bCs/>
                <w:color w:val="000000"/>
                <w:kern w:val="0"/>
                <w:szCs w:val="21"/>
              </w:rPr>
              <w:br/>
            </w:r>
            <w:r>
              <w:rPr>
                <w:rFonts w:ascii="宋体" w:hAnsi="宋体" w:cs="宋体" w:hint="eastAsia"/>
                <w:b/>
                <w:bCs/>
                <w:color w:val="000000"/>
                <w:kern w:val="0"/>
                <w:szCs w:val="21"/>
              </w:rPr>
              <w:t>8.违规费用追回金额</w:t>
            </w:r>
            <w:r>
              <w:rPr>
                <w:rFonts w:ascii="宋体" w:hAnsi="宋体" w:cs="宋体" w:hint="eastAsia"/>
                <w:b/>
                <w:bCs/>
                <w:color w:val="000000"/>
                <w:kern w:val="0"/>
                <w:szCs w:val="21"/>
              </w:rPr>
              <w:br/>
            </w:r>
            <w:r>
              <w:rPr>
                <w:rFonts w:ascii="宋体" w:hAnsi="宋体" w:cs="宋体" w:hint="eastAsia"/>
                <w:b/>
                <w:bCs/>
                <w:color w:val="000000"/>
                <w:kern w:val="0"/>
                <w:szCs w:val="21"/>
              </w:rPr>
              <w:t>9.DRG病例组数/出院人数。</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支持采用环形图、柱状图等更直观的方式对出院人次构成、住院次均费用构成及全院住自费比例前10位的科室进行展示，可实现从全院-科室-医疗组-医生的层级下钻分析，整体监控医保费用情况。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手术管理首页 </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支持按照多种条件，对手术数据进行查询、检索，实现对不同时间段、不同科室等多维度数据的统计分析。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45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手术管理关键指标监测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▲支持对指标的本期数据、上期数据、同期数据、环比增长率、同比增长率进行展示，并支持统计报表的导出功能。主要包含以下指标：</w:t>
            </w:r>
            <w:r>
              <w:rPr>
                <w:rFonts w:ascii="宋体" w:hAnsi="宋体" w:cs="宋体" w:hint="eastAsia"/>
                <w:b/>
                <w:bCs/>
                <w:color w:val="000000"/>
                <w:kern w:val="0"/>
                <w:szCs w:val="21"/>
              </w:rPr>
              <w:br/>
            </w:r>
            <w:r>
              <w:rPr>
                <w:rFonts w:ascii="宋体" w:hAnsi="宋体" w:cs="宋体" w:hint="eastAsia"/>
                <w:b/>
                <w:bCs/>
                <w:color w:val="000000"/>
                <w:kern w:val="0"/>
                <w:szCs w:val="21"/>
              </w:rPr>
              <w:t>1.总手术台数</w:t>
            </w:r>
            <w:r>
              <w:rPr>
                <w:rFonts w:ascii="宋体" w:hAnsi="宋体" w:cs="宋体" w:hint="eastAsia"/>
                <w:b/>
                <w:bCs/>
                <w:color w:val="000000"/>
                <w:kern w:val="0"/>
                <w:szCs w:val="21"/>
              </w:rPr>
              <w:br/>
            </w:r>
            <w:r>
              <w:rPr>
                <w:rFonts w:ascii="宋体" w:hAnsi="宋体" w:cs="宋体" w:hint="eastAsia"/>
                <w:b/>
                <w:bCs/>
                <w:color w:val="000000"/>
                <w:kern w:val="0"/>
                <w:szCs w:val="21"/>
              </w:rPr>
              <w:t>2.手术种类分布（一级/二级/三级）</w:t>
            </w:r>
            <w:r>
              <w:rPr>
                <w:rFonts w:ascii="宋体" w:hAnsi="宋体" w:cs="宋体" w:hint="eastAsia"/>
                <w:b/>
                <w:bCs/>
                <w:color w:val="000000"/>
                <w:kern w:val="0"/>
                <w:szCs w:val="21"/>
              </w:rPr>
              <w:br/>
            </w:r>
            <w:r>
              <w:rPr>
                <w:rFonts w:ascii="宋体" w:hAnsi="宋体" w:cs="宋体" w:hint="eastAsia"/>
                <w:b/>
                <w:bCs/>
                <w:color w:val="000000"/>
                <w:kern w:val="0"/>
                <w:szCs w:val="21"/>
              </w:rPr>
              <w:t>3.非计划再次手术率</w:t>
            </w:r>
            <w:r>
              <w:rPr>
                <w:rFonts w:ascii="宋体" w:hAnsi="宋体" w:cs="宋体" w:hint="eastAsia"/>
                <w:b/>
                <w:bCs/>
                <w:color w:val="000000"/>
                <w:kern w:val="0"/>
                <w:szCs w:val="21"/>
              </w:rPr>
              <w:br/>
            </w:r>
            <w:r>
              <w:rPr>
                <w:rFonts w:ascii="宋体" w:hAnsi="宋体" w:cs="宋体" w:hint="eastAsia"/>
                <w:b/>
                <w:bCs/>
                <w:color w:val="000000"/>
                <w:kern w:val="0"/>
                <w:szCs w:val="21"/>
              </w:rPr>
              <w:t>4.手术取消率</w:t>
            </w:r>
            <w:r>
              <w:rPr>
                <w:rFonts w:ascii="宋体" w:hAnsi="宋体" w:cs="宋体" w:hint="eastAsia"/>
                <w:b/>
                <w:bCs/>
                <w:color w:val="000000"/>
                <w:kern w:val="0"/>
                <w:szCs w:val="21"/>
              </w:rPr>
              <w:br/>
            </w:r>
            <w:r>
              <w:rPr>
                <w:rFonts w:ascii="宋体" w:hAnsi="宋体" w:cs="宋体" w:hint="eastAsia"/>
                <w:b/>
                <w:bCs/>
                <w:color w:val="000000"/>
                <w:kern w:val="0"/>
                <w:szCs w:val="21"/>
              </w:rPr>
              <w:t>5.手术部位感染率</w:t>
            </w:r>
            <w:r>
              <w:rPr>
                <w:rFonts w:ascii="宋体" w:hAnsi="宋体" w:cs="宋体" w:hint="eastAsia"/>
                <w:b/>
                <w:bCs/>
                <w:color w:val="000000"/>
                <w:kern w:val="0"/>
                <w:szCs w:val="21"/>
              </w:rPr>
              <w:br/>
            </w:r>
            <w:r>
              <w:rPr>
                <w:rFonts w:ascii="宋体" w:hAnsi="宋体" w:cs="宋体" w:hint="eastAsia"/>
                <w:b/>
                <w:bCs/>
                <w:color w:val="000000"/>
                <w:kern w:val="0"/>
                <w:szCs w:val="21"/>
              </w:rPr>
              <w:t>6.术中输血率</w:t>
            </w:r>
            <w:r>
              <w:rPr>
                <w:rFonts w:ascii="宋体" w:hAnsi="宋体" w:cs="宋体" w:hint="eastAsia"/>
                <w:b/>
                <w:bCs/>
                <w:color w:val="000000"/>
                <w:kern w:val="0"/>
                <w:szCs w:val="21"/>
              </w:rPr>
              <w:br/>
            </w:r>
            <w:r>
              <w:rPr>
                <w:rFonts w:ascii="宋体" w:hAnsi="宋体" w:cs="宋体" w:hint="eastAsia"/>
                <w:b/>
                <w:bCs/>
                <w:color w:val="000000"/>
                <w:kern w:val="0"/>
                <w:szCs w:val="21"/>
              </w:rPr>
              <w:t>7.术前病例讨论执行率</w:t>
            </w:r>
            <w:r>
              <w:rPr>
                <w:rFonts w:ascii="宋体" w:hAnsi="宋体" w:cs="宋体" w:hint="eastAsia"/>
                <w:b/>
                <w:bCs/>
                <w:color w:val="000000"/>
                <w:kern w:val="0"/>
                <w:szCs w:val="21"/>
              </w:rPr>
              <w:br/>
            </w:r>
            <w:r>
              <w:rPr>
                <w:rFonts w:ascii="宋体" w:hAnsi="宋体" w:cs="宋体" w:hint="eastAsia"/>
                <w:b/>
                <w:bCs/>
                <w:color w:val="000000"/>
                <w:kern w:val="0"/>
                <w:szCs w:val="21"/>
              </w:rPr>
              <w:t>8.手术前知情同意签署率</w:t>
            </w:r>
            <w:r>
              <w:rPr>
                <w:rFonts w:ascii="宋体" w:hAnsi="宋体" w:cs="宋体" w:hint="eastAsia"/>
                <w:b/>
                <w:bCs/>
                <w:color w:val="000000"/>
                <w:kern w:val="0"/>
                <w:szCs w:val="21"/>
              </w:rPr>
              <w:br/>
            </w:r>
            <w:r>
              <w:rPr>
                <w:rFonts w:ascii="宋体" w:hAnsi="宋体" w:cs="宋体" w:hint="eastAsia"/>
                <w:b/>
                <w:bCs/>
                <w:color w:val="000000"/>
                <w:kern w:val="0"/>
                <w:szCs w:val="21"/>
              </w:rPr>
              <w:t>9.手术患者死亡率</w:t>
            </w:r>
            <w:r>
              <w:rPr>
                <w:rFonts w:ascii="宋体" w:hAnsi="宋体" w:cs="宋体" w:hint="eastAsia"/>
                <w:b/>
                <w:bCs/>
                <w:color w:val="000000"/>
                <w:kern w:val="0"/>
                <w:szCs w:val="21"/>
              </w:rPr>
              <w:br/>
            </w:r>
            <w:r>
              <w:rPr>
                <w:rFonts w:ascii="宋体" w:hAnsi="宋体" w:cs="宋体" w:hint="eastAsia"/>
                <w:b/>
                <w:bCs/>
                <w:color w:val="000000"/>
                <w:kern w:val="0"/>
                <w:szCs w:val="21"/>
              </w:rPr>
              <w:t>10.日间手术占比。</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用仪表盘、环形图、柱状图等更直观的方式对四级手术占比、不同等级手术人次占比及手术费用构成进行展示，且支持采用柱状图对全院住院次均费用以所有科室（升序、降序）进行排列展示。可实现从全院-科室-医疗组-医生的层级下钻分析，整体监控手术业务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护理质量管理首页 </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支持按照多种条件，对护理质量数据进行查询、检索，实现对不同时间段、不同科室等多维度数据的统计分析。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护理质量关键指标监测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对指标的本期数据、上期数据、同期数据、环比增长率、同比增长率进行展示，并支持统计报表的导出功能。主要包含护理人力资源配置（床护比）、护理记录合格率、压疮发生率（含新发）等关键指标监测。（</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支持实现从全院-科室-护理单元-护理人员的层级下钻分析，整体监控护理质量情况。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971"/>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系统设置 </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指标库设置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▲业务指标管理：</w:t>
            </w:r>
            <w:r>
              <w:rPr>
                <w:rFonts w:ascii="宋体" w:hAnsi="宋体" w:cs="宋体" w:hint="eastAsia"/>
                <w:b/>
                <w:bCs/>
                <w:color w:val="000000"/>
                <w:kern w:val="0"/>
                <w:szCs w:val="21"/>
              </w:rPr>
              <w:br/>
            </w:r>
            <w:r>
              <w:rPr>
                <w:rFonts w:ascii="宋体" w:hAnsi="宋体" w:cs="宋体" w:hint="eastAsia"/>
                <w:b/>
                <w:bCs/>
                <w:color w:val="000000"/>
                <w:kern w:val="0"/>
                <w:szCs w:val="21"/>
              </w:rPr>
              <w:t>系统支持根据业务活动、度量视角选取原子指标，构建业务指标体系，具备派生指标、复合指标的定义与管理能力。</w:t>
            </w:r>
            <w:r>
              <w:rPr>
                <w:rFonts w:ascii="宋体" w:hAnsi="宋体" w:cs="宋体" w:hint="eastAsia"/>
                <w:b/>
                <w:bCs/>
                <w:color w:val="000000"/>
                <w:kern w:val="0"/>
                <w:szCs w:val="21"/>
              </w:rPr>
              <w:br/>
            </w:r>
            <w:r>
              <w:rPr>
                <w:rFonts w:ascii="宋体" w:hAnsi="宋体" w:cs="宋体" w:hint="eastAsia"/>
                <w:b/>
                <w:bCs/>
                <w:color w:val="000000"/>
                <w:kern w:val="0"/>
                <w:szCs w:val="21"/>
              </w:rPr>
              <w:t>支持业务定义与计算逻辑分离，系统可通过配置实时计算业务指标结果。</w:t>
            </w:r>
            <w:r>
              <w:rPr>
                <w:rFonts w:ascii="宋体" w:hAnsi="宋体" w:cs="宋体" w:hint="eastAsia"/>
                <w:b/>
                <w:bCs/>
                <w:color w:val="000000"/>
                <w:kern w:val="0"/>
                <w:szCs w:val="21"/>
              </w:rPr>
              <w:br/>
            </w:r>
            <w:r>
              <w:rPr>
                <w:rFonts w:ascii="宋体" w:hAnsi="宋体" w:cs="宋体" w:hint="eastAsia"/>
                <w:b/>
                <w:bCs/>
                <w:color w:val="000000"/>
                <w:kern w:val="0"/>
                <w:szCs w:val="21"/>
              </w:rPr>
              <w:t>系统支持业务指标的血缘关系追溯，能够清晰展示指标的上游原子指标、标签、资产对象等依赖关系。</w:t>
            </w:r>
            <w:r>
              <w:rPr>
                <w:rFonts w:ascii="宋体" w:hAnsi="宋体" w:cs="宋体" w:hint="eastAsia"/>
                <w:b/>
                <w:bCs/>
                <w:color w:val="000000"/>
                <w:kern w:val="0"/>
                <w:szCs w:val="21"/>
              </w:rPr>
              <w:br/>
            </w:r>
            <w:r>
              <w:rPr>
                <w:rFonts w:ascii="宋体" w:hAnsi="宋体" w:cs="宋体" w:hint="eastAsia"/>
                <w:b/>
                <w:bCs/>
                <w:color w:val="000000"/>
                <w:kern w:val="0"/>
                <w:szCs w:val="21"/>
              </w:rPr>
              <w:t>支持业务指标的检索功能，查询参数包括唯一ID、指标名称、指标来源、业务标识（如通用名）等。</w:t>
            </w:r>
            <w:r>
              <w:rPr>
                <w:rFonts w:ascii="宋体" w:hAnsi="宋体" w:cs="宋体" w:hint="eastAsia"/>
                <w:b/>
                <w:bCs/>
                <w:color w:val="000000"/>
                <w:kern w:val="0"/>
                <w:szCs w:val="21"/>
              </w:rPr>
              <w:br/>
            </w:r>
            <w:r>
              <w:rPr>
                <w:rFonts w:ascii="宋体" w:hAnsi="宋体" w:cs="宋体" w:hint="eastAsia"/>
                <w:b/>
                <w:bCs/>
                <w:color w:val="000000"/>
                <w:kern w:val="0"/>
                <w:szCs w:val="21"/>
              </w:rPr>
              <w:t>系统应支持单个指标结果值、口径及对应SQL的查询，支持Debug模式下调试SQL。</w:t>
            </w:r>
            <w:r>
              <w:rPr>
                <w:rFonts w:ascii="宋体" w:hAnsi="宋体" w:cs="宋体" w:hint="eastAsia"/>
                <w:b/>
                <w:bCs/>
                <w:color w:val="000000"/>
                <w:kern w:val="0"/>
                <w:szCs w:val="21"/>
              </w:rPr>
              <w:br/>
            </w:r>
            <w:r>
              <w:rPr>
                <w:rFonts w:ascii="宋体" w:hAnsi="宋体" w:cs="宋体" w:hint="eastAsia"/>
                <w:b/>
                <w:bCs/>
                <w:color w:val="000000"/>
                <w:kern w:val="0"/>
                <w:szCs w:val="21"/>
              </w:rPr>
              <w:t>原子指标管理：</w:t>
            </w:r>
            <w:r>
              <w:rPr>
                <w:rFonts w:ascii="宋体" w:hAnsi="宋体" w:cs="宋体" w:hint="eastAsia"/>
                <w:b/>
                <w:bCs/>
                <w:color w:val="000000"/>
                <w:kern w:val="0"/>
                <w:szCs w:val="21"/>
              </w:rPr>
              <w:br/>
            </w:r>
            <w:r>
              <w:rPr>
                <w:rFonts w:ascii="宋体" w:hAnsi="宋体" w:cs="宋体" w:hint="eastAsia"/>
                <w:b/>
                <w:bCs/>
                <w:color w:val="000000"/>
                <w:kern w:val="0"/>
                <w:szCs w:val="21"/>
              </w:rPr>
              <w:t>系统支持基于数据范围创建原子指标，具备对原子指标的公用维度、关联逻辑的统一管理能力。</w:t>
            </w:r>
            <w:r>
              <w:rPr>
                <w:rFonts w:ascii="宋体" w:hAnsi="宋体" w:cs="宋体" w:hint="eastAsia"/>
                <w:b/>
                <w:bCs/>
                <w:color w:val="000000"/>
                <w:kern w:val="0"/>
                <w:szCs w:val="21"/>
              </w:rPr>
              <w:br/>
            </w:r>
            <w:r>
              <w:rPr>
                <w:rFonts w:ascii="宋体" w:hAnsi="宋体" w:cs="宋体" w:hint="eastAsia"/>
                <w:b/>
                <w:bCs/>
                <w:color w:val="000000"/>
                <w:kern w:val="0"/>
                <w:szCs w:val="21"/>
              </w:rPr>
              <w:t>支持原子指标的编辑、删除、复制操作，便于指标的维护与复用。</w:t>
            </w:r>
            <w:r>
              <w:rPr>
                <w:rFonts w:ascii="宋体" w:hAnsi="宋体" w:cs="宋体" w:hint="eastAsia"/>
                <w:b/>
                <w:bCs/>
                <w:color w:val="000000"/>
                <w:kern w:val="0"/>
                <w:szCs w:val="21"/>
              </w:rPr>
              <w:br/>
            </w:r>
            <w:r>
              <w:rPr>
                <w:rFonts w:ascii="宋体" w:hAnsi="宋体" w:cs="宋体" w:hint="eastAsia"/>
                <w:b/>
                <w:bCs/>
                <w:color w:val="000000"/>
                <w:kern w:val="0"/>
                <w:szCs w:val="21"/>
              </w:rPr>
              <w:t>系统具备处理单字段关联多适用对象的能力，支持复杂业务场景下的指标配置。</w:t>
            </w:r>
            <w:r>
              <w:rPr>
                <w:rFonts w:ascii="宋体" w:hAnsi="宋体" w:cs="宋体" w:hint="eastAsia"/>
                <w:b/>
                <w:bCs/>
                <w:color w:val="000000"/>
                <w:kern w:val="0"/>
                <w:szCs w:val="21"/>
              </w:rPr>
              <w:br/>
            </w:r>
            <w:r>
              <w:rPr>
                <w:rFonts w:ascii="宋体" w:hAnsi="宋体" w:cs="宋体" w:hint="eastAsia"/>
                <w:b/>
                <w:bCs/>
                <w:color w:val="000000"/>
                <w:kern w:val="0"/>
                <w:szCs w:val="21"/>
              </w:rPr>
              <w:t>在管理工具中提供原子指标检索功能，支持多维度查询，提升查找效率。</w:t>
            </w:r>
            <w:r>
              <w:rPr>
                <w:rFonts w:ascii="宋体" w:hAnsi="宋体" w:cs="宋体" w:hint="eastAsia"/>
                <w:b/>
                <w:bCs/>
                <w:color w:val="000000"/>
                <w:kern w:val="0"/>
                <w:szCs w:val="21"/>
              </w:rPr>
              <w:br/>
            </w:r>
            <w:r>
              <w:rPr>
                <w:rFonts w:ascii="宋体" w:hAnsi="宋体" w:cs="宋体" w:hint="eastAsia"/>
                <w:b/>
                <w:bCs/>
                <w:color w:val="000000"/>
                <w:kern w:val="0"/>
                <w:szCs w:val="21"/>
              </w:rPr>
              <w:t>同时提供原子指标矩阵，帮助用户根据业务活动与度量关系快速检索、理解原子指标体系，降低使用门槛。</w:t>
            </w:r>
            <w:r>
              <w:rPr>
                <w:rFonts w:ascii="宋体" w:hAnsi="宋体" w:cs="宋体" w:hint="eastAsia"/>
                <w:b/>
                <w:bCs/>
                <w:color w:val="000000"/>
                <w:kern w:val="0"/>
                <w:szCs w:val="21"/>
              </w:rPr>
              <w:br/>
            </w:r>
            <w:r>
              <w:rPr>
                <w:rFonts w:ascii="宋体" w:hAnsi="宋体" w:cs="宋体" w:hint="eastAsia"/>
                <w:b/>
                <w:bCs/>
                <w:color w:val="000000"/>
                <w:kern w:val="0"/>
                <w:szCs w:val="21"/>
              </w:rPr>
              <w:t>系统支持数据范围管理，明确原子指标所依赖的大宽表结构。</w:t>
            </w:r>
            <w:r>
              <w:rPr>
                <w:rFonts w:ascii="宋体" w:hAnsi="宋体" w:cs="宋体" w:hint="eastAsia"/>
                <w:b/>
                <w:bCs/>
                <w:color w:val="000000"/>
                <w:kern w:val="0"/>
                <w:szCs w:val="21"/>
              </w:rPr>
              <w:br/>
            </w:r>
            <w:r>
              <w:rPr>
                <w:rFonts w:ascii="宋体" w:hAnsi="宋体" w:cs="宋体" w:hint="eastAsia"/>
                <w:b/>
                <w:bCs/>
                <w:color w:val="000000"/>
                <w:kern w:val="0"/>
                <w:szCs w:val="21"/>
              </w:rPr>
              <w:t>标签管理：</w:t>
            </w:r>
            <w:r>
              <w:rPr>
                <w:rFonts w:ascii="宋体" w:hAnsi="宋体" w:cs="宋体" w:hint="eastAsia"/>
                <w:b/>
                <w:bCs/>
                <w:color w:val="000000"/>
                <w:kern w:val="0"/>
                <w:szCs w:val="21"/>
              </w:rPr>
              <w:br/>
            </w:r>
            <w:r>
              <w:rPr>
                <w:rFonts w:ascii="宋体" w:hAnsi="宋体" w:cs="宋体" w:hint="eastAsia"/>
                <w:b/>
                <w:bCs/>
                <w:color w:val="000000"/>
                <w:kern w:val="0"/>
                <w:szCs w:val="21"/>
              </w:rPr>
              <w:t>系统支持展示机构数据资产中心内全部标签信息，包含标签ID、标签Code、标签对象、标签名称、业务分类等。</w:t>
            </w:r>
            <w:r>
              <w:rPr>
                <w:rFonts w:ascii="宋体" w:hAnsi="宋体" w:cs="宋体" w:hint="eastAsia"/>
                <w:b/>
                <w:bCs/>
                <w:color w:val="000000"/>
                <w:kern w:val="0"/>
                <w:szCs w:val="21"/>
              </w:rPr>
              <w:br/>
            </w:r>
            <w:r>
              <w:rPr>
                <w:rFonts w:ascii="宋体" w:hAnsi="宋体" w:cs="宋体" w:hint="eastAsia"/>
                <w:b/>
                <w:bCs/>
                <w:color w:val="000000"/>
                <w:kern w:val="0"/>
                <w:szCs w:val="21"/>
              </w:rPr>
              <w:t>支持通过多维条件（如标签ID、标签Code、标签对象、标签名称、业务分类）进行标签搜索。</w:t>
            </w:r>
            <w:r>
              <w:rPr>
                <w:rFonts w:ascii="宋体" w:hAnsi="宋体" w:cs="宋体" w:hint="eastAsia"/>
                <w:b/>
                <w:bCs/>
                <w:color w:val="000000"/>
                <w:kern w:val="0"/>
                <w:szCs w:val="21"/>
              </w:rPr>
              <w:br/>
            </w:r>
            <w:r>
              <w:rPr>
                <w:rFonts w:ascii="宋体" w:hAnsi="宋体" w:cs="宋体" w:hint="eastAsia"/>
                <w:b/>
                <w:bCs/>
                <w:color w:val="000000"/>
                <w:kern w:val="0"/>
                <w:szCs w:val="21"/>
              </w:rPr>
              <w:t>支持新增标签功能，配置包括基本信息、增量/全量配置及计算逻辑。支持通过SQL转换与试跑方式调试标签。</w:t>
            </w:r>
            <w:r>
              <w:rPr>
                <w:rFonts w:ascii="宋体" w:hAnsi="宋体" w:cs="宋体" w:hint="eastAsia"/>
                <w:b/>
                <w:bCs/>
                <w:color w:val="000000"/>
                <w:kern w:val="0"/>
                <w:szCs w:val="21"/>
              </w:rPr>
              <w:br/>
            </w:r>
            <w:r>
              <w:rPr>
                <w:rFonts w:ascii="宋体" w:hAnsi="宋体" w:cs="宋体" w:hint="eastAsia"/>
                <w:b/>
                <w:bCs/>
                <w:color w:val="000000"/>
                <w:kern w:val="0"/>
                <w:szCs w:val="21"/>
              </w:rPr>
              <w:t>对于全量运行的标签，支持分片执行，支持查看每个分片的执行结果。</w:t>
            </w:r>
            <w:r>
              <w:rPr>
                <w:rFonts w:ascii="宋体" w:hAnsi="宋体" w:cs="宋体" w:hint="eastAsia"/>
                <w:b/>
                <w:bCs/>
                <w:color w:val="000000"/>
                <w:kern w:val="0"/>
                <w:szCs w:val="21"/>
              </w:rPr>
              <w:br/>
            </w:r>
            <w:r>
              <w:rPr>
                <w:rFonts w:ascii="宋体" w:hAnsi="宋体" w:cs="宋体" w:hint="eastAsia"/>
                <w:b/>
                <w:bCs/>
                <w:color w:val="000000"/>
                <w:kern w:val="0"/>
                <w:szCs w:val="21"/>
              </w:rPr>
              <w:t>支持通过便捷操作实现标签复制，快速创建复杂标签，降低重复配置工作量。</w:t>
            </w:r>
            <w:r>
              <w:rPr>
                <w:rFonts w:ascii="宋体" w:hAnsi="宋体" w:cs="宋体" w:hint="eastAsia"/>
                <w:b/>
                <w:bCs/>
                <w:color w:val="000000"/>
                <w:kern w:val="0"/>
                <w:szCs w:val="21"/>
              </w:rPr>
              <w:br/>
            </w:r>
            <w:r>
              <w:rPr>
                <w:rFonts w:ascii="宋体" w:hAnsi="宋体" w:cs="宋体" w:hint="eastAsia"/>
                <w:b/>
                <w:bCs/>
                <w:color w:val="000000"/>
                <w:kern w:val="0"/>
                <w:szCs w:val="21"/>
              </w:rPr>
              <w:t>支持对既有标签的定义修改，查看标签定义、计算代码及实例运行日志，掌握运行状况。</w:t>
            </w:r>
            <w:r>
              <w:rPr>
                <w:rFonts w:ascii="宋体" w:hAnsi="宋体" w:cs="宋体" w:hint="eastAsia"/>
                <w:b/>
                <w:bCs/>
                <w:color w:val="000000"/>
                <w:kern w:val="0"/>
                <w:szCs w:val="21"/>
              </w:rPr>
              <w:br/>
            </w:r>
            <w:r>
              <w:rPr>
                <w:rFonts w:ascii="宋体" w:hAnsi="宋体" w:cs="宋体" w:hint="eastAsia"/>
                <w:b/>
                <w:bCs/>
                <w:color w:val="000000"/>
                <w:kern w:val="0"/>
                <w:szCs w:val="21"/>
              </w:rPr>
              <w:t>具备标签引用追溯功能，展示标签被原子指标、复合指标等下游对象的引用情况，保障数据血缘清晰。</w:t>
            </w:r>
            <w:r>
              <w:rPr>
                <w:rFonts w:ascii="宋体" w:hAnsi="宋体" w:cs="宋体" w:hint="eastAsia"/>
                <w:b/>
                <w:bCs/>
                <w:color w:val="000000"/>
                <w:kern w:val="0"/>
                <w:szCs w:val="21"/>
              </w:rPr>
              <w:br/>
            </w:r>
            <w:r>
              <w:rPr>
                <w:rFonts w:ascii="宋体" w:hAnsi="宋体" w:cs="宋体" w:hint="eastAsia"/>
                <w:b/>
                <w:bCs/>
                <w:color w:val="000000"/>
                <w:kern w:val="0"/>
                <w:szCs w:val="21"/>
              </w:rPr>
              <w:t>支持通过文件导入方式批量创建标签。</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分析维度设置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支持根据医院实际业务需求配置所需关注的管理指标，可对指标库进行如下操作：</w:t>
            </w:r>
            <w:r>
              <w:rPr>
                <w:rFonts w:ascii="宋体" w:hAnsi="宋体" w:cs="宋体" w:hint="eastAsia"/>
                <w:color w:val="000000"/>
                <w:kern w:val="0"/>
                <w:szCs w:val="21"/>
              </w:rPr>
              <w:br/>
            </w:r>
            <w:r>
              <w:rPr>
                <w:rFonts w:ascii="宋体" w:hAnsi="宋体" w:cs="宋体" w:hint="eastAsia"/>
                <w:color w:val="000000"/>
                <w:kern w:val="0"/>
                <w:szCs w:val="21"/>
              </w:rPr>
              <w:t>（1）指标查询</w:t>
            </w:r>
            <w:r>
              <w:rPr>
                <w:rFonts w:ascii="宋体" w:hAnsi="宋体" w:cs="宋体" w:hint="eastAsia"/>
                <w:color w:val="000000"/>
                <w:kern w:val="0"/>
                <w:szCs w:val="21"/>
              </w:rPr>
              <w:br/>
            </w:r>
            <w:r>
              <w:rPr>
                <w:rFonts w:ascii="宋体" w:hAnsi="宋体" w:cs="宋体" w:hint="eastAsia"/>
                <w:color w:val="000000"/>
                <w:kern w:val="0"/>
                <w:szCs w:val="21"/>
              </w:rPr>
              <w:t>支持按照指标编码、指标名称、指标显示名称、指标类型、指标状态进行指标检索查询，并展示指标明细信息列表。</w:t>
            </w:r>
            <w:r>
              <w:rPr>
                <w:rFonts w:ascii="宋体" w:hAnsi="宋体" w:cs="宋体" w:hint="eastAsia"/>
                <w:color w:val="000000"/>
                <w:kern w:val="0"/>
                <w:szCs w:val="21"/>
              </w:rPr>
              <w:br/>
            </w:r>
            <w:r>
              <w:rPr>
                <w:rFonts w:ascii="宋体" w:hAnsi="宋体" w:cs="宋体" w:hint="eastAsia"/>
                <w:color w:val="000000"/>
                <w:kern w:val="0"/>
                <w:szCs w:val="21"/>
              </w:rPr>
              <w:t>（2）新增/维护指标</w:t>
            </w:r>
            <w:r>
              <w:rPr>
                <w:rFonts w:ascii="宋体" w:hAnsi="宋体" w:cs="宋体" w:hint="eastAsia"/>
                <w:color w:val="000000"/>
                <w:kern w:val="0"/>
                <w:szCs w:val="21"/>
              </w:rPr>
              <w:br/>
            </w:r>
            <w:r>
              <w:rPr>
                <w:rFonts w:ascii="宋体" w:hAnsi="宋体" w:cs="宋体" w:hint="eastAsia"/>
                <w:color w:val="000000"/>
                <w:kern w:val="0"/>
                <w:szCs w:val="21"/>
              </w:rPr>
              <w:t>支持新增/维护指标信息，包括指标编码、指标名称、指标显示名称、计算列、计算分子、计算分母、类型、日期维度、默认筛选条件、默认值、单位、精度、状态、特殊取值、采集方式（系统采集、人工填报、综合计算）、来源文献、指标导向、同比环比显示设置、指标性质、联合指标。</w:t>
            </w:r>
            <w:r>
              <w:rPr>
                <w:rFonts w:ascii="宋体" w:hAnsi="宋体" w:cs="宋体" w:hint="eastAsia"/>
                <w:color w:val="000000"/>
                <w:kern w:val="0"/>
                <w:szCs w:val="21"/>
              </w:rPr>
              <w:br/>
            </w:r>
            <w:r>
              <w:rPr>
                <w:rFonts w:ascii="宋体" w:hAnsi="宋体" w:cs="宋体" w:hint="eastAsia"/>
                <w:color w:val="000000"/>
                <w:kern w:val="0"/>
                <w:szCs w:val="21"/>
              </w:rPr>
              <w:t>（3）删除指标</w:t>
            </w:r>
            <w:r>
              <w:rPr>
                <w:rFonts w:ascii="宋体" w:hAnsi="宋体" w:cs="宋体" w:hint="eastAsia"/>
                <w:color w:val="000000"/>
                <w:kern w:val="0"/>
                <w:szCs w:val="21"/>
              </w:rPr>
              <w:br/>
            </w:r>
            <w:r>
              <w:rPr>
                <w:rFonts w:ascii="宋体" w:hAnsi="宋体" w:cs="宋体" w:hint="eastAsia"/>
                <w:color w:val="000000"/>
                <w:kern w:val="0"/>
                <w:szCs w:val="21"/>
              </w:rPr>
              <w:t>支持删除指定指标。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21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筛选项设置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支持根据医院实际业务需求配置所需关注的管理分析维度，可对分析维度进行如下操作：</w:t>
            </w:r>
            <w:r>
              <w:rPr>
                <w:rFonts w:ascii="宋体" w:hAnsi="宋体" w:cs="宋体" w:hint="eastAsia"/>
                <w:color w:val="000000"/>
                <w:kern w:val="0"/>
                <w:szCs w:val="21"/>
              </w:rPr>
              <w:br/>
            </w:r>
            <w:r>
              <w:rPr>
                <w:rFonts w:ascii="宋体" w:hAnsi="宋体" w:cs="宋体" w:hint="eastAsia"/>
                <w:color w:val="000000"/>
                <w:kern w:val="0"/>
                <w:szCs w:val="21"/>
              </w:rPr>
              <w:t>（1）筛选项查询</w:t>
            </w:r>
            <w:r>
              <w:rPr>
                <w:rFonts w:ascii="宋体" w:hAnsi="宋体" w:cs="宋体" w:hint="eastAsia"/>
                <w:color w:val="000000"/>
                <w:kern w:val="0"/>
                <w:szCs w:val="21"/>
              </w:rPr>
              <w:br/>
            </w:r>
            <w:r>
              <w:rPr>
                <w:rFonts w:ascii="宋体" w:hAnsi="宋体" w:cs="宋体" w:hint="eastAsia"/>
                <w:color w:val="000000"/>
                <w:kern w:val="0"/>
                <w:szCs w:val="21"/>
              </w:rPr>
              <w:t>支持按照编码、名称、类型、状态进行筛选项检索查询，并展示筛选项明细信息列表。</w:t>
            </w:r>
            <w:r>
              <w:rPr>
                <w:rFonts w:ascii="宋体" w:hAnsi="宋体" w:cs="宋体" w:hint="eastAsia"/>
                <w:color w:val="000000"/>
                <w:kern w:val="0"/>
                <w:szCs w:val="21"/>
              </w:rPr>
              <w:br/>
            </w:r>
            <w:r>
              <w:rPr>
                <w:rFonts w:ascii="宋体" w:hAnsi="宋体" w:cs="宋体" w:hint="eastAsia"/>
                <w:color w:val="000000"/>
                <w:kern w:val="0"/>
                <w:szCs w:val="21"/>
              </w:rPr>
              <w:t>（2）删除维度</w:t>
            </w:r>
            <w:r>
              <w:rPr>
                <w:rFonts w:ascii="宋体" w:hAnsi="宋体" w:cs="宋体" w:hint="eastAsia"/>
                <w:color w:val="000000"/>
                <w:kern w:val="0"/>
                <w:szCs w:val="21"/>
              </w:rPr>
              <w:br/>
            </w:r>
            <w:r>
              <w:rPr>
                <w:rFonts w:ascii="宋体" w:hAnsi="宋体" w:cs="宋体" w:hint="eastAsia"/>
                <w:color w:val="000000"/>
                <w:kern w:val="0"/>
                <w:szCs w:val="21"/>
              </w:rPr>
              <w:t>支持删除指定筛选项。</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权限设置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支持根据医院实际业务需求配置各用户查看、导入、管理权限。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105</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全院医疗质量管理监测</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住院死亡类指标</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支持按照多种条件，对住院死亡类数据进行查询、检索，实现对不同时间段、不同科室等多维度数据的统计分析。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住院死亡类关键指标监测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支持对住院患者死亡例数、住院患者死亡率的本期数据、上期数据、同期数据、环比增长率、同比增长率进行展示，主要包含新生儿患者、手术患者、重点手术住院等死亡指标监测。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支持从全院-科室-医疗组-医生的层级下钻，整体监控住院死亡类指标情况。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重返类指标</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重返类关键指标监测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支持按照多种条件，对重返类数据进行查询、检索，实现对不同时间段、不同科室等多维度数据的统计分析。主要包含住院患者、重点病种患者、重点手术患者等重返类关键指标监测。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 支持从全院-科室-医疗组-医生的层级下钻分析，整体监控重返类指标情况。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医院感染类指标</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 xml:space="preserve"> 支持按照多种条件，对医院感染类数据进行查询、检索，实现对不同时间段、不同院区、不同科室等多维度数据的统计分析。</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529"/>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医院感染类关键指标监测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支持对指标的本期数据、上期数据、同期数据、环比增长率、同比增长率进行展示，并支持统计报表的导出功能。主要包含与手术相关、手术患者肺部感染、新生儿患者医院感染等感染类关键指标监测。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支持从全院-科室的层级下钻分析，并提供指标日趋势图分析，整体监控医院感染类指标情况。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9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手术并发症类指标</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手术并发症关键指标监测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支持按照多种条件，对手术并发症类数据进行查询、检索，实现对不同时间段、不同科室等多维度数据的统计分析。主要包含手术患者手术后肺栓塞、深静脉血栓、败血症、出血或血肿等关键指标监测。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主要包含以下指标：手术患者并发症分析、手术患者手术后肺栓塞分析、手术患者手术后深静脉血栓分析、 手术患者手术后败血症分析、手术患者手术后出血或血肿分析、 手术患者手术后手术伤口裂开分析、手术患者手术后猝死发生分析、手术患者手术后手术并发症分析、手术患者手术后呼吸衰竭分析、手术患者手术后生理/代谢紊乱分析、手术患者手术后麻醉并发症分析。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支持从全院-科室的层级下钻分析，并提供指标日趋势图分析，整体监控手术并发症类指标情况。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患者安全类指标</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支持按照多种条件，对患者安全类数据进行查询、检索，实现对不同时间段、不同科室等多维度数据的统计分析。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543"/>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患者安全类关键指标监测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支持对指标的本期数据、上期数据、同期数据、环比增长率、同比增长率进行展示，并支持统计报表的导出功能。主要包含住院患者压疮、新生儿产伤、阴道分娩产妇产伤等关键指标监测。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支持从全院-科室的层级下钻分析，整体监控患者安全类指标情况。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合理用药类指标</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支持按照多种条件，对合理用药数据进行查询、检索，实现对不同时间段、不同院区、不同科室等多维度数据的统计分析。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49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合理用药类关键指标监测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支持对指标的本期数据、上期数据、同期数据、环比增长率、同比增长率进行展示，并支持统计报表的导出功能。主要包含业务量、次均费用、医疗费用等关键指标监测。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支持从全院-科室-医生的层级下钻分析，整体监控合理用药指标情况。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医院运行管理类指标</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多条件查询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支持按照多种条件，对医院运行管理数据进行查询、检索，实现对不同时间段、不同科室等多维度数据的统计分析。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38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医院运行管理类关键指标监测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对指标的本期数据、上期数据、同期数据、环比增长率、同比增长率进行展示，并支持统计报表的导出功能。主要包含工作负荷、治疗质量、工作效率等关键指标监测。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支持从全院-科室-医生的层级下钻分析，整体监控医院运行管理类指标情况。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系统设置</w:t>
            </w:r>
          </w:p>
        </w:tc>
        <w:tc>
          <w:tcPr>
            <w:tcW w:w="1105"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脚本配置</w:t>
            </w:r>
          </w:p>
        </w:tc>
        <w:tc>
          <w:tcPr>
            <w:tcW w:w="1937"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支持按业务目录、元数据目录方式查询目标表信息，并维护数据开发相关配置规则。</w:t>
            </w:r>
          </w:p>
        </w:tc>
        <w:tc>
          <w:tcPr>
            <w:tcW w:w="1937"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000000"/>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支持新增增量、全量及临时类型的目标表开发配置，可设定脚本执行模式与运行SQL触发表等信息。</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支持对开发规则进行查看、编辑、删除、启用与停用管理，并可查询历史变更记录。</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支持配置开发任务的调度方式，适用于增量和全量任务场景。</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支持查询与当前开发任务相关的上游数据变更记录。</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支持查询开发规则对应的实际任务执行情况，并支持对失败任务发起手动重试。</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支持查看与当前规则相关的下游任务数据变更记录。</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支持记录并查询开发规则的操作日志信息。</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000000"/>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支持查询开发规则中各任务节点之间的血缘关系，提升任务间依赖可视性。</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任务流配置</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支持创建、修改与删除数据开发任务流。</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支持在任务流中配置执行节点、依赖节点、执行脚本、异常处理策略及参数传递逻辑。</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支持为任务流配置调度策略，实现周期性执行或特定条件触发。</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支持任务流的执行记录查询，展示每次运行的明细信息。</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支持手动执行任务流，用于临时调试或人工干预执行场景。</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增量变更管理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▲支持全局范围内查看增量任务所关联的上游数据变更记录。（</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r>
              <w:rPr>
                <w:rFonts w:ascii="宋体" w:hAnsi="宋体" w:cs="宋体" w:hint="eastAsia"/>
                <w:b/>
                <w:bCs/>
                <w:color w:val="000000"/>
                <w:kern w:val="0"/>
                <w:szCs w:val="21"/>
              </w:rPr>
              <w:t>▲支持全局范围内查看增量任务自身配置变更记录。（</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支持全局范围内查看增量任务触发的下游任务变更记录。</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任务流管理</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支持查询数据开发任务实例的执行清单，提供运行时间、状态等关键信息。</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支持按任务调度状态分类查询，包括全部任务、调度异常、待执行、执行中、执行成功、执行失败等类别。</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支持对异常调度任务发起重启、终止待执行任务、对失败任务进行补运行操作。</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自定义补数</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▲支持按指定时间或数据批次维度发起补数任务，满足历史数据补录、重处理等场景需要。（</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3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000000"/>
              <w:bottom w:val="single" w:sz="4" w:space="0" w:color="000000"/>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监控运维</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支持对全量任务的运行信息进行集中展示与监控。</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000000"/>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支持对增量任务的运行状态进行集中展示与监控，提供任务执行视图与状态跟踪能力。</w:t>
            </w:r>
          </w:p>
        </w:tc>
        <w:tc>
          <w:tcPr>
            <w:tcW w:w="1937"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000000"/>
              <w:right w:val="single" w:sz="4" w:space="0" w:color="000000"/>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分析维度设置</w:t>
            </w:r>
          </w:p>
        </w:tc>
        <w:tc>
          <w:tcPr>
            <w:tcW w:w="1937"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支持按照维度编码、维度名称、维度类型、备注、维度状态进行维度检索查询，并展示维度明细信息列表。</w:t>
            </w:r>
          </w:p>
        </w:tc>
        <w:tc>
          <w:tcPr>
            <w:tcW w:w="1937"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支持新增/维护维度信息，包括分析维度、默认计算列、计算分子、计算分母、类型、日期维度、默认筛选条件、精度、排序、周期限制、日期维度自动切换、状态等明细信息。</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报表工具</w:t>
            </w:r>
            <w:r>
              <w:rPr>
                <w:rFonts w:ascii="宋体" w:hAnsi="宋体" w:cs="宋体" w:hint="eastAsia"/>
                <w:color w:val="000000"/>
                <w:kern w:val="0"/>
                <w:szCs w:val="21"/>
              </w:rPr>
              <w:br/>
            </w:r>
            <w:r>
              <w:rPr>
                <w:rFonts w:ascii="宋体" w:hAnsi="宋体" w:cs="宋体" w:hint="eastAsia"/>
                <w:color w:val="000000"/>
                <w:kern w:val="0"/>
                <w:szCs w:val="21"/>
              </w:rPr>
              <w:t>（1）支持数据连接和导入：允许用户连接到不同的数据源，支持多种数据格式和来源。如MySQL、Oracle、SQL Server、PostgreSQL等。</w:t>
            </w:r>
            <w:r>
              <w:rPr>
                <w:rFonts w:ascii="宋体" w:hAnsi="宋体" w:cs="宋体" w:hint="eastAsia"/>
                <w:color w:val="000000"/>
                <w:kern w:val="0"/>
                <w:szCs w:val="21"/>
              </w:rPr>
              <w:br/>
            </w:r>
            <w:r>
              <w:rPr>
                <w:rFonts w:ascii="宋体" w:hAnsi="宋体" w:cs="宋体" w:hint="eastAsia"/>
                <w:color w:val="000000"/>
                <w:kern w:val="0"/>
                <w:szCs w:val="21"/>
              </w:rPr>
              <w:t>（2）允许用户对数据进行筛选和排序，以便在报表中显示特定范围或顺序的数据，并支持动态交互式筛选。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筛选项设置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支持按照编码、名称、类型、状态进行筛选项检索查询，并展示筛选项明细信息列表。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支持新增/维护筛选项信息，包括筛选条件编码、筛选条件名称、筛选条件显示名称、类型、筛选维度、默认筛选条件、状态、备注等明细信息。</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权限设置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支持根据医院实际业务需求配置各用户查看、导入、管理权限。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155</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全院医疗效率监测</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门诊主题</w:t>
            </w: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门诊精细化监测大屏首页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支持医生出诊监测：展示各科室排班医生数量、出诊医生数量、综合出诊率。</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支持年度门诊指标监测：展示年门诊人次、互联网就诊人次、门诊总收入。</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支持门诊就诊患者监测：展示近1小时内全院预约人次、挂号人次、候诊人次、接诊人次、平均等待时间，并以折线图展示挂号人次及接诊人次趋势。</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支持预约来源监测：以环形图展示当日各预约渠道人次分布情况。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支持门诊接诊监测：以环形图展示当日各科室接诊人次分布情况。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支持患者性别构成监测：以环形图展示当日门诊患者性别构成情况。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支持医保类型构成监测：以环形图展示当日门诊患者医保类型构成情况。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支持患者年龄构成监测：以环形图展示当日门诊患者年龄构成情况。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支持各科室接诊情况监测：以环形图展示各科室候诊人次、接诊人次、平均等待时长、平均就诊时长。</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支持门诊收费监测：以环形图展示当日门诊收费渠道分布情况、各楼层自助机收费占比分布情况。</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各诊间医生出诊情况监测</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b/>
                <w:bCs/>
                <w:color w:val="000000"/>
                <w:kern w:val="0"/>
                <w:szCs w:val="21"/>
              </w:rPr>
              <w:t>▲支持分析各诊间医生的工作情况，包括出诊时间、结束时间、挂号人次、预约人次、候诊人次、接诊人次、平均诊疗时间、次均收费情况、药占比情况。（</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挂号收费窗口工作量监测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支持分析挂号收费窗口工作情况，包括工作人员的开始时间、结束时间、挂号人次、退号人次等数据。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医疗服务质量指标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支持对门诊患者满意度进行统计分析。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支持从全院-科室-医生的层级下钻分析，整体监控医院运行管理类指标情况。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423"/>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住院主题</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住院关键效率指标监测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▲支持对医疗效率住院主题相关指标进行统计分析展示，主要包括出院患者平均住院日、入出院人数比、床位使用率等关键指标监测。</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支持从全院-科室-医生的层级下钻分析，整体监控医院运行管理类指标情况。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22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手术主题</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手术关键效率指标监测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支持对医疗效率手术主题相关指标进行统计分析展示。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支持从全院-科室-医生的层级下钻分析，整体监控医院运行管理类指标情况。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58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护理主题</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护理关键效率指标监测</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b/>
                <w:bCs/>
                <w:color w:val="000000"/>
                <w:kern w:val="0"/>
                <w:szCs w:val="21"/>
              </w:rPr>
              <w:t>▲支持对医疗效率护理主题相关指标进行统计分析展示，主要包括病床/护士比（床护比）、护理工作量指数、护理交接班效率等关键指标分析。</w:t>
            </w:r>
            <w:r>
              <w:rPr>
                <w:rFonts w:ascii="宋体" w:hAnsi="宋体" w:cs="宋体" w:hint="eastAsia"/>
                <w:b/>
                <w:bCs/>
                <w:color w:val="000000"/>
                <w:kern w:val="0"/>
                <w:szCs w:val="21"/>
              </w:rPr>
              <w:br/>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支持从全院-科室的层级下钻分析，整体监控医院运行管理类指标情况。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78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医技主题</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医技关键效率指标监测</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支持对医疗效率医技主题相关指标进行统计分析展示。</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支持从全院-科室的层级下钻分析，整体监控医院运行管理类指标情况。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41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专科专病主题</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专科专病关键效率指标监测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支持对医疗效率专科专病主题相关指标进行统计分析展示。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指标多维度统计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支持对指标的本期数据、上期数据、同期数据、环比增长率、同比增长率进行展示，并支持统计报表的导出功能。</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层级下钻分析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支持从全院-科室的层级下钻分析，整体监控医院运行管理类指标情况。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支持通过柱状图、折线图等可视化图表展示指标分析情况。</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专项监控大屏</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监控大屏</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▲支持通过大屏实时显示医院关键指标和运营数据，供管理层监控和决策支持，包括总体涵盖业务辐射范围、业务量指标、收入指标等方面。（</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业务辐射范围</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支持分析门急诊患者来源以及住院患者来源。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45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业务量指标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手术效率与安全监控：手术取消率（每日/科室）、非计划重返手术室率等指标。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78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住院流程与床位利用监控：平均住院日异常增长、出院后重返住院率高等指标。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429"/>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医技检查效率与协同监控：危急值报告超时率、检验TAT超时率等指标。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883"/>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用药合理性与抗菌药物监控：超说明书用药占比高、临床药师干预未采纳率&gt;阈值等指标。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5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患者安全与不良事件监控：不良事件上报异常波动、手术部位错误/漏核查事件等指标。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收入指标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全院总费用：支持统计全院总费用及药占比、门急诊总费用及药占比等指标。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1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医保费用：支持全面统计全院、门急诊及住院结账的医保总费用等指标。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均次费用：支持统计门急诊次均费用、门急诊次均药品费用等指标。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数据收集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支持从门诊系统、住院系统、手术系统、收费系统等收集数据。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支持实时更新数据。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支持对收集到的数据进行清洗和整合。</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精细化回顾分析</w:t>
            </w:r>
          </w:p>
        </w:tc>
        <w:tc>
          <w:tcPr>
            <w:tcW w:w="1105" w:type="dxa"/>
            <w:vMerge w:val="restart"/>
            <w:tcBorders>
              <w:top w:val="nil"/>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运营效率分析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支持为深入分析医院的服务和运营数据提供工具，以识别改进机会。</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支持记录门诊量、住院量、手术量、费用等数据，并按时间序列进行整理。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患者信息收集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支持收集患者个体的详细信息，包括基本信息、诊疗过程、治疗效果等。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科室数据收集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支持按科室收集数据。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数据趋势分析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支持分析数据的变化趋势，如门诊量的增长或下降趋势、住院费用的增减情况等。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医疗风险分析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支持对患者病情严重程度、治疗过程中的并发症发生情况、医院感染率等数据进行分析，为制定风险防范措施和应急预案提供依据。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资源配置分析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支持对医院的运营数据和资源利用情况进行统计分析，辅助进行合理的资源配置调整。</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医生任务安排</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支持对医生的工作负载和专业特长进行统计，辅助进行合理安排医生出诊时间和诊疗任务。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212</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全院医疗安全监测</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住院重点疾病 </w:t>
            </w:r>
          </w:p>
        </w:tc>
        <w:tc>
          <w:tcPr>
            <w:tcW w:w="1105" w:type="dxa"/>
            <w:vMerge w:val="restart"/>
            <w:tcBorders>
              <w:top w:val="nil"/>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住院疾病监测指标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适用于高发、高风险或国家重点监控病种，包含急性心梗、脑卒中、肺栓塞、胃出血、COPD、恶性肿瘤。</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67"/>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包括不限于以下指标：(1)病种发病率趋势（按月）、(2)病种入院死亡率、(3)平均住院日、(4)病种再入院率（30天内）等指标。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住院重点手术 </w:t>
            </w:r>
          </w:p>
        </w:tc>
        <w:tc>
          <w:tcPr>
            <w:tcW w:w="1105"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住院手术监测指标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聚焦高风险手术类型，包含颅脑手术、心胸外科、器官移植、胰十二指肠切除术、大血管手术、髋膝关节置换术。</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40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包括不限于以下指标：（1）手术量与死亡率、（2）手术相关并发症发生率、（3）手术后住院天数、（4）非计划重返手术室率等指标。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麻醉相关专题统计住院重点疾病 </w:t>
            </w:r>
          </w:p>
        </w:tc>
        <w:tc>
          <w:tcPr>
            <w:tcW w:w="1105"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麻醉监测指标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结合术种、麻醉方式，监测高风险点（尤其适用于ASA评分≥3患者）。</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2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包括不限于以下指标：（1）麻醉类型构成占比、（2）高风险患者（ASA≥3）麻醉占比、（3）麻醉中不良事件发生率、（4）醒后镇痛满意度等指标。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手术并发与患者安全类 </w:t>
            </w:r>
          </w:p>
        </w:tc>
        <w:tc>
          <w:tcPr>
            <w:tcW w:w="1105"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手术并发与患者安全类指标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与患者直接安全事件相关的监测，适用于临床安全闭环、质量控制与JCI/CQI类工作。</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16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包括不限于以下指标：（1）手术部位错误事件发生率、（2）未执行手术核查流程比率、（3）手术切口感染率（SSI）、（4）非计划转ICU率等指标。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单病种质量 </w:t>
            </w:r>
          </w:p>
        </w:tc>
        <w:tc>
          <w:tcPr>
            <w:tcW w:w="1105"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单病种质量监测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常见单病种包含肺癌、胃癌、急性阑尾炎、冠心病PCI、髋部骨折。</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55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包括不限于以下指标：（1）单病种入组率、</w:t>
            </w:r>
            <w:r>
              <w:rPr>
                <w:rFonts w:ascii="宋体" w:hAnsi="宋体" w:cs="宋体" w:hint="eastAsia"/>
                <w:color w:val="000000"/>
                <w:kern w:val="0"/>
                <w:szCs w:val="21"/>
              </w:rPr>
              <w:br/>
            </w:r>
            <w:r>
              <w:rPr>
                <w:rFonts w:ascii="宋体" w:hAnsi="宋体" w:cs="宋体" w:hint="eastAsia"/>
                <w:color w:val="000000"/>
                <w:kern w:val="0"/>
                <w:szCs w:val="21"/>
              </w:rPr>
              <w:t>（2）单病种死亡率、（3）单病种平均住院日、（4）单病种住院费用中位数等指标。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222</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患者服务画像分析</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患者大屏</w:t>
            </w: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患者信息互通-患者360</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支持依靠患者ID实现全部门急诊就诊记录、住院病史、检验检查结果、治疗方案及扫描文档等信息的连通共享。</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用户只需访问单一来源，即可调取所要的全部信息。临床基础视图的数据项可根据需求进行定义。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患者多业务域聚合展示-患者360</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支持患者多业务域统一聚合展示：</w:t>
            </w:r>
            <w:r>
              <w:rPr>
                <w:rFonts w:ascii="宋体" w:hAnsi="宋体" w:cs="宋体" w:hint="eastAsia"/>
                <w:color w:val="000000"/>
                <w:kern w:val="0"/>
                <w:szCs w:val="21"/>
              </w:rPr>
              <w:br/>
            </w:r>
            <w:r>
              <w:rPr>
                <w:rFonts w:ascii="宋体" w:hAnsi="宋体" w:cs="宋体" w:hint="eastAsia"/>
                <w:color w:val="000000"/>
                <w:kern w:val="0"/>
                <w:szCs w:val="21"/>
              </w:rPr>
              <w:t>展示包括：患者就诊信息、就诊记录、检查、检验等业务域数据。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患者360视图</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患者360视图：</w:t>
            </w:r>
            <w:r>
              <w:rPr>
                <w:rFonts w:ascii="宋体" w:hAnsi="宋体" w:cs="宋体" w:hint="eastAsia"/>
                <w:color w:val="000000"/>
                <w:kern w:val="0"/>
                <w:szCs w:val="21"/>
              </w:rPr>
              <w:br/>
            </w:r>
            <w:r>
              <w:rPr>
                <w:rFonts w:ascii="宋体" w:hAnsi="宋体" w:cs="宋体" w:hint="eastAsia"/>
                <w:color w:val="000000"/>
                <w:kern w:val="0"/>
                <w:szCs w:val="21"/>
              </w:rPr>
              <w:t>(1)支持患者在院内不同科室就诊的分布统计，支持点击弹窗展示更多详细信息，</w:t>
            </w:r>
            <w:r>
              <w:rPr>
                <w:rFonts w:ascii="宋体" w:hAnsi="宋体" w:cs="宋体" w:hint="eastAsia"/>
                <w:color w:val="000000"/>
                <w:kern w:val="0"/>
                <w:szCs w:val="21"/>
              </w:rPr>
              <w:br/>
            </w:r>
            <w:r>
              <w:rPr>
                <w:rFonts w:ascii="宋体" w:hAnsi="宋体" w:cs="宋体" w:hint="eastAsia"/>
                <w:color w:val="000000"/>
                <w:kern w:val="0"/>
                <w:szCs w:val="21"/>
              </w:rPr>
              <w:t>(2)支持针对单次就诊，对检验、检查异常的就诊记录进行展示。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患者基本信息</w:t>
            </w:r>
          </w:p>
        </w:tc>
        <w:tc>
          <w:tcPr>
            <w:tcW w:w="1105" w:type="dxa"/>
            <w:vMerge w:val="restart"/>
            <w:tcBorders>
              <w:top w:val="nil"/>
              <w:left w:val="single" w:sz="4" w:space="0" w:color="auto"/>
              <w:bottom w:val="single" w:sz="4" w:space="0" w:color="000000"/>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患者基本信息展示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在同一个界面展示患者基本信息，内容包括：姓名、出生年月日、年龄、卡号、身份证号等信息，并且必须提供设置脱敏权限，可以对患者的姓名、就诊卡号、身份证等信息，及医生的姓名、科室信息设置是否在页面显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支持标记门诊、急诊、住院、体检历史就诊次数。</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支持通过下钻指标，快速查阅患者门诊/急诊/住院详情。</w:t>
            </w:r>
            <w:r>
              <w:rPr>
                <w:rFonts w:ascii="宋体" w:hAnsi="宋体" w:cs="宋体" w:hint="eastAsia"/>
                <w:color w:val="000000"/>
                <w:kern w:val="0"/>
                <w:szCs w:val="21"/>
              </w:rPr>
              <w:br/>
            </w:r>
            <w:r>
              <w:rPr>
                <w:rFonts w:ascii="宋体" w:hAnsi="宋体" w:cs="宋体" w:hint="eastAsia"/>
                <w:color w:val="000000"/>
                <w:kern w:val="0"/>
                <w:szCs w:val="21"/>
              </w:rPr>
              <w:t>支持诊断词云统一展示，并且对具体的诊断作浮窗展示相关信息。</w:t>
            </w:r>
            <w:r>
              <w:rPr>
                <w:rFonts w:ascii="宋体" w:hAnsi="宋体" w:cs="宋体" w:hint="eastAsia"/>
                <w:color w:val="000000"/>
                <w:kern w:val="0"/>
                <w:szCs w:val="21"/>
              </w:rPr>
              <w:br/>
            </w:r>
            <w:r>
              <w:rPr>
                <w:rFonts w:ascii="宋体" w:hAnsi="宋体" w:cs="宋体" w:hint="eastAsia"/>
                <w:color w:val="000000"/>
                <w:kern w:val="0"/>
                <w:szCs w:val="21"/>
              </w:rPr>
              <w:t>支持展示就诊时间轴，内容至少包括：医生姓名、诊断、科室。</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就诊记录</w:t>
            </w: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就诊记录展示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支持查看总览、门诊、急诊、住院、体检、互联网诊疗摘要记录，按照就诊时间对记录进行排序，可通过滑动选择不同就诊记录。</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按照检验、检查、手术、病理、治疗、用药等类别分类展示患者诊疗记录</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检查视图</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检查记录展示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检查视图：</w:t>
            </w:r>
            <w:r>
              <w:rPr>
                <w:rFonts w:ascii="宋体" w:hAnsi="宋体" w:cs="宋体" w:hint="eastAsia"/>
                <w:color w:val="000000"/>
                <w:kern w:val="0"/>
                <w:szCs w:val="21"/>
              </w:rPr>
              <w:br/>
            </w:r>
            <w:r>
              <w:rPr>
                <w:rFonts w:ascii="宋体" w:hAnsi="宋体" w:cs="宋体" w:hint="eastAsia"/>
                <w:color w:val="000000"/>
                <w:kern w:val="0"/>
                <w:szCs w:val="21"/>
              </w:rPr>
              <w:t>(1)支持多种类别查询检查报告，至少包括：全部、心电图、ECG、放射、超声等，报告接入影像及图文查看入口。</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时间轴展示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支持按照时间轴及列表等多种展示方式。</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检验视图</w:t>
            </w:r>
          </w:p>
        </w:tc>
        <w:tc>
          <w:tcPr>
            <w:tcW w:w="110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检验记录展示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检验视图：</w:t>
            </w:r>
            <w:r>
              <w:rPr>
                <w:rFonts w:ascii="宋体" w:hAnsi="宋体" w:cs="宋体" w:hint="eastAsia"/>
                <w:color w:val="000000"/>
                <w:kern w:val="0"/>
                <w:szCs w:val="21"/>
              </w:rPr>
              <w:br/>
            </w:r>
            <w:r>
              <w:rPr>
                <w:rFonts w:ascii="宋体" w:hAnsi="宋体" w:cs="宋体" w:hint="eastAsia"/>
                <w:color w:val="000000"/>
                <w:kern w:val="0"/>
                <w:szCs w:val="21"/>
              </w:rPr>
              <w:t>(1)支持按照全部、血清、尿液、抗凝血、血浆、粪便、其他等检验类别查询检验报告单。</w:t>
            </w:r>
            <w:r>
              <w:rPr>
                <w:rFonts w:ascii="宋体" w:hAnsi="宋体" w:cs="宋体" w:hint="eastAsia"/>
                <w:color w:val="000000"/>
                <w:kern w:val="0"/>
                <w:szCs w:val="21"/>
              </w:rPr>
              <w:br/>
            </w:r>
            <w:r>
              <w:rPr>
                <w:rFonts w:ascii="宋体" w:hAnsi="宋体" w:cs="宋体" w:hint="eastAsia"/>
                <w:color w:val="000000"/>
                <w:kern w:val="0"/>
                <w:szCs w:val="21"/>
              </w:rPr>
              <w:t>（2）提供总览视图、结果正常视图、结果异常视图。</w:t>
            </w:r>
            <w:r>
              <w:rPr>
                <w:rFonts w:ascii="宋体" w:hAnsi="宋体" w:cs="宋体" w:hint="eastAsia"/>
                <w:color w:val="000000"/>
                <w:kern w:val="0"/>
                <w:szCs w:val="21"/>
              </w:rPr>
              <w:br/>
            </w:r>
            <w:r>
              <w:rPr>
                <w:rFonts w:ascii="宋体" w:hAnsi="宋体" w:cs="宋体" w:hint="eastAsia"/>
                <w:color w:val="000000"/>
                <w:kern w:val="0"/>
                <w:szCs w:val="21"/>
              </w:rPr>
              <w:t>（3）支持多次数据趋势展示。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病理视图</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病理记录展示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支持就诊记录查询病理报告单</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病历文书</w:t>
            </w: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病历文书查询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支持按照就诊类型、就诊日期及就诊科室查询病历文书，并按照病程提供病历文书目录，就诊类型包括门诊、住院。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支持全文关键字检索。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医嘱视图</w:t>
            </w: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医嘱记录展示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支持按照医嘱类型、就诊类型查询医嘱记录，医嘱类型包括出院带药、药品医嘱、治疗医嘱、检查医嘱等。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以列表的形式展示医嘱明细，包括医嘱时效、医嘱名称、套餐名称、单次剂量、频次等。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手术视图</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手术信息展示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手术视图：</w:t>
            </w:r>
            <w:r>
              <w:rPr>
                <w:rFonts w:ascii="宋体" w:hAnsi="宋体" w:cs="宋体" w:hint="eastAsia"/>
                <w:color w:val="000000"/>
                <w:kern w:val="0"/>
                <w:szCs w:val="21"/>
              </w:rPr>
              <w:br/>
            </w:r>
            <w:r>
              <w:rPr>
                <w:rFonts w:ascii="宋体" w:hAnsi="宋体" w:cs="宋体" w:hint="eastAsia"/>
                <w:color w:val="000000"/>
                <w:kern w:val="0"/>
                <w:szCs w:val="21"/>
              </w:rPr>
              <w:t>(1)支持按照时间轴或者列表的方式展示患者手术信息。</w:t>
            </w:r>
            <w:r>
              <w:rPr>
                <w:rFonts w:ascii="宋体" w:hAnsi="宋体" w:cs="宋体" w:hint="eastAsia"/>
                <w:color w:val="000000"/>
                <w:kern w:val="0"/>
                <w:szCs w:val="21"/>
              </w:rPr>
              <w:br/>
            </w:r>
            <w:r>
              <w:rPr>
                <w:rFonts w:ascii="宋体" w:hAnsi="宋体" w:cs="宋体" w:hint="eastAsia"/>
                <w:color w:val="000000"/>
                <w:kern w:val="0"/>
                <w:szCs w:val="21"/>
              </w:rPr>
              <w:t>(2)展示患者手术信息内容包括：操作编码、操作名称、主刀医生、开始时间、结束时间等。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报告查询</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支持患者检验、检查、病理等报告的查询。</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护理视图</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护理展示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支持按照护理文书类型、就诊日期、就诊类型查询医嘱记录。</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费用视图</w:t>
            </w: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患者费用展示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支持按照就诊日期、就诊类型查询费用记录。</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以列表的形式展示费用类型、费用名称、单价、数量，并统计单次就诊的药品费用、材料费用诊疗费用、化验费用、检查费用等费用构成。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244</w:t>
            </w:r>
          </w:p>
        </w:tc>
        <w:tc>
          <w:tcPr>
            <w:tcW w:w="993" w:type="dxa"/>
            <w:vMerge w:val="restart"/>
            <w:tcBorders>
              <w:top w:val="nil"/>
              <w:left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专科实时业务分析</w:t>
            </w: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病种信息维护</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病种规则维护</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支持病种信息维护，维护需要上报的病种信息逻辑规则，涵盖疾病诊断、患者基本信息、就诊信息等规则。</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245</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患者信息添加</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支持增加患者过敏史信息，包括药物过敏、食物过敏等情况；家族病史信息；生活习惯信息等信息。</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246</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逻辑规则设置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具备逻辑规则设置，对于疾病诊断，支持设置多种诊断方式的关联规则。对于患者基本信息和就诊信息，可根据医院的实际管理需求和数据分析要求，自定义信息的必填项和选填项规则，以及不同信息之间的逻辑验证规则。</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247</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运营数据采集</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病种上报</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提供卫健及其他上级单位要求上报诊断的功能，或支持和病种上报相关的其他场景，为医护人员提供标准且规范的填报格式。</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248</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病种模版设计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支持模版设计符合不同上报特点与国家相关规定，涵盖病案号、姓名、就诊流水号以及就诊日期等关键内容。</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249</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未上报查询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支持查询未上报数据，允许医护人员针对查询结果对数据进行上报或标记为无需上报操作。</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250</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填报指导</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支持为医护人员提供详细填报要求指导，帮助医护人员按照模版要求逐一填写相应数据和信，填报完成后可直接提交审核。</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251</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无需上报</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支持填报人员详细说明无需上报的原因。</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252</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支持该模块记录展示、科室、患者信息、填写原因人相关关键信息。</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253</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上报查询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支持上报查询功能，为用户提供专属的工作区域。</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254</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病种记录汇总</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支持查看涵盖疾病类型、状态、填报时间、病案号、状态等内容。</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255</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运营数据补录</w:t>
            </w: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科室漏报查看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支持科室漏报查看，为科室管理人员提供有效的监督工具。</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256</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支持管理员随时查看科室应报而未报的病种信息，并能及时督促相关人员进行填报。</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257</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漏报病例筛选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支持根据预设的规则和时间节点自动筛选出漏报病例的要求，如设置漏报数据每天进行统计更新。</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258</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漏报统计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支持按不同年份进行查询，记录展示科室名称、漏报数量、已上报数量和上报率等信息，支持对漏报情况进行查看并直达指定单病种上报页面，帮助科室管理人员快速定位问题并采取相应措施。</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259</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科室未报汇总</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支持导出科室未上报情况、导出科室未上报病种汇总。</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260</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运营数据审核</w:t>
            </w:r>
          </w:p>
        </w:tc>
        <w:tc>
          <w:tcPr>
            <w:tcW w:w="1105"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填报审核</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支持填报审核，在医护人员完成填报后，数据自动提交给上级审核人员，审核人员可对填报内容进行详细审查，涵盖数据的真实性、完整性、逻辑性等方面。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261</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支持在填报审核界面:通过疾病类型、填报时间、病案号等条件进行筛选查询。</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262</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支持对病种进行多种操作，包括导出 excel、立刻上报、提交审核、暂存、取消、退回等操作。</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263</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填报查看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支持查看病种的病案号、病种、出院科室、出院时间、填报人、填报时间、上报人、上报时间、上报结果以及查看已填报的详情信息等。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264</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运营指标监控、数据分析</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病种质控统计分析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支持对不同病种质控进行统计分析。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265</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病种下钻分析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支持对具体病种进行下钻详细分析，可以筛选病种名称、科室、出院时间区间，包括对病种、质控指标、上报例数、达标例数等进行统计展示。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392"/>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266</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病种医疗组汇总统计分析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支持对病种医疗组汇总统计分析及统计展示。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267</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全院质控统计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支持多维度、多形式的指标监控，支持不同系统如呼吸系统、神经系统、生殖系统、口腔系统等的数据进行综合分析。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268</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病种质控率统计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支持对病种质控率统计，支持统计展示病种质控指标、符合例数、完成例数、完成率，支持导出。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269</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病种年度汇总统计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支持对病种进行年度汇总统计。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270</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病种质量指标统计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支持病种质量指标统计，可以筛选出院日期范围进行查询，统计展示病种质量指标情况，包括总例数、总费用、平均费用、平均住院日、死亡例数、医保人数。</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740"/>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271</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病种数据统计</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支持对所有病种数据进行综合统计和分析。</w:t>
            </w:r>
            <w:r>
              <w:rPr>
                <w:rFonts w:ascii="宋体" w:hAnsi="宋体" w:cs="宋体" w:hint="eastAsia"/>
                <w:color w:val="000000"/>
                <w:kern w:val="0"/>
                <w:szCs w:val="21"/>
              </w:rPr>
              <w:br/>
            </w:r>
            <w:r>
              <w:rPr>
                <w:rFonts w:ascii="宋体" w:hAnsi="宋体" w:cs="宋体" w:hint="eastAsia"/>
                <w:color w:val="000000"/>
                <w:kern w:val="0"/>
                <w:szCs w:val="21"/>
              </w:rPr>
              <w:t>支持按照不同的维度，如病案号、病种名称、出院科室、出院时间、填报人、填报时间、上报时间、上报结果等进行展示；</w:t>
            </w:r>
            <w:r>
              <w:rPr>
                <w:rFonts w:ascii="宋体" w:hAnsi="宋体" w:cs="宋体" w:hint="eastAsia"/>
                <w:color w:val="000000"/>
                <w:kern w:val="0"/>
                <w:szCs w:val="21"/>
              </w:rPr>
              <w:br/>
            </w:r>
            <w:r>
              <w:rPr>
                <w:rFonts w:ascii="宋体" w:hAnsi="宋体" w:cs="宋体" w:hint="eastAsia"/>
                <w:color w:val="000000"/>
                <w:kern w:val="0"/>
                <w:szCs w:val="21"/>
              </w:rPr>
              <w:t>支持查看上报详情和支持导出详细的汇总报表。</w:t>
            </w:r>
            <w:r>
              <w:rPr>
                <w:rFonts w:ascii="宋体" w:hAnsi="宋体" w:cs="宋体" w:hint="eastAsia"/>
                <w:color w:val="000000"/>
                <w:kern w:val="0"/>
                <w:szCs w:val="21"/>
              </w:rPr>
              <w:br/>
            </w:r>
            <w:r>
              <w:rPr>
                <w:rFonts w:ascii="宋体" w:hAnsi="宋体" w:cs="宋体" w:hint="eastAsia"/>
                <w:color w:val="000000"/>
                <w:kern w:val="0"/>
                <w:szCs w:val="21"/>
              </w:rPr>
              <w:t>支持对每个记录查看详情。</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272</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统计报表导出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支持对运营指标各种统计报表进行导出。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273</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专科发展指标总分</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专科发展统计分析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支持专科发展统计分析，分析专科发展指标在不同时间段的变化趋势，专科发展指标与医院其他科室之间的关联关系</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274</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专科发展指标下钻</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支持专科发展指标下钻，不仅可以下钻到科室层面，还能下钻到医生层面</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275</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专科指标总分统计</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支持专科指标总分统计报表提供详细的信息展示，展示指标总分、展示各项指标的明细数据</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276</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系统基础维护</w:t>
            </w: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用户管理</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支持用户角色管理功能为不同类型的用户分配相应的权限和职责。</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277</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支持系统管理员创建多种用户角色，如医生、护士、科室主任、上报管理员等，对于每个角色，可以设定名称、登录名、状态、说明等，满足查询、新增、编辑、删除以及批量删除角色、用户等操作需求。</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278</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接口管理</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支持系统严格把控与连接接口，对每一个接口进行配置和监控，包括接口的地址、描述、设置激活或禁用状态等，可记录展示接口的创建时间、创建者、状态等信息的需求。</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1044"/>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279</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菜单管理</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支持为用户提供操作界面，对系统中的菜单或按钮进行分类组织和优化布局，使其符合医护人员的工作流程和习惯，可根据不同的业务需求灵活定制菜单结构，查询、新增、编辑或删除菜单选项的需求。</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280</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支持对菜单名称、菜单类型、路由地址、描述、状态、排序、是否按钮、按钮事件、隐藏菜单、keepAlive、父级菜单以及 API 接口等进行维护。</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281</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权限分配</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支持根据用户的角色和职责，设定其在系统中的操作权限，包括对特定菜单的访问权限，如查询、新增、编辑、删除等，以及对某些关键操作的授权许可，如对菜单数、导航、保存权限等的操作。</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282</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对接国家单病种质量监测平台接口</w:t>
            </w:r>
          </w:p>
        </w:tc>
        <w:tc>
          <w:tcPr>
            <w:tcW w:w="1105"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接口对接</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支持系统通过专用接口与国家单病种质量监测平台相连，或与院内现有上报系统对接。</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283</w:t>
            </w:r>
          </w:p>
        </w:tc>
        <w:tc>
          <w:tcPr>
            <w:tcW w:w="993" w:type="dxa"/>
            <w:vMerge/>
            <w:tcBorders>
              <w:left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支持双方系统信息反馈与交互。</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284</w:t>
            </w:r>
          </w:p>
        </w:tc>
        <w:tc>
          <w:tcPr>
            <w:tcW w:w="993" w:type="dxa"/>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实时性要求</w:t>
            </w:r>
          </w:p>
        </w:tc>
        <w:tc>
          <w:tcPr>
            <w:tcW w:w="3042" w:type="dxa"/>
            <w:gridSpan w:val="2"/>
            <w:tcBorders>
              <w:top w:val="nil"/>
              <w:left w:val="single" w:sz="4" w:space="0" w:color="auto"/>
              <w:bottom w:val="single" w:sz="4" w:space="0" w:color="auto"/>
              <w:right w:val="single" w:sz="4" w:space="0" w:color="auto"/>
            </w:tcBorders>
            <w:noWrap w:val="0"/>
            <w:vAlign w:val="center"/>
          </w:tcPr>
          <w:p>
            <w:pPr>
              <w:widowControl/>
              <w:jc w:val="left"/>
            </w:pPr>
            <w:r>
              <w:rPr>
                <w:rFonts w:ascii="宋体" w:hAnsi="宋体" w:cs="宋体" w:hint="eastAsia"/>
                <w:color w:val="000000"/>
                <w:kern w:val="0"/>
                <w:szCs w:val="21"/>
              </w:rPr>
              <w:t>专科实时业务要求符合医保等监管单位上报时效性要求。</w:t>
            </w:r>
          </w:p>
        </w:tc>
        <w:tc>
          <w:tcPr>
            <w:tcW w:w="1937" w:type="dxa"/>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285</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员工画像分析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员工大屏</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员工大屏展示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支持综合呈现员工工作成果、技能水平、协作能力等，以图表形式展示各项指标数据及发展趋势。</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基础信息</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基础信息查看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支持查看个人的各项基本信息，包括性别、年龄、出生日期、最高学历、最高学位、最高资质、岗位聘任信息、来院时间、工作时间等。</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我的资质</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资质信息管理</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支持查看、更新最高学历信息、最高学位信息、取得职称信息、聘用职称信息，同时显示相关证书详细信息（编号、颁发机构、有效期等）。</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证书管理</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支持上传、查看、更新初级职称证书、中级职称证书、执业证附件，支持jpg、png、pdf等常见格式。</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教育培训</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个人教育及培训</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支持录入个人教育及培训经历，内容包括教育或者培训名称、获得证书、培训机构、培训开始日期、培训结束日期等信息，并展示明细列表。</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290</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院内培训</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支持录入个人院内培训经历，内容包括教育或者培训名称、获得证书、培训部门等信息，并展示明细列表。</w:t>
            </w:r>
          </w:p>
        </w:tc>
        <w:tc>
          <w:tcPr>
            <w:tcW w:w="1937"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工作经历</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工作经历管理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支持录入个人的工作经历，包括工作单位名称、工作地点、开始日期、结束日期等信息，并展示明细列表。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学术任职</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学术任职管理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支持录入个人的学术任职信息，包括社会任职单位、聘任职务、任期等信息，并展示明细列表。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293</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学术论文</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学术论文管理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支持录入个人的学术论文信息，包括论文名称、网站地址、杂志名称等信息，并展示明细列表。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专著教材</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专著教材管理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支持录入个人的专著教材信息，包括编号、教材名称、教材类型、教材主编等信息，并展示明细列表。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重大医疗活动</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重大医疗活动管理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支持录入个人的医疗活动信息，包括活动主题、主办方、活动规模、活动详情等信息，并展示明细列表。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社会荣誉</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社会荣誉管理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支持录入个人的社会荣誉信息，包括荣誉名称、颁奖单位、荣誉类型、获奖日期等信息，并展示明细列表。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297</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重要学术活动</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重要学术活动管理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支持录入个人的学术活动信息，包括活动主题、主办方、活动规模、活动详情等信息，并展示明细列表。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考核管理</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考核信息管理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支持录入个人的考核管理信息，包括考核项目、考核类型、考核日期等信息，并展示明细列表。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统计分析</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员工多维分析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支持对员工多个维度进行统计分析，包括医疗效率、医疗质量、费用控制、门急诊工作量等多个维度的多个指标。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300</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IT基础设施运行监测集成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评估集成</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运行评估集成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支持对整个 IT 基础设施运行状态的综合评估情况进行集成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监测方式</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关键部分监测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支持采用全院集成的监测方式，涵盖医院 IT 基础设施的各个关键部分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302</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集成监测</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运行监测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支持全院集成的 IT 基础设施运行监测</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303</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智慧后勤集成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后勤可视化</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支持将智慧院区内的重点后勤进行可视化展示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304</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统计图表</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图表配置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支持配备各种统计图表</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305</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后勤集成</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日常运维指标监控</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支持通过全院集成的智慧后勤系统，对医院日常运维指标进行监控</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306</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后勤信息统一管理</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大屏展示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支持集成多张大屏呈现页面，满足实现全院后勤信息的集中展示和统一管理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307</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数字化手术室集成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手术室集成</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手术室驾驶舱</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支持围绕院领导手术间状况掌控、手术资源配置决策、手术运营指标监管要求进行集成</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308</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手术管理可视化</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支持应用数据可视化技术，通过大屏和手机等方式，全面展示手术量、手术效率、手术质量指标</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696"/>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309</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手术室统一管理</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手术运营管理</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支持全院集成的数字化手术室系统，整合医院各个相关系统的数据</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310</w:t>
            </w:r>
          </w:p>
        </w:tc>
        <w:tc>
          <w:tcPr>
            <w:tcW w:w="99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智慧医院物联网平台集成</w:t>
            </w: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物联网集成</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物联网平台</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支持集成智慧医院物联网平台</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311</w:t>
            </w:r>
          </w:p>
        </w:tc>
        <w:tc>
          <w:tcPr>
            <w:tcW w:w="99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物联网可视化</w:t>
            </w:r>
          </w:p>
        </w:tc>
        <w:tc>
          <w:tcPr>
            <w:tcW w:w="1105"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可视化展示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支持通过全院集成的智慧医院物联网平台，将医院内部环节的信息进行整合和可视化展示</w:t>
            </w:r>
          </w:p>
        </w:tc>
        <w:tc>
          <w:tcPr>
            <w:tcW w:w="193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312</w:t>
            </w:r>
          </w:p>
        </w:tc>
        <w:tc>
          <w:tcPr>
            <w:tcW w:w="993" w:type="dxa"/>
            <w:vMerge w:val="restart"/>
            <w:tcBorders>
              <w:top w:val="single" w:sz="4" w:space="0" w:color="auto"/>
              <w:left w:val="nil"/>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AI驾驶舱</w:t>
            </w: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可视化大屏</w:t>
            </w:r>
          </w:p>
        </w:tc>
        <w:tc>
          <w:tcPr>
            <w:tcW w:w="3042"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源数据接入、数据处理、可视化设计的大数据可视化平台，通过图形化拖拽及配置的方式。支持提供可视化设计器、可视化渲染引擎、工程管理、组件管理、基础可视化组件、交互式组件、适量地图组件、高级图表组件、动画体系、人机交互事件、数据源接入、流程式数据集构建、分布式查询与计算等能力。</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jc w:val="right"/>
              <w:rPr>
                <w:rFonts w:ascii="宋体" w:hAnsi="宋体" w:cs="宋体" w:hint="eastAsia"/>
                <w:color w:val="000000"/>
                <w:kern w:val="0"/>
                <w:szCs w:val="21"/>
              </w:rPr>
            </w:pPr>
            <w:r>
              <w:rPr>
                <w:rFonts w:ascii="宋体" w:hAnsi="宋体" w:cs="宋体" w:hint="eastAsia"/>
                <w:color w:val="000000"/>
                <w:kern w:val="0"/>
                <w:szCs w:val="21"/>
              </w:rPr>
              <w:t>313</w:t>
            </w:r>
          </w:p>
        </w:tc>
        <w:tc>
          <w:tcPr>
            <w:tcW w:w="993" w:type="dxa"/>
            <w:vMerge/>
            <w:tcBorders>
              <w:left w:val="nil"/>
              <w:bottom w:val="single" w:sz="4" w:space="0" w:color="auto"/>
              <w:right w:val="single" w:sz="4" w:space="0" w:color="auto"/>
            </w:tcBorders>
            <w:noWrap/>
            <w:vAlign w:val="center"/>
          </w:tcPr>
          <w:p>
            <w:pPr>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智能问数</w:t>
            </w:r>
          </w:p>
        </w:tc>
        <w:tc>
          <w:tcPr>
            <w:tcW w:w="3042"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探索基于AI大模型领导驾驶舱的交互应用场景，实现语音智能问数、知识问答、统计分析等。</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314</w:t>
            </w:r>
          </w:p>
        </w:tc>
        <w:tc>
          <w:tcPr>
            <w:tcW w:w="993" w:type="dxa"/>
            <w:vMerge w:val="restart"/>
            <w:tcBorders>
              <w:top w:val="single" w:sz="4" w:space="0" w:color="auto"/>
              <w:left w:val="nil"/>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中小屏展示</w:t>
            </w: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PC端（中屏）</w:t>
            </w:r>
          </w:p>
        </w:tc>
        <w:tc>
          <w:tcPr>
            <w:tcW w:w="3042"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FF0000"/>
                <w:kern w:val="0"/>
                <w:szCs w:val="21"/>
              </w:rPr>
            </w:pPr>
            <w:r>
              <w:rPr>
                <w:rFonts w:ascii="宋体" w:hAnsi="宋体" w:cs="宋体" w:hint="eastAsia"/>
                <w:color w:val="000000"/>
                <w:kern w:val="0"/>
                <w:szCs w:val="21"/>
              </w:rPr>
              <w:t>支持</w:t>
            </w:r>
            <w:r>
              <w:rPr>
                <w:rFonts w:ascii="宋体" w:hAnsi="宋体" w:cs="宋体" w:hint="eastAsia"/>
                <w:kern w:val="0"/>
                <w:szCs w:val="21"/>
              </w:rPr>
              <w:t>PC端展示。</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支持指标卡形式展示指标数据，及指标年同比和环比数据，支持查看当前登录用户拥有权限的所有指标。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支持切换指标默认统计时间颗粒度，包含：日、周、月、季、年。</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支持按名称模糊匹配搜索指标。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支持按业务域、业务分类、自定义标签等多个维度筛选指标。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支持查看指标详情数据，包含当前周期的指标值、同环比数据、指标统计口径、指标趋势图、年度趋势图。</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支持切换指标值统计周期，包含：日、周、月、季、年，统计周期切换后，趋势图和年度趋势图时间单位会跟随切换。</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支持自定义趋势图的时间范围。</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支持以折线图方式查看选中日期范围内的指标数据趋势。</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支持以折线图方式查看最近3年相同时间点不同年份的数据对比情况。</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支持全屏查看数据趋势图。</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315</w:t>
            </w:r>
          </w:p>
        </w:tc>
        <w:tc>
          <w:tcPr>
            <w:tcW w:w="993" w:type="dxa"/>
            <w:vMerge/>
            <w:tcBorders>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移动端（小屏）</w:t>
            </w:r>
          </w:p>
        </w:tc>
        <w:tc>
          <w:tcPr>
            <w:tcW w:w="3042"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hint="eastAsia"/>
                <w:kern w:val="0"/>
                <w:szCs w:val="21"/>
              </w:rPr>
              <w:t>移动端集成，将移动BI集成到H5，以门户作为统一入口查看数据。</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支持指标卡形式展示指标数据，及指标年同比和环比数据，支持查看当前登录用户拥有权限的所有指标。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支持切换指标默认统计时间颗粒度，包含：日、周、月、季、年。</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支持按名称模糊匹配搜索指标。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支持按业务域、业务分类、自定义标签等多个维度筛选指标。</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支持查看指标详情数据，包含当前周期的指标值、同环比数据、指标统计口径、指标趋势图、年度趋势图。</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支持切换指标值统计周期，包含：日、周、月、季、年，统计周期切换后，趋势图和年度趋势图时间单位会跟随切换。</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支持自定义趋势图的时间范围。</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支持以折线图方式查看选中日期范围内的指标数据趋势。</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支持以折线图方式查看最近3年相同时间点不同年份的数据对比情况。</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支持全屏查看数据趋势图。</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316</w:t>
            </w:r>
          </w:p>
        </w:tc>
        <w:tc>
          <w:tcPr>
            <w:tcW w:w="993" w:type="dxa"/>
            <w:vMerge w:val="restart"/>
            <w:tcBorders>
              <w:top w:val="single" w:sz="4" w:space="0" w:color="auto"/>
              <w:left w:val="nil"/>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数据实时性要求</w:t>
            </w: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t>核心运营指标（实时监控类）</w:t>
            </w:r>
          </w:p>
        </w:tc>
        <w:tc>
          <w:tcPr>
            <w:tcW w:w="3042"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更新频率：秒级更新≤</w:t>
            </w:r>
            <w:r>
              <w:rPr>
                <w:rFonts w:ascii="宋体" w:hAnsi="宋体" w:cs="宋体" w:hint="eastAsia"/>
                <w:color w:val="000000"/>
                <w:kern w:val="0"/>
                <w:szCs w:val="21"/>
              </w:rPr>
              <w:t>60</w:t>
            </w:r>
            <w:r>
              <w:rPr>
                <w:rFonts w:ascii="宋体" w:hAnsi="宋体" w:cs="宋体"/>
                <w:color w:val="000000"/>
                <w:kern w:val="0"/>
                <w:szCs w:val="21"/>
              </w:rPr>
              <w:t>秒</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数据延迟：端到端延迟≤</w:t>
            </w:r>
            <w:r>
              <w:rPr>
                <w:rFonts w:ascii="宋体" w:hAnsi="宋体" w:cs="宋体" w:hint="eastAsia"/>
                <w:color w:val="000000"/>
                <w:kern w:val="0"/>
                <w:szCs w:val="21"/>
              </w:rPr>
              <w:t>2分钟</w:t>
            </w:r>
            <w:r>
              <w:rPr>
                <w:rFonts w:ascii="宋体" w:hAnsi="宋体" w:cs="宋体"/>
                <w:color w:val="000000"/>
                <w:kern w:val="0"/>
                <w:szCs w:val="21"/>
              </w:rPr>
              <w:t xml:space="preserve"> </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317</w:t>
            </w:r>
          </w:p>
        </w:tc>
        <w:tc>
          <w:tcPr>
            <w:tcW w:w="993" w:type="dxa"/>
            <w:vMerge/>
            <w:tcBorders>
              <w:left w:val="nil"/>
              <w:right w:val="single" w:sz="4" w:space="0" w:color="auto"/>
            </w:tcBorders>
            <w:noWrap/>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t>临床质量指标（准实时监控类）</w:t>
            </w:r>
          </w:p>
        </w:tc>
        <w:tc>
          <w:tcPr>
            <w:tcW w:w="3042"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 xml:space="preserve">更新频率：分钟级更新≤5分钟 </w:t>
            </w:r>
          </w:p>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 xml:space="preserve">数据延迟：≤30分钟 </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318</w:t>
            </w:r>
          </w:p>
        </w:tc>
        <w:tc>
          <w:tcPr>
            <w:tcW w:w="993" w:type="dxa"/>
            <w:vMerge/>
            <w:tcBorders>
              <w:left w:val="nil"/>
              <w:right w:val="single" w:sz="4" w:space="0" w:color="auto"/>
            </w:tcBorders>
            <w:noWrap/>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t>资源管理指标（定时更新类）</w:t>
            </w:r>
          </w:p>
        </w:tc>
        <w:tc>
          <w:tcPr>
            <w:tcW w:w="3042"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更新频率：小时级更新≤1小时</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92" w:type="dxa"/>
          <w:tblInd w:w="0" w:type="dxa"/>
          <w:tblLayout w:type="fixed"/>
          <w:tblCellMar>
            <w:top w:w="0" w:type="dxa"/>
            <w:left w:w="108" w:type="dxa"/>
            <w:bottom w:w="0" w:type="dxa"/>
            <w:right w:w="108" w:type="dxa"/>
          </w:tblCellMar>
        </w:tblPrEx>
        <w:trPr>
          <w:trHeight w:val="348"/>
        </w:trPr>
        <w:tc>
          <w:tcPr>
            <w:tcW w:w="562" w:type="dxa"/>
            <w:tcBorders>
              <w:top w:val="single" w:sz="4" w:space="0" w:color="auto"/>
              <w:left w:val="single" w:sz="4" w:space="0" w:color="auto"/>
              <w:bottom w:val="single" w:sz="4" w:space="0" w:color="auto"/>
              <w:right w:val="single" w:sz="4" w:space="0" w:color="auto"/>
            </w:tcBorders>
            <w:noWrap/>
            <w:vAlign w:val="center"/>
          </w:tcPr>
          <w:p>
            <w:pPr>
              <w:widowControl/>
              <w:jc w:val="right"/>
              <w:rPr>
                <w:rFonts w:ascii="宋体" w:hAnsi="宋体" w:cs="宋体" w:hint="eastAsia"/>
                <w:color w:val="000000"/>
                <w:kern w:val="0"/>
                <w:szCs w:val="21"/>
              </w:rPr>
            </w:pPr>
            <w:r>
              <w:rPr>
                <w:rFonts w:ascii="宋体" w:hAnsi="宋体" w:cs="宋体" w:hint="eastAsia"/>
                <w:color w:val="000000"/>
                <w:kern w:val="0"/>
                <w:szCs w:val="21"/>
              </w:rPr>
              <w:t>319</w:t>
            </w:r>
          </w:p>
        </w:tc>
        <w:tc>
          <w:tcPr>
            <w:tcW w:w="993" w:type="dxa"/>
            <w:vMerge/>
            <w:tcBorders>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t>管理分析指标（周期性更新类）</w:t>
            </w:r>
          </w:p>
        </w:tc>
        <w:tc>
          <w:tcPr>
            <w:tcW w:w="3042" w:type="dxa"/>
            <w:gridSpan w:val="2"/>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w:t>
            </w:r>
            <w:r>
              <w:rPr>
                <w:rFonts w:ascii="宋体" w:hAnsi="宋体" w:cs="宋体"/>
                <w:color w:val="000000"/>
                <w:kern w:val="0"/>
                <w:szCs w:val="21"/>
              </w:rPr>
              <w:t>更新频率：日级 / 周级更新</w:t>
            </w:r>
          </w:p>
        </w:tc>
        <w:tc>
          <w:tcPr>
            <w:tcW w:w="1937"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bl>
    <w:p>
      <w:pPr>
        <w:rPr>
          <w:szCs w:val="20"/>
        </w:rPr>
      </w:pPr>
    </w:p>
    <w:p>
      <w:pPr>
        <w:rPr>
          <w:szCs w:val="20"/>
        </w:rPr>
      </w:pPr>
      <w:r>
        <w:rPr>
          <w:rFonts w:hint="eastAsia"/>
          <w:szCs w:val="20"/>
        </w:rPr>
        <w:t>2）</w:t>
      </w:r>
      <w:bookmarkStart w:id="70" w:name="OLE_LINK6"/>
      <w:r>
        <w:rPr>
          <w:rFonts w:hint="eastAsia"/>
          <w:szCs w:val="20"/>
        </w:rPr>
        <w:t>数据资产建设</w:t>
      </w:r>
      <w:bookmarkEnd w:id="70"/>
      <w:r>
        <w:rPr>
          <w:rFonts w:hint="eastAsia"/>
          <w:szCs w:val="20"/>
        </w:rPr>
        <w:t>技术需求</w:t>
      </w:r>
    </w:p>
    <w:tbl>
      <w:tblPr>
        <w:tblStyle w:val="TableNormal"/>
        <w:tblW w:w="9356" w:type="dxa"/>
        <w:tblInd w:w="-34" w:type="dxa"/>
        <w:tblLayout w:type="fixed"/>
        <w:tblCellMar>
          <w:top w:w="0" w:type="dxa"/>
          <w:left w:w="108" w:type="dxa"/>
          <w:bottom w:w="0" w:type="dxa"/>
          <w:right w:w="108" w:type="dxa"/>
        </w:tblCellMar>
      </w:tblPr>
      <w:tblGrid>
        <w:gridCol w:w="709"/>
        <w:gridCol w:w="851"/>
        <w:gridCol w:w="1092"/>
        <w:gridCol w:w="7"/>
        <w:gridCol w:w="885"/>
        <w:gridCol w:w="2091"/>
        <w:gridCol w:w="2020"/>
        <w:gridCol w:w="709"/>
        <w:gridCol w:w="992"/>
      </w:tblGrid>
      <w:tr>
        <w:tblPrEx>
          <w:tblW w:w="9356" w:type="dxa"/>
          <w:tblInd w:w="-34" w:type="dxa"/>
          <w:tblLayout w:type="fixed"/>
          <w:tblCellMar>
            <w:top w:w="0" w:type="dxa"/>
            <w:left w:w="108" w:type="dxa"/>
            <w:bottom w:w="0" w:type="dxa"/>
            <w:right w:w="108" w:type="dxa"/>
          </w:tblCellMar>
        </w:tblPrEx>
        <w:trPr>
          <w:trHeight w:val="312"/>
        </w:trPr>
        <w:tc>
          <w:tcPr>
            <w:tcW w:w="709" w:type="dxa"/>
            <w:tcBorders>
              <w:top w:val="single" w:sz="4" w:space="0" w:color="auto"/>
              <w:left w:val="single" w:sz="4" w:space="0" w:color="auto"/>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851"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系统名称</w:t>
            </w:r>
          </w:p>
        </w:tc>
        <w:tc>
          <w:tcPr>
            <w:tcW w:w="1099" w:type="dxa"/>
            <w:gridSpan w:val="2"/>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系统功能</w:t>
            </w:r>
          </w:p>
        </w:tc>
        <w:tc>
          <w:tcPr>
            <w:tcW w:w="885"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子模块</w:t>
            </w:r>
          </w:p>
        </w:tc>
        <w:tc>
          <w:tcPr>
            <w:tcW w:w="2091"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招标技术要求</w:t>
            </w:r>
          </w:p>
        </w:tc>
        <w:tc>
          <w:tcPr>
            <w:tcW w:w="2020"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投标技术响应</w:t>
            </w:r>
          </w:p>
        </w:tc>
        <w:tc>
          <w:tcPr>
            <w:tcW w:w="709"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偏离情况</w:t>
            </w:r>
          </w:p>
        </w:tc>
        <w:tc>
          <w:tcPr>
            <w:tcW w:w="992" w:type="dxa"/>
            <w:tcBorders>
              <w:top w:val="single" w:sz="4" w:space="0" w:color="auto"/>
              <w:left w:val="nil"/>
              <w:bottom w:val="nil"/>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说明</w:t>
            </w: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851" w:type="dxa"/>
            <w:vMerge w:val="restart"/>
            <w:tcBorders>
              <w:top w:val="single" w:sz="4" w:space="0" w:color="auto"/>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数据目录编制</w:t>
            </w:r>
          </w:p>
        </w:tc>
        <w:tc>
          <w:tcPr>
            <w:tcW w:w="1092" w:type="dxa"/>
            <w:vMerge w:val="restart"/>
            <w:tcBorders>
              <w:top w:val="single" w:sz="4" w:space="0" w:color="auto"/>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目录编制</w:t>
            </w:r>
          </w:p>
        </w:tc>
        <w:tc>
          <w:tcPr>
            <w:tcW w:w="892"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目录梳理</w:t>
            </w:r>
          </w:p>
        </w:tc>
        <w:tc>
          <w:tcPr>
            <w:tcW w:w="2091"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提供数据资源目录编目服务，</w:t>
            </w:r>
            <w:r>
              <w:rPr>
                <w:rFonts w:ascii="宋体" w:hAnsi="宋体" w:cs="宋体" w:hint="eastAsia"/>
                <w:color w:val="000000"/>
                <w:kern w:val="0"/>
              </w:rPr>
              <w:t>实现对</w:t>
            </w:r>
            <w:r>
              <w:rPr>
                <w:rFonts w:hAnsi="宋体" w:hint="eastAsia"/>
                <w:kern w:val="0"/>
                <w:lang w:val="en-GB"/>
              </w:rPr>
              <w:t>各部门数据资源的完整梳理。</w:t>
            </w:r>
          </w:p>
        </w:tc>
        <w:tc>
          <w:tcPr>
            <w:tcW w:w="2020"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851" w:type="dxa"/>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1092" w:type="dxa"/>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892"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目录生成</w:t>
            </w:r>
          </w:p>
        </w:tc>
        <w:tc>
          <w:tcPr>
            <w:tcW w:w="2091"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基于数据中台工具，</w:t>
            </w:r>
            <w:r>
              <w:rPr>
                <w:rFonts w:hAnsi="宋体"/>
                <w:kern w:val="0"/>
                <w:lang w:val="en-GB"/>
              </w:rPr>
              <w:t>按照业务信息目录和信息资源目录要求</w:t>
            </w:r>
            <w:r>
              <w:rPr>
                <w:rFonts w:hAnsi="宋体" w:hint="eastAsia"/>
                <w:kern w:val="0"/>
                <w:lang w:val="en-GB"/>
              </w:rPr>
              <w:t>生成</w:t>
            </w:r>
            <w:r>
              <w:rPr>
                <w:rFonts w:hAnsi="宋体"/>
                <w:kern w:val="0"/>
                <w:lang w:val="en-GB"/>
              </w:rPr>
              <w:t>目录</w:t>
            </w:r>
            <w:r>
              <w:rPr>
                <w:rFonts w:hAnsi="宋体" w:hint="eastAsia"/>
                <w:kern w:val="0"/>
                <w:lang w:val="en-GB"/>
              </w:rPr>
              <w:t>。</w:t>
            </w:r>
          </w:p>
        </w:tc>
        <w:tc>
          <w:tcPr>
            <w:tcW w:w="2020"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851" w:type="dxa"/>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1092" w:type="dxa"/>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892"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目录审核</w:t>
            </w:r>
          </w:p>
        </w:tc>
        <w:tc>
          <w:tcPr>
            <w:tcW w:w="2091"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hAnsi="宋体" w:hint="eastAsia"/>
                <w:kern w:val="0"/>
                <w:lang w:val="en-GB"/>
              </w:rPr>
              <w:t>对梳理好的</w:t>
            </w:r>
            <w:r>
              <w:rPr>
                <w:rFonts w:hAnsi="宋体"/>
                <w:kern w:val="0"/>
              </w:rPr>
              <w:t>医疗</w:t>
            </w:r>
            <w:r>
              <w:rPr>
                <w:rFonts w:hAnsi="宋体" w:hint="eastAsia"/>
                <w:kern w:val="0"/>
                <w:lang w:val="en-GB"/>
              </w:rPr>
              <w:t>信息资源目录进行审核，出具资源目录审核报告，达到</w:t>
            </w:r>
            <w:r>
              <w:rPr>
                <w:rFonts w:hAnsi="宋体"/>
                <w:kern w:val="0"/>
              </w:rPr>
              <w:t>医疗</w:t>
            </w:r>
            <w:r>
              <w:rPr>
                <w:rFonts w:hAnsi="宋体" w:hint="eastAsia"/>
                <w:kern w:val="0"/>
                <w:lang w:val="en-GB"/>
              </w:rPr>
              <w:t>信息资源目录质量要求。</w:t>
            </w:r>
          </w:p>
        </w:tc>
        <w:tc>
          <w:tcPr>
            <w:tcW w:w="2020"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851" w:type="dxa"/>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1092" w:type="dxa"/>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892"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目录整理</w:t>
            </w:r>
          </w:p>
        </w:tc>
        <w:tc>
          <w:tcPr>
            <w:tcW w:w="2091"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hAnsi="宋体" w:hint="eastAsia"/>
                <w:kern w:val="0"/>
                <w:lang w:val="en-GB"/>
              </w:rPr>
              <w:t>整理</w:t>
            </w:r>
            <w:r>
              <w:rPr>
                <w:rFonts w:hAnsi="宋体"/>
                <w:kern w:val="0"/>
              </w:rPr>
              <w:t>医疗</w:t>
            </w:r>
            <w:r>
              <w:rPr>
                <w:rFonts w:hAnsi="宋体" w:hint="eastAsia"/>
                <w:kern w:val="0"/>
                <w:lang w:val="en-GB"/>
              </w:rPr>
              <w:t>信息资源目录，</w:t>
            </w:r>
            <w:r>
              <w:rPr>
                <w:rFonts w:hAnsi="宋体"/>
                <w:kern w:val="0"/>
                <w:lang w:val="en-GB"/>
              </w:rPr>
              <w:t>明确信息资源的共享范围、共享频率、共享方式等内容</w:t>
            </w:r>
            <w:r>
              <w:rPr>
                <w:rFonts w:hAnsi="宋体" w:hint="eastAsia"/>
                <w:kern w:val="0"/>
                <w:lang w:val="en-GB"/>
              </w:rPr>
              <w:t>。</w:t>
            </w:r>
          </w:p>
        </w:tc>
        <w:tc>
          <w:tcPr>
            <w:tcW w:w="2020"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851" w:type="dxa"/>
            <w:vMerge/>
            <w:tcBorders>
              <w:left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1092" w:type="dxa"/>
            <w:vMerge/>
            <w:tcBorders>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p>
        </w:tc>
        <w:tc>
          <w:tcPr>
            <w:tcW w:w="892"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质量管理</w:t>
            </w:r>
          </w:p>
        </w:tc>
        <w:tc>
          <w:tcPr>
            <w:tcW w:w="2091"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hAnsi="宋体" w:hint="eastAsia"/>
                <w:kern w:val="0"/>
                <w:lang w:val="en-GB"/>
              </w:rPr>
              <w:t>根据标准规范对普查的</w:t>
            </w:r>
            <w:r>
              <w:rPr>
                <w:rFonts w:hAnsi="宋体"/>
                <w:kern w:val="0"/>
              </w:rPr>
              <w:t>医疗</w:t>
            </w:r>
            <w:r>
              <w:rPr>
                <w:rFonts w:hAnsi="宋体" w:hint="eastAsia"/>
                <w:kern w:val="0"/>
                <w:lang w:val="en-GB"/>
              </w:rPr>
              <w:t>信息资源目录进行核验、补充、完善，辅助提升目录编制质量。</w:t>
            </w:r>
          </w:p>
        </w:tc>
        <w:tc>
          <w:tcPr>
            <w:tcW w:w="2020"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851" w:type="dxa"/>
            <w:vMerge/>
            <w:tcBorders>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p>
        </w:tc>
        <w:tc>
          <w:tcPr>
            <w:tcW w:w="1092" w:type="dxa"/>
            <w:tcBorders>
              <w:top w:val="single" w:sz="4" w:space="0" w:color="auto"/>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目录分类</w:t>
            </w:r>
          </w:p>
        </w:tc>
        <w:tc>
          <w:tcPr>
            <w:tcW w:w="892"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目录分类</w:t>
            </w:r>
          </w:p>
        </w:tc>
        <w:tc>
          <w:tcPr>
            <w:tcW w:w="2091"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对数据资源目录进行分类，包括但不限于</w:t>
            </w:r>
            <w:r>
              <w:rPr>
                <w:rFonts w:hAnsi="宋体" w:cs="宋体" w:hint="eastAsia"/>
                <w:color w:val="000000"/>
              </w:rPr>
              <w:t>就诊概要信息、门急诊业务信息、住院业务信息、医技业务信息、病历文书信息等。</w:t>
            </w:r>
          </w:p>
        </w:tc>
        <w:tc>
          <w:tcPr>
            <w:tcW w:w="2020"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851" w:type="dxa"/>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数据接入管理</w:t>
            </w:r>
          </w:p>
        </w:tc>
        <w:tc>
          <w:tcPr>
            <w:tcW w:w="1092" w:type="dxa"/>
            <w:tcBorders>
              <w:top w:val="single" w:sz="4" w:space="0" w:color="auto"/>
              <w:left w:val="single" w:sz="4" w:space="0" w:color="auto"/>
              <w:bottom w:val="single" w:sz="4" w:space="0" w:color="000000"/>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数据来源梳理服务</w:t>
            </w:r>
          </w:p>
        </w:tc>
        <w:tc>
          <w:tcPr>
            <w:tcW w:w="892"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HIS系统数据</w:t>
            </w:r>
          </w:p>
        </w:tc>
        <w:tc>
          <w:tcPr>
            <w:tcW w:w="2091"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支持采集HIS系统数据，汇聚HIS系统数据到数据湖，涉及的表单主要包括医疗机构信息、科室字典、医护人员信息、收费项目、药品目录、医嘱项目、病人基本信息等。</w:t>
            </w:r>
          </w:p>
        </w:tc>
        <w:tc>
          <w:tcPr>
            <w:tcW w:w="2020"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single" w:sz="4" w:space="0" w:color="auto"/>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851" w:type="dxa"/>
            <w:vMerge w:val="restart"/>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val="restart"/>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PACS系统数据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支持采集PACS系统数据，汇聚PACS系统数据到数据湖，涉及的表单主要包括检查报告、病理检查报告、检查危急值等。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LIS系统数据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支持采集LIS系统数据，汇聚LIS系统数据到数据湖，涉及的表单主要包括检验报告主表、检验结果明细表、检验危急值记录等。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HRP系统数据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支持采集HRP系统数据，汇聚HRP系统数据到数据湖，涉及的表单主要包括人员基本信息、人员教育情况信息、人员工作情况信息、药品库存、药品出入库等。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病案系统数据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支持采集病案系统数据，汇聚病案系统数据到数据湖，涉及的表单主要包括中医病案首页、西医病案首页、手术等。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医疗管理系统数据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支持采集医疗管理系统数据，汇聚医疗管理系统数据到数据湖，涉及的表单主要包括院内感染信息、传染病上报等。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手麻系统数据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支持采集手麻系统数据，汇聚手麻系统数据到数据湖，涉及的表单主要包括手术记录、麻醉记录等。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体检系统数据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支持采集体检系统数据，汇聚体检系统数据到数据湖，涉及的表单主要包括体检报告、分科体检及功能检查等。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输血系统数据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支持采集输血系统数据，汇聚输血系统数据到数据湖，涉及的表单主要包括患者输血申请、血液物资进出库存等。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EMR系统数据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支持采集EMR系统数据，汇聚EMR系统数据到数据湖，涉及的表单主要包括知情告知书、出入院记录、住院病程记录、病历概要等。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后勤系统数据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支持采集后勤系统数据，汇聚后勤系统数据到数据湖，涉及的表单主要包括设备数据、资产数据、耗材等。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624"/>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single" w:sz="4" w:space="0" w:color="auto"/>
              <w:left w:val="single" w:sz="4" w:space="0" w:color="auto"/>
              <w:bottom w:val="single" w:sz="4" w:space="0" w:color="000000"/>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其他系统数据</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支持采集本次项目建设场景所需的其他业务系统数据。</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w:t>
            </w:r>
          </w:p>
        </w:tc>
        <w:tc>
          <w:tcPr>
            <w:tcW w:w="851" w:type="dxa"/>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 采集服务</w:t>
            </w: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采集服务对接方式</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支持对接离线数据或实时数据，尽量避免或者减少直接对业务生产系统进行调整，根据实际场景需求采用实时解决方案和离线解决方案的对接方式。</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w:t>
            </w:r>
          </w:p>
        </w:tc>
        <w:tc>
          <w:tcPr>
            <w:tcW w:w="851"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数据治理管理</w:t>
            </w:r>
          </w:p>
        </w:tc>
        <w:tc>
          <w:tcPr>
            <w:tcW w:w="1099" w:type="dxa"/>
            <w:gridSpan w:val="2"/>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数据标准化服务</w:t>
            </w: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数据标准化处理</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支持对国标数据、行标数据、院标数据进行数据标准化处理，对院内数据进行标准化映射管理。</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624"/>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医学术语处理</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支持对ICD10、ICD-9-CM-3、药品数据、术语等进行处理。</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872"/>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EMPI管理</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院内的EMPI进行管理，通过建立统一的患者主索引，支撑多源、多模态的临床数据、组学数据、影像数据、其他行业数据的融合。可以高效智能地管理人员对患者数据进行搜索，同时便于展现统一、完整、连续的患者诊疗信息。</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560"/>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数据模型管理服务</w:t>
            </w: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数据模型展示</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支持可视化的方式展示各数据模型（患者入出转、患者费用、病历文书、检验、病案、护理、医嘱、病理、检查、手术等）的主要信息，展示信息至少包括：领域名称、增量条数、总条数、更新时间。</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872"/>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数据模型分布</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可视化的方式展示每个数据模型中（患者入出转、患者费用、病历文书、检验、病案、护理、医嘱、病理、检查、手术等）各个表的主要信息，展现形式包括：饼图、折线图。展示内容至少包括：表中数据总行数、占比、24小时内表中数据的增量分布情况。</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560"/>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 xml:space="preserve"> 元数据管理</w:t>
            </w: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元数据可视化管理</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元数据的标准化管理。支持对系统内元数据对象进行新增、编辑、删除操作，确保各类元数据的有效组织与维护。支持与具体业务场景绑定，形成元数据与实际业务间的关联映射，提升元数据使用的准确性和实用性。</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元数查询</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提供元数据的模糊查询功能，支持对绑定的元数据进行快速检索，并能展示元数据相关的字段信息、所属库表、使用场景等关键内容，方便用户快速定位与分析。</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560"/>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数据结构化</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支持对非结构化的数据（如：HTML、XML类型的电子病历/检查报告/病理报告）进行结构化的转化，形成具有结构化、一致化的提取结果，形成可以直接进行检索或二次利用的数据。</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3432"/>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851"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数据解析管理</w:t>
            </w:r>
          </w:p>
        </w:tc>
        <w:tc>
          <w:tcPr>
            <w:tcW w:w="1099" w:type="dxa"/>
            <w:gridSpan w:val="2"/>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文本类数据结构化</w:t>
            </w: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建设原始库</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建设原始库（ODS镜像库）能够保存业务系统的原始数据，能够提供最真实、最全面的信息，对于后续的数据分析提供支持。原始库作为数据仓库的入口，能够对进入的数据进行初步的校验和筛选，确保数据的准确性和可靠性。提高整个数据仓库的数据质量。同时建设原始库，可以将医院现在使用的电子病历、HIS系统的数据与数据分析系统隔离开来，降低数据风险。即使数据分析系统出现故障或遭受攻击，也不会影响到医院核心业务系统的正常运行和数据安全。</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624"/>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w:t>
            </w:r>
          </w:p>
        </w:tc>
        <w:tc>
          <w:tcPr>
            <w:tcW w:w="851"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资源库管理</w:t>
            </w:r>
          </w:p>
        </w:tc>
        <w:tc>
          <w:tcPr>
            <w:tcW w:w="1099" w:type="dxa"/>
            <w:gridSpan w:val="2"/>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医院数据原始库</w:t>
            </w: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原始库设计</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支持原始库的设计中要考虑规范性、可扩展性、性能优化和完全性。</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原始库扩展和维护</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支持原始库的设计具有可扩展性和可维护性，能够快速地适应这些变化，确保数据仓库的稳定性和可靠性。</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保持数据原貌</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支持保持数据原貌：原始库的主要目标是存储业务系统的原始数据，确保数据的完整性、真实性和原始性。在数据抽取和加载过程中直接按照业务系统的数据结构进行存储。</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872"/>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32</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数据结构和存储</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考虑数据结构和存储：根据业务系统的数据类型、数据量以及数据访问模式，合理设计贴源数据层的数据结构。例如，对于结构化数据，可以使用关系型数据库进行存储；对于非结构化数据，可以使用文件存储或对象存储等方式。</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33</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数据抽取和加载</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支持建立高效的数据抽取和加载机制：为了保障数据的实时性和准确性，建立高效的数据抽取和加载机制。这可以通过使用ETL工具、数据库复制技术方式实现。</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34</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易于扩展和维护</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支持易于扩展和维护：原始库的设计应该具有可扩展性和可维护性，以适应业务系统的变化和增长。这可以通过使用分布式数据库、容器化技术等手段实现。</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624"/>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35</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原始库模型设计</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支持原始库模型设计，包括：临床原始库、绩效考核原始库等。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560"/>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36</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主题库资源</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支持主题库为医院提供临床、运营、科研等不同业务域的专业性信息和知识资源。在基础库的基础上构建而成，对基础库中特定主题领域进行深入挖掘和整理，形成具有特定主题领域信息资源的集合体。</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872"/>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37</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医院数据主题库</w:t>
            </w: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主题库模型设计</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主题课模型设计，包括：门诊接诊、住院登记、住院病人基本、门诊预约、门诊挂号、门诊诊断、门诊病人基本信息、住院诊断、门诊费用明细、出院结账明细、电子医嘱、病历文书、检验、检查、病理、手术麻醉管理、病案管理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38</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医院专题库建设</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支持医院专题库建设，为前端应用实现高效率的查询对数据进行轻度汇总表和大宽表设计，满足应用快速查询性能的需要。</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2184"/>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39</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医院数据专题库</w:t>
            </w: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设计理念</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业务指标为核心的设计理念：模型构建紧密围绕医院业务中需要呈现的各类指标展开。在专题层面，深入剖析指标需求，对主题相关的数据进行预先加工处理，将处理结果妥善保存在专题层。这种设计方式确保了数据在专题层面能够直接满足业务指标的呈现需求，为前端应用提供了精准的数据支持。</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872"/>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40</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大宽表设计</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大宽表的设计理论，为了最大程度地提高数据服务效率，专题设计强调尽量采用大宽表结构。在数据服务查询过程中，大宽表能够显著减少表关联操作，从而加快查询速度，提升数据服务的响应性能，满足医院应用对快速查询的严格要求。</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41</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业务检测专题库</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支持业务检测专题库设计，主要是为了对医院开展的业务进行实时监测而建立的专题库，主要包括：检查业务、检验业务、住院业务、医生工作业务、门诊号源等。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1248"/>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42</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数据资产管理专题库</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支持数据资产管理专题库设计，主要是为了梳理医院数据治理的情况，帮助医院理清数据要素建设情况，主要包括：固定资产业务、人员业务、耗材业务、数据资产等。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624"/>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43</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运营分析库</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支持运营分析库设计，主要是为了分析医院的人、财、设备、医保、成本、业务量等。</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56" w:type="dxa"/>
          <w:tblInd w:w="-34" w:type="dxa"/>
          <w:tblLayout w:type="fixed"/>
          <w:tblCellMar>
            <w:top w:w="0" w:type="dxa"/>
            <w:left w:w="108" w:type="dxa"/>
            <w:bottom w:w="0" w:type="dxa"/>
            <w:right w:w="108" w:type="dxa"/>
          </w:tblCellMar>
        </w:tblPrEx>
        <w:trPr>
          <w:trHeight w:val="936"/>
        </w:trPr>
        <w:tc>
          <w:tcPr>
            <w:tcW w:w="709"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44</w:t>
            </w:r>
          </w:p>
        </w:tc>
        <w:tc>
          <w:tcPr>
            <w:tcW w:w="851"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099" w:type="dxa"/>
            <w:gridSpan w:val="2"/>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5" w:type="dxa"/>
            <w:tcBorders>
              <w:top w:val="nil"/>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临床管理库</w:t>
            </w:r>
          </w:p>
        </w:tc>
        <w:tc>
          <w:tcPr>
            <w:tcW w:w="209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支持临床管理库设计，主要是针对诊疗过程中行为进行管理分析，设定指标规则，进行临床业务的质量管理。</w:t>
            </w:r>
          </w:p>
        </w:tc>
        <w:tc>
          <w:tcPr>
            <w:tcW w:w="20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09"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99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bl>
    <w:p>
      <w:pPr>
        <w:rPr>
          <w:szCs w:val="20"/>
        </w:rPr>
      </w:pPr>
    </w:p>
    <w:p>
      <w:pPr>
        <w:rPr>
          <w:szCs w:val="20"/>
        </w:rPr>
      </w:pPr>
      <w:r>
        <w:rPr>
          <w:rFonts w:hint="eastAsia"/>
          <w:szCs w:val="20"/>
        </w:rPr>
        <w:t>3）大脑数据中台技术需求</w:t>
      </w:r>
    </w:p>
    <w:tbl>
      <w:tblPr>
        <w:tblStyle w:val="TableNormal"/>
        <w:tblW w:w="9310" w:type="dxa"/>
        <w:tblInd w:w="0" w:type="dxa"/>
        <w:tblLayout w:type="fixed"/>
        <w:tblCellMar>
          <w:top w:w="0" w:type="dxa"/>
          <w:left w:w="108" w:type="dxa"/>
          <w:bottom w:w="0" w:type="dxa"/>
          <w:right w:w="108" w:type="dxa"/>
        </w:tblCellMar>
      </w:tblPr>
      <w:tblGrid>
        <w:gridCol w:w="618"/>
        <w:gridCol w:w="663"/>
        <w:gridCol w:w="699"/>
        <w:gridCol w:w="584"/>
        <w:gridCol w:w="797"/>
        <w:gridCol w:w="2211"/>
        <w:gridCol w:w="1972"/>
        <w:gridCol w:w="883"/>
        <w:gridCol w:w="883"/>
      </w:tblGrid>
      <w:tr>
        <w:tblPrEx>
          <w:tblW w:w="9310" w:type="dxa"/>
          <w:tblInd w:w="0" w:type="dxa"/>
          <w:tblLayout w:type="fixed"/>
          <w:tblCellMar>
            <w:top w:w="0" w:type="dxa"/>
            <w:left w:w="108" w:type="dxa"/>
            <w:bottom w:w="0" w:type="dxa"/>
            <w:right w:w="108" w:type="dxa"/>
          </w:tblCellMar>
        </w:tblPrEx>
        <w:trPr>
          <w:trHeight w:val="312"/>
        </w:trPr>
        <w:tc>
          <w:tcPr>
            <w:tcW w:w="618" w:type="dxa"/>
            <w:tcBorders>
              <w:top w:val="single" w:sz="4" w:space="0" w:color="auto"/>
              <w:left w:val="single" w:sz="4" w:space="0" w:color="auto"/>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663"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系统名称</w:t>
            </w:r>
          </w:p>
        </w:tc>
        <w:tc>
          <w:tcPr>
            <w:tcW w:w="1283" w:type="dxa"/>
            <w:gridSpan w:val="2"/>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功能模块</w:t>
            </w:r>
          </w:p>
        </w:tc>
        <w:tc>
          <w:tcPr>
            <w:tcW w:w="797"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子模块</w:t>
            </w:r>
          </w:p>
        </w:tc>
        <w:tc>
          <w:tcPr>
            <w:tcW w:w="2211"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招标技术要求</w:t>
            </w:r>
          </w:p>
        </w:tc>
        <w:tc>
          <w:tcPr>
            <w:tcW w:w="1972"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投标技术响应</w:t>
            </w:r>
          </w:p>
        </w:tc>
        <w:tc>
          <w:tcPr>
            <w:tcW w:w="883"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偏离情况</w:t>
            </w:r>
          </w:p>
        </w:tc>
        <w:tc>
          <w:tcPr>
            <w:tcW w:w="883"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说明</w:t>
            </w: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数据集成子系统</w:t>
            </w:r>
          </w:p>
        </w:tc>
        <w:tc>
          <w:tcPr>
            <w:tcW w:w="1283"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控制台</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控制台</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提供用户登录的控制台首页，实时查看任务配置情况，当日任务运行实例情况，以及异常处理情况。同时提供可快速配置任务的快捷入口。</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任务配置</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任务配置-向导模式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可视化配置数据表映射、数据字段映射和任务调度来完成数据集成，支持自动建表和批量建表，配置字段映射关系。</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任务配置-脚本模式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编写SQL脚本，以目标表来定位数据集成范围，支持SQL脚本语法校验，满足复杂场景的数据集成。</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任务配置-API模式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通过维护API接口信息和自动翻页、自动轮询、智能解析返回参数结构的能力，实现APT接口数据集成到数据表中。</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任务配置-文件解析</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通过智能解析能力，实现Excel、csv、txt、json半结构化文件类数据的集成和存储。</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任务配置-文件集成</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▲提供对非结构化数据传输的快速配置能力，同时提供对数据类文件的智能解析，快速结构化存储能力。（</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任务配置-整库迁移</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提供简单的配置步骤，通过配置数据来源、数据目标，勾选数据范围，配置任务调度即可完成整库的数据迁移。</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任务统计</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运行监控</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图形化监控，以任务数量、集成数据量维度统计分析，展示数据集成任务的执行情况。</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集成清册</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提供以数据来源和数据目标为统计维度，统计数据采集情况，同时支持查看每张表在业务日期采集的数据量。</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任务运维</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任务运维</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管控已配置完成的集成任务，对运行的任务监控其状态，对已完成和未运行的任务进行重跑、终止操作，同时支持查看任务基本信息、运行日志、运行脚本及任务运行产生的结果信息。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任务监控</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报警信息</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统一展示预警规则触发预警后的信息。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报警规则</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自定义任务预警条件（完成、未完成，超时、出错），并定义预警参数，确定任务接收人。</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异常核检</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数据异常检测</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▲任务运行成功后，任务运行完成后，通过比对源端数据量和目标端数据量，列出产生脏数据的任务清单，支持查看对应的脏数据明细信息以及造成脏数据的原因，并支持补数据功能。（</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310" w:type="dxa"/>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表结构一致性检测</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定时比对数据集成任务中源端表和目标端表的表结构，判断源端表结构是否发生变化，列出表结构异常清单，并标明表结构变化类型以及是否影响对应集成任务的运行，并支持自动和手动修复。</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tcBorders>
              <w:top w:val="single" w:sz="4" w:space="0" w:color="auto"/>
              <w:left w:val="nil"/>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字段类型映射配置</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字段类型映射配置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支持对异构数据源的字段类型映射关系进行自定义配置，在自动构建目标表时，系统能够依据源端数据表的结构，智能且精准地生成目标端数据表的建表语句。</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w:t>
            </w:r>
          </w:p>
        </w:tc>
        <w:tc>
          <w:tcPr>
            <w:tcW w:w="66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数据治理子系统</w:t>
            </w:r>
          </w:p>
        </w:tc>
        <w:tc>
          <w:tcPr>
            <w:tcW w:w="699"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数据标准管理</w:t>
            </w: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数据标准管理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基础标准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支持基于在线模板配置，提供界面动态渲染的能力。</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代码标准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支持基于在线模板配置，提供界面动态渲染的能力。</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审批中心</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支持对基础数据标准、标准代码、指标标准修订申请进行审批，支持对审批历史进行查询。</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数据标准清洗</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代码映射</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支持在线维护业务系统代码与标准代码之间的映射关系，为后续标准化清洗任务中业务代码标准化处理，提供转换规则。支持多业务代码对应单个标准代码，同时代码映射支持批量导入功能。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清洗规则</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支持将标准化清洗业务逻辑抽取为通用清洗规则，在标准化清洗时选择清洗规则即可完成标准化清洗，同时帮助用户沉淀行业级标准化清洗业务规则资产。</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任务配置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支持配置标准化清洗任务，实现对源端数据标准化清洗，任务模式包含高度可视化的向导模式和应对复杂场景的自定义模式。</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任务运维</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支持对运行实例明细的查看，对任务进行终止、重跑、解冻和运行日志查看操作。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任务概览</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支持多维度对标准化任务监控，图表结合展示当前任务的运行情况，帮助用户全面了解当前标准化任务运行状况。</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任务预警</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支持统一展示预警规则触发预警后的信息，自定义任务预警条件（完成、未完成，超时、出错），并定义预警参数，确定任务接收人，当系统检测到对应任务有触发预定规则的，将向相关接收人推送预警信息。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智能辅助</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智能识别</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▲支持通过对元数据的分析，挖掘数据项间的紧密关系，帮忙用户在快速甄别核心数据项，提取基础数据标准。（</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冗余检测</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支持利用机器学习算法，扫描现有数据标准体系，输出冗余检测结果，并为用户提供查询与分析检测功能，帮助用户有效管理现行数据标准，提升数据标准质量。</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基础配置</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基础代码</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支持通过可视化方式在线维护代码集合，为后续数据标准模板配置中的组件提供数据来源，实现基础配置数据在线可视化维护。</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数据质量管理</w:t>
            </w:r>
          </w:p>
        </w:tc>
        <w:tc>
          <w:tcPr>
            <w:tcW w:w="584"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总览</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总览</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支持按照不同的时间维度，查看表异常数据量排名、作业告警排名、平台质量问题趋势、质量维度的分布情况。</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作业配置</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质量检核作业管理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支持对质量检核作业统一管理能力，聚合分散功能入口，构建统一质量检核作业管理中心。</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新建作业（向导模式）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可适用于数据库的基础检核作业，无需编码，支持基于规则模板，通过可视化配置，实现数据质量检核。</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新建作业（自定义模式）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支持个性化、面向具体业务场景，实现较为复杂的检核作业。</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质量作业详情</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支持质量检核作业对不同时间多次检核，并进行统计和分析。</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作业草稿</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支持系统将未编辑完成的作业保存为草稿。新建作业时，系统会提示是否应用上次编辑的作业草稿。</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作业调度配置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作业调度可分为定时调度和手工调度。作业任务支持设置依赖任务，任务的执行依赖于上游其他平台任务的执行情况。</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异常数据备份</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支持异常数据备份默认系统自动进行，系统自动建备份库和备份表，系统按规则命名，无需用户配置。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作业版本管理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支持每一次成功编辑，系统都会生成一个独立版本，记录版本对应的运营代码。</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检核管理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检核实例管理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支持作业每一次运行生成一个检核实例，对检核实例的运行进度、状态、检核结果进行实时监控和管理。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库检核视图</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以库为维度支持运维人员查看对指定数据库质量检核任务实例的运行情况，支持任务实例运行状态监控以及实例终止、异常确认、实例查询、暂停操作。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表检核视图</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支持以表为维度，对表质量检核详情进行全维度展示，通过质量一张图让数据治理人员能对单表的质量情况进行全盘掌握。</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8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异常确认机制</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为了实现数据质量管理的闭环，平台应构建异常数据确认机制。对于运行成功的作业实例，质量检核人员可以进行异常确认，作业检核的结果与实际相符，需要确认治理，从而推送给相应的责任人，让责任人了解质量情况及时治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作业运行实例详情</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支持跟踪每一个检核对象的每一次规则检核，独立的记录运行的状态信息和结果信息。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异常数据查看</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支持查看到每一个字段每一个的检核规则的异常数据情况，并关联整条数据，支持下载。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作业检核结果查看</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支持作业运行过程中，跟踪每一个检核对象的每一次规则检核，独立的记录运行的状态信息和结果信息。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检核实例生成报告</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支持作业运行成功后，支持一键生成当前检核检核的质量检核报告。</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支持构建质量报告统一管理界面，用于查看并管理已经生成的质量报告，并进行推送和下载操作。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质量报告配置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系统支持对单库多表进行质量分析，基于选定的运行时间区间，汇总报告配置范围内符合条件的最新数据，进行综合分析。</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质量报告分析</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支持从质量评分、作业分析、规则维度分析、异常数据分析四个维度进行数据质量报告分析。</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质量报告预览</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数据治理支持在线预览，同时支持质量报告下载，支持下载成PDF、Word形式到本地，便于打印和分发传阅。</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质量报告推送</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支持质量管理员把报告推送给有该数据库权限的用户，一份报告可以多次推送给不同用户，系统记录并跟踪每一次报告推送的签收状态。</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质量报告签收</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支持系统用户通过门户消息，点击链接查看报告并签收，非系统用户可以直接邮件查阅并邮件签收回执。</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规则管理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规则函数管理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支持高效定义规则模板，支持内置大数据平台常用函数，支持函数的查询、详情查看以及启停控制。</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规则目录维护</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支持质量规则管理人员基于业务场景创建业务目录，对质量规则进行目录化管理。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自定义规则模板</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支持将业务中提炼的数据质量规则，通过自定义脚本的方式，创建到系统中，进行高效复用和灵活配置。支持查看规则模板配置信息及版本记录。</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质量规则模板管理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支持质量检核规则定义好后，系统基于列表对规则进行管理。质量规则管理人员自定义的规则，系统支持编辑、停用和启用。每一次成功编辑，记录版本。</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规则详情查看</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支持对规则模板配置信息及版本记录的查看功能。核心应包含规则模板名称、规则模板说明、质量规则分类、质量规则维度、规则模板定义以及输出结果说明等。</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元数据管理</w:t>
            </w:r>
          </w:p>
        </w:tc>
        <w:tc>
          <w:tcPr>
            <w:tcW w:w="1381"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元数据总览</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利用可视化图标，从不同颗粒度、不同维度分析元数据的各项指标以及变化趋势。展示当前元模型、元数据的统计信息，包括：已发布模型数量、元数据数量、元数据采集实例数量；展示不同元模型包下的元模型数量及元数据数量；按照最新和定版元数据统计元数据数量及占比、元模型下元数据数量top5；支持查看元数据采集任务成功、失败的数量趋势。</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元模型管理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元模型设计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支持对元模型的基本信息、属性、父子关系、依赖关系、组合关系的增删改查操作。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关系匹配</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支持设置多个元模型之间的组合、依赖关系。</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元模型审批</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支持元模型发布审批操作。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元数据采集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支持内置采集适配器，让用户通过配置数据源参数及定时采集任务，进行自动化采集。实现直连数据源的端到端元数据采集。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采集适配器管理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支持配置适配器来保证自动化采集，支持对适配器进行扩展。</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8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元数据分析</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元数据检索</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支持通过元数据关键字进行搜索，同时支持高级检索，可根据元模型类型、元数据范围、修改时间进行搜索。</w:t>
            </w:r>
            <w:r>
              <w:rPr>
                <w:rFonts w:ascii="宋体" w:hAnsi="宋体" w:cs="宋体" w:hint="eastAsia"/>
                <w:color w:val="000000"/>
                <w:kern w:val="0"/>
                <w:szCs w:val="21"/>
              </w:rPr>
              <w:br/>
            </w:r>
            <w:r>
              <w:rPr>
                <w:rFonts w:ascii="宋体" w:hAnsi="宋体" w:cs="宋体" w:hint="eastAsia"/>
                <w:color w:val="000000"/>
                <w:kern w:val="0"/>
                <w:szCs w:val="21"/>
              </w:rPr>
              <w:t>支持通过元数据目录、关键字、数据源、元数据类型多个维度组合对元数据进行快速筛选。</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血缘分析</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支持选择定版元数据进行血缘分析，查看元数据的上游元数据。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影响分析</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支持选择定版元数据进行影响分析，查看元数据的下游元数据。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全链分析</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支持选择定版元数据进行全链分析，查看元数据的上下游元数据。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381"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元数据版本管理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支持元数据版本管理，记录。</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249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主数据管理</w:t>
            </w: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字典管理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机构信息管理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1．支持组织机构管理：维护院区、分院等医疗机构的信息；</w:t>
            </w:r>
            <w:r>
              <w:rPr>
                <w:rFonts w:ascii="宋体" w:hAnsi="宋体" w:cs="宋体" w:hint="eastAsia"/>
                <w:color w:val="000000"/>
                <w:kern w:val="0"/>
                <w:szCs w:val="21"/>
              </w:rPr>
              <w:br/>
            </w:r>
            <w:r>
              <w:rPr>
                <w:rFonts w:ascii="宋体" w:hAnsi="宋体" w:cs="宋体" w:hint="eastAsia"/>
                <w:color w:val="000000"/>
                <w:kern w:val="0"/>
                <w:szCs w:val="21"/>
              </w:rPr>
              <w:t>2．支持位置信息管理：维护楼层、区域、病房位置；</w:t>
            </w:r>
            <w:r>
              <w:rPr>
                <w:rFonts w:ascii="宋体" w:hAnsi="宋体" w:cs="宋体" w:hint="eastAsia"/>
                <w:color w:val="000000"/>
                <w:kern w:val="0"/>
                <w:szCs w:val="21"/>
              </w:rPr>
              <w:br/>
            </w:r>
            <w:r>
              <w:rPr>
                <w:rFonts w:ascii="宋体" w:hAnsi="宋体" w:cs="宋体" w:hint="eastAsia"/>
                <w:color w:val="000000"/>
                <w:kern w:val="0"/>
                <w:szCs w:val="21"/>
              </w:rPr>
              <w:t>3．支持科室管理：维护科室信息；</w:t>
            </w:r>
            <w:r>
              <w:rPr>
                <w:rFonts w:ascii="宋体" w:hAnsi="宋体" w:cs="宋体" w:hint="eastAsia"/>
                <w:color w:val="000000"/>
                <w:kern w:val="0"/>
                <w:szCs w:val="21"/>
              </w:rPr>
              <w:br/>
            </w:r>
            <w:r>
              <w:rPr>
                <w:rFonts w:ascii="宋体" w:hAnsi="宋体" w:cs="宋体" w:hint="eastAsia"/>
                <w:color w:val="000000"/>
                <w:kern w:val="0"/>
                <w:szCs w:val="21"/>
              </w:rPr>
              <w:t>4．支持应用系统管理：维护医疗机构所使用的医疗系统信息（生产厂商，系统类型，版本号等）。</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249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人员信息管理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1．支持人员管理：管理医疗人员的基本信息和启用/停用；</w:t>
            </w:r>
            <w:r>
              <w:rPr>
                <w:rFonts w:ascii="宋体" w:hAnsi="宋体" w:cs="宋体" w:hint="eastAsia"/>
                <w:color w:val="000000"/>
                <w:kern w:val="0"/>
                <w:szCs w:val="21"/>
              </w:rPr>
              <w:br/>
            </w:r>
            <w:r>
              <w:rPr>
                <w:rFonts w:ascii="宋体" w:hAnsi="宋体" w:cs="宋体" w:hint="eastAsia"/>
                <w:color w:val="000000"/>
                <w:kern w:val="0"/>
                <w:szCs w:val="21"/>
              </w:rPr>
              <w:t>2．支持维护人员所属多科室信息；</w:t>
            </w:r>
            <w:r>
              <w:rPr>
                <w:rFonts w:ascii="宋体" w:hAnsi="宋体" w:cs="宋体" w:hint="eastAsia"/>
                <w:color w:val="000000"/>
                <w:kern w:val="0"/>
                <w:szCs w:val="21"/>
              </w:rPr>
              <w:br/>
            </w:r>
            <w:r>
              <w:rPr>
                <w:rFonts w:ascii="宋体" w:hAnsi="宋体" w:cs="宋体" w:hint="eastAsia"/>
                <w:color w:val="000000"/>
                <w:kern w:val="0"/>
                <w:szCs w:val="21"/>
              </w:rPr>
              <w:t>3．支持职称管理：维护人员对应的职称级别；</w:t>
            </w:r>
            <w:r>
              <w:rPr>
                <w:rFonts w:ascii="宋体" w:hAnsi="宋体" w:cs="宋体" w:hint="eastAsia"/>
                <w:color w:val="000000"/>
                <w:kern w:val="0"/>
                <w:szCs w:val="21"/>
              </w:rPr>
              <w:br/>
            </w:r>
            <w:r>
              <w:rPr>
                <w:rFonts w:ascii="宋体" w:hAnsi="宋体" w:cs="宋体" w:hint="eastAsia"/>
                <w:color w:val="000000"/>
                <w:kern w:val="0"/>
                <w:szCs w:val="21"/>
              </w:rPr>
              <w:t>4．支持人员类型管理：管理人员类别信息；</w:t>
            </w:r>
            <w:r>
              <w:rPr>
                <w:rFonts w:ascii="宋体" w:hAnsi="宋体" w:cs="宋体" w:hint="eastAsia"/>
                <w:color w:val="000000"/>
                <w:kern w:val="0"/>
                <w:szCs w:val="21"/>
              </w:rPr>
              <w:br/>
            </w:r>
            <w:r>
              <w:rPr>
                <w:rFonts w:ascii="宋体" w:hAnsi="宋体" w:cs="宋体" w:hint="eastAsia"/>
                <w:color w:val="000000"/>
                <w:kern w:val="0"/>
                <w:szCs w:val="21"/>
              </w:rPr>
              <w:t>5．医疗组管理：维护人员分组信息以及医疗组关联人员信息。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代码系统管理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1．支持对代码系统进行新增、删除、导出、查看操作；</w:t>
            </w:r>
            <w:r>
              <w:rPr>
                <w:rFonts w:ascii="宋体" w:hAnsi="宋体" w:cs="宋体" w:hint="eastAsia"/>
                <w:color w:val="000000"/>
                <w:kern w:val="0"/>
                <w:szCs w:val="21"/>
              </w:rPr>
              <w:br/>
            </w:r>
            <w:r>
              <w:rPr>
                <w:rFonts w:ascii="宋体" w:hAnsi="宋体" w:cs="宋体" w:hint="eastAsia"/>
                <w:color w:val="000000"/>
                <w:kern w:val="0"/>
                <w:szCs w:val="21"/>
              </w:rPr>
              <w:t>2．支持批量导入字典项；</w:t>
            </w:r>
            <w:r>
              <w:rPr>
                <w:rFonts w:ascii="宋体" w:hAnsi="宋体" w:cs="宋体" w:hint="eastAsia"/>
                <w:color w:val="000000"/>
                <w:kern w:val="0"/>
                <w:szCs w:val="21"/>
              </w:rPr>
              <w:br/>
            </w:r>
            <w:r>
              <w:rPr>
                <w:rFonts w:ascii="宋体" w:hAnsi="宋体" w:cs="宋体" w:hint="eastAsia"/>
                <w:color w:val="000000"/>
                <w:kern w:val="0"/>
                <w:szCs w:val="21"/>
              </w:rPr>
              <w:t>3．支持对字典项拆分、合并、修改等操作。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8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主数据流程</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1．支持主数据变更审核：对变更的主数据进行查看和审核；</w:t>
            </w:r>
            <w:r>
              <w:rPr>
                <w:rFonts w:ascii="宋体" w:hAnsi="宋体" w:cs="宋体" w:hint="eastAsia"/>
                <w:color w:val="000000"/>
                <w:kern w:val="0"/>
                <w:szCs w:val="21"/>
              </w:rPr>
              <w:br/>
            </w:r>
            <w:r>
              <w:rPr>
                <w:rFonts w:ascii="宋体" w:hAnsi="宋体" w:cs="宋体" w:hint="eastAsia"/>
                <w:color w:val="000000"/>
                <w:kern w:val="0"/>
                <w:szCs w:val="21"/>
              </w:rPr>
              <w:t>2．支持主数据发布：对已经通过审核的数据进行发布；</w:t>
            </w:r>
            <w:r>
              <w:rPr>
                <w:rFonts w:ascii="宋体" w:hAnsi="宋体" w:cs="宋体" w:hint="eastAsia"/>
                <w:color w:val="000000"/>
                <w:kern w:val="0"/>
                <w:szCs w:val="21"/>
              </w:rPr>
              <w:br/>
            </w:r>
            <w:r>
              <w:rPr>
                <w:rFonts w:ascii="宋体" w:hAnsi="宋体" w:cs="宋体" w:hint="eastAsia"/>
                <w:color w:val="000000"/>
                <w:kern w:val="0"/>
                <w:szCs w:val="21"/>
              </w:rPr>
              <w:t>3．支持主数据变更管理：查看主数据变更情况，可进行查询。</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数据同步</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支持维护数据订阅关系，支持通过消息队列、接口、ESB等方式订阅主数据分发。</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日志查询</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支持按照自动同步和手动同步方式筛选查看来源系统字典的同步状态。</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主数据模型</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支持代码值、代码名称自行增加扩展列，扩展列可设置独立字段或对其他字典进行引用；</w:t>
            </w:r>
            <w:r>
              <w:rPr>
                <w:rFonts w:ascii="宋体" w:hAnsi="宋体" w:cs="宋体" w:hint="eastAsia"/>
                <w:color w:val="000000"/>
                <w:kern w:val="0"/>
                <w:szCs w:val="21"/>
              </w:rPr>
              <w:br/>
            </w:r>
            <w:r>
              <w:rPr>
                <w:rFonts w:ascii="宋体" w:hAnsi="宋体" w:cs="宋体" w:hint="eastAsia"/>
                <w:color w:val="000000"/>
                <w:kern w:val="0"/>
                <w:szCs w:val="21"/>
              </w:rPr>
              <w:t>要求支持配置数据模型基础信息，如字典是否需要审核和是否启用等。</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字典对照</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代码系统归一</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1.支持配置基准代码系统和对照代码系统并设置是否需要AI智能推荐；</w:t>
            </w:r>
            <w:r>
              <w:rPr>
                <w:rFonts w:ascii="宋体" w:hAnsi="宋体" w:cs="宋体" w:hint="eastAsia"/>
                <w:color w:val="000000"/>
                <w:kern w:val="0"/>
                <w:szCs w:val="21"/>
              </w:rPr>
              <w:br/>
            </w:r>
            <w:r>
              <w:rPr>
                <w:rFonts w:ascii="宋体" w:hAnsi="宋体" w:cs="宋体" w:hint="eastAsia"/>
                <w:color w:val="000000"/>
                <w:kern w:val="0"/>
                <w:szCs w:val="21"/>
              </w:rPr>
              <w:t>2.展示基准代码系统和对照代码系统中已对照的字典项比例。</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AI智能推荐</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支持基于通用文本相似度算法实现的字典自动对照并显示出推荐结果，可以设置对推荐结果的数量进行设置。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76</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数据开发子系统</w:t>
            </w: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离线数据开发</w:t>
            </w:r>
          </w:p>
        </w:tc>
        <w:tc>
          <w:tcPr>
            <w:tcW w:w="584"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项目管理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项目管理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需提供项目空间的维护管理，包括级联关系维护、基础信息维护、成员管理（含成员权限分配）；提供引擎信息查看功能、数据源查看、资源访问权限查看。</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开发中心</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单节点任务_脚本模式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支持编写 HSQL脚本实现数据加工作业。</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单节点任务_DAG模式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支持通过组件的拖拽方式实现数据加工任务的开发。</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单节点任务_数据同步任务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支持面向数据开发者提供的可视化数据同步配置功能，用于将加工结果集向目标数据库的单次/周期推送。</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MR任务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支持面向数据开发者提供基于MR的jar包资源引用，用于解析jar包。</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spark任务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支持面向数据开发者提供java语言、pyhton语言的资源包引用，实现加工任务的处理。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pyspark任务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支持面向数据开发者提供在线pyhton脚本编辑实现加工任务的开发。</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任务流</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支持通过DAG图（有向无环图）描述节点任务的依赖关系，开发者轻松拖拽实现数据加工逻辑的设计。</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脚本管理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支持提供脚本的新增、编辑、删除、查询功能。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SQL脚本编辑器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支持提供智能提醒、关键字高亮、选中执行功能。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资源列表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支持资源详情查看及资源删除操作。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资源上传</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支持面向数据开发者提供的资源上传功能。开发者可上传本地自定义的jar、txt文本文件作为资源，在节点运行时使用（如创建自定义函数）。</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函数列表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支持将系统函数及开发者自定义函数以列表形式进行展示，便于开发者在脚本编写时开始查找引用完成一定的计算和计数功能。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自定义函数</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支持自定义函数（User Defined Function，简称UDF），UDF的使用方式与普通的系统函数相同。</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表查询</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支持查询表字段，分区信息，数据预览，支持多选字段引用，支持跳转数据资产管理模块进行表详情查看。</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字段引用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支持选中给定字段后，通过字段字段引用，快速生成Select语句。</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在线建表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需实现可视化基于字段标准建表，修改表，复制表操作。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运维中心</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运维总览</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▲可实现针对平台全局任务的执行情况进行监控，主要监控项包括任务完成情况、任务运行情况、任务执行时长排行、调度任务数量趋势、近一月出错排行以及当前项目空间中任务类型分布。（</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任务(流)管理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支持通过列表形式展示已发布任务的基本信息，支持对任务的冻结、解冻、修改责任人操作。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任务运维管理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支持查看每个任务每次运行产生的任务实例的执行状态，支持对任务的停止、重跑操作；点击单个任务实例可以查看任务DAG图，节点脚本、运行日志信息。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预警监控</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预警信息</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支持通过图表和列表的形式查看平台的预警情况。</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预警规则管理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可实现针对单个或多个任务可自定义预警项目（未完成，超时、出错），并定义预警参数，确定任务接收人，当系统检测到对应任务有触发预定规则的，将向相关接收人推送预警信息。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发布中心</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发布管理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支持通过发布包的形式将待发布的任务、资源、函数以打包的形式发布到生产环境。</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发布记录</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支持提供整个发布包的查看、撤回、审批功能，提供发布包的历史记录查看、发布详情查看。</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实时数据开发</w:t>
            </w:r>
          </w:p>
        </w:tc>
        <w:tc>
          <w:tcPr>
            <w:tcW w:w="584"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项目管理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项目管理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支持提供项目空间的维护管理，提供项目空间的基础信息维护、成员管理（含成员权限分配）；提供引擎信息查看功能、数据源查看、资源权限查看。</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val="restart"/>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开发中心</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实时采集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支持采集业务系统或数据库归档日志(Oracle 归档日志，MySQLMysql BinLog）实时的传输至 Kafka ，用于后续的流计算处理。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实时计算_脚本模式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支持面向数据开发者提供的基于FlinkStreamSQL的流式数据处理功能。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实时计算_DAG模式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▲支持在脚本模式基础上面对数据引入、数据加工、数据导出过程进行组件化封装，实现轻松拖拽实流数据处理。（</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实时计算_高级脚本模式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支持开发者基于Flink API编写Java、Scala处理脚本（.jar）作为资源上传，并调用资源包中的类实现流式数据处理。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资源列表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支持资源详情查看及资源删除操作。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资源上传</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支持开发者可上传本地自定义的jar作为资源，在节点运行时使用（如创建自定义函数）。</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函数列表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支持将系统函数及开发者自定义函数以列表形式进行展示，便于开发者在脚本编写时开始查找引用完成一定的计算和计数功能。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自定义函数</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支持用户开发自定义函数（User Defined Function，简称UDF），UDF的使用方式与普通的系统函数相同。</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监控预警</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支持针对单个任务可自定义预警项目（任务失败，任务延时），确定任务接收人，当系统检测到对应任务有触发预定规则的，将通过邮件、系统消息、短信及微信（可选）告警方式向相关接收人推送预警信息。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84"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运维中心</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运维管理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支持通过列表形式展示任务任务执行状态，支持对任务的修改、提交，停止、续跑及重跑操作。点击单个任务可以查看任务数据曲线，运行日志，告警信息。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9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381"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消息队列管理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支持可视化界面创建topic，并对topic授权、管理。支持连接鉴权，安全性更高，用户需要有指定topic的生产或者消费权限，通过账号、密码方可连接。</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112</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数据资产子系统</w:t>
            </w: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数据规划</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计算引擎管理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支持通过前端界面配置的方式实现对计算引擎的维护，支持管理的计算引擎类型包含：Hive、Flink、DataX、达梦和Greenplum等。</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数据资产规划</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支持提供多层级数仓规划能力，以组织为单位构建专属领域，提供数据专属域隔离，实现规划自有的、私密的、个性化数据架构。</w:t>
            </w:r>
            <w:r>
              <w:rPr>
                <w:rFonts w:ascii="宋体" w:hAnsi="宋体" w:cs="宋体" w:hint="eastAsia"/>
                <w:color w:val="000000"/>
                <w:kern w:val="0"/>
                <w:szCs w:val="21"/>
              </w:rPr>
              <w:br/>
            </w:r>
            <w:r>
              <w:rPr>
                <w:rFonts w:ascii="宋体" w:hAnsi="宋体" w:cs="宋体" w:hint="eastAsia"/>
                <w:color w:val="000000"/>
                <w:kern w:val="0"/>
                <w:szCs w:val="21"/>
              </w:rPr>
              <w:t>在线规划数据架构，通过可视化方式在线维护数据分层、数据分区以及数据流向关系，帮助用户实现数据架构规划和管理功能。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数据权限管理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支持对组织或项目空间的数据权限进行管理，既支持分区级别权限管理，又支持单表级别权限管理。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数据地图</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资产总览</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支持用图形化呈现形式展示资源总览情况，包括数据源数量、项目空间数量、表数量、存储占用量、项目空间存储分区情况、库容量变化趋势、数据表按月增长趋势、大存储数据表。</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数据智搜</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▲可提供智能、便捷的搜索服务。检索范围涵盖多种渠道数据，支持对数据表、表字段、数据标准、数据质量、数据加工脚本以及标签的检索，帮助用户快速获取目标资源。（</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资产目录</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支持从技术和业务两个视角对数据资源进行分门别类，以目录导引的方式来展示数据资产，同时提供快速检索功能，用户可以通过目录加筛选条件组合的形式，快速获取目标资源。</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表详情</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支持以图表结合的形式展示数据表信息详情，包含基本信息、存储信息、字段、分区、变更历史、血缘、数据预览功能。用直观明了的形式帮助用户了解单张数据表各项属性。</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我的数据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支持展示用户所属组织拥有和登录用户收藏的表，提供快捷操作支持对数据表进行编辑。帮助用户快速检索和管理组织拥有的数据表。</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资产目录管理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支持在线维护资产目录结构，将本组织下的数据资产发布到合适的资产目录下；支持在线创建资产目录，支持通过资产目录和关键信息检索数据表；支持对用户组织下管辖的数据表移入、移出目录操作。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数据权限授权</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支持管理或分配数据分区、数据表使用权限，数据分区权限包含完全权限和查询权限。</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数据权限审批</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可对其他组织发起的资源使用申请进行审批，支持对历史记录查询，支持权限回收操作，帮忙用户合理管控数据资源权限。</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资产评估</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增值性评估</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支持分析用户数据资产增长量、增长幅度，预测未来资产增长。</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冗余性评估</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支持通过机器学习算法定时扫描用户数据资源，自动识别冗余表，帮助用户优化模型设计，调整数据加工链路，合理使用资源。</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重要性评估</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支持从访问热度、影响力、关注度、服务能力、依赖集中度及收益成本六个维度对数据资产进行评估，判断其在资源池中的重要程度。帮助用户分析、测量资产价值。</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资产分析</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技术维度</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支持按照贴源库、标准库、主题库和专题库等不同层级对数据资源进行统计分析，展示数据表数量、数据表对应的数据条数及存储空间大小等信息。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组织维度</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支持按照组织层级关系，对数据资源进行统计分析。对每个组织单元中的数据库数量、数据表数量、数据表对应的数据条数及存储空间进行统计。</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业务维度</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支持按照不同的业务域、主题域、业务分类等对数据资源统计分析。对不同业务分类中数据库数量、数据表数量、数据表对应的数据条数及存储空间进行统计。</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数据血缘</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数据源血缘</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采集并展示数据源、来源业务系统、供数部门等节点的血缘关系，便于管理人员统计分析数据提供方的产出，并在发生数据问题时追溯到数据源头。</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数据治理血缘</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支持采集并展示数据集成、离线计算、实时计算、数据标准化等数据治理过程中数据库、数据表及字段之间的血缘关系。</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数据应用血缘</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支持采集并展示数据对外提供服务或进行共享交换活动过程中数据服务、数据应用系统、用数部门等节点的血缘关系。</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132</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数据服务子系统</w:t>
            </w: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服务集市</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API服务列表展示</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支持展示API的基本信息，包括API类型、数据分类、所属组织、更新时间、使用权限、计费模式。</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API服务详情</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支持查看当前API的具体内容，包括API基础属性、API请求参数、API返回参数、请求实例、返回实例。</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API服务调用申请</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支持API调用区分使用权限，包含“需申请”和“免申请”两种类型。</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API服务在线测试</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申请API服务在线测试时，系统支持按照用户给每个API分配一个独立的测试API_token。</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API服务概览</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支持当前组织的运营者，按照时间维度，查看当前组织下，服务创建和消费情况。按照时间维度：最近24小时，最近一周、最近一个月，展示当前组织下API的调用情况和排名情况。</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调用中心</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应用管理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应用创建成功后，默认启用状态，通过卡片的形式直观进行展示，支持对应用进行编辑、禁用操作。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服务计量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支持统计当前登录账号下所有应用调用API的汇总数据。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139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服务调用申请</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支持服务调用者在申请“需审批”的API服务时，绑定调用应用，每次调用申请生成一条审批单，发送给调用的API服务所属组织的运营者进行审批。</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我的收藏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支持已收藏服务的检索、移除操作，同时也支持对已收藏服务便捷发起服务申请操作。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服务管理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服务列表管理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支持服务创建者基于所在组织的数据权限和业务标签，按照业务开放需要，创建API服务，并进行动态管理。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自定义服务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支持提供将自定义SQL数据集发布为数据服务的能力，以满足复杂结果集发布数据服务需求。</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数据表服务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系统支持将已有的数据库表资源通过可视化简单配置发布为数据服务的能力。</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外部接口服务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系统需具备对外部数据接口在平台进行注册，在平台进行统一管理，并对外提供数据服务的能力。</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API服务详情</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支持多维度展示单个API服务的综合信息，包括API的基础信息、调用监控、授权应用和安全组信息，从API的调用情况、接入应用、报错日志、报错原因维度进行统计分析汇总和展示。</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支持对应用进行禁用操作，应用禁用操作执行后，该应用绑定的API的APItoken即告失效，无法调用该应用。</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运营中心</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运营审批</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支持审批和管理运营者所在组织下数据服务申请，特殊情况下可撤销服务授权。</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黑名单</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支持根据调用者IP地址设置服务调用黑名单，将黑名单与服务绑定，在系统校验时拒绝来自黑名单IP地址的请求。</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149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计费模式</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可提供API调用的计费模式和计费策略。支持三级阶梯定价模式，并且支持对定价进行编辑。</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150</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数据安全子系统</w:t>
            </w: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敏感数据发现</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支持通过多种敏感识别策略实现敏感数据的主动扫描，辅助脱敏作业人员掌握敏感信息分布情况。</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敏感词管理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敏感词在线定义及其对应的识别规则维护功能。支持敏感词名称、所属敏感分类及分级基本属性的维护，支持通过字段英文名、字段中文名以及业务数据三个维度配置对应的敏感识别规则，同时支持敏感规则的在线测试。</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规则模板</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可提供规则模板功能，可由业务专家将多个分类分级规则合并为一个规则模板。</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任务运维</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支持实例运行状态、运行耗时的监控，支持运行日志的查看，支持运行实例运行进行重跑及终止操作，支持扫描结果的查看，经过人工复核，符合预期的扫描结果可添加进入分类分级结果库。</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结果库</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支持实现精细化的安全管控。支持多元化条件组合的分级分类结果检索，支持分级分类属性的人工修订。</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脱敏算法管理</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配置脱敏规则</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▲脱敏规则的在线定义及维护功能。支持字符遮盖、关键字替换、取整脱敏、字符移位脱敏、加密脱敏、哈希脱敏以及脚本自定义多种类型的脱敏方式。支持脱敏规则的自由定义及在线测试。（</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配置脱敏模板</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根据行业或待脱敏数据集的数据特性以及具体场景下的脱敏需求对常用的敏感词及其对应的脱敏算法维护成脱敏模板，沉淀行业类或者数据源维度的算法模板，以便脱敏任务配置时便捷复用，降低脱敏任务配置时对人员业务理解程度，提升数据脱敏任务配置效率。</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静态脱敏</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字段类型映射关系</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支持配置异构数据库的字段类型映射关系，用于自动建表时的依据。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脱敏任务配置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系统支持向导模式脱敏及文件解析模式脱敏两种模式，全面覆盖静态脱敏场景需要。</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159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脱敏任务运维</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支持脱敏任务运行状态以及任务运行日志的查询及多元化检索操作。同时支持对脱敏任务启停、终止操作。支持脱敏异常发现告警。</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动态脱敏</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动态脱敏策略维护</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支持配置及维护针对指定数据集的动态脱敏策略，实现相应数据集在被访问时按照相应的策略进行脱敏处理后返回查询结果，实现展现层的脱敏。</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白名单管理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支持系统提供白名单管理功能，实现对特定用户不受已配置动态脱敏策略的限制的个性化设置。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脱敏日志</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支持操作用户、操作脚本、访问数据表信息的便捷查询操作，实现对敏感数据访问审计及溯源。</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能力开放</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支持对动态脱敏服务的核心能力进行集中展示，对服务的接入进行说明，同时可提供动态脱敏服务的在线测试功能，便于动态脱敏服务接入方能够直观感受动态脱敏效果及根据指引快速接入动态脱敏服务。</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数据分类分级</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支持用户在线定义维护数据分级及分类的具体科目，实现数据分级分类科目的动态可配置可维护。</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水印溯源</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数据库水印</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支持管理并创建水印策略，配置源端配置和水印配置信息。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水印溯源</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▲在不破坏业务数据的情况下，往平台导出的数据文件中自动添加溯源水印。当用户通过水印溯源功能上传文件时，通过水印可识别数据流出时间、操作人信息。（</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数据授权</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权限管控</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支持不同用户、不同业务系统运维人员或系统管理员的权限不同，登录平台看到的业务系统的数据亦不同。支持单独用户群组、角色及权限管理；</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用户行为日志</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支持记录用户在系统上的操作行为。</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169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用户登录统计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支持记录用户登录平台的行为。</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数据库操作日志</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记录提交到数据库执行的SQL，目前支持Hive。</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数据加密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支持执行加密部分信息的操作。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248"/>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访问控制</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1.支持根据不同单位、不同科室、不同人员岗位、角色进行访问权限控制。</w:t>
            </w:r>
            <w:r>
              <w:rPr>
                <w:rFonts w:ascii="宋体" w:hAnsi="宋体" w:cs="宋体" w:hint="eastAsia"/>
                <w:color w:val="000000"/>
                <w:kern w:val="0"/>
                <w:szCs w:val="21"/>
              </w:rPr>
              <w:br/>
            </w:r>
            <w:r>
              <w:rPr>
                <w:rFonts w:ascii="宋体" w:hAnsi="宋体" w:cs="宋体" w:hint="eastAsia"/>
                <w:color w:val="000000"/>
                <w:kern w:val="0"/>
                <w:szCs w:val="21"/>
              </w:rPr>
              <w:t>2.提供安全溯源机制，对数据异常流出可通过水印进行溯源于追溯。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56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脱敏脱密管理服务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1.可提供给对大量敏感词的分类和台账管理服务，通过提供导入模板，提供敏感词的批量导入能力。</w:t>
            </w:r>
            <w:r>
              <w:rPr>
                <w:rFonts w:ascii="宋体" w:hAnsi="宋体" w:cs="宋体" w:hint="eastAsia"/>
                <w:color w:val="000000"/>
                <w:kern w:val="0"/>
                <w:szCs w:val="21"/>
              </w:rPr>
              <w:br/>
            </w:r>
            <w:r>
              <w:rPr>
                <w:rFonts w:ascii="宋体" w:hAnsi="宋体" w:cs="宋体" w:hint="eastAsia"/>
                <w:color w:val="000000"/>
                <w:kern w:val="0"/>
                <w:szCs w:val="21"/>
              </w:rPr>
              <w:t>2.可提供基于元数据的敏感词扫描服务，根据扫描结果对字段需要配置脱敏进行提示，提供基于元数据字段粒度的脱敏规则配置，配置规则的字段，实现基于规则的脱敏。</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安全级别管理服务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支持对数据进行分级管理服务，设置数据安全级别，保障数据访问安全。</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安全审计服务</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可提供对敏感词、安全词的增长统计以及元数据安全级别统计分布服务，提供按照时间序列统计元数据变更趋势，统计数据量变更趋势，服务调用趋势和数据访问量趋势。</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176</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数据分析子系统</w:t>
            </w: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数据源管理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支持数据库管理帮助系统用户快速建立各种业务库、文件数据连接到自助分析平台上作为分析的数据来源。</w:t>
            </w:r>
            <w:r>
              <w:rPr>
                <w:rFonts w:ascii="宋体" w:hAnsi="宋体" w:cs="宋体" w:hint="eastAsia"/>
                <w:color w:val="000000"/>
                <w:kern w:val="0"/>
                <w:szCs w:val="21"/>
              </w:rPr>
              <w:br/>
            </w:r>
            <w:r>
              <w:rPr>
                <w:rFonts w:ascii="宋体" w:hAnsi="宋体" w:cs="宋体" w:hint="eastAsia"/>
                <w:color w:val="000000"/>
                <w:kern w:val="0"/>
                <w:szCs w:val="21"/>
              </w:rPr>
              <w:t>除了常规的Mysql、Oracle、Postgresql、Sqlserver、DB2、TIDB等关系型数据源、多维数据源外，还支持Java数据源和大数据（BigData）平台，同时也支持国内的数据源，如达梦、金仓、南大等。</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基础权限管理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可实现功能级权限管理及数据级权限管理能够完全自我掌控，为系统安全保驾护航。</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数据准备</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支持数据建模、数据计算、自助ETL、跨库联合数据源等功能。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179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数据分析与展现</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支持即席查询、透视分析、交互仪表盘、可视化组件、组件模板、交互效果和布局管理等功能。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8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运维监控</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可提供统一的运维监控视图：</w:t>
            </w:r>
            <w:r>
              <w:rPr>
                <w:rFonts w:ascii="宋体" w:hAnsi="宋体" w:cs="宋体" w:hint="eastAsia"/>
                <w:color w:val="000000"/>
                <w:kern w:val="0"/>
                <w:szCs w:val="21"/>
              </w:rPr>
              <w:br/>
            </w:r>
            <w:r>
              <w:rPr>
                <w:rFonts w:ascii="宋体" w:hAnsi="宋体" w:cs="宋体" w:hint="eastAsia"/>
                <w:color w:val="000000"/>
                <w:kern w:val="0"/>
                <w:szCs w:val="21"/>
              </w:rPr>
              <w:t>支持SQL分析、日志分析、会话分析、网络分析、内存分析、CPU分析、缓存分析、线程分析等；</w:t>
            </w:r>
            <w:r>
              <w:rPr>
                <w:rFonts w:ascii="宋体" w:hAnsi="宋体" w:cs="宋体" w:hint="eastAsia"/>
                <w:color w:val="000000"/>
                <w:kern w:val="0"/>
                <w:szCs w:val="21"/>
              </w:rPr>
              <w:br/>
            </w:r>
            <w:r>
              <w:rPr>
                <w:rFonts w:ascii="宋体" w:hAnsi="宋体" w:cs="宋体" w:hint="eastAsia"/>
                <w:color w:val="000000"/>
                <w:kern w:val="0"/>
                <w:szCs w:val="21"/>
              </w:rPr>
              <w:t>支持远程监控，数据集监控，以及多维引擎的监控；</w:t>
            </w:r>
            <w:r>
              <w:rPr>
                <w:rFonts w:ascii="宋体" w:hAnsi="宋体" w:cs="宋体" w:hint="eastAsia"/>
                <w:color w:val="000000"/>
                <w:kern w:val="0"/>
                <w:szCs w:val="21"/>
              </w:rPr>
              <w:br/>
            </w:r>
            <w:r>
              <w:rPr>
                <w:rFonts w:ascii="宋体" w:hAnsi="宋体" w:cs="宋体" w:hint="eastAsia"/>
                <w:color w:val="000000"/>
                <w:kern w:val="0"/>
                <w:szCs w:val="21"/>
              </w:rPr>
              <w:t>支持对正在执行的SQL语句中断、导出日志等操作；</w:t>
            </w:r>
            <w:r>
              <w:rPr>
                <w:rFonts w:ascii="宋体" w:hAnsi="宋体" w:cs="宋体" w:hint="eastAsia"/>
                <w:color w:val="000000"/>
                <w:kern w:val="0"/>
                <w:szCs w:val="21"/>
              </w:rPr>
              <w:br/>
            </w:r>
            <w:r>
              <w:rPr>
                <w:rFonts w:ascii="宋体" w:hAnsi="宋体" w:cs="宋体" w:hint="eastAsia"/>
                <w:color w:val="000000"/>
                <w:kern w:val="0"/>
                <w:szCs w:val="21"/>
              </w:rPr>
              <w:t>提供快速、无需暂停服务器的安全补丁，支持在线更新和手动更新方式。</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181</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指标管理子系统</w:t>
            </w: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指标定义</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支持数据源管理、向导式指标录入、全局视图管理、指标分类管理、维度管理、事实表管理等功能。</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指标加工</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支持指标之间的运算、指标的派生等。</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指标存储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支持创建用于存储指标数据的数据库，将模型节点关联对应指标存储库来保证指标模型各资源的物理存储。</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指标分类</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支持按照业务口径划分指标，保证指标口径的统一，包含原子指标、派生指标、复合指标、虚拟指标。</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指标发布</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支持指标的审核流程控制，审核通过后才能在指标库中生效。</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指标应用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指标模型生成数据模型后，可直接应用于仪表盘。</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187</w:t>
            </w:r>
          </w:p>
        </w:tc>
        <w:tc>
          <w:tcPr>
            <w:tcW w:w="663"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kern w:val="0"/>
                <w:szCs w:val="21"/>
              </w:rPr>
            </w:pPr>
            <w:r>
              <w:rPr>
                <w:rFonts w:ascii="宋体" w:hAnsi="宋体" w:cs="宋体" w:hint="eastAsia"/>
                <w:kern w:val="0"/>
                <w:szCs w:val="21"/>
              </w:rPr>
              <w:t>平台综合管理子系统</w:t>
            </w:r>
          </w:p>
        </w:tc>
        <w:tc>
          <w:tcPr>
            <w:tcW w:w="1283" w:type="dxa"/>
            <w:gridSpan w:val="2"/>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数据源配置</w:t>
            </w: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数据源配置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支持配置外部数据源信息。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kern w:val="0"/>
                <w:szCs w:val="21"/>
              </w:rPr>
            </w:pPr>
            <w:r>
              <w:rPr>
                <w:rFonts w:ascii="宋体" w:hAnsi="宋体" w:cs="宋体" w:hint="eastAsia"/>
                <w:kern w:val="0"/>
                <w:szCs w:val="21"/>
              </w:rPr>
              <w:t>权限管理</w:t>
            </w: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组织用户</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支持配置组织、人员信息，人员需绑定组织。</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189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角色管理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支持将功能授权给角色，角色与组织关联后，可授权给组织内的用户。</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功能管理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支持管理应用系统菜单，支持隐藏|显示菜单，修改菜单名，菜单挂载路径，菜单显示顺序。</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191</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应用管理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支持平台通过应用管理维护注册各个子应用信息，为构建其他子应用提供基础数据。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职能管理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支持维护不同的数据职能类别对应的职能树，方便自定义维护业务数据职能树。</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微服务注册</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支持为功能管理注册提供基础应用，支持开发出来的微服务，注册到平台中。</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单点登录</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支持OAuth 2.0协议的验证与登录授权配置。</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7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2080" w:type="dxa"/>
            <w:gridSpan w:val="3"/>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数据源配置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微软雅黑" w:eastAsia="微软雅黑" w:hAnsi="微软雅黑" w:cs="微软雅黑" w:hint="eastAsia"/>
                <w:color w:val="000000"/>
                <w:kern w:val="0"/>
                <w:szCs w:val="21"/>
              </w:rPr>
              <w:t>⽀</w:t>
            </w:r>
            <w:r>
              <w:rPr>
                <w:rFonts w:ascii="宋体" w:hAnsi="宋体" w:cs="宋体" w:hint="eastAsia"/>
                <w:color w:val="000000"/>
                <w:kern w:val="0"/>
                <w:szCs w:val="21"/>
              </w:rPr>
              <w:t>持多种类型的数据源新增、包含：MySQL、Oracle、SQLServer、PostgreSQL关系型数据库，MongoDB、Hive、Hbase、HDFS大数据存储以及FTP文件源的配置。</w:t>
            </w:r>
          </w:p>
        </w:tc>
        <w:tc>
          <w:tcPr>
            <w:tcW w:w="1972" w:type="dxa"/>
            <w:tcBorders>
              <w:top w:val="nil"/>
              <w:left w:val="nil"/>
              <w:bottom w:val="single" w:sz="4" w:space="0" w:color="auto"/>
              <w:right w:val="single" w:sz="4" w:space="0" w:color="auto"/>
            </w:tcBorders>
            <w:noWrap w:val="0"/>
            <w:vAlign w:val="center"/>
          </w:tcPr>
          <w:p>
            <w:pPr>
              <w:widowControl/>
              <w:jc w:val="left"/>
              <w:rPr>
                <w:rFonts w:ascii="微软雅黑" w:eastAsia="微软雅黑" w:hAnsi="微软雅黑" w:cs="微软雅黑"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微软雅黑" w:eastAsia="微软雅黑" w:hAnsi="微软雅黑" w:cs="微软雅黑"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微软雅黑" w:eastAsia="微软雅黑" w:hAnsi="微软雅黑" w:cs="微软雅黑"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62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系统安全</w:t>
            </w: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账号安全</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支持修改登录账号密码、绑定手机号、邮箱、登录保持时长。</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黑白名单</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支持设置登录平台的黑白名单IP组。</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3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登录配置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支持配置登录密码定期更新策略、密码强度设置、初始密码设置、登录验证、登录锁定。</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199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kern w:val="0"/>
                <w:szCs w:val="21"/>
              </w:rPr>
            </w:pPr>
            <w:r>
              <w:rPr>
                <w:rFonts w:ascii="宋体" w:hAnsi="宋体" w:cs="宋体" w:hint="eastAsia"/>
                <w:kern w:val="0"/>
                <w:szCs w:val="21"/>
              </w:rPr>
              <w:t>水印设置</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支持自定义设置平台水印显示信息项，满足多种场景的水印需求 。</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1283" w:type="dxa"/>
            <w:gridSpan w:val="2"/>
            <w:tcBorders>
              <w:top w:val="single" w:sz="4" w:space="0" w:color="auto"/>
              <w:left w:val="nil"/>
              <w:bottom w:val="single" w:sz="4" w:space="0" w:color="auto"/>
              <w:right w:val="single" w:sz="4" w:space="0" w:color="auto"/>
            </w:tcBorders>
            <w:noWrap/>
            <w:vAlign w:val="center"/>
          </w:tcPr>
          <w:p>
            <w:pPr>
              <w:widowControl/>
              <w:jc w:val="center"/>
              <w:rPr>
                <w:rFonts w:ascii="宋体" w:hAnsi="宋体" w:cs="宋体" w:hint="eastAsia"/>
                <w:kern w:val="0"/>
                <w:szCs w:val="21"/>
              </w:rPr>
            </w:pPr>
            <w:r>
              <w:rPr>
                <w:rFonts w:ascii="宋体" w:hAnsi="宋体" w:cs="宋体" w:hint="eastAsia"/>
                <w:kern w:val="0"/>
                <w:szCs w:val="21"/>
              </w:rPr>
              <w:t>基础设置</w:t>
            </w:r>
          </w:p>
        </w:tc>
        <w:tc>
          <w:tcPr>
            <w:tcW w:w="797" w:type="dxa"/>
            <w:tcBorders>
              <w:top w:val="nil"/>
              <w:left w:val="nil"/>
              <w:bottom w:val="single" w:sz="4" w:space="0" w:color="auto"/>
              <w:right w:val="single" w:sz="4" w:space="0" w:color="auto"/>
            </w:tcBorders>
            <w:noWrap/>
            <w:vAlign w:val="center"/>
          </w:tcPr>
          <w:p>
            <w:pPr>
              <w:widowControl/>
              <w:jc w:val="left"/>
              <w:rPr>
                <w:rFonts w:ascii="宋体" w:hAnsi="宋体" w:cs="宋体" w:hint="eastAsia"/>
                <w:kern w:val="0"/>
                <w:szCs w:val="21"/>
              </w:rPr>
            </w:pPr>
            <w:r>
              <w:rPr>
                <w:rFonts w:ascii="宋体" w:hAnsi="宋体" w:cs="宋体" w:hint="eastAsia"/>
                <w:kern w:val="0"/>
                <w:szCs w:val="21"/>
              </w:rPr>
              <w:t>配置管理</w:t>
            </w:r>
          </w:p>
        </w:tc>
        <w:tc>
          <w:tcPr>
            <w:tcW w:w="2211"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支持平台邮件通知的邮件服务器/接口的配置。</w:t>
            </w:r>
          </w:p>
        </w:tc>
        <w:tc>
          <w:tcPr>
            <w:tcW w:w="1972"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74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201</w:t>
            </w:r>
          </w:p>
        </w:tc>
        <w:tc>
          <w:tcPr>
            <w:tcW w:w="663"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应用集成子系统</w:t>
            </w:r>
          </w:p>
        </w:tc>
        <w:tc>
          <w:tcPr>
            <w:tcW w:w="1283" w:type="dxa"/>
            <w:gridSpan w:val="2"/>
            <w:vMerge w:val="restart"/>
            <w:tcBorders>
              <w:top w:val="single" w:sz="4" w:space="0" w:color="auto"/>
              <w:left w:val="single" w:sz="4" w:space="0" w:color="auto"/>
              <w:bottom w:val="nil"/>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平台运维</w:t>
            </w: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基座管理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1、集群概览</w:t>
            </w:r>
            <w:r>
              <w:rPr>
                <w:rFonts w:ascii="宋体" w:hAnsi="宋体" w:cs="宋体" w:hint="eastAsia"/>
                <w:color w:val="000000"/>
                <w:kern w:val="0"/>
                <w:szCs w:val="21"/>
              </w:rPr>
              <w:br/>
            </w:r>
            <w:r>
              <w:rPr>
                <w:rFonts w:ascii="宋体" w:hAnsi="宋体" w:cs="宋体" w:hint="eastAsia"/>
                <w:color w:val="000000"/>
                <w:kern w:val="0"/>
                <w:szCs w:val="21"/>
              </w:rPr>
              <w:t>支持查看集群概况，可查看集群节点数、CPU使用率、内存使用率和磁盘使用率等情况。</w:t>
            </w:r>
            <w:r>
              <w:rPr>
                <w:rFonts w:ascii="宋体" w:hAnsi="宋体" w:cs="宋体" w:hint="eastAsia"/>
                <w:color w:val="000000"/>
                <w:kern w:val="0"/>
                <w:szCs w:val="21"/>
              </w:rPr>
              <w:br/>
            </w:r>
            <w:r>
              <w:rPr>
                <w:rFonts w:ascii="宋体" w:hAnsi="宋体" w:cs="宋体" w:hint="eastAsia"/>
                <w:color w:val="000000"/>
                <w:kern w:val="0"/>
                <w:szCs w:val="21"/>
              </w:rPr>
              <w:t>2、集群详情</w:t>
            </w:r>
            <w:r>
              <w:rPr>
                <w:rFonts w:ascii="宋体" w:hAnsi="宋体" w:cs="宋体" w:hint="eastAsia"/>
                <w:color w:val="000000"/>
                <w:kern w:val="0"/>
                <w:szCs w:val="21"/>
              </w:rPr>
              <w:br/>
            </w:r>
            <w:r>
              <w:rPr>
                <w:rFonts w:ascii="宋体" w:hAnsi="宋体" w:cs="宋体" w:hint="eastAsia"/>
                <w:color w:val="000000"/>
                <w:kern w:val="0"/>
                <w:szCs w:val="21"/>
              </w:rPr>
              <w:t>支持查看集群详情，支持根据资源类型查询资源列表。</w:t>
            </w:r>
            <w:r>
              <w:rPr>
                <w:rFonts w:ascii="宋体" w:hAnsi="宋体" w:cs="宋体" w:hint="eastAsia"/>
                <w:color w:val="000000"/>
                <w:kern w:val="0"/>
                <w:szCs w:val="21"/>
              </w:rPr>
              <w:br/>
            </w:r>
            <w:r>
              <w:rPr>
                <w:rFonts w:ascii="宋体" w:hAnsi="宋体" w:cs="宋体" w:hint="eastAsia"/>
                <w:color w:val="000000"/>
                <w:kern w:val="0"/>
                <w:szCs w:val="21"/>
              </w:rPr>
              <w:t>支持查看资源部署情况，支持在线调整副本数量，支持通过登录具体的pod做相关的运维操作。</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13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202</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运维管理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1、环境管理</w:t>
            </w:r>
            <w:r>
              <w:rPr>
                <w:rFonts w:ascii="宋体" w:hAnsi="宋体" w:cs="宋体" w:hint="eastAsia"/>
                <w:color w:val="000000"/>
                <w:kern w:val="0"/>
                <w:szCs w:val="21"/>
              </w:rPr>
              <w:br/>
            </w:r>
            <w:r>
              <w:rPr>
                <w:rFonts w:ascii="宋体" w:hAnsi="宋体" w:cs="宋体" w:hint="eastAsia"/>
                <w:color w:val="000000"/>
                <w:kern w:val="0"/>
                <w:szCs w:val="21"/>
              </w:rPr>
              <w:t>物理环境：</w:t>
            </w:r>
            <w:r>
              <w:rPr>
                <w:rFonts w:ascii="宋体" w:hAnsi="宋体" w:cs="宋体" w:hint="eastAsia"/>
                <w:color w:val="000000"/>
                <w:kern w:val="0"/>
                <w:szCs w:val="21"/>
              </w:rPr>
              <w:br/>
            </w:r>
            <w:r>
              <w:rPr>
                <w:rFonts w:ascii="宋体" w:hAnsi="宋体" w:cs="宋体" w:hint="eastAsia"/>
                <w:color w:val="000000"/>
                <w:kern w:val="0"/>
                <w:szCs w:val="21"/>
              </w:rPr>
              <w:t>支持基于具体资源进行流量隔离和调用闭环、支持环境配置管理、环境发布控制。</w:t>
            </w:r>
            <w:r>
              <w:rPr>
                <w:rFonts w:ascii="宋体" w:hAnsi="宋体" w:cs="宋体" w:hint="eastAsia"/>
                <w:color w:val="000000"/>
                <w:kern w:val="0"/>
                <w:szCs w:val="21"/>
              </w:rPr>
              <w:br/>
            </w:r>
            <w:r>
              <w:rPr>
                <w:rFonts w:ascii="宋体" w:hAnsi="宋体" w:cs="宋体" w:hint="eastAsia"/>
                <w:color w:val="000000"/>
                <w:kern w:val="0"/>
                <w:szCs w:val="21"/>
              </w:rPr>
              <w:t>项目环境：</w:t>
            </w:r>
            <w:r>
              <w:rPr>
                <w:rFonts w:ascii="宋体" w:hAnsi="宋体" w:cs="宋体" w:hint="eastAsia"/>
                <w:color w:val="000000"/>
                <w:kern w:val="0"/>
                <w:szCs w:val="21"/>
              </w:rPr>
              <w:br/>
            </w:r>
            <w:r>
              <w:rPr>
                <w:rFonts w:ascii="宋体" w:hAnsi="宋体" w:cs="宋体" w:hint="eastAsia"/>
                <w:color w:val="000000"/>
                <w:kern w:val="0"/>
                <w:szCs w:val="21"/>
              </w:rPr>
              <w:t>支持基于项目环境的发布管理和应用发布流水线（项目环境管理、增加应用、应用发布）</w:t>
            </w:r>
            <w:r>
              <w:rPr>
                <w:rFonts w:ascii="宋体" w:hAnsi="宋体" w:cs="宋体" w:hint="eastAsia"/>
                <w:color w:val="000000"/>
                <w:kern w:val="0"/>
                <w:szCs w:val="21"/>
              </w:rPr>
              <w:br/>
            </w:r>
            <w:r>
              <w:rPr>
                <w:rFonts w:ascii="宋体" w:hAnsi="宋体" w:cs="宋体" w:hint="eastAsia"/>
                <w:color w:val="000000"/>
                <w:kern w:val="0"/>
                <w:szCs w:val="21"/>
              </w:rPr>
              <w:t>2、应用模版</w:t>
            </w:r>
            <w:r>
              <w:rPr>
                <w:rFonts w:ascii="宋体" w:hAnsi="宋体" w:cs="宋体" w:hint="eastAsia"/>
                <w:color w:val="000000"/>
                <w:kern w:val="0"/>
                <w:szCs w:val="21"/>
              </w:rPr>
              <w:br/>
            </w:r>
            <w:r>
              <w:rPr>
                <w:rFonts w:ascii="宋体" w:hAnsi="宋体" w:cs="宋体" w:hint="eastAsia"/>
                <w:color w:val="000000"/>
                <w:kern w:val="0"/>
                <w:szCs w:val="21"/>
              </w:rPr>
              <w:t>应用模板支持多种Kubernetes模板管理，包括deployment、service、ingress、configmap。</w:t>
            </w:r>
            <w:r>
              <w:rPr>
                <w:rFonts w:ascii="宋体" w:hAnsi="宋体" w:cs="宋体" w:hint="eastAsia"/>
                <w:color w:val="000000"/>
                <w:kern w:val="0"/>
                <w:szCs w:val="21"/>
              </w:rPr>
              <w:br/>
            </w:r>
            <w:r>
              <w:rPr>
                <w:rFonts w:ascii="宋体" w:hAnsi="宋体" w:cs="宋体" w:hint="eastAsia"/>
                <w:color w:val="000000"/>
                <w:kern w:val="0"/>
                <w:szCs w:val="21"/>
              </w:rPr>
              <w:t>支持基于标签、应用大类进行模板分类，支持动态推送模板到应用，支持基于应用自定义更改实例参数信息。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584"/>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203</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数据库管理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1、高可用数据库</w:t>
            </w:r>
            <w:r>
              <w:rPr>
                <w:rFonts w:ascii="宋体" w:hAnsi="宋体" w:cs="宋体" w:hint="eastAsia"/>
                <w:color w:val="000000"/>
                <w:kern w:val="0"/>
                <w:szCs w:val="21"/>
              </w:rPr>
              <w:br/>
            </w:r>
            <w:r>
              <w:rPr>
                <w:rFonts w:ascii="宋体" w:hAnsi="宋体" w:cs="宋体" w:hint="eastAsia"/>
                <w:color w:val="000000"/>
                <w:kern w:val="0"/>
                <w:szCs w:val="21"/>
              </w:rPr>
              <w:t>支持一主多从，实现数据实时同步到从库。</w:t>
            </w:r>
            <w:r>
              <w:rPr>
                <w:rFonts w:ascii="宋体" w:hAnsi="宋体" w:cs="宋体" w:hint="eastAsia"/>
                <w:color w:val="000000"/>
                <w:kern w:val="0"/>
                <w:szCs w:val="21"/>
              </w:rPr>
              <w:br/>
            </w:r>
            <w:r>
              <w:rPr>
                <w:rFonts w:ascii="宋体" w:hAnsi="宋体" w:cs="宋体" w:hint="eastAsia"/>
                <w:color w:val="000000"/>
                <w:kern w:val="0"/>
                <w:szCs w:val="21"/>
              </w:rPr>
              <w:t>支持根据切换策略，支持主从自动切换。</w:t>
            </w:r>
            <w:r>
              <w:rPr>
                <w:rFonts w:ascii="宋体" w:hAnsi="宋体" w:cs="宋体" w:hint="eastAsia"/>
                <w:color w:val="000000"/>
                <w:kern w:val="0"/>
                <w:szCs w:val="21"/>
              </w:rPr>
              <w:br/>
            </w:r>
            <w:r>
              <w:rPr>
                <w:rFonts w:ascii="宋体" w:hAnsi="宋体" w:cs="宋体" w:hint="eastAsia"/>
                <w:color w:val="000000"/>
                <w:kern w:val="0"/>
                <w:szCs w:val="21"/>
              </w:rPr>
              <w:t>支持数据库全量备份和增量备份。</w:t>
            </w:r>
            <w:r>
              <w:rPr>
                <w:rFonts w:ascii="宋体" w:hAnsi="宋体" w:cs="宋体" w:hint="eastAsia"/>
                <w:color w:val="000000"/>
                <w:kern w:val="0"/>
                <w:szCs w:val="21"/>
              </w:rPr>
              <w:br/>
            </w:r>
            <w:r>
              <w:rPr>
                <w:rFonts w:ascii="宋体" w:hAnsi="宋体" w:cs="宋体" w:hint="eastAsia"/>
                <w:color w:val="000000"/>
                <w:kern w:val="0"/>
                <w:szCs w:val="21"/>
              </w:rPr>
              <w:t>支持全量备份恢复和增量备份恢复。</w:t>
            </w:r>
            <w:r>
              <w:rPr>
                <w:rFonts w:ascii="宋体" w:hAnsi="宋体" w:cs="宋体" w:hint="eastAsia"/>
                <w:color w:val="000000"/>
                <w:kern w:val="0"/>
                <w:szCs w:val="21"/>
              </w:rPr>
              <w:br/>
            </w:r>
            <w:r>
              <w:rPr>
                <w:rFonts w:ascii="宋体" w:hAnsi="宋体" w:cs="宋体" w:hint="eastAsia"/>
                <w:color w:val="000000"/>
                <w:kern w:val="0"/>
                <w:szCs w:val="21"/>
              </w:rPr>
              <w:t>2、数据库监控</w:t>
            </w:r>
            <w:r>
              <w:rPr>
                <w:rFonts w:ascii="宋体" w:hAnsi="宋体" w:cs="宋体" w:hint="eastAsia"/>
                <w:color w:val="000000"/>
                <w:kern w:val="0"/>
                <w:szCs w:val="21"/>
              </w:rPr>
              <w:br/>
            </w:r>
            <w:r>
              <w:rPr>
                <w:rFonts w:ascii="宋体" w:hAnsi="宋体" w:cs="宋体" w:hint="eastAsia"/>
                <w:color w:val="000000"/>
                <w:kern w:val="0"/>
                <w:szCs w:val="21"/>
              </w:rPr>
              <w:t>提供监控平台，支持查看CPU、内存、磁盘等各类核心指标的性能趋势情况和实施性能情况。</w:t>
            </w:r>
            <w:r>
              <w:rPr>
                <w:rFonts w:ascii="宋体" w:hAnsi="宋体" w:cs="宋体" w:hint="eastAsia"/>
                <w:color w:val="000000"/>
                <w:kern w:val="0"/>
                <w:szCs w:val="21"/>
              </w:rPr>
              <w:br/>
            </w:r>
            <w:r>
              <w:rPr>
                <w:rFonts w:ascii="宋体" w:hAnsi="宋体" w:cs="宋体" w:hint="eastAsia"/>
                <w:color w:val="000000"/>
                <w:kern w:val="0"/>
                <w:szCs w:val="21"/>
              </w:rPr>
              <w:t>支持告警规则、告警模版、告警联系人、告警联系组的配置。</w:t>
            </w:r>
            <w:r>
              <w:rPr>
                <w:rFonts w:ascii="宋体" w:hAnsi="宋体" w:cs="宋体" w:hint="eastAsia"/>
                <w:color w:val="000000"/>
                <w:kern w:val="0"/>
                <w:szCs w:val="21"/>
              </w:rPr>
              <w:br/>
            </w:r>
            <w:r>
              <w:rPr>
                <w:rFonts w:ascii="宋体" w:hAnsi="宋体" w:cs="宋体" w:hint="eastAsia"/>
                <w:color w:val="000000"/>
                <w:kern w:val="0"/>
                <w:szCs w:val="21"/>
              </w:rPr>
              <w:t>支持为不同的使用者自定义不同的告警模版。</w:t>
            </w:r>
            <w:r>
              <w:rPr>
                <w:rFonts w:ascii="宋体" w:hAnsi="宋体" w:cs="宋体" w:hint="eastAsia"/>
                <w:color w:val="000000"/>
                <w:kern w:val="0"/>
                <w:szCs w:val="21"/>
              </w:rPr>
              <w:br/>
            </w:r>
            <w:r>
              <w:rPr>
                <w:rFonts w:ascii="宋体" w:hAnsi="宋体" w:cs="宋体" w:hint="eastAsia"/>
                <w:color w:val="000000"/>
                <w:kern w:val="0"/>
                <w:szCs w:val="21"/>
              </w:rPr>
              <w:t>支持数据库会话管理，实现异常sql的kill操作</w:t>
            </w:r>
            <w:r>
              <w:rPr>
                <w:rFonts w:ascii="宋体" w:hAnsi="宋体" w:cs="宋体" w:hint="eastAsia"/>
                <w:color w:val="000000"/>
                <w:kern w:val="0"/>
                <w:szCs w:val="21"/>
              </w:rPr>
              <w:br/>
            </w:r>
            <w:r>
              <w:rPr>
                <w:rFonts w:ascii="宋体" w:hAnsi="宋体" w:cs="宋体" w:hint="eastAsia"/>
                <w:color w:val="000000"/>
                <w:kern w:val="0"/>
                <w:szCs w:val="21"/>
              </w:rPr>
              <w:t>支持通过sql限流控制数据库请求访问量和sql的并发量</w:t>
            </w:r>
            <w:r>
              <w:rPr>
                <w:rFonts w:ascii="宋体" w:hAnsi="宋体" w:cs="宋体" w:hint="eastAsia"/>
                <w:color w:val="000000"/>
                <w:kern w:val="0"/>
                <w:szCs w:val="21"/>
              </w:rPr>
              <w:br/>
            </w:r>
            <w:r>
              <w:rPr>
                <w:rFonts w:ascii="宋体" w:hAnsi="宋体" w:cs="宋体" w:hint="eastAsia"/>
                <w:color w:val="000000"/>
                <w:kern w:val="0"/>
                <w:szCs w:val="21"/>
              </w:rPr>
              <w:t>支持慢sql的查看和多维度分析，包括慢sql趋势、慢sql排行、慢sql模版、慢sql来源等。</w:t>
            </w:r>
            <w:r>
              <w:rPr>
                <w:rFonts w:ascii="宋体" w:hAnsi="宋体" w:cs="宋体" w:hint="eastAsia"/>
                <w:color w:val="000000"/>
                <w:kern w:val="0"/>
                <w:szCs w:val="21"/>
              </w:rPr>
              <w:br/>
            </w:r>
            <w:r>
              <w:rPr>
                <w:rFonts w:ascii="宋体" w:hAnsi="宋体" w:cs="宋体" w:hint="eastAsia"/>
                <w:color w:val="000000"/>
                <w:kern w:val="0"/>
                <w:szCs w:val="21"/>
              </w:rPr>
              <w:t>3、数据管控</w:t>
            </w:r>
            <w:r>
              <w:rPr>
                <w:rFonts w:ascii="宋体" w:hAnsi="宋体" w:cs="宋体" w:hint="eastAsia"/>
                <w:color w:val="000000"/>
                <w:kern w:val="0"/>
                <w:szCs w:val="21"/>
              </w:rPr>
              <w:br/>
            </w:r>
            <w:r>
              <w:rPr>
                <w:rFonts w:ascii="宋体" w:hAnsi="宋体" w:cs="宋体" w:hint="eastAsia"/>
                <w:color w:val="000000"/>
                <w:kern w:val="0"/>
                <w:szCs w:val="21"/>
              </w:rPr>
              <w:t>支持库、表、字段、数据行级权限管理。</w:t>
            </w:r>
            <w:r>
              <w:rPr>
                <w:rFonts w:ascii="宋体" w:hAnsi="宋体" w:cs="宋体" w:hint="eastAsia"/>
                <w:color w:val="000000"/>
                <w:kern w:val="0"/>
                <w:szCs w:val="21"/>
              </w:rPr>
              <w:br/>
            </w:r>
            <w:r>
              <w:rPr>
                <w:rFonts w:ascii="宋体" w:hAnsi="宋体" w:cs="宋体" w:hint="eastAsia"/>
                <w:color w:val="000000"/>
                <w:kern w:val="0"/>
                <w:szCs w:val="21"/>
              </w:rPr>
              <w:t>支持按需分配查询、导出、变更、登陆等不同操作权限。</w:t>
            </w:r>
            <w:r>
              <w:rPr>
                <w:rFonts w:ascii="宋体" w:hAnsi="宋体" w:cs="宋体" w:hint="eastAsia"/>
                <w:color w:val="000000"/>
                <w:kern w:val="0"/>
                <w:szCs w:val="21"/>
              </w:rPr>
              <w:br/>
            </w:r>
            <w:r>
              <w:rPr>
                <w:rFonts w:ascii="宋体" w:hAnsi="宋体" w:cs="宋体" w:hint="eastAsia"/>
                <w:color w:val="000000"/>
                <w:kern w:val="0"/>
                <w:szCs w:val="21"/>
              </w:rPr>
              <w:t>支持查询页面水印控制、导出条数控制等多种安全管控手段。</w:t>
            </w:r>
            <w:r>
              <w:rPr>
                <w:rFonts w:ascii="宋体" w:hAnsi="宋体" w:cs="宋体" w:hint="eastAsia"/>
                <w:color w:val="000000"/>
                <w:kern w:val="0"/>
                <w:szCs w:val="21"/>
              </w:rPr>
              <w:br/>
            </w:r>
            <w:r>
              <w:rPr>
                <w:rFonts w:ascii="宋体" w:hAnsi="宋体" w:cs="宋体" w:hint="eastAsia"/>
                <w:color w:val="000000"/>
                <w:kern w:val="0"/>
                <w:szCs w:val="21"/>
              </w:rPr>
              <w:t>支持灵活配置的审批流程。</w:t>
            </w:r>
            <w:r>
              <w:rPr>
                <w:rFonts w:ascii="宋体" w:hAnsi="宋体" w:cs="宋体" w:hint="eastAsia"/>
                <w:color w:val="000000"/>
                <w:kern w:val="0"/>
                <w:szCs w:val="21"/>
              </w:rPr>
              <w:br/>
            </w:r>
            <w:r>
              <w:rPr>
                <w:rFonts w:ascii="宋体" w:hAnsi="宋体" w:cs="宋体" w:hint="eastAsia"/>
                <w:color w:val="000000"/>
                <w:kern w:val="0"/>
                <w:szCs w:val="21"/>
              </w:rPr>
              <w:t>支持数据库操作日志的审计和追溯。</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9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204</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集群容灾</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1、流量大盘</w:t>
            </w:r>
            <w:r>
              <w:rPr>
                <w:rFonts w:ascii="宋体" w:hAnsi="宋体" w:cs="宋体" w:hint="eastAsia"/>
                <w:color w:val="000000"/>
                <w:kern w:val="0"/>
                <w:szCs w:val="21"/>
              </w:rPr>
              <w:br/>
            </w:r>
            <w:r>
              <w:rPr>
                <w:rFonts w:ascii="宋体" w:hAnsi="宋体" w:cs="宋体" w:hint="eastAsia"/>
                <w:color w:val="000000"/>
                <w:kern w:val="0"/>
                <w:szCs w:val="21"/>
              </w:rPr>
              <w:t>集群流量观测的全局大盘，了解各个集群流量分布情况。</w:t>
            </w:r>
            <w:r>
              <w:rPr>
                <w:rFonts w:ascii="宋体" w:hAnsi="宋体" w:cs="宋体" w:hint="eastAsia"/>
                <w:color w:val="000000"/>
                <w:kern w:val="0"/>
                <w:szCs w:val="21"/>
              </w:rPr>
              <w:br/>
            </w:r>
            <w:r>
              <w:rPr>
                <w:rFonts w:ascii="宋体" w:hAnsi="宋体" w:cs="宋体" w:hint="eastAsia"/>
                <w:color w:val="000000"/>
                <w:kern w:val="0"/>
                <w:szCs w:val="21"/>
              </w:rPr>
              <w:t>2、流量调度</w:t>
            </w:r>
            <w:r>
              <w:rPr>
                <w:rFonts w:ascii="宋体" w:hAnsi="宋体" w:cs="宋体" w:hint="eastAsia"/>
                <w:color w:val="000000"/>
                <w:kern w:val="0"/>
                <w:szCs w:val="21"/>
              </w:rPr>
              <w:br/>
            </w:r>
            <w:r>
              <w:rPr>
                <w:rFonts w:ascii="宋体" w:hAnsi="宋体" w:cs="宋体" w:hint="eastAsia"/>
                <w:color w:val="000000"/>
                <w:kern w:val="0"/>
                <w:szCs w:val="21"/>
              </w:rPr>
              <w:t>支持按用户ID，操作员ID进行细粒度的灰度，通过页面可以很方便进行操作。</w:t>
            </w:r>
            <w:r>
              <w:rPr>
                <w:rFonts w:ascii="宋体" w:hAnsi="宋体" w:cs="宋体" w:hint="eastAsia"/>
                <w:color w:val="000000"/>
                <w:kern w:val="0"/>
                <w:szCs w:val="21"/>
              </w:rPr>
              <w:br/>
            </w:r>
            <w:r>
              <w:rPr>
                <w:rFonts w:ascii="宋体" w:hAnsi="宋体" w:cs="宋体" w:hint="eastAsia"/>
                <w:color w:val="000000"/>
                <w:kern w:val="0"/>
                <w:szCs w:val="21"/>
              </w:rPr>
              <w:t>支持多集群部署。</w:t>
            </w:r>
            <w:r>
              <w:rPr>
                <w:rFonts w:ascii="宋体" w:hAnsi="宋体" w:cs="宋体" w:hint="eastAsia"/>
                <w:color w:val="000000"/>
                <w:kern w:val="0"/>
                <w:szCs w:val="21"/>
              </w:rPr>
              <w:br/>
            </w:r>
            <w:r>
              <w:rPr>
                <w:rFonts w:ascii="宋体" w:hAnsi="宋体" w:cs="宋体" w:hint="eastAsia"/>
                <w:color w:val="000000"/>
                <w:kern w:val="0"/>
                <w:szCs w:val="21"/>
              </w:rPr>
              <w:t>支持整个集群的切流，主要用于集群同步后的切流和故障发生时候的快速恢复使用。</w:t>
            </w:r>
            <w:r>
              <w:rPr>
                <w:rFonts w:ascii="宋体" w:hAnsi="宋体" w:cs="宋体" w:hint="eastAsia"/>
                <w:color w:val="000000"/>
                <w:kern w:val="0"/>
                <w:szCs w:val="21"/>
              </w:rPr>
              <w:br/>
            </w:r>
            <w:r>
              <w:rPr>
                <w:rFonts w:ascii="宋体" w:hAnsi="宋体" w:cs="宋体" w:hint="eastAsia"/>
                <w:color w:val="000000"/>
                <w:kern w:val="0"/>
                <w:szCs w:val="21"/>
              </w:rPr>
              <w:t>3、集群同步</w:t>
            </w:r>
            <w:r>
              <w:rPr>
                <w:rFonts w:ascii="宋体" w:hAnsi="宋体" w:cs="宋体" w:hint="eastAsia"/>
                <w:color w:val="000000"/>
                <w:kern w:val="0"/>
                <w:szCs w:val="21"/>
              </w:rPr>
              <w:br/>
            </w:r>
            <w:r>
              <w:rPr>
                <w:rFonts w:ascii="宋体" w:hAnsi="宋体" w:cs="宋体" w:hint="eastAsia"/>
                <w:color w:val="000000"/>
                <w:kern w:val="0"/>
                <w:szCs w:val="21"/>
              </w:rPr>
              <w:t>支持多个集群的应用、配置等比对功能，可白屏展示比对差异，并可以通过开始集群同步一键同步A集群的镜像到B集群，实现集群的无感发布变更。</w:t>
            </w:r>
            <w:r>
              <w:rPr>
                <w:rFonts w:ascii="宋体" w:hAnsi="宋体" w:cs="宋体" w:hint="eastAsia"/>
                <w:color w:val="000000"/>
                <w:kern w:val="0"/>
                <w:szCs w:val="21"/>
              </w:rPr>
              <w:br/>
            </w:r>
            <w:r>
              <w:rPr>
                <w:rFonts w:ascii="宋体" w:hAnsi="宋体" w:cs="宋体" w:hint="eastAsia"/>
                <w:color w:val="000000"/>
                <w:kern w:val="0"/>
                <w:szCs w:val="21"/>
              </w:rPr>
              <w:t>支持单个应用进行同步，同步支持比对功能。</w:t>
            </w:r>
            <w:r>
              <w:rPr>
                <w:rFonts w:ascii="宋体" w:hAnsi="宋体" w:cs="宋体" w:hint="eastAsia"/>
                <w:color w:val="000000"/>
                <w:kern w:val="0"/>
                <w:szCs w:val="21"/>
              </w:rPr>
              <w:br/>
            </w:r>
            <w:r>
              <w:rPr>
                <w:rFonts w:ascii="宋体" w:hAnsi="宋体" w:cs="宋体" w:hint="eastAsia"/>
                <w:color w:val="000000"/>
                <w:kern w:val="0"/>
                <w:szCs w:val="21"/>
              </w:rPr>
              <w:t>4、操作记录</w:t>
            </w:r>
            <w:r>
              <w:rPr>
                <w:rFonts w:ascii="宋体" w:hAnsi="宋体" w:cs="宋体" w:hint="eastAsia"/>
                <w:color w:val="000000"/>
                <w:kern w:val="0"/>
                <w:szCs w:val="21"/>
              </w:rPr>
              <w:br/>
            </w:r>
            <w:r>
              <w:rPr>
                <w:rFonts w:ascii="宋体" w:hAnsi="宋体" w:cs="宋体" w:hint="eastAsia"/>
                <w:color w:val="000000"/>
                <w:kern w:val="0"/>
                <w:szCs w:val="21"/>
              </w:rPr>
              <w:t>支持监控集群的变更动作，提供统一的操作记录查询页面，支持对所有操作进行审计。</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348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205</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监控管理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1、系统监控</w:t>
            </w:r>
            <w:r>
              <w:rPr>
                <w:rFonts w:ascii="宋体" w:hAnsi="宋体" w:cs="宋体" w:hint="eastAsia"/>
                <w:color w:val="000000"/>
                <w:kern w:val="0"/>
                <w:szCs w:val="21"/>
              </w:rPr>
              <w:br/>
            </w:r>
            <w:r>
              <w:rPr>
                <w:rFonts w:ascii="宋体" w:hAnsi="宋体" w:cs="宋体" w:hint="eastAsia"/>
                <w:color w:val="000000"/>
                <w:kern w:val="0"/>
                <w:szCs w:val="21"/>
              </w:rPr>
              <w:t>系统监控支持展示集群整体健康趋势大盘，基于应用角度进行资源负载监控，包括系统指标和JVM指标等。</w:t>
            </w:r>
            <w:r>
              <w:rPr>
                <w:rFonts w:ascii="宋体" w:hAnsi="宋体" w:cs="宋体" w:hint="eastAsia"/>
                <w:color w:val="000000"/>
                <w:kern w:val="0"/>
                <w:szCs w:val="21"/>
              </w:rPr>
              <w:br/>
            </w:r>
            <w:r>
              <w:rPr>
                <w:rFonts w:ascii="宋体" w:hAnsi="宋体" w:cs="宋体" w:hint="eastAsia"/>
                <w:color w:val="000000"/>
                <w:kern w:val="0"/>
                <w:szCs w:val="21"/>
              </w:rPr>
              <w:t>2、业务大盘</w:t>
            </w:r>
            <w:r>
              <w:rPr>
                <w:rFonts w:ascii="宋体" w:hAnsi="宋体" w:cs="宋体" w:hint="eastAsia"/>
                <w:color w:val="000000"/>
                <w:kern w:val="0"/>
                <w:szCs w:val="21"/>
              </w:rPr>
              <w:br/>
            </w:r>
            <w:r>
              <w:rPr>
                <w:rFonts w:ascii="宋体" w:hAnsi="宋体" w:cs="宋体" w:hint="eastAsia"/>
                <w:color w:val="000000"/>
                <w:kern w:val="0"/>
                <w:szCs w:val="21"/>
              </w:rPr>
              <w:t>业务大盘支持多种协议进行业务指标配置，包括业务接口、业务日志等，通过大盘进行展示和监控跟踪。</w:t>
            </w:r>
            <w:r>
              <w:rPr>
                <w:rFonts w:ascii="宋体" w:hAnsi="宋体" w:cs="宋体" w:hint="eastAsia"/>
                <w:color w:val="000000"/>
                <w:kern w:val="0"/>
                <w:szCs w:val="21"/>
              </w:rPr>
              <w:br/>
            </w:r>
            <w:r>
              <w:rPr>
                <w:rFonts w:ascii="宋体" w:hAnsi="宋体" w:cs="宋体" w:hint="eastAsia"/>
                <w:color w:val="000000"/>
                <w:kern w:val="0"/>
                <w:szCs w:val="21"/>
              </w:rPr>
              <w:t>3、端侧监控</w:t>
            </w:r>
            <w:r>
              <w:rPr>
                <w:rFonts w:ascii="宋体" w:hAnsi="宋体" w:cs="宋体" w:hint="eastAsia"/>
                <w:color w:val="000000"/>
                <w:kern w:val="0"/>
                <w:szCs w:val="21"/>
              </w:rPr>
              <w:br/>
            </w:r>
            <w:r>
              <w:rPr>
                <w:rFonts w:ascii="宋体" w:hAnsi="宋体" w:cs="宋体" w:hint="eastAsia"/>
                <w:color w:val="000000"/>
                <w:kern w:val="0"/>
                <w:szCs w:val="21"/>
              </w:rPr>
              <w:t>支持将整个系统中所有页面的性能、异常数据进行聚合分析，形成图表展示。</w:t>
            </w:r>
            <w:r>
              <w:rPr>
                <w:rFonts w:ascii="宋体" w:hAnsi="宋体" w:cs="宋体" w:hint="eastAsia"/>
                <w:color w:val="000000"/>
                <w:kern w:val="0"/>
                <w:szCs w:val="21"/>
              </w:rPr>
              <w:br/>
            </w:r>
            <w:r>
              <w:rPr>
                <w:rFonts w:ascii="宋体" w:hAnsi="宋体" w:cs="宋体" w:hint="eastAsia"/>
                <w:color w:val="000000"/>
                <w:kern w:val="0"/>
                <w:szCs w:val="21"/>
              </w:rPr>
              <w:t>4、告警管理</w:t>
            </w:r>
            <w:r>
              <w:rPr>
                <w:rFonts w:ascii="宋体" w:hAnsi="宋体" w:cs="宋体" w:hint="eastAsia"/>
                <w:color w:val="000000"/>
                <w:kern w:val="0"/>
                <w:szCs w:val="21"/>
              </w:rPr>
              <w:br/>
            </w:r>
            <w:r>
              <w:rPr>
                <w:rFonts w:ascii="宋体" w:hAnsi="宋体" w:cs="宋体" w:hint="eastAsia"/>
                <w:color w:val="000000"/>
                <w:kern w:val="0"/>
                <w:szCs w:val="21"/>
              </w:rPr>
              <w:t>告警管理支持告警条件配置和管理，支持多种形式的告警方式，包括钉钉、微信、短信、电话等。</w:t>
            </w:r>
            <w:r>
              <w:rPr>
                <w:rFonts w:ascii="宋体" w:hAnsi="宋体" w:cs="宋体" w:hint="eastAsia"/>
                <w:color w:val="000000"/>
                <w:kern w:val="0"/>
                <w:szCs w:val="21"/>
              </w:rPr>
              <w:br/>
            </w:r>
            <w:r>
              <w:rPr>
                <w:rFonts w:ascii="宋体" w:hAnsi="宋体" w:cs="宋体" w:hint="eastAsia"/>
                <w:color w:val="000000"/>
                <w:kern w:val="0"/>
                <w:szCs w:val="21"/>
              </w:rPr>
              <w:t>支持告警转工单。</w:t>
            </w:r>
            <w:r>
              <w:rPr>
                <w:rFonts w:ascii="宋体" w:hAnsi="宋体" w:cs="宋体" w:hint="eastAsia"/>
                <w:color w:val="000000"/>
                <w:kern w:val="0"/>
                <w:szCs w:val="21"/>
              </w:rPr>
              <w:br/>
            </w:r>
            <w:r>
              <w:rPr>
                <w:rFonts w:ascii="宋体" w:hAnsi="宋体" w:cs="宋体" w:hint="eastAsia"/>
                <w:color w:val="000000"/>
                <w:kern w:val="0"/>
                <w:szCs w:val="21"/>
              </w:rPr>
              <w:t>支持历史告警记录查询。</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83"/>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206</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日志管理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1、日志检索</w:t>
            </w:r>
            <w:r>
              <w:rPr>
                <w:rFonts w:ascii="宋体" w:hAnsi="宋体" w:cs="宋体" w:hint="eastAsia"/>
                <w:color w:val="000000"/>
                <w:kern w:val="0"/>
                <w:szCs w:val="21"/>
              </w:rPr>
              <w:br/>
            </w:r>
            <w:r>
              <w:rPr>
                <w:rFonts w:ascii="宋体" w:hAnsi="宋体" w:cs="宋体" w:hint="eastAsia"/>
                <w:color w:val="000000"/>
                <w:kern w:val="0"/>
                <w:szCs w:val="21"/>
              </w:rPr>
              <w:t>支持多个条件组合实现日志检索。</w:t>
            </w:r>
            <w:r>
              <w:rPr>
                <w:rFonts w:ascii="宋体" w:hAnsi="宋体" w:cs="宋体" w:hint="eastAsia"/>
                <w:color w:val="000000"/>
                <w:kern w:val="0"/>
                <w:szCs w:val="21"/>
              </w:rPr>
              <w:br/>
            </w:r>
            <w:r>
              <w:rPr>
                <w:rFonts w:ascii="宋体" w:hAnsi="宋体" w:cs="宋体" w:hint="eastAsia"/>
                <w:color w:val="000000"/>
                <w:kern w:val="0"/>
                <w:szCs w:val="21"/>
              </w:rPr>
              <w:t>2、日志告警</w:t>
            </w:r>
            <w:r>
              <w:rPr>
                <w:rFonts w:ascii="宋体" w:hAnsi="宋体" w:cs="宋体" w:hint="eastAsia"/>
                <w:color w:val="000000"/>
                <w:kern w:val="0"/>
                <w:szCs w:val="21"/>
              </w:rPr>
              <w:br/>
            </w:r>
            <w:r>
              <w:rPr>
                <w:rFonts w:ascii="宋体" w:hAnsi="宋体" w:cs="宋体" w:hint="eastAsia"/>
                <w:color w:val="000000"/>
                <w:kern w:val="0"/>
                <w:szCs w:val="21"/>
              </w:rPr>
              <w:t>支持设置报警规则，支持根据日志采集阈值和周期来设置告警规则。</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819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207</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nil"/>
              <w:left w:val="single" w:sz="4" w:space="0" w:color="auto"/>
              <w:bottom w:val="nil"/>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平台管理</w:t>
            </w: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微服务组件</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1、配置中心&amp;注册中心</w:t>
            </w:r>
            <w:r>
              <w:rPr>
                <w:rFonts w:ascii="宋体" w:hAnsi="宋体" w:cs="宋体" w:hint="eastAsia"/>
                <w:color w:val="000000"/>
                <w:kern w:val="0"/>
                <w:szCs w:val="21"/>
              </w:rPr>
              <w:br/>
            </w:r>
            <w:r>
              <w:rPr>
                <w:rFonts w:ascii="宋体" w:hAnsi="宋体" w:cs="宋体" w:hint="eastAsia"/>
                <w:color w:val="000000"/>
                <w:kern w:val="0"/>
                <w:szCs w:val="21"/>
              </w:rPr>
              <w:t>支持微服务组件配置，支持新增配置、编辑、查看详情。</w:t>
            </w:r>
            <w:r>
              <w:rPr>
                <w:rFonts w:ascii="宋体" w:hAnsi="宋体" w:cs="宋体" w:hint="eastAsia"/>
                <w:color w:val="000000"/>
                <w:kern w:val="0"/>
                <w:szCs w:val="21"/>
              </w:rPr>
              <w:br/>
            </w:r>
            <w:r>
              <w:rPr>
                <w:rFonts w:ascii="宋体" w:hAnsi="宋体" w:cs="宋体" w:hint="eastAsia"/>
                <w:color w:val="000000"/>
                <w:kern w:val="0"/>
                <w:szCs w:val="21"/>
              </w:rPr>
              <w:t>支持微服务组件注册，支持看下组件详情。</w:t>
            </w:r>
            <w:r>
              <w:rPr>
                <w:rFonts w:ascii="宋体" w:hAnsi="宋体" w:cs="宋体" w:hint="eastAsia"/>
                <w:color w:val="000000"/>
                <w:kern w:val="0"/>
                <w:szCs w:val="21"/>
              </w:rPr>
              <w:br/>
            </w:r>
            <w:r>
              <w:rPr>
                <w:rFonts w:ascii="宋体" w:hAnsi="宋体" w:cs="宋体" w:hint="eastAsia"/>
                <w:color w:val="000000"/>
                <w:kern w:val="0"/>
                <w:szCs w:val="21"/>
              </w:rPr>
              <w:t>2、服务发现和服务治理</w:t>
            </w:r>
            <w:r>
              <w:rPr>
                <w:rFonts w:ascii="宋体" w:hAnsi="宋体" w:cs="宋体" w:hint="eastAsia"/>
                <w:color w:val="000000"/>
                <w:kern w:val="0"/>
                <w:szCs w:val="21"/>
              </w:rPr>
              <w:br/>
            </w:r>
            <w:r>
              <w:rPr>
                <w:rFonts w:ascii="宋体" w:hAnsi="宋体" w:cs="宋体" w:hint="eastAsia"/>
                <w:color w:val="000000"/>
                <w:kern w:val="0"/>
                <w:szCs w:val="21"/>
              </w:rPr>
              <w:t>支持应用通过RPC实现服务的输出和输入功能。</w:t>
            </w:r>
            <w:r>
              <w:rPr>
                <w:rFonts w:ascii="宋体" w:hAnsi="宋体" w:cs="宋体" w:hint="eastAsia"/>
                <w:color w:val="000000"/>
                <w:kern w:val="0"/>
                <w:szCs w:val="21"/>
              </w:rPr>
              <w:br/>
            </w:r>
            <w:r>
              <w:rPr>
                <w:rFonts w:ascii="宋体" w:hAnsi="宋体" w:cs="宋体" w:hint="eastAsia"/>
                <w:color w:val="000000"/>
                <w:kern w:val="0"/>
                <w:szCs w:val="21"/>
              </w:rPr>
              <w:t>支持服务的注册、服务事件发布和订阅。</w:t>
            </w:r>
            <w:r>
              <w:rPr>
                <w:rFonts w:ascii="宋体" w:hAnsi="宋体" w:cs="宋体" w:hint="eastAsia"/>
                <w:color w:val="000000"/>
                <w:kern w:val="0"/>
                <w:szCs w:val="21"/>
              </w:rPr>
              <w:br/>
            </w:r>
            <w:r>
              <w:rPr>
                <w:rFonts w:ascii="宋体" w:hAnsi="宋体" w:cs="宋体" w:hint="eastAsia"/>
                <w:color w:val="000000"/>
                <w:kern w:val="0"/>
                <w:szCs w:val="21"/>
              </w:rPr>
              <w:t>3、消息服务</w:t>
            </w:r>
            <w:r>
              <w:rPr>
                <w:rFonts w:ascii="宋体" w:hAnsi="宋体" w:cs="宋体" w:hint="eastAsia"/>
                <w:color w:val="000000"/>
                <w:kern w:val="0"/>
                <w:szCs w:val="21"/>
              </w:rPr>
              <w:br/>
            </w:r>
            <w:r>
              <w:rPr>
                <w:rFonts w:ascii="宋体" w:hAnsi="宋体" w:cs="宋体" w:hint="eastAsia"/>
                <w:color w:val="000000"/>
                <w:kern w:val="0"/>
                <w:szCs w:val="21"/>
              </w:rPr>
              <w:t>支持创建消息服务。</w:t>
            </w:r>
            <w:r>
              <w:rPr>
                <w:rFonts w:ascii="宋体" w:hAnsi="宋体" w:cs="宋体" w:hint="eastAsia"/>
                <w:color w:val="000000"/>
                <w:kern w:val="0"/>
                <w:szCs w:val="21"/>
              </w:rPr>
              <w:br/>
            </w:r>
            <w:r>
              <w:rPr>
                <w:rFonts w:ascii="宋体" w:hAnsi="宋体" w:cs="宋体" w:hint="eastAsia"/>
                <w:color w:val="000000"/>
                <w:kern w:val="0"/>
                <w:szCs w:val="21"/>
              </w:rPr>
              <w:t>支持订阅MQ，查看订阅状态。</w:t>
            </w:r>
            <w:r>
              <w:rPr>
                <w:rFonts w:ascii="宋体" w:hAnsi="宋体" w:cs="宋体" w:hint="eastAsia"/>
                <w:color w:val="000000"/>
                <w:kern w:val="0"/>
                <w:szCs w:val="21"/>
              </w:rPr>
              <w:br/>
            </w:r>
            <w:r>
              <w:rPr>
                <w:rFonts w:ascii="宋体" w:hAnsi="宋体" w:cs="宋体" w:hint="eastAsia"/>
                <w:color w:val="000000"/>
                <w:kern w:val="0"/>
                <w:szCs w:val="21"/>
              </w:rPr>
              <w:t>支持消息发送和消息查询。</w:t>
            </w:r>
            <w:r>
              <w:rPr>
                <w:rFonts w:ascii="宋体" w:hAnsi="宋体" w:cs="宋体" w:hint="eastAsia"/>
                <w:color w:val="000000"/>
                <w:kern w:val="0"/>
                <w:szCs w:val="21"/>
              </w:rPr>
              <w:br/>
            </w:r>
            <w:r>
              <w:rPr>
                <w:rFonts w:ascii="宋体" w:hAnsi="宋体" w:cs="宋体" w:hint="eastAsia"/>
                <w:color w:val="000000"/>
                <w:kern w:val="0"/>
                <w:szCs w:val="21"/>
              </w:rPr>
              <w:t>4、智能网关</w:t>
            </w:r>
            <w:r>
              <w:rPr>
                <w:rFonts w:ascii="宋体" w:hAnsi="宋体" w:cs="宋体" w:hint="eastAsia"/>
                <w:color w:val="000000"/>
                <w:kern w:val="0"/>
                <w:szCs w:val="21"/>
              </w:rPr>
              <w:br/>
            </w:r>
            <w:r>
              <w:rPr>
                <w:rFonts w:ascii="宋体" w:hAnsi="宋体" w:cs="宋体" w:hint="eastAsia"/>
                <w:color w:val="000000"/>
                <w:kern w:val="0"/>
                <w:szCs w:val="21"/>
              </w:rPr>
              <w:t>支持接收API请求。</w:t>
            </w:r>
            <w:r>
              <w:rPr>
                <w:rFonts w:ascii="宋体" w:hAnsi="宋体" w:cs="宋体" w:hint="eastAsia"/>
                <w:color w:val="000000"/>
                <w:kern w:val="0"/>
                <w:szCs w:val="21"/>
              </w:rPr>
              <w:br/>
            </w:r>
            <w:r>
              <w:rPr>
                <w:rFonts w:ascii="宋体" w:hAnsi="宋体" w:cs="宋体" w:hint="eastAsia"/>
                <w:color w:val="000000"/>
                <w:kern w:val="0"/>
                <w:szCs w:val="21"/>
              </w:rPr>
              <w:t>支持采用插件机制进行功能定制，插件集（可以是0或N个）在API请求响应中被执行。</w:t>
            </w:r>
            <w:r>
              <w:rPr>
                <w:rFonts w:ascii="宋体" w:hAnsi="宋体" w:cs="宋体" w:hint="eastAsia"/>
                <w:color w:val="000000"/>
                <w:kern w:val="0"/>
                <w:szCs w:val="21"/>
              </w:rPr>
              <w:br/>
            </w:r>
            <w:r>
              <w:rPr>
                <w:rFonts w:ascii="宋体" w:hAnsi="宋体" w:cs="宋体" w:hint="eastAsia"/>
                <w:color w:val="000000"/>
                <w:kern w:val="0"/>
                <w:szCs w:val="21"/>
              </w:rPr>
              <w:t>5、分布式任务</w:t>
            </w:r>
            <w:r>
              <w:rPr>
                <w:rFonts w:ascii="宋体" w:hAnsi="宋体" w:cs="宋体" w:hint="eastAsia"/>
                <w:color w:val="000000"/>
                <w:kern w:val="0"/>
                <w:szCs w:val="21"/>
              </w:rPr>
              <w:br/>
            </w:r>
            <w:r>
              <w:rPr>
                <w:rFonts w:ascii="宋体" w:hAnsi="宋体" w:cs="宋体" w:hint="eastAsia"/>
                <w:color w:val="000000"/>
                <w:kern w:val="0"/>
                <w:szCs w:val="21"/>
              </w:rPr>
              <w:t>支持轻量级分布式任务调度。</w:t>
            </w:r>
            <w:r>
              <w:rPr>
                <w:rFonts w:ascii="宋体" w:hAnsi="宋体" w:cs="宋体" w:hint="eastAsia"/>
                <w:color w:val="000000"/>
                <w:kern w:val="0"/>
                <w:szCs w:val="21"/>
              </w:rPr>
              <w:br/>
            </w:r>
            <w:r>
              <w:rPr>
                <w:rFonts w:ascii="宋体" w:hAnsi="宋体" w:cs="宋体" w:hint="eastAsia"/>
                <w:color w:val="000000"/>
                <w:kern w:val="0"/>
                <w:szCs w:val="21"/>
              </w:rPr>
              <w:t>6、分布式缓存</w:t>
            </w:r>
            <w:r>
              <w:rPr>
                <w:rFonts w:ascii="宋体" w:hAnsi="宋体" w:cs="宋体" w:hint="eastAsia"/>
                <w:color w:val="000000"/>
                <w:kern w:val="0"/>
                <w:szCs w:val="21"/>
              </w:rPr>
              <w:br/>
            </w:r>
            <w:r>
              <w:rPr>
                <w:rFonts w:ascii="宋体" w:hAnsi="宋体" w:cs="宋体" w:hint="eastAsia"/>
                <w:color w:val="000000"/>
                <w:kern w:val="0"/>
                <w:szCs w:val="21"/>
              </w:rPr>
              <w:t>支持主从同步。是心啊数据从主服务器向任意数量的从服务器上同步，从服务器可以是关联其他从服务器的主服务器。</w:t>
            </w:r>
            <w:r>
              <w:rPr>
                <w:rFonts w:ascii="宋体" w:hAnsi="宋体" w:cs="宋体" w:hint="eastAsia"/>
                <w:color w:val="000000"/>
                <w:kern w:val="0"/>
                <w:szCs w:val="21"/>
              </w:rPr>
              <w:br/>
            </w:r>
            <w:r>
              <w:rPr>
                <w:rFonts w:ascii="宋体" w:hAnsi="宋体" w:cs="宋体" w:hint="eastAsia"/>
                <w:color w:val="000000"/>
                <w:kern w:val="0"/>
                <w:szCs w:val="21"/>
              </w:rPr>
              <w:t>7、分布式对象存储</w:t>
            </w:r>
            <w:r>
              <w:rPr>
                <w:rFonts w:ascii="宋体" w:hAnsi="宋体" w:cs="宋体" w:hint="eastAsia"/>
                <w:color w:val="000000"/>
                <w:kern w:val="0"/>
                <w:szCs w:val="21"/>
              </w:rPr>
              <w:br/>
            </w:r>
            <w:r>
              <w:rPr>
                <w:rFonts w:ascii="宋体" w:hAnsi="宋体" w:cs="宋体" w:hint="eastAsia"/>
                <w:color w:val="000000"/>
                <w:kern w:val="0"/>
                <w:szCs w:val="21"/>
              </w:rPr>
              <w:t>支持分布式对象存储。</w:t>
            </w:r>
            <w:r>
              <w:rPr>
                <w:rFonts w:ascii="宋体" w:hAnsi="宋体" w:cs="宋体" w:hint="eastAsia"/>
                <w:color w:val="000000"/>
                <w:kern w:val="0"/>
                <w:szCs w:val="21"/>
              </w:rPr>
              <w:br/>
            </w:r>
            <w:r>
              <w:rPr>
                <w:rFonts w:ascii="宋体" w:hAnsi="宋体" w:cs="宋体" w:hint="eastAsia"/>
                <w:color w:val="000000"/>
                <w:kern w:val="0"/>
                <w:szCs w:val="21"/>
              </w:rPr>
              <w:t>8、限流熔断</w:t>
            </w:r>
            <w:r>
              <w:rPr>
                <w:rFonts w:ascii="宋体" w:hAnsi="宋体" w:cs="宋体" w:hint="eastAsia"/>
                <w:color w:val="000000"/>
                <w:kern w:val="0"/>
                <w:szCs w:val="21"/>
              </w:rPr>
              <w:br/>
            </w:r>
            <w:r>
              <w:rPr>
                <w:rFonts w:ascii="宋体" w:hAnsi="宋体" w:cs="宋体" w:hint="eastAsia"/>
                <w:color w:val="000000"/>
                <w:kern w:val="0"/>
                <w:szCs w:val="21"/>
              </w:rPr>
              <w:t>支持控制突发流量在可控制的范围内，集群流量控制，实时熔断下游不可用的应用。</w:t>
            </w:r>
            <w:r>
              <w:rPr>
                <w:rFonts w:ascii="宋体" w:hAnsi="宋体" w:cs="宋体" w:hint="eastAsia"/>
                <w:color w:val="000000"/>
                <w:kern w:val="0"/>
                <w:szCs w:val="21"/>
              </w:rPr>
              <w:br/>
            </w:r>
            <w:r>
              <w:rPr>
                <w:rFonts w:ascii="宋体" w:hAnsi="宋体" w:cs="宋体" w:hint="eastAsia"/>
                <w:color w:val="000000"/>
                <w:kern w:val="0"/>
                <w:szCs w:val="21"/>
              </w:rPr>
              <w:t>提供监控功能。支持在控制台中看到接入应用的单台机器秒级数据，以及500台以下规模的集群的汇总运行情况。</w:t>
            </w:r>
            <w:r>
              <w:rPr>
                <w:rFonts w:ascii="宋体" w:hAnsi="宋体" w:cs="宋体" w:hint="eastAsia"/>
                <w:color w:val="000000"/>
                <w:kern w:val="0"/>
                <w:szCs w:val="21"/>
              </w:rPr>
              <w:br/>
            </w:r>
            <w:r>
              <w:rPr>
                <w:rFonts w:ascii="宋体" w:hAnsi="宋体" w:cs="宋体" w:hint="eastAsia"/>
                <w:color w:val="000000"/>
                <w:kern w:val="0"/>
                <w:szCs w:val="21"/>
              </w:rPr>
              <w:t>提供SPI扩展接口。支持通过扩展接口来快速地定制逻辑。例如定制规则管理、适配动态数据源等。</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740"/>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208</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nil"/>
              <w:left w:val="single" w:sz="4" w:space="0" w:color="auto"/>
              <w:bottom w:val="nil"/>
              <w:right w:val="single" w:sz="4" w:space="0" w:color="000000"/>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流量地图</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1、链路追踪</w:t>
            </w:r>
            <w:r>
              <w:rPr>
                <w:rFonts w:ascii="宋体" w:hAnsi="宋体" w:cs="宋体" w:hint="eastAsia"/>
                <w:color w:val="000000"/>
                <w:kern w:val="0"/>
                <w:szCs w:val="21"/>
              </w:rPr>
              <w:br/>
            </w:r>
            <w:r>
              <w:rPr>
                <w:rFonts w:ascii="宋体" w:hAnsi="宋体" w:cs="宋体" w:hint="eastAsia"/>
                <w:color w:val="000000"/>
                <w:kern w:val="0"/>
                <w:szCs w:val="21"/>
              </w:rPr>
              <w:t>支持通过TraceId获取微服务调用链路，可按层级和树状形式展示，且包含每个结点的耗时。</w:t>
            </w:r>
            <w:r>
              <w:rPr>
                <w:rFonts w:ascii="宋体" w:hAnsi="宋体" w:cs="宋体" w:hint="eastAsia"/>
                <w:color w:val="000000"/>
                <w:kern w:val="0"/>
                <w:szCs w:val="21"/>
              </w:rPr>
              <w:br/>
            </w:r>
            <w:r>
              <w:rPr>
                <w:rFonts w:ascii="宋体" w:hAnsi="宋体" w:cs="宋体" w:hint="eastAsia"/>
                <w:color w:val="000000"/>
                <w:kern w:val="0"/>
                <w:szCs w:val="21"/>
              </w:rPr>
              <w:t>支持根据应用、接口、时间段等信息查询实际调用流量清单，并按耗时从高到低排序。</w:t>
            </w:r>
            <w:r>
              <w:rPr>
                <w:rFonts w:ascii="宋体" w:hAnsi="宋体" w:cs="宋体" w:hint="eastAsia"/>
                <w:color w:val="000000"/>
                <w:kern w:val="0"/>
                <w:szCs w:val="21"/>
              </w:rPr>
              <w:br/>
            </w:r>
            <w:r>
              <w:rPr>
                <w:rFonts w:ascii="宋体" w:hAnsi="宋体" w:cs="宋体" w:hint="eastAsia"/>
                <w:color w:val="000000"/>
                <w:kern w:val="0"/>
                <w:szCs w:val="21"/>
              </w:rPr>
              <w:t>2、链路分析</w:t>
            </w:r>
            <w:r>
              <w:rPr>
                <w:rFonts w:ascii="宋体" w:hAnsi="宋体" w:cs="宋体" w:hint="eastAsia"/>
                <w:color w:val="000000"/>
                <w:kern w:val="0"/>
                <w:szCs w:val="21"/>
              </w:rPr>
              <w:br/>
            </w:r>
            <w:r>
              <w:rPr>
                <w:rFonts w:ascii="宋体" w:hAnsi="宋体" w:cs="宋体" w:hint="eastAsia"/>
                <w:color w:val="000000"/>
                <w:kern w:val="0"/>
                <w:szCs w:val="21"/>
              </w:rPr>
              <w:t>支持针对全部链路详情分析链路复杂度和耗时中位数。</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5916"/>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209</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val="restart"/>
            <w:tcBorders>
              <w:top w:val="single" w:sz="4" w:space="0" w:color="auto"/>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系统集成与开放能力</w:t>
            </w: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应用管理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1、应用详情</w:t>
            </w:r>
            <w:r>
              <w:rPr>
                <w:rFonts w:ascii="宋体" w:hAnsi="宋体" w:cs="宋体" w:hint="eastAsia"/>
                <w:color w:val="000000"/>
                <w:kern w:val="0"/>
                <w:szCs w:val="21"/>
              </w:rPr>
              <w:br/>
            </w:r>
            <w:r>
              <w:rPr>
                <w:rFonts w:ascii="宋体" w:hAnsi="宋体" w:cs="宋体" w:hint="eastAsia"/>
                <w:color w:val="000000"/>
                <w:kern w:val="0"/>
                <w:szCs w:val="21"/>
              </w:rPr>
              <w:t>基础信息：</w:t>
            </w:r>
            <w:r>
              <w:rPr>
                <w:rFonts w:ascii="宋体" w:hAnsi="宋体" w:cs="宋体" w:hint="eastAsia"/>
                <w:color w:val="000000"/>
                <w:kern w:val="0"/>
                <w:szCs w:val="21"/>
              </w:rPr>
              <w:br/>
            </w:r>
            <w:r>
              <w:rPr>
                <w:rFonts w:ascii="宋体" w:hAnsi="宋体" w:cs="宋体" w:hint="eastAsia"/>
                <w:color w:val="000000"/>
                <w:kern w:val="0"/>
                <w:szCs w:val="21"/>
              </w:rPr>
              <w:t>支持应用分类管理、应用基础信息维护、应用环境管理等基础信息管理，同时支持对应用的操作权限控制。</w:t>
            </w:r>
            <w:r>
              <w:rPr>
                <w:rFonts w:ascii="宋体" w:hAnsi="宋体" w:cs="宋体" w:hint="eastAsia"/>
                <w:color w:val="000000"/>
                <w:kern w:val="0"/>
                <w:szCs w:val="21"/>
              </w:rPr>
              <w:br/>
            </w:r>
            <w:r>
              <w:rPr>
                <w:rFonts w:ascii="宋体" w:hAnsi="宋体" w:cs="宋体" w:hint="eastAsia"/>
                <w:color w:val="000000"/>
                <w:kern w:val="0"/>
                <w:szCs w:val="21"/>
              </w:rPr>
              <w:t>支持全部应用查询权限内的所有应用，我的应用仅查询登录用户所负责的应用。</w:t>
            </w:r>
            <w:r>
              <w:rPr>
                <w:rFonts w:ascii="宋体" w:hAnsi="宋体" w:cs="宋体" w:hint="eastAsia"/>
                <w:color w:val="000000"/>
                <w:kern w:val="0"/>
                <w:szCs w:val="21"/>
              </w:rPr>
              <w:br/>
            </w:r>
            <w:r>
              <w:rPr>
                <w:rFonts w:ascii="宋体" w:hAnsi="宋体" w:cs="宋体" w:hint="eastAsia"/>
                <w:color w:val="000000"/>
                <w:kern w:val="0"/>
                <w:szCs w:val="21"/>
              </w:rPr>
              <w:t>部署信息：</w:t>
            </w:r>
            <w:r>
              <w:rPr>
                <w:rFonts w:ascii="宋体" w:hAnsi="宋体" w:cs="宋体" w:hint="eastAsia"/>
                <w:color w:val="000000"/>
                <w:kern w:val="0"/>
                <w:szCs w:val="21"/>
              </w:rPr>
              <w:br/>
            </w:r>
            <w:r>
              <w:rPr>
                <w:rFonts w:ascii="宋体" w:hAnsi="宋体" w:cs="宋体" w:hint="eastAsia"/>
                <w:color w:val="000000"/>
                <w:kern w:val="0"/>
                <w:szCs w:val="21"/>
              </w:rPr>
              <w:t>支持在线查看部署包详细信息，支持应用重启，支持pod操作，包括登录pod shell命令操作、下载pod文件到本地、查看日志。</w:t>
            </w:r>
            <w:r>
              <w:rPr>
                <w:rFonts w:ascii="宋体" w:hAnsi="宋体" w:cs="宋体" w:hint="eastAsia"/>
                <w:color w:val="000000"/>
                <w:kern w:val="0"/>
                <w:szCs w:val="21"/>
              </w:rPr>
              <w:br/>
            </w:r>
            <w:r>
              <w:rPr>
                <w:rFonts w:ascii="宋体" w:hAnsi="宋体" w:cs="宋体" w:hint="eastAsia"/>
                <w:color w:val="000000"/>
                <w:kern w:val="0"/>
                <w:szCs w:val="21"/>
              </w:rPr>
              <w:t>2、CICD流水线</w:t>
            </w:r>
            <w:r>
              <w:rPr>
                <w:rFonts w:ascii="宋体" w:hAnsi="宋体" w:cs="宋体" w:hint="eastAsia"/>
                <w:color w:val="000000"/>
                <w:kern w:val="0"/>
                <w:szCs w:val="21"/>
              </w:rPr>
              <w:br/>
            </w:r>
            <w:r>
              <w:rPr>
                <w:rFonts w:ascii="宋体" w:hAnsi="宋体" w:cs="宋体" w:hint="eastAsia"/>
                <w:color w:val="000000"/>
                <w:kern w:val="0"/>
                <w:szCs w:val="21"/>
              </w:rPr>
              <w:t>分支管理：</w:t>
            </w:r>
            <w:r>
              <w:rPr>
                <w:rFonts w:ascii="宋体" w:hAnsi="宋体" w:cs="宋体" w:hint="eastAsia"/>
                <w:color w:val="000000"/>
                <w:kern w:val="0"/>
                <w:szCs w:val="21"/>
              </w:rPr>
              <w:br/>
            </w:r>
            <w:r>
              <w:rPr>
                <w:rFonts w:ascii="宋体" w:hAnsi="宋体" w:cs="宋体" w:hint="eastAsia"/>
                <w:color w:val="000000"/>
                <w:kern w:val="0"/>
                <w:szCs w:val="21"/>
              </w:rPr>
              <w:t>支持创建新分支，支持根据需求进行绑定。</w:t>
            </w:r>
            <w:r>
              <w:rPr>
                <w:rFonts w:ascii="宋体" w:hAnsi="宋体" w:cs="宋体" w:hint="eastAsia"/>
                <w:color w:val="000000"/>
                <w:kern w:val="0"/>
                <w:szCs w:val="21"/>
              </w:rPr>
              <w:br/>
            </w:r>
            <w:r>
              <w:rPr>
                <w:rFonts w:ascii="宋体" w:hAnsi="宋体" w:cs="宋体" w:hint="eastAsia"/>
                <w:color w:val="000000"/>
                <w:kern w:val="0"/>
                <w:szCs w:val="21"/>
              </w:rPr>
              <w:t>支持分支合并和分支删除，支持白屏化分支冲突解决。</w:t>
            </w:r>
            <w:r>
              <w:rPr>
                <w:rFonts w:ascii="宋体" w:hAnsi="宋体" w:cs="宋体" w:hint="eastAsia"/>
                <w:color w:val="000000"/>
                <w:kern w:val="0"/>
                <w:szCs w:val="21"/>
              </w:rPr>
              <w:br/>
            </w:r>
            <w:r>
              <w:rPr>
                <w:rFonts w:ascii="宋体" w:hAnsi="宋体" w:cs="宋体" w:hint="eastAsia"/>
                <w:color w:val="000000"/>
                <w:kern w:val="0"/>
                <w:szCs w:val="21"/>
              </w:rPr>
              <w:t>构建部署：</w:t>
            </w:r>
            <w:r>
              <w:rPr>
                <w:rFonts w:ascii="宋体" w:hAnsi="宋体" w:cs="宋体" w:hint="eastAsia"/>
                <w:color w:val="000000"/>
                <w:kern w:val="0"/>
                <w:szCs w:val="21"/>
              </w:rPr>
              <w:br/>
            </w:r>
            <w:r>
              <w:rPr>
                <w:rFonts w:ascii="宋体" w:hAnsi="宋体" w:cs="宋体" w:hint="eastAsia"/>
                <w:color w:val="000000"/>
                <w:kern w:val="0"/>
                <w:szCs w:val="21"/>
              </w:rPr>
              <w:t>支持基于多分支合并构建部署。</w:t>
            </w:r>
            <w:r>
              <w:rPr>
                <w:rFonts w:ascii="宋体" w:hAnsi="宋体" w:cs="宋体" w:hint="eastAsia"/>
                <w:color w:val="000000"/>
                <w:kern w:val="0"/>
                <w:szCs w:val="21"/>
              </w:rPr>
              <w:br/>
            </w:r>
            <w:r>
              <w:rPr>
                <w:rFonts w:ascii="宋体" w:hAnsi="宋体" w:cs="宋体" w:hint="eastAsia"/>
                <w:color w:val="000000"/>
                <w:kern w:val="0"/>
                <w:szCs w:val="21"/>
              </w:rPr>
              <w:t>支持不同环境分支的串联。</w:t>
            </w:r>
            <w:r>
              <w:rPr>
                <w:rFonts w:ascii="宋体" w:hAnsi="宋体" w:cs="宋体" w:hint="eastAsia"/>
                <w:color w:val="000000"/>
                <w:kern w:val="0"/>
                <w:szCs w:val="21"/>
              </w:rPr>
              <w:br/>
            </w:r>
            <w:r>
              <w:rPr>
                <w:rFonts w:ascii="宋体" w:hAnsi="宋体" w:cs="宋体" w:hint="eastAsia"/>
                <w:color w:val="000000"/>
                <w:kern w:val="0"/>
                <w:szCs w:val="21"/>
              </w:rPr>
              <w:t>支持个性化参数构建，支持同一环境类型多流水线能力，支持多主干模式。</w:t>
            </w:r>
            <w:r>
              <w:rPr>
                <w:rFonts w:ascii="宋体" w:hAnsi="宋体" w:cs="宋体" w:hint="eastAsia"/>
                <w:color w:val="000000"/>
                <w:kern w:val="0"/>
                <w:szCs w:val="21"/>
              </w:rPr>
              <w:br/>
            </w:r>
            <w:r>
              <w:rPr>
                <w:rFonts w:ascii="宋体" w:hAnsi="宋体" w:cs="宋体" w:hint="eastAsia"/>
                <w:color w:val="000000"/>
                <w:kern w:val="0"/>
                <w:szCs w:val="21"/>
              </w:rPr>
              <w:t>发布历史及回滚：</w:t>
            </w:r>
            <w:r>
              <w:rPr>
                <w:rFonts w:ascii="宋体" w:hAnsi="宋体" w:cs="宋体" w:hint="eastAsia"/>
                <w:color w:val="000000"/>
                <w:kern w:val="0"/>
                <w:szCs w:val="21"/>
              </w:rPr>
              <w:br/>
            </w:r>
            <w:r>
              <w:rPr>
                <w:rFonts w:ascii="宋体" w:hAnsi="宋体" w:cs="宋体" w:hint="eastAsia"/>
                <w:color w:val="000000"/>
                <w:kern w:val="0"/>
                <w:szCs w:val="21"/>
              </w:rPr>
              <w:t>发布历史及回滚可展示清晰的发布轨迹，并可基于历史版本进行镜像回滚。</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310" w:type="dxa"/>
          <w:tblInd w:w="0" w:type="dxa"/>
          <w:tblLayout w:type="fixed"/>
          <w:tblCellMar>
            <w:top w:w="0" w:type="dxa"/>
            <w:left w:w="108" w:type="dxa"/>
            <w:bottom w:w="0" w:type="dxa"/>
            <w:right w:w="108" w:type="dxa"/>
          </w:tblCellMar>
        </w:tblPrEx>
        <w:trPr>
          <w:trHeight w:val="1392"/>
        </w:trPr>
        <w:tc>
          <w:tcPr>
            <w:tcW w:w="61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210</w:t>
            </w:r>
          </w:p>
        </w:tc>
        <w:tc>
          <w:tcPr>
            <w:tcW w:w="663"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283" w:type="dxa"/>
            <w:gridSpan w:val="2"/>
            <w:vMerge/>
            <w:tcBorders>
              <w:top w:val="single" w:sz="4" w:space="0" w:color="auto"/>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797" w:type="dxa"/>
            <w:tcBorders>
              <w:top w:val="nil"/>
              <w:left w:val="nil"/>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版本管理</w:t>
            </w:r>
          </w:p>
        </w:tc>
        <w:tc>
          <w:tcPr>
            <w:tcW w:w="2211"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支持版本管理，提供版本列表。</w:t>
            </w:r>
            <w:r>
              <w:rPr>
                <w:rFonts w:ascii="宋体" w:hAnsi="宋体" w:cs="宋体" w:hint="eastAsia"/>
                <w:color w:val="000000"/>
                <w:kern w:val="0"/>
                <w:szCs w:val="21"/>
              </w:rPr>
              <w:br/>
            </w:r>
            <w:r>
              <w:rPr>
                <w:rFonts w:ascii="宋体" w:hAnsi="宋体" w:cs="宋体" w:hint="eastAsia"/>
                <w:color w:val="000000"/>
                <w:kern w:val="0"/>
                <w:szCs w:val="21"/>
              </w:rPr>
              <w:t>支持查看版本详情，支持查询该版本的所有变更内容，以及变更应用等信息。</w:t>
            </w:r>
            <w:r>
              <w:rPr>
                <w:rFonts w:ascii="宋体" w:hAnsi="宋体" w:cs="宋体" w:hint="eastAsia"/>
                <w:color w:val="000000"/>
                <w:kern w:val="0"/>
                <w:szCs w:val="21"/>
              </w:rPr>
              <w:br/>
            </w:r>
            <w:r>
              <w:rPr>
                <w:rFonts w:ascii="宋体" w:hAnsi="宋体" w:cs="宋体" w:hint="eastAsia"/>
                <w:color w:val="000000"/>
                <w:kern w:val="0"/>
                <w:szCs w:val="21"/>
              </w:rPr>
              <w:t>支持进行多个版本聚合操作，并根据版本号合并相同应用包，选择最新的包。</w:t>
            </w:r>
            <w:r>
              <w:rPr>
                <w:rFonts w:ascii="宋体" w:hAnsi="宋体" w:cs="宋体" w:hint="eastAsia"/>
                <w:color w:val="000000"/>
                <w:kern w:val="0"/>
                <w:szCs w:val="21"/>
              </w:rPr>
              <w:br/>
            </w:r>
            <w:r>
              <w:rPr>
                <w:rFonts w:ascii="宋体" w:hAnsi="宋体" w:cs="宋体" w:hint="eastAsia"/>
                <w:color w:val="000000"/>
                <w:kern w:val="0"/>
                <w:szCs w:val="21"/>
              </w:rPr>
              <w:t>支持上传版本包部署相应版本。</w:t>
            </w:r>
          </w:p>
        </w:tc>
        <w:tc>
          <w:tcPr>
            <w:tcW w:w="1972"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83"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bl>
    <w:p>
      <w:pPr>
        <w:rPr>
          <w:szCs w:val="20"/>
        </w:rPr>
      </w:pPr>
    </w:p>
    <w:p>
      <w:pPr>
        <w:rPr>
          <w:szCs w:val="20"/>
        </w:rPr>
      </w:pPr>
      <w:r>
        <w:rPr>
          <w:rFonts w:hint="eastAsia"/>
          <w:szCs w:val="20"/>
        </w:rPr>
        <w:t>4）湖仓一体化存算引擎技术需求</w:t>
      </w:r>
    </w:p>
    <w:tbl>
      <w:tblPr>
        <w:tblStyle w:val="TableNormal"/>
        <w:tblW w:w="9284" w:type="dxa"/>
        <w:tblInd w:w="0" w:type="dxa"/>
        <w:tblLayout w:type="fixed"/>
        <w:tblCellMar>
          <w:top w:w="0" w:type="dxa"/>
          <w:left w:w="108" w:type="dxa"/>
          <w:bottom w:w="0" w:type="dxa"/>
          <w:right w:w="108" w:type="dxa"/>
        </w:tblCellMar>
      </w:tblPr>
      <w:tblGrid>
        <w:gridCol w:w="638"/>
        <w:gridCol w:w="769"/>
        <w:gridCol w:w="1140"/>
        <w:gridCol w:w="797"/>
        <w:gridCol w:w="2220"/>
        <w:gridCol w:w="1988"/>
        <w:gridCol w:w="866"/>
        <w:gridCol w:w="866"/>
      </w:tblGrid>
      <w:tr>
        <w:tblPrEx>
          <w:tblW w:w="9284" w:type="dxa"/>
          <w:tblInd w:w="0" w:type="dxa"/>
          <w:tblLayout w:type="fixed"/>
          <w:tblCellMar>
            <w:top w:w="0" w:type="dxa"/>
            <w:left w:w="108" w:type="dxa"/>
            <w:bottom w:w="0" w:type="dxa"/>
            <w:right w:w="108" w:type="dxa"/>
          </w:tblCellMar>
        </w:tblPrEx>
        <w:trPr>
          <w:trHeight w:val="312"/>
        </w:trPr>
        <w:tc>
          <w:tcPr>
            <w:tcW w:w="638" w:type="dxa"/>
            <w:tcBorders>
              <w:top w:val="single" w:sz="4" w:space="0" w:color="auto"/>
              <w:left w:val="single" w:sz="4" w:space="0" w:color="auto"/>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769"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系统名称</w:t>
            </w:r>
          </w:p>
        </w:tc>
        <w:tc>
          <w:tcPr>
            <w:tcW w:w="1140"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系统功能</w:t>
            </w:r>
          </w:p>
        </w:tc>
        <w:tc>
          <w:tcPr>
            <w:tcW w:w="797"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子模块</w:t>
            </w:r>
          </w:p>
        </w:tc>
        <w:tc>
          <w:tcPr>
            <w:tcW w:w="2220"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招标</w:t>
            </w:r>
            <w:r>
              <w:rPr>
                <w:rFonts w:ascii="宋体" w:hAnsi="宋体" w:cs="宋体" w:hint="eastAsia"/>
                <w:b/>
                <w:bCs/>
                <w:color w:val="000000"/>
                <w:szCs w:val="21"/>
              </w:rPr>
              <w:t>技术要求</w:t>
            </w:r>
          </w:p>
        </w:tc>
        <w:tc>
          <w:tcPr>
            <w:tcW w:w="1988"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投标技术响应</w:t>
            </w:r>
          </w:p>
        </w:tc>
        <w:tc>
          <w:tcPr>
            <w:tcW w:w="866"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偏离情况</w:t>
            </w:r>
          </w:p>
        </w:tc>
        <w:tc>
          <w:tcPr>
            <w:tcW w:w="866" w:type="dxa"/>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说明</w:t>
            </w:r>
          </w:p>
        </w:tc>
      </w:tr>
      <w:tr>
        <w:tblPrEx>
          <w:tblW w:w="9284" w:type="dxa"/>
          <w:tblInd w:w="0" w:type="dxa"/>
          <w:tblLayout w:type="fixed"/>
          <w:tblCellMar>
            <w:top w:w="0" w:type="dxa"/>
            <w:left w:w="108" w:type="dxa"/>
            <w:bottom w:w="0" w:type="dxa"/>
            <w:right w:w="108" w:type="dxa"/>
          </w:tblCellMar>
        </w:tblPrEx>
        <w:trPr>
          <w:trHeight w:val="1248"/>
        </w:trPr>
        <w:tc>
          <w:tcPr>
            <w:tcW w:w="63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769" w:type="dxa"/>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湖仓一体化存算引擎</w:t>
            </w:r>
          </w:p>
        </w:tc>
        <w:tc>
          <w:tcPr>
            <w:tcW w:w="1937"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文件存储</w:t>
            </w:r>
          </w:p>
        </w:tc>
        <w:tc>
          <w:tcPr>
            <w:tcW w:w="22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r>
              <w:rPr>
                <w:rFonts w:ascii="宋体" w:hAnsi="宋体" w:cs="宋体" w:hint="eastAsia"/>
                <w:kern w:val="0"/>
                <w:szCs w:val="21"/>
              </w:rPr>
              <w:t>基于主流湖仓一体大数据平台技术扩展和封装，支持结构化、半结构化、非结构化数据的存储和处理。支持分布式文件系统和对象存储。</w:t>
            </w:r>
          </w:p>
        </w:tc>
        <w:tc>
          <w:tcPr>
            <w:tcW w:w="1988"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r>
      <w:tr>
        <w:tblPrEx>
          <w:tblW w:w="9284" w:type="dxa"/>
          <w:tblInd w:w="0" w:type="dxa"/>
          <w:tblLayout w:type="fixed"/>
          <w:tblCellMar>
            <w:top w:w="0" w:type="dxa"/>
            <w:left w:w="108" w:type="dxa"/>
            <w:bottom w:w="0" w:type="dxa"/>
            <w:right w:w="108" w:type="dxa"/>
          </w:tblCellMar>
        </w:tblPrEx>
        <w:trPr>
          <w:trHeight w:val="1872"/>
        </w:trPr>
        <w:tc>
          <w:tcPr>
            <w:tcW w:w="63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76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离线计算</w:t>
            </w:r>
          </w:p>
        </w:tc>
        <w:tc>
          <w:tcPr>
            <w:tcW w:w="22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kern w:val="0"/>
                <w:szCs w:val="21"/>
              </w:rPr>
              <w:t>提供基于数据仓库、内存计算或其他主流技术框架定制后的工具，适用于实时性要求不高的场景，比如离线报表、数</w:t>
            </w:r>
            <w:r>
              <w:rPr>
                <w:rFonts w:ascii="宋体" w:hAnsi="宋体" w:cs="宋体" w:hint="eastAsia"/>
                <w:color w:val="000000"/>
                <w:kern w:val="0"/>
                <w:szCs w:val="21"/>
              </w:rPr>
              <w:t>据分析等，延时支持分钟级，多数场景是定时周期性执行一个Job任务，任务周期支持分钟级、月级和年级别。支持数仓离线计算。</w:t>
            </w:r>
          </w:p>
        </w:tc>
        <w:tc>
          <w:tcPr>
            <w:tcW w:w="1988"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r>
      <w:tr>
        <w:tblPrEx>
          <w:tblW w:w="9284" w:type="dxa"/>
          <w:tblInd w:w="0" w:type="dxa"/>
          <w:tblLayout w:type="fixed"/>
          <w:tblCellMar>
            <w:top w:w="0" w:type="dxa"/>
            <w:left w:w="108" w:type="dxa"/>
            <w:bottom w:w="0" w:type="dxa"/>
            <w:right w:w="108" w:type="dxa"/>
          </w:tblCellMar>
        </w:tblPrEx>
        <w:trPr>
          <w:trHeight w:val="1248"/>
        </w:trPr>
        <w:tc>
          <w:tcPr>
            <w:tcW w:w="63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76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实时计算</w:t>
            </w:r>
          </w:p>
        </w:tc>
        <w:tc>
          <w:tcPr>
            <w:tcW w:w="22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r>
              <w:rPr>
                <w:rFonts w:ascii="宋体" w:hAnsi="宋体" w:cs="宋体" w:hint="eastAsia"/>
                <w:kern w:val="0"/>
                <w:szCs w:val="21"/>
              </w:rPr>
              <w:t>提供基于流式计算构建的企业级、高吞吐低时延的实时大数据处理系统，支持即时执行自定义作业。</w:t>
            </w:r>
          </w:p>
        </w:tc>
        <w:tc>
          <w:tcPr>
            <w:tcW w:w="1988"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r>
      <w:tr>
        <w:tblPrEx>
          <w:tblW w:w="9284" w:type="dxa"/>
          <w:tblInd w:w="0" w:type="dxa"/>
          <w:tblLayout w:type="fixed"/>
          <w:tblCellMar>
            <w:top w:w="0" w:type="dxa"/>
            <w:left w:w="108" w:type="dxa"/>
            <w:bottom w:w="0" w:type="dxa"/>
            <w:right w:w="108" w:type="dxa"/>
          </w:tblCellMar>
        </w:tblPrEx>
        <w:trPr>
          <w:trHeight w:val="312"/>
        </w:trPr>
        <w:tc>
          <w:tcPr>
            <w:tcW w:w="63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76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数据库</w:t>
            </w:r>
          </w:p>
        </w:tc>
        <w:tc>
          <w:tcPr>
            <w:tcW w:w="22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支持分布式数据库和海量关系型数据库</w:t>
            </w:r>
          </w:p>
        </w:tc>
        <w:tc>
          <w:tcPr>
            <w:tcW w:w="1988"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84" w:type="dxa"/>
          <w:tblInd w:w="0" w:type="dxa"/>
          <w:tblLayout w:type="fixed"/>
          <w:tblCellMar>
            <w:top w:w="0" w:type="dxa"/>
            <w:left w:w="108" w:type="dxa"/>
            <w:bottom w:w="0" w:type="dxa"/>
            <w:right w:w="108" w:type="dxa"/>
          </w:tblCellMar>
        </w:tblPrEx>
        <w:trPr>
          <w:trHeight w:val="1248"/>
        </w:trPr>
        <w:tc>
          <w:tcPr>
            <w:tcW w:w="63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76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资源管理</w:t>
            </w:r>
          </w:p>
        </w:tc>
        <w:tc>
          <w:tcPr>
            <w:tcW w:w="22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支持存储资源管理和计算资源管理。存储资源管理主要对磁盘的使用进行管理，涉及到存储资源的分配。计算资源的管理支持任务级别，可进行CPU和内存资源的调度。</w:t>
            </w:r>
          </w:p>
        </w:tc>
        <w:tc>
          <w:tcPr>
            <w:tcW w:w="1988"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84" w:type="dxa"/>
          <w:tblInd w:w="0" w:type="dxa"/>
          <w:tblLayout w:type="fixed"/>
          <w:tblCellMar>
            <w:top w:w="0" w:type="dxa"/>
            <w:left w:w="108" w:type="dxa"/>
            <w:bottom w:w="0" w:type="dxa"/>
            <w:right w:w="108" w:type="dxa"/>
          </w:tblCellMar>
        </w:tblPrEx>
        <w:trPr>
          <w:trHeight w:val="1872"/>
        </w:trPr>
        <w:tc>
          <w:tcPr>
            <w:tcW w:w="63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76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查询分析</w:t>
            </w:r>
          </w:p>
        </w:tc>
        <w:tc>
          <w:tcPr>
            <w:tcW w:w="22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支持搜索引擎服务和高性能内存计算引擎服务两大能力。高可用搜索引擎服务可以用于日志搜索分析，可应用于日益增多的海量数据搜索和分析等应用场景。高性能内存计算引擎可以达到秒级查询效率，可用于大数据Adhoc查询的场景。</w:t>
            </w:r>
          </w:p>
        </w:tc>
        <w:tc>
          <w:tcPr>
            <w:tcW w:w="1988"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9284" w:type="dxa"/>
          <w:tblInd w:w="0" w:type="dxa"/>
          <w:tblLayout w:type="fixed"/>
          <w:tblCellMar>
            <w:top w:w="0" w:type="dxa"/>
            <w:left w:w="108" w:type="dxa"/>
            <w:bottom w:w="0" w:type="dxa"/>
            <w:right w:w="108" w:type="dxa"/>
          </w:tblCellMar>
        </w:tblPrEx>
        <w:trPr>
          <w:trHeight w:val="1248"/>
        </w:trPr>
        <w:tc>
          <w:tcPr>
            <w:tcW w:w="638" w:type="dxa"/>
            <w:tcBorders>
              <w:top w:val="nil"/>
              <w:left w:val="single" w:sz="4" w:space="0" w:color="auto"/>
              <w:bottom w:val="single" w:sz="4" w:space="0" w:color="auto"/>
              <w:right w:val="single" w:sz="4" w:space="0" w:color="auto"/>
            </w:tcBorders>
            <w:noWrap/>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769" w:type="dxa"/>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37" w:type="dxa"/>
            <w:gridSpan w:val="2"/>
            <w:tcBorders>
              <w:top w:val="single" w:sz="4" w:space="0" w:color="auto"/>
              <w:left w:val="nil"/>
              <w:bottom w:val="single" w:sz="4" w:space="0" w:color="auto"/>
              <w:right w:val="single" w:sz="4" w:space="0" w:color="000000"/>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数据安全</w:t>
            </w:r>
          </w:p>
        </w:tc>
        <w:tc>
          <w:tcPr>
            <w:tcW w:w="2220"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r>
              <w:rPr>
                <w:rFonts w:ascii="宋体" w:hAnsi="宋体" w:cs="宋体" w:hint="eastAsia"/>
                <w:kern w:val="0"/>
                <w:szCs w:val="21"/>
              </w:rPr>
              <w:t>支持基于角色的权限控制，可对大数据集群进行权限管理，将集群中各组件零散的权限管理功能集中呈现和管理，对用户行为进行审计，同时记录合规和违规操作。</w:t>
            </w:r>
          </w:p>
        </w:tc>
        <w:tc>
          <w:tcPr>
            <w:tcW w:w="1988"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c>
          <w:tcPr>
            <w:tcW w:w="866" w:type="dxa"/>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Cs w:val="21"/>
              </w:rPr>
            </w:pPr>
          </w:p>
        </w:tc>
      </w:tr>
    </w:tbl>
    <w:p>
      <w:pPr>
        <w:rPr>
          <w:szCs w:val="20"/>
        </w:rPr>
      </w:pPr>
    </w:p>
    <w:p>
      <w:pPr>
        <w:rPr>
          <w:szCs w:val="20"/>
        </w:rPr>
      </w:pPr>
      <w:r>
        <w:rPr>
          <w:rFonts w:hint="eastAsia"/>
          <w:szCs w:val="20"/>
        </w:rPr>
        <w:t>2、信息安全及商用密码技术需求</w:t>
      </w:r>
    </w:p>
    <w:p>
      <w:pPr>
        <w:rPr>
          <w:szCs w:val="20"/>
        </w:rPr>
      </w:pPr>
      <w:r>
        <w:rPr>
          <w:rFonts w:hint="eastAsia"/>
          <w:szCs w:val="20"/>
        </w:rPr>
        <w:t>1）信息安全技术需求</w:t>
      </w:r>
    </w:p>
    <w:tbl>
      <w:tblPr>
        <w:tblStyle w:val="TableNormal"/>
        <w:tblW w:w="5432" w:type="pct"/>
        <w:tblInd w:w="0" w:type="dxa"/>
        <w:tblLayout w:type="fixed"/>
        <w:tblCellMar>
          <w:top w:w="0" w:type="dxa"/>
          <w:left w:w="108" w:type="dxa"/>
          <w:bottom w:w="0" w:type="dxa"/>
          <w:right w:w="108" w:type="dxa"/>
        </w:tblCellMar>
      </w:tblPr>
      <w:tblGrid>
        <w:gridCol w:w="437"/>
        <w:gridCol w:w="878"/>
        <w:gridCol w:w="4261"/>
        <w:gridCol w:w="1970"/>
        <w:gridCol w:w="856"/>
        <w:gridCol w:w="864"/>
      </w:tblGrid>
      <w:tr>
        <w:tblPrEx>
          <w:tblW w:w="5432" w:type="pct"/>
          <w:tblInd w:w="0" w:type="dxa"/>
          <w:tblLayout w:type="fixed"/>
          <w:tblCellMar>
            <w:top w:w="0" w:type="dxa"/>
            <w:left w:w="108" w:type="dxa"/>
            <w:bottom w:w="0" w:type="dxa"/>
            <w:right w:w="108" w:type="dxa"/>
          </w:tblCellMar>
        </w:tblPrEx>
        <w:trPr>
          <w:trHeight w:val="576"/>
        </w:trPr>
        <w:tc>
          <w:tcPr>
            <w:tcW w:w="236" w:type="pct"/>
            <w:tcBorders>
              <w:top w:val="single" w:sz="4" w:space="0" w:color="auto"/>
              <w:left w:val="single" w:sz="4" w:space="0" w:color="auto"/>
              <w:bottom w:val="single" w:sz="4" w:space="0" w:color="auto"/>
              <w:right w:val="single" w:sz="4" w:space="0" w:color="auto"/>
            </w:tcBorders>
            <w:shd w:val="clear" w:color="000000" w:fill="C6D9F0"/>
            <w:noWrap w:val="0"/>
            <w:vAlign w:val="center"/>
          </w:tcPr>
          <w:p>
            <w:pPr>
              <w:widowControl/>
              <w:jc w:val="center"/>
              <w:rPr>
                <w:rFonts w:ascii="宋体" w:hAnsi="宋体" w:cs="宋体" w:hint="eastAsia"/>
                <w:b/>
                <w:bCs/>
                <w:kern w:val="0"/>
                <w:sz w:val="22"/>
                <w:szCs w:val="22"/>
              </w:rPr>
            </w:pPr>
            <w:r>
              <w:rPr>
                <w:rFonts w:ascii="宋体" w:hAnsi="宋体" w:cs="宋体" w:hint="eastAsia"/>
                <w:b/>
                <w:bCs/>
                <w:kern w:val="0"/>
                <w:sz w:val="22"/>
                <w:szCs w:val="22"/>
              </w:rPr>
              <w:t>序号</w:t>
            </w:r>
          </w:p>
        </w:tc>
        <w:tc>
          <w:tcPr>
            <w:tcW w:w="474" w:type="pct"/>
            <w:tcBorders>
              <w:top w:val="single" w:sz="4" w:space="0" w:color="auto"/>
              <w:left w:val="nil"/>
              <w:bottom w:val="single" w:sz="4" w:space="0" w:color="auto"/>
              <w:right w:val="single" w:sz="4" w:space="0" w:color="auto"/>
            </w:tcBorders>
            <w:shd w:val="clear" w:color="000000" w:fill="C6D9F0"/>
            <w:noWrap w:val="0"/>
            <w:vAlign w:val="center"/>
          </w:tcPr>
          <w:p>
            <w:pPr>
              <w:widowControl/>
              <w:jc w:val="center"/>
              <w:rPr>
                <w:rFonts w:ascii="宋体" w:hAnsi="宋体" w:cs="宋体" w:hint="eastAsia"/>
                <w:b/>
                <w:bCs/>
                <w:kern w:val="0"/>
                <w:sz w:val="22"/>
                <w:szCs w:val="22"/>
              </w:rPr>
            </w:pPr>
            <w:r>
              <w:rPr>
                <w:rFonts w:ascii="宋体" w:hAnsi="宋体" w:cs="宋体" w:hint="eastAsia"/>
                <w:b/>
                <w:bCs/>
                <w:kern w:val="0"/>
                <w:sz w:val="22"/>
                <w:szCs w:val="22"/>
              </w:rPr>
              <w:t>货物名称</w:t>
            </w:r>
          </w:p>
        </w:tc>
        <w:tc>
          <w:tcPr>
            <w:tcW w:w="2299" w:type="pct"/>
            <w:tcBorders>
              <w:top w:val="single" w:sz="4" w:space="0" w:color="auto"/>
              <w:left w:val="nil"/>
              <w:bottom w:val="single" w:sz="4" w:space="0" w:color="auto"/>
              <w:right w:val="single" w:sz="4" w:space="0" w:color="auto"/>
            </w:tcBorders>
            <w:shd w:val="clear" w:color="000000" w:fill="D9E1F4"/>
            <w:noWrap w:val="0"/>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招标</w:t>
            </w:r>
            <w:r>
              <w:rPr>
                <w:rFonts w:ascii="宋体" w:hAnsi="宋体" w:cs="宋体" w:hint="eastAsia"/>
                <w:b/>
                <w:bCs/>
                <w:color w:val="000000"/>
                <w:szCs w:val="21"/>
              </w:rPr>
              <w:t>技术要求</w:t>
            </w:r>
          </w:p>
        </w:tc>
        <w:tc>
          <w:tcPr>
            <w:tcW w:w="1063" w:type="pct"/>
            <w:tcBorders>
              <w:top w:val="single" w:sz="4" w:space="0" w:color="auto"/>
              <w:left w:val="nil"/>
              <w:bottom w:val="single" w:sz="4" w:space="0" w:color="auto"/>
              <w:right w:val="single" w:sz="4" w:space="0" w:color="auto"/>
            </w:tcBorders>
            <w:shd w:val="clear" w:color="000000" w:fill="D9E1F4"/>
            <w:noWrap w:val="0"/>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投标技术响应</w:t>
            </w:r>
          </w:p>
        </w:tc>
        <w:tc>
          <w:tcPr>
            <w:tcW w:w="462" w:type="pct"/>
            <w:tcBorders>
              <w:top w:val="single" w:sz="4" w:space="0" w:color="auto"/>
              <w:left w:val="nil"/>
              <w:bottom w:val="single" w:sz="4" w:space="0" w:color="auto"/>
              <w:right w:val="single" w:sz="4" w:space="0" w:color="auto"/>
            </w:tcBorders>
            <w:shd w:val="clear" w:color="000000" w:fill="D9E1F4"/>
            <w:noWrap w:val="0"/>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偏离情况</w:t>
            </w:r>
          </w:p>
        </w:tc>
        <w:tc>
          <w:tcPr>
            <w:tcW w:w="466" w:type="pct"/>
            <w:tcBorders>
              <w:top w:val="single" w:sz="4" w:space="0" w:color="auto"/>
              <w:left w:val="nil"/>
              <w:bottom w:val="single" w:sz="4" w:space="0" w:color="auto"/>
              <w:right w:val="single" w:sz="4" w:space="0" w:color="auto"/>
            </w:tcBorders>
            <w:shd w:val="clear" w:color="000000" w:fill="D9E1F4"/>
            <w:noWrap w:val="0"/>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说明</w:t>
            </w: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1.设备高度≥1U，配置≥12个千兆电口，≥4个千兆光口，≥8个万兆光口，扩展槽位≥4，提供≥2个USB接口</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2.实配双电源，≥4个万兆多模光模块，≥1TB硬盘</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3.网络层吞吐量≥20Gbps，应用层吞吐量≥13Gbps，全威胁应用层吞吐(IPS+AV+应用识别)≥6G，最大并发连接数≥1000万，每秒新建连接数≥15万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4.支持安全控制、VPN、NAT、DOS/DDOS防御等传统防火墙能力，同时还一体化地集成了入侵防御、防病毒、应用控制、DLP、URL分类及自定义过滤等深度安全防御的功能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5.具有虚拟化技术，可以支持2台设备虚拟成一台设备使用，也支持将一台设备虚拟成多台设备使用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6、支持静态路由、策略路由、RIP、OSPF、BGP、IS-IS路由协议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7.支持WAF、IPS、DDOS攻击防御、病毒防御、僵尸网络功能及云沙箱联动功能。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8.支持双硬盘，双硬盘支持Raid0和Raid1，实现硬盘数据存储的高可靠</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91"/>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sql注入、跨站脚本、远程代码执行、字符编码等攻击的防护，支持对网络设备、网页服务器、数据库等设备的专属特征分类，支持CC攻击防护，可基于检测请求报文头的X-forward-for字段，以获取真正的源IP地址</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10.支持BFD和NQA网络协议，支持基于接口状态和路由状态等多种类型的探测机制来及时触发链路切换或主备切换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11.支持SNMPv1、SNMPv2、SNMPv3、RMON等网络管理协议，并且支持通过网管软件远程进行设备软件升级、配置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9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▲12.支持智能DNS功能，引导用户访问最优的站点，（</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数据中心防火墙</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1.≥2U标准机架式，双电源，千兆电口≥16个，万兆光口（含万兆多模光纤模块）≥6个，40G光口（含40G多模光纤模块）≥4个；网络层吞吐量≥40G，应用层吞吐量≥25G，并发连接数≥420万，HTTP新建连接数≥19万。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2.支持路由类型、协议类型、网络对象、国家地区等条件进行自动选路的策略路由，支持不少于3种的调度算法，至少包括带宽比例、加权流量、线路优先等。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3.具备勒索防护功能、CC攻击防护功能、Cookie攻击防护功能。具备僵尸主机检测功能，僵尸网络特征库不低于128万种，可识别主机的异常外联行为。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4.具备入侵防护IPS功能模块，漏洞规则不低于16000种，并支持失陷外联检测，至少应包含DNS隧道检测、HTTP隧道检测、Webshell加密通信检测能力。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5.支持X-Forworded-For字段检测技术，并对非法源IP进行日志记录和联动封锁。支持服务器漏洞防扫描技术，并对扫描源IP进行日志记录和联动封锁。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6.具备账号安全防护功能，包括用户账号多余入口检测、用户账号弱口令检测、用户账号暴力破解检测、失陷账号检测，防止因账号被暴力破解导致的非法提权情况发生。</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▲7.具备策略生命周期管理功能。支持记录安全策略变更时间、变更账号、变更类型等内容，提升日常安全策略运维效率。（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联动云端蜜罐（非本地蜜罐）获取黑客指纹信息，自动封锁高危IP。可选择诱捕外网攻击和内网扩散策略，通过云端高仿真的蜜罐，分析攻击者画像，溯源社交账号。9.支持自定义流量监控组件，可基于设备、应用、源目的IP、接口设置不同的流量和会话数排行动态展示，展示效果支持面积图、折线图、柱状图等至少三种形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w:t>
            </w:r>
          </w:p>
        </w:tc>
        <w:tc>
          <w:tcPr>
            <w:tcW w:w="474" w:type="pct"/>
            <w:vMerge w:val="restart"/>
            <w:tcBorders>
              <w:top w:val="nil"/>
              <w:left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防火墙</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1.≥2U标准机架式，双电源，千兆电口≥16个，万兆光口（含万兆多模光纤模块）≥6个，40G光口（含40G多模光纤模块）≥4个；网络层吞吐量≥40G，应用层吞吐量≥25G，并发连接数≥420万，HTTP新建连接数≥19万。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2.支持路由类型、协议类型、网络对象、国家地区等条件进行自动选路的策略路由，支持不少于3种的调度算法，至少包括带宽比例、加权流量、线路优先等。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3.具备勒索防护功能、CC攻击防护功能、Cookie攻击防护功能。具备僵尸主机检测功能，僵尸网络特征库不低于128万种，可识别主机的异常外联行为。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4.具备入侵防护IPS功能模块，漏洞规则不低于16000种，并支持失陷外联检测，至少应包含DNS隧道检测、HTTP隧道检测、Webshell加密通信检测能力。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5.支持X-Forworded-For字段检测技术，并对非法源IP进行日志记录和联动封锁。支持服务器漏洞防扫描技术，并对扫描源IP进行日志记录和联动封锁。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6.具备账号安全防护功能，包括用户账号多余入口检测、用户账号弱口令检测、用户账号暴力破解检测、失陷账号检测，防止因账号被暴力破解导致的非法提权情况发生。</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▲7.具备策略生命周期管理功能。支持记录安全策略变更时间、变更账号、变更类型等内容，提升日常安全策略运维效率。（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8.支持联动云端蜜罐（非本地蜜罐）获取黑客指纹信息，自动封锁高危IP。可选择诱捕外网攻击和内网扩散策略，通过云端高仿真的蜜罐，分析攻击者画像，溯源社交账号。</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9.支持自定义流量监控组件，可基于设备、应用、源目的IP、接口设置不同的流量和会话数排行动态展示，展示效果支持面积图、折线图、柱状图等至少三种形式。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网络入侵防护系统</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1.≥2U标准机架式机箱，交流冗余电源，≥1个千兆管理电口，≥1个千兆热备电口，≥4个万兆光口，≥7个可用扩展槽位，≥2USB接口，≥1RJ45串口，具备液晶屏；</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2.网络层吞吐≥20Gbps、应用层吞吐≥8Gbps；</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3.系统提供规则升级更新内容，如发布时间、规则版本、新增规则、修改规则等；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▲4.支持基于SCADA等工控协议的相关漏洞攻击检测与防护（</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5.支持DGA域名检测，支持DGA本地、远程升级方式，通过启动 DGA 域名检测，可将DGA 检测到的DNS安全事件进行告警。</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6.支持关键字识别分类，不在内置分类库中的url可根据title内容动态识别分类。</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7.可通过各种统计分析自行选择呈现当前整体威胁状态：如威胁事件级别分布、入侵事件-攻击类别分布、攻击类别趋势、TOP入侵事件目的IP、入侵事件发生趋势等等，支持TOP5、10展示。</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8.系统可零配置上线，提供策略模板、规则模板，减少配置工作量，提高部署效率；</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系统应提供入侵行为特征的自定义接口，可根据用户需求定制相应的检测和阻断规则。支持以下自定义：名称、级别、匹配范围、协议类型、协议号、包长度、正则表达式关键字。至少支持IP\TCP\UDP\HTTP\POP3\SMTP\QQTCP\\QQUDP\FTP协议的规则自定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10.支持对挖矿行为进行防护，并可将产生的挖矿行为生成日志，可通过源地址和目的地地址和信誉等级进行查询，可展示挖矿日志的威胁类型、挖矿值及协议等。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11.支持不少于七种弱口令配置，支持导入自定义弱口令字典。须支持强密码复杂度限制，如同时包含大小写字母、特殊字符、数字、不能包含用户名等组合方式限制；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12.系统应提供丰富的响应方式，包括：告警、阻断、IP隔离、抓包等，满足用户各种响应需求；</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13.支持多种威胁情报场景包，可针对不同场景的威胁攻击进行检测，包括APT检测、挖矿检测、勒索检测、反诈检测、失陷检测、暗网节点检测；</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5</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1.网络吞吐性能≥40Gbps，2U机架式，内存≥64 GB，硬盘≥4T，电源规格：1+1冗余电源，网络接口：千兆电口≥16个，千兆光口≥8个，万兆光口≥6个，万兆多模光模块≥6个。</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支持路由模式、交换模式、旁路模式等部署模式，部署模式切换无需重启设备。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支持双机热备，支持主备模式和主主模式。支持同步配置、运行状态等。支持配置抢占模式。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▲4.支持对控制策略进行策略分析，分析结果中存在冲突策略和合并策略。（</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支持IPv4/IPv6双栈协议的源地址转换、目的地址转换、双向NAT、NAT64等地址转换。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支持端口镜像功能；支持入流量、出流量和双向流量等维度镜像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流量转发至少支持普通模式和智能模式。普通模式下，所有报文均上送安全引擎；智能模式下，超过上限的报文不再上送安全引擎。</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支持识别多种主流应用，支持应用自定义并对自定义的应用进行分组。</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支持邮件内容过滤；支持基于发件人、收件人、邮件标题或邮件正文的关键字进行行为过滤。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根据自定义漏洞模板扫描漏洞，扫描结果处存在扫描靶机上的漏洞信息，包括名称、CVE-ID、CNNVD-ID等信息，并在漏洞列表处记录扫描到的漏洞信息，信息与扫描结果一致。同时，可查看漏洞的具体信息和修复建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支持Telnet、FTP、SMTP、HTTP等协议的弱密码防护。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支持暴力破解侦查和访问控制，并支持用户根据实际场景修改频率阈值。</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支持基于源IP地址、目的IP地址、端口、协议等的黑名单配置，支持自定义黑名单生效时间。</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31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支持管理员开启双因子认证，至少支持密码和手机APP令牌的双因子认证。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312"/>
        </w:trPr>
        <w:tc>
          <w:tcPr>
            <w:tcW w:w="236" w:type="pct"/>
            <w:vMerge/>
            <w:tcBorders>
              <w:left w:val="single" w:sz="4" w:space="0" w:color="auto"/>
              <w:bottom w:val="single" w:sz="4" w:space="0" w:color="auto"/>
              <w:right w:val="single" w:sz="4" w:space="0" w:color="auto"/>
            </w:tcBorders>
            <w:noWrap w:val="0"/>
            <w:vAlign w:val="center"/>
          </w:tcPr>
          <w:p>
            <w:pPr>
              <w:widowControl/>
            </w:pPr>
          </w:p>
        </w:tc>
        <w:tc>
          <w:tcPr>
            <w:tcW w:w="474" w:type="pct"/>
            <w:vMerge/>
            <w:tcBorders>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支持手动和自定义周期系统配置自动备份。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Web管理界面支持Ping、Traceroute、HTTP(S)诊断工具，可支持基于接口、协议、IP地址等进行网络抓包。</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6</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防毒墙</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1.配置参数：2U标准机架式设备，千兆电口≥2个，万兆光口≥2（配2个万兆多模光模块），扩展插槽≥3个，冗余电源。CPU≥10核，内存≥64G，硬盘容量≥2TB。网络层吞吐率≥15Gbps，防病毒吞吐率≥3Gbps。</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2.能够对威胁进行可视化展示，展示维度至少包括威胁类型统计（至少包含勒索、挖矿、病毒、APT、漏洞利用威胁事件）、近30天威胁事件趋势、攻击源IP TOP5、受影响主机TOP5、勒索&amp;挖矿事件拦截统计、热门威胁事件TOP5、自定义黑名单TOP5等。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 能够支持超过100种协议的解析, 包括但不限于HTTP/SMTP/POP3/FTP/SMB/TFTP/TCP/UDP/NFS/SNMP/ICMP/RTMP/DNS/IRC等。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 能够支持SMBv1/SMBv2/SMBv3文件共享协议的病毒检测与查杀,且针对SMBv3协议。</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 能够启动高级威胁扫描引擎，用以查杀不同级别的具有可疑行为的文件。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6.能够支持两个的防病毒引擎同时工作，并能够按需开启。能够支持快速扫描模式和深度扫描模式切换，确保在不同网络环境下的查杀效果。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7.支持反向代理部署模式，支持该模式下对HTTP/HTTPS流量解析检测，并支持阻断或监控模式。能够允许定义被扫描文件的大小，扫描文件最大不小于2G。</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8.支持虚拟补丁功能，在网络层面对漏洞利用攻击进行监控和阻断。</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威胁情报IOC检测，支持的威胁类型包括但不限于：远控、钓鱼、僵尸网络、矿池地址、挖矿木马、勒索软件、窃密木马、远控木马、网络蠕虫、黑客工具、APT攻击事件、流氓推广、其他恶意软件。具备威胁情报云端联动机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10.支持漏洞收敛功能,具备端口扫描攻击防范、地址扫描攻击防范、Web目录扫描攻击防范和恶意扫描工具防范能力，能对识别到的扫描设备进行流量处理，处理措施包括但不限于阻止全部、阻止中高危。</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所投产品部署方式灵活以适应丰富的应用场景，支持ICAP部署模式。设备需支持开启和关闭软件Bypass和硬件Bypass，并且可指定IP、端口进行bypass设置。可对CPU、内存阈值进行设置，当超过该阈值，防毒墙主进程会自动清理损耗的资源，并可邮件通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12.产品管理平台支持对多台设备进行统一监控，能同时监控多台设备状态和信息，包含且不限于设备名称，设备版本，CPU、内存、会话数等信息。</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13.产品具有IPv6 Ready Logo认证证书。</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72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▲14.病毒检测、勒索病毒防护、挖矿病毒拦截、大文件检测等关键性指标，且各类指标均为检测通过，病毒检出率应大于99%、勒索病毒检出率应为100%防护通过。（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15.支持防御多种类型的恶意软件 (包括但不限于病毒、木马、蠕虫、后门、间谍软件、灰色软件、Rootkits等)。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360"/>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7</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1.网络吞吐性能≥35 Gbps，2U机架式，内存≥64 GB，硬盘≥4T，电源规格：1+1冗余电源，网络接口：千兆电口≥16个，千兆光口≥8个，万兆光口≥6个，万兆多模光模块≥6个。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支持路由模式、交换模式、旁路模式等部署模式，部署模式切换无需重启设备。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支持双机热备，支持主备模式和主主模式。支持同步配置、运行状态等。支持配置抢占模式。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支持对控制策略进行策略分析，分析结果中存在冲突策略和合并策略。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支持IPv4/IPv6双栈协议的源地址转换、目的地址转换、双向NAT、NAT64等地址转换。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支持端口镜像功能；支持入流量、出流量和双向流量等维度镜像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▲7.流量转发至少支持普通模式和智能模式。普通模式下，所有报文均上送安全引擎；智能模式下，超过上限的报文不再上送安全引擎。（</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支持识别多种主流应用，支持应用自定义并对自定义的应用进行分组</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支持邮件内容过滤；支持基于发件人、收件人、邮件标题或邮件正文的关键字进行行为过滤。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根据自定义漏洞模板扫描漏洞，扫描结果处存在扫描靶机上的漏洞信息，包括名称、CVE-ID、CNNVD-ID等信息，并在漏洞列表处记录扫描到的漏洞信息，信息与扫描结果一致。同时，可查看漏洞的具体信息和修复建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支持Telnet、FTP、SMTP、HTTP等协议的弱密码防护。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支持暴力破解侦查和访问控制，并支持用户根据实际场景修改频率阈值。</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支持基于源IP地址、目的IP地址、端口、协议等的黑名单配置，支持自定义黑名单生效时间。</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支持管理员开启双因子认证，至少支持密码和手机APP令牌的双因子认证。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支持手动和自定义周期系统配置自动备份。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Web管理界面支持Ping、Traceroute、HTTP(S)诊断工具，可支持基于接口、协议、IP地址等进行网络抓包。</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8</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防毒墙</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1.配置参数：2U标准机架式设备，千兆电口≥2个，万兆光口≥2（配2个万兆多模光模块），扩展插槽≥3个，冗余电源。CPU≥10核，内存≥64G，硬盘容量≥2TB。网络层吞吐率≥15Gbps，防病毒吞吐率≥3Gbps。</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2.能够对威胁进行可视化展示，展示维度至少包括威胁类型统计（至少包含勒索、挖矿、病毒、APT、漏洞利用威胁事件）、近30天威胁事件趋势、攻击源IP TOP5、受影响主机TOP5、勒索&amp;挖矿事件拦截统计、热门威胁事件TOP5、自定义黑名单TOP5等。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5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 能够支持超过100种协议的解析, 包括但不限于</w:t>
            </w:r>
          </w:p>
          <w:p>
            <w:pPr>
              <w:widowControl/>
              <w:jc w:val="left"/>
              <w:rPr>
                <w:rFonts w:ascii="宋体" w:hAnsi="宋体" w:cs="宋体" w:hint="eastAsia"/>
                <w:kern w:val="0"/>
                <w:sz w:val="22"/>
                <w:szCs w:val="22"/>
              </w:rPr>
            </w:pPr>
            <w:r>
              <w:rPr>
                <w:rFonts w:ascii="宋体" w:hAnsi="宋体" w:cs="宋体" w:hint="eastAsia"/>
                <w:kern w:val="0"/>
                <w:sz w:val="22"/>
                <w:szCs w:val="22"/>
              </w:rPr>
              <w:t>HTTP/SMTP/POP3/FTP/SMB/TFTP/TCP/UDP/NFS/SNMP/ICMP/RTMP/DNS/IRC等。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 能够支持SMBv1/SMBv2/SMBv3文件共享协议的病毒检测与查杀,且针对SMBv3协议。</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 能够启动高级威胁扫描引擎，用以查杀不同级别的具有可疑行为的文件。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6.能够支持两个的防病毒引擎同时工作，并能够按需开启。能够支持快速扫描模式和深度扫描模式切换，确保在不同网络环境下的查杀效果。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7.支持反向代理部署模式，支持该模式下对HTTP/HTTPS流量解析检测，并支持阻断或监控模式。能够允许定义被扫描文件的大小，扫描文件最大不小于2G。</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8.支持虚拟补丁功能，在网络层面对漏洞利用攻击进行监控和阻断。</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威胁情报IOC检测，支持的威胁类型包括但不限于：远控、钓鱼、僵尸网络、矿池地址、挖矿木马、勒索软件、窃密木马、远控木马、网络蠕虫、黑客工具、APT攻击事件、流氓推广、其他恶意软件。具备威胁情报云端联动机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10.支持漏洞收敛功能,具备端口扫描攻击防范、地址扫描攻击防范、Web目录扫描攻击防范和恶意扫描工具防范能力，能对识别到的扫描设备进行流量处理，处理措施包括但不限于阻止全部、阻止中高危。</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所投产品需部署方式灵活以适应丰富的应用场景，支持ICAP部署模式。设备需支持开启和关闭软件Bypass和硬件Bypass，并且可指定IP、端口进行bypass设置。可对CPU、内存阈值进行设置，当超过该阈值，防毒墙主进程会自动清理损耗的资源，并可邮件通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12.产品管理平台支持对多台设备进行统一监控，能同时监控多台设备状态和信息，包含且不限于设备名称，设备版本，CPU、内存、会话数等信息。</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13.产品具有IPv6 Ready Logo认证证书。</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5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▲14.病毒检测、勒索病毒防护、挖矿病毒拦截、大文件检测等关键性指标，且各类指标均为检测通过，病毒检出率应大于99%、勒索病毒检出率应为100%防护通过。（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15.产品能够防御多种类型的恶意软件 (包括但不限于病毒、木马、蠕虫、后门、间谍软件、灰色软件、Rootkits等)。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9</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负载均衡</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1.设备高度≥1U，配置≥12个千兆电口，≥4个千兆光口，≥8个万兆光口，扩展槽位≥2，提供≥2个USB接口，</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2.实配双电源，≥8个万兆多模光模块，≥1TB硬盘</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3.网络层吞吐量≥20Gbps，应用层吞吐量≥5Gbps，最大并发连接数≥1000万，每秒新建连接数≥13万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4.支持服务器负载均衡、链路负载均衡、SSL卸载、应用优化、应用安全功能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5.具有虚拟化技术，可以支持2台设备虚拟成一台设备使用，也支持将一台设备虚拟成多台设备使用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6.支持多种链路检测方法，能够通过ICMP、UDP、TCP、FTP、DNS、HTTP、RADIUS、SSL、HTTPS、TCP half-open、SNMP-DCA、RADIUS-ACCOUNT等方式监控链路的连通性</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7.支持双硬盘，双硬盘支持Raid0和Raid1，实现硬盘数据存储的高可靠</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8.支持DNS透明代理、支持基于域名的负载分担、支持ISP地址库更新、支持基于ISP选路的负载分担，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9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▲9.基于应用的链路负载均衡、动态就近性、支持基于 PPPoE 链路负载均衡（</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10.支持在线抓包功能、支持浪涌保护、支持 BYPASS功能，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10</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上网行为管理</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1.≥1U标准机架式，双电源，千兆电口≥6个，万兆光口SFP+（含万兆多模光纤模块）≥4个；网络层吞吐量（大包）≥10Gb，带宽性能≥1Gb，支持用户数≥6000，最大并发连接数≥60万；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2.支持图形化查看当前内网IP使用情况，帮助管理员减少人工维护IP表的工作量；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3.支持存储设备、网络设备、蓝牙设备、摄像头、打印机的使用管控；支持外设白名单，提供批量获取硬件ID的工具进行白名单配置；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4.支持网络故障排查，支持PPS异常、丢包异常、ARP异常、内网DOS攻击等异常情况实时监测，显示每日异常事件个数及情况。</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5.设备内置应用识别规则库，支持超过9000种以上应用规则数、支持超过6000种以上的应用；支持根据标签选择应用，并支持给每个应用自定义标签；支持根据标签选择一类应用做控制。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首页分析显示接入管理状态，包括在线用户、流量分析、应用流量排名；资产类型分布、新设备发现趋势、终端违规检查项排行、终端违规用户排行；支持行为风险分析，泄密风险、终端接入、工作效率、接入状态、上网状态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7.Web访问质量检测，针对内网用户的web访问质量进行检测，对整体网络提供清晰的整体网络质量评级。</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8.支持Windows终端外联行为检查，包括：连接拨号行为、双网卡行为、有无线网卡、连接非法WIFI、有4G网卡、使用非法网关、连接外网、自定义外联行为，对不满足检查要求的终端强制断网，支持向管理员告警，并弹窗提示用户。（</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9.支持在设置流量策略后，根据整体线路或者某流量通道内的空闲情况，自动启用和停止使用流量控制策略，以提升带宽的高使用率，空闲值可自定义。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11</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网络吞吐性能≥40Gbps，2U机架式，内存≥64 GB，硬盘≥4T，电源规格：1+1冗余电源，网络接口：千兆电口≥16个，千兆光口≥8个，万兆光口≥10个，万兆多模光模块≥10个。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支持路由模式、交换模式、旁路模式等部署模式，部署模式切换无需重启设备。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支持双机热备，支持主备模式和主主模式。支持同步配置、运行状态等。支持配置抢占模式。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支持对控制策略进行策略分析，分析结果中存在冲突策略和合并策略。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支持IPv4/IPv6双栈协议的源地址转换、目的地址转换、双向NAT、NAT64等地址转换。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支持端口镜像功能；支持入流量、出流量和双向流量等维度镜像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▲7.流量转发至少支持普通模式和智能模式。普通模式下，所有报文均上送安全引擎；智能模式下，超过上限的报文不再上送安全引擎。（</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支持识别多种主流应用，支持应用自定义并对自定义的应用进行分组</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支持邮件内容过滤；支持基于发件人、收件人、邮件标题或邮件正文的关键字进行行为过滤。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10.支持根据自定义漏洞模板扫描漏洞，扫描结果处存在扫描靶机上的漏洞信息，包括名称、CVE-ID、CNNVD-ID等信息，并在漏洞列表处记录扫描到的漏洞信息，信息与扫描结果一致。同时，可查看漏洞的具体信息和修复建议。（</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支持Telnet、FTP、SMTP、HTTP等协议的弱密码防护。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支持暴力破解侦查和访问控制，并支持用户根据实际场景修改频率阈值。</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支持基于源IP地址、目的IP地址、端口、协议等的黑名单配置，支持自定义黑名单生效时间。</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支持管理员开启双因子认证，至少支持密码和手机APP令牌的双因子认证。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支持手动和自定义周期系统配置自动备份。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16.  Web管理界面支持Ping、Traceroute、HTTP(S)诊断工具，可支持基于接口、协议、IP地址等进行网络抓包。</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12</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上网行为管理</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1.≥1U标准机架式，双电源，千兆电口≥6个，万兆光口SFP+（含万兆多模光纤模块）≥4个；网络层吞吐量（大包）≥10Gb，带宽性能≥1Gb，支持用户数≥6000，最大并发连接数≥60万；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2.支持图形化查看当前内网IP使用情况，帮助管理员减少人工维护IP表的工作量；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3.支持存储设备、网络设备、蓝牙设备、摄像头、打印机的使用管控；支持外设白名单，提供批量获取硬件ID的工具进行白名单配置；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4.支持网络故障排查，支持PPS异常、丢包异常、ARP异常、内网DOS攻击等异常情况实时监测，显示每日异常事件个数及情况。</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5.设备内置应用识别规则库，支持超过9000种以上应用规则数、支持超过6000种以上的应用；支持根据标签选择应用，并支持给每个应用自定义标签；支持根据标签选择一类应用做控制。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首页分析显示接入管理状态，包括在线用户、流量分析、应用流量排名；资产类型分布、新设备发现趋势、终端违规检查项排行、终端违规用户排行；支持行为风险分析，泄密风险、终端接入、工作效率、接入状态、上网状态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7.Web访问质量检测，针对内网用户的web访问质量进行检测，对整体网络提供整体网络质量评级。</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8.支持Windows终端外联行为检查，包括：连接拨号行为、双网卡行为、有无线网卡、连接非法WIFI、有4G网卡、使用非法网关、连接外网、自定义外联行为，对不满足检查要求的终端强制断网，支持向管理员告警，并弹窗提示用户。（</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9.支持在设置流量策略后，根据整体线路或者某流量通道内的空闲情况，自动启用和停止使用流量控制策略，以提升带宽的高使用率，空闲值可自定义。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13</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抗拒绝服务系统</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1.≥2U标准机架式机箱，交流冗余电源，≥2个USB2.0接口，≥1个RJ45串口，≥1个千兆管理电口，≥1个千兆热备电口，≥6个千兆电口(3组bypass),≥4个千兆光口，≥2个万兆光口，≥1个可用扩展槽位；</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2.设备攻击清洗能力不低于10G，最大具备通过授权扩充至40G；</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3.支持自动识别APP访问来源，与PC源配置差异化防护策略进行精准过滤；</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4.支持肉鸡防护，通过对源IP的URL访问比例进行统计防护肉鸡攻击；</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5.设备提供过滤功能，支持白名单、群组黑名单、全局黑名单、群组ACL、全局AC L、正则表达（同时支持TCP和UDP协议）、GeoIP功能；</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6.支持自动识别APP访问来源，与PC源配置差异化防护策略进行精准过滤；</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7.UDP防护支持多种检查和限速方式，包括最小包长、最大包长、源IP+源端口限速、源IP限速、目的IP+目的端口限速、目的IP+源端口限速、目的IP限速；</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8.支持对空连接进行检测和防护；</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9.支持调用威胁情报库对流量进行防护，并支持IP信誉查询；支持基于群组设置情报动作（丢弃限速等），支持情报例外避免业务误阻断；支持对情报防护情况进行统计；支持威胁情报库自动或手动升级；</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10.支持对HTTP Malformed报文防护进行防护（HTTP畸形报文）；</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11.支持针对HTTPS业务，具备导入SSL证书进行解密防护；</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12.支持可编程对抗规则策略，支持按照给定的编程语言生成规则对数据包特征进行匹配，能够针对包含隐私规则或者复杂逻辑的报文进行防护；</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▲13.设备登录认证支持本地认证和Radius认证，LDAP认证，TACACS+认证。（</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14</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防毒墙</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1.配置参数：2U标准机架式设备，千兆电口≥2个，万兆光口≥2（配2个万兆多模光模块），扩展插槽≥3个，冗余电源。CPU≥10核，内存≥64G，硬盘容量≥2TB。网络层吞吐率≥15Gbps，防病毒吞吐率≥3Gbps。</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2.能够对威胁进行可视化展示，展示维度至少包括威胁类型统计（至少包含勒索、挖矿、病毒、APT、漏洞利用威胁事件）、近30天威胁事件趋势、攻击源IP TOP5、受影响主机TOP5、勒索&amp;挖矿事件拦截统计、热门威胁事件TOP5、自定义黑名单TOP5等。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 能够支持超过100种协议的解析, 包括但不限于HTTP/SMTP/POP3/FTP/SMB/TFTP/TCP/UDP/NFS/SNMP/ICMP/RTMP/DNS/IRC等。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 能够支持SMBv1/SMBv2/SMBv3文件共享协议的病毒检测与查杀,且针对SMBv3协议。</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 能够启动高级威胁扫描引擎，用以查杀不同级别的具有可疑行为的文件。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6.能够支持两个的防病毒引擎同时工作，并能够按需开启。能够支持快速扫描模式和深度扫描模式切换，确保在不同网络环境下的查杀效果。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7.支持反向代理部署模式，支持该模式下对HTTP/HTTPS流量解析检测，并支持阻断或监控模式。能够允许定义被扫描文件的大小，扫描文件最大不小于2G。</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8.支持虚拟补丁功能，在网络层面对漏洞利用攻击进行监控和阻断。</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威胁情报IOC检测，支持的威胁类型包括但不限于：远控、钓鱼、僵尸网络、矿池地址、挖矿木马、勒索软件、窃密木马、远控木马、网络蠕虫、黑客工具、APT攻击事件、流氓推广、其他恶意软件。具备威胁情报云端联动机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10.支持漏洞收敛功能,具备端口扫描攻击防范、地址扫描攻击防范、Web目录扫描攻击防范和恶意扫描工具防范能力，能对识别到的扫描设备进行流量处理，处理措施包括但不限于阻止全部、阻止中高危。</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所投产品部署方式灵活以适应丰富的应用场景，支持ICAP部署模式。设备支持开启和关闭软件Bypass和硬件Bypass，并且可指定IP、端口进行bypass设置。可对CPU、内存阈值进行设置，当超过该阈值，防毒墙主进程会自动清理损耗的资源，并可邮件通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12.产品管理平台支持对多台设备进行统一监控，能同时监控多台设备状态和信息，包含且不限于设备名称，设备版本，CPU、内存、会话数等信息。</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13.产品具有IPv6 Ready Logo认证证书。</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72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▲14.病毒检测、勒索病毒防护、挖矿病毒拦截、大文件检测等关键性指标，且各类指标均为检测通过，病毒检出率应大于99%、勒索病毒检出率应为100%防护通过。（</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15.产品能够防御多种类型的恶意软件 (包括但不限于病毒、木马、蠕虫、后门、间谍软件、灰色软件、Rootkits等)。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15</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沙箱</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1.文件检测能力≥100000个/24小时，2U机架式，内存≥64GB，硬盘≥2T*2（带RAID1），电源为1+1冗余电源，千兆管理电口≥2，万兆光口≥2，万兆多模光模块≥2个。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2.支持doc、xls等多种文件解析。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3.可展示威胁程度最高的文件样本MD5、威胁指数、传播次数，病毒检测、静态检测和动态检测结果等内容</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4.支持文档文件内部嵌入子文件提取，并检测分析其安全性。</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5.支持对压缩文件进行检测。</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▲6.采用多并发沙箱检测技术，集成主流的操作系统Windows XP、 Windows 7 Windows 10、 Linux 等多种检测环境。结合平台内置反病毒引擎和静态分析技术对恶意特征文件、文件漏洞、未知威胁等深度关联分析（</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7.支持自定义YARA规则，可从静态文件和运行内存中检测文件威胁，支持从规则状态、类型、等级、描述等方面进行自定义配置。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8.支持压缩文件密码自动猜测功能。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9.根据文件传播情况分析受感染主机、接受云端威胁情报、关键威胁行为可视化、回连主机 host 和完整沙箱分析报告</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10.新增或批量导入恶意文件MD5、SHA1、SHA256进行文件威胁检测。</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11.支持自定义文件HASH情报。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12.支持识别压缩文件中子文件的真实格式。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13.支持手动上传文件样本进行威胁分析。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16</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网络入侵防护系统 </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1.≥2U标准机架式机箱，交流冗余电源，≥1个千兆管理电口，≥1个千兆热备电口，≥4个万兆光口，≥7个可用扩展槽位，≥2USB接口，≥1RJ45串口，具备液晶屏；</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2.网络层吞吐≥20Gbps、应用层吞吐≥8Gbps；</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3.系统提供规则升级更新内容，如发布时间、规则版本、新增规则、修改规则等；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▲4.支持基于SCADA等工控协议的相关漏洞攻击检测与防护（</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5.支持DGA域名检测，支持DGA本地、远程升级方式，通过启动 DGA 域名检测，可将DGA 检测到的DNS安全事件进行告警；</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6.支持关键字识别分类，不在内置分类库中的url可根据title内容动态识别分类；</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7.可通过各种统计分析自行选择呈现当前整体威胁状态：如威胁事件级别分布、入侵事件-攻击类别分布、攻击类别趋势、TOP入侵事件目的IP、入侵事件发生趋势等等，支持TOP5、10展示。</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8.系统可零配置上线，提供策略模板、规则模板，减少配置工作量，提高部署效率；</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系统应提供入侵行为特征的自定义接口，可根据用户需求定制相应的检测和阻断规则。支持以下自定义：名称、级别、匹配范围、协议类型、协议号、包长度、正则表达式关键字。至少支持IP\TCP\UDP\HTTP\POP3\SMTP\QQTCP\\QQUDP\FTP协议的规则自定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10.支持对挖矿行为进行防护，并可将产生的挖矿行为生成日志，可通过源地址和目的地地址和信誉等级进行查询，可展示挖矿日志的威胁类型、挖矿值及协议等；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11.支持不少于七种弱口令配置，支持导入自定义弱口令字典。须支持强密码复杂度限制，如同时包含大小写字母、特殊字符、数字、不能包含用户名等组合方式限制；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12.系统应提供丰富的响应方式，包括：告警、阻断、IP隔离、抓包等，满足用户各种响应需求；</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13.支持多种威胁情报场景包，可针对不同场景的威胁攻击进行检测，包括APT检测、挖矿检测、勒索检测、反诈检测、失陷检测、暗网节点检测；</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17</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零信任网关</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1.≥1U标准机架式，双电源，千兆电口≥6个，千兆光口SFP≥4个（含千兆多模光模块）；并发用户数≥1000个，加密流量≥480Mbps，并发连接数≥48000个；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2.，客户端应兼容主流操作系统和芯片，操作系统至少包括Windows、macOS、Ubuntu、Android、iOS、UOS、Kylin、NFS、Harmony next，芯片至少包括兆芯、海光、飞腾、鲲鹏、海思麒麟、龙芯（含MIPS和Loongarch）。</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3.支持以虚拟IP方式，访问真实的业务系统，以便于审计设备区分访问用户。支持共享虚拟IP池与独享虚拟IP两种模式。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为了提升终端用户访问体验，对于多线路接入单网关访问业务的场景，支持时延优先的选路模式，支持周期性探测线路时延和多次探测确认恶化后切换。多网关接入访问业务的场景，支持最低时延+相对时延阈值随机选择策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5.支持以私有DNS发布企业资源，无需额外购买DNS服务即可使用域名访问内网资源，支持管理员自主配置是否允许从具体网络区域（局域网/互联网）接入时使用此私有DNS解析地址。</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6.支持配置动态访问规则，可配置化的ACL规则引擎，可以灵活地将终端环境、用户身份、处置动作等进行配置，针对不同操作系统设定单独或多系统访问控制策略。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7.零信任系统应支持针对发布的WEB应用开启WEB水印，水印内容至少包括：用户名+当前年月日，起到威慑与溯源作用。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8.▲为了最大程度缩小网络、业务暴露面，零信任平台提供单包授权能力（SPA），支持UDP+TCP组合的单包授权技术，未授权用户无法连接零信任设备，无法扫描到服务端口。安全码支持共享码和一人一码两种模式，可通过短信分发安全码。一人一码模式下，当实际登录用户跟分发SPA安全码绑定的用户不一致时，零信任系统可以产生安全告警。（</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9.配置零信任接入授权数≥1000。</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18</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WEB应用防火墙-1</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HTTP应用层吞吐量≥8Gbps，2U机架式，内存≥16G，硬盘≥2T*1，电源：1+1冗余电源，网络接口：千兆电口≥4个（支持2对电口BYPASS），千兆光口≥4个，万兆光口≥4个，千兆多模光模块≥4个，万兆多模光模块≥4个。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支持透明串接、反向代理、旁路镜像、路由牵引、嵌入式部署等多种部署模式部署，支持链路聚合。</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支持变更WAF节点所在区域或集群，并支持设置WAF节点为待规划状态。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支持多条链路数据的防护，防护网段数量不限。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3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支持对CC攻击进行检测和防护，能够配置URL参数、请求头部字段、目的IP、请求方法等。支持从请求头字段获取真实源IP地址。</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32"/>
        </w:trPr>
        <w:tc>
          <w:tcPr>
            <w:tcW w:w="236" w:type="pct"/>
            <w:vMerge/>
            <w:tcBorders>
              <w:top w:val="nil"/>
              <w:left w:val="single" w:sz="4" w:space="0" w:color="auto"/>
              <w:bottom w:val="single" w:sz="4" w:space="0" w:color="auto"/>
              <w:right w:val="single" w:sz="4" w:space="0" w:color="auto"/>
            </w:tcBorders>
            <w:noWrap w:val="0"/>
            <w:vAlign w:val="center"/>
          </w:tcPr>
          <w:p>
            <w:pPr>
              <w:widowControl/>
            </w:pPr>
          </w:p>
        </w:tc>
        <w:tc>
          <w:tcPr>
            <w:tcW w:w="474" w:type="pct"/>
            <w:vMerge/>
            <w:tcBorders>
              <w:top w:val="nil"/>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支持语义分析能力，可对SQL注入、XSS、代码注入等攻击行为进行防护。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支持注入式攻击防护，应包括SQL注入、PHP代码注入、VBScript注入、JavaScript注入、OGNL注入、SpringEL注入、Csharp注入、命令注入、文件注入、LDAP注入、SSI注入、Email注入、Java代码注入、SSTI注入等。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▲8.支持客户端安全防护，插入特殊的HTTP报头以保护客户端免受相应攻击。（</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支持文件非法上传防护，应支持检测PHP文件上传、ASP文件上传、JSP文件上传、Windows文件上传、可执行文件上传、HTML文件上传、通用文件上传等。并可支持通过文件上传导致的XSS绕过。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支持4层和7层服务器健康状态检查，7层健康检查支持检测状态码选择（包括2XX、3XX、4XX、5XX），支持请求方法的配置，支持健康检查路径及检查时间阀值的配置。11. 支持自动发现网络环境中存在的Web服务器，包括HTTP业务、HTTPS业务。可记录服务器的IP、端口、协议、IP类型域名等信息。并且针对HTTP业务，可设置侦测后的自动部署，自动部署时，可选择防护模板、处理方式以及可选择开启阻断或观察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支持透明串接和旁路反向代理下的HTTPS业务的安全防护。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可分别选择与客户端、后端服务器交互的HTTPS协议，可选择SSLv3、TLS1.0、TLS1.1、TLS1.2。并可选择对应SSL套件。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支持HTTPS站点SSL算法自动探测功能。探测时可以设置指定站点及端口，可以显示探测结果。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可针对每个站点，设置对应防护规则下URL白名单，即当针对某条规则设置URL白名单后，该规则将不对此URL进行检测。并支持对URL白名单进行报表形式的导出。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支持威胁情报能力，可对僵尸主机IP、垃圾信息IP、代理IP、扫描IP、暴力破解IP、漏洞利用IP、恶意爬虫IP进行防护。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 用户认证支持本地密码、RADIUS、LDAP等认证方式，并三种方式均可结合OTP令牌的方式实现双因子认证。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19</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WEB应用防火墙-2</w:t>
            </w:r>
          </w:p>
          <w:p>
            <w:pPr>
              <w:spacing w:line="360" w:lineRule="auto"/>
              <w:rPr>
                <w:b/>
                <w:bCs/>
                <w:sz w:val="24"/>
              </w:rPr>
            </w:pPr>
          </w:p>
          <w:p>
            <w:pPr>
              <w:widowControl/>
              <w:spacing w:line="360" w:lineRule="auto"/>
              <w:jc w:val="center"/>
              <w:rPr>
                <w:sz w:val="24"/>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专用Web硬件防火墙，非防火墙、UTM、IPS设备，具备独立自主知识产权，2U标准机架式设备；管理接口：≥1个GE管理口，≥1个HA口，≥1个RJ45串口，≥2个USB接口；业务接口：≥6个千兆电口（含≥3组bypass），≥2个万兆光口（含多模光模块），CPU核数（虚拟核）≥6，≥32G内存</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2.网络层吞吐量≥20Gbps，http 最大吞吐量≥3Gbps，http 每秒处理请求数≥2.5万，http 最大并发连接数≥90万，https 最大吞吐量≥2.8Gbps，https每秒处理请求数≥2.4万，数据延迟＜5ms；双硬盘配置，不低于128GB 固态硬盘和不低于2TB SATA机械盘，冗余电源；</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3.具备HTTP/1.X、HTTP/2和HTTPS报文解码能力，可对攻击者编码绕过行为进行有效识别。解码能力包括但不限于：Base64解码、斜杠反转义、UTF-7解码、XML解析、16进制转换、URL解码、PHP序列化对象解析、Base64(RFC 2045)解码、二进制解码、换行分割等不少于10种。能对10层的嵌套编码绕过行为进行检测与防护；</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4.无需规则配置，可通过语义分析技术识别OWASP TOP 10所公布的WEB应用程序安全风险，如SQL注入、XSS、PHP反序列化、Java反序列化、PHP代码注入、Java代码注入、命令注入、CSRF、SSRF、ASP代码注入、模版注入、文件包含、文件上传等13种常见攻击类型，可根据攻击语法特征，智能生成攻击威胁等级；</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5.支持自定义规则检测前对请求进行解码，解码类型包括：Base64解码、十六进制解码等不少于5种，可根据业务系统编码类型进行配置，快速实现新爆发漏洞的防护；</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9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CC攻击防护，支持通过访问频率来识别并限制异常访问行为，限制对象包括但不限于IP、Session和用户指纹，限制条件包括但不限于全局访问、指定url路径、时间窗口和访问次数，限制方式包括但不限于有限时间黑名单、无限时间黑名单、有限时间内访问次数限制。支持针对不同的CC规则配置不同拦截状态码和拦截页面，当状态码为3xx时支持设置重定向地址；</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7.支持检测模块加白功能，能够自定义用户IP、Session、UA、响应内容等不少于30项特征，对任意域名进行任意检测模块Bypass；</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8.具备0day漏洞防护能力，能够自动检测攻击特征，实现告警和拦截，需提供实际防护案例说明及原理说明；</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9.支持访问控制功能，可按照国家、省进行地址访问限制，防止区域性攻击对Web网站造成影响；支持对Cookie进行签名和加密，可防护Cookie篡改和Cookie注入；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10.支持WAF能力原子化可编排，支持可视化显示WAF检测流程，可在流程中任意位置插入业务规则，可按照业务场景自动调整检测流程，满足业务差异化防护需求；</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11.支持误报消除功能，可在日志告警界面一键添加例外白名单，自动在后续检测中消除同类型误报，避免人为输入错误；</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12.支持一键拉黑功能，可在日志告警界面对访问源如：IP、Session等拉入黑名单，系统将后续自动阻断或限制访问源访问</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13.支持一键生成并可导出WAF管理平台安全基线检查报告，动态检查WAF管理平台的安全合规性，检查内容至少应包含：密码强度、会话超时、账号锁定、口令存储方式等，保证WAF管理平台自身满足合规要求</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 xml:space="preserve">14.产品为非OEM产品。 </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20</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网页防篡改</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纯软件，具备网页防篡改、网站漏洞防护 CC攻击防护 网站访问控制 网站后门查杀、服务器性能监控，中心可存储安全日志并支持报表查看及导出。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支持各类网页文件的保护，包括静态和动态网页以及各类文件信息；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支持对指定文件夹以及子文件夹的保护，避免上传非法文件及木马等恶意文件或插入恶意代码。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支持一键启停所有对监控端的保护。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防篡改客户端具备防卸载密码。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支持基于目录、进程、IP、用户、时间等进行设置篡改加白规则。</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pPr>
          </w:p>
        </w:tc>
        <w:tc>
          <w:tcPr>
            <w:tcW w:w="474" w:type="pct"/>
            <w:vMerge/>
            <w:tcBorders>
              <w:top w:val="nil"/>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实时防护网站常见的SQL注入攻击、XSS跨站攻击、Web容器及应用漏洞攻击。</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智能检测并防御CC攻击，保证网站正常服务能力。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支持多种压缩包、自解压包、符合文档、媒体文件、加密脚本、电子邮件、邮箱文件、可提取文档中嵌入的其它资源的病毒查杀</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支持展示Web服务器的系统信息、监听端口、运行进程、账号（包括隐藏账号）等信息。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支持多种日志级别，日志导出。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具备网马专用引擎，根据特征查杀网站木马，并支持自定义设置扫描所占用的系统资源。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left w:val="single" w:sz="4" w:space="0" w:color="auto"/>
              <w:bottom w:val="single" w:sz="4" w:space="0" w:color="auto"/>
              <w:right w:val="single" w:sz="4" w:space="0" w:color="auto"/>
            </w:tcBorders>
            <w:noWrap w:val="0"/>
            <w:vAlign w:val="center"/>
          </w:tcPr>
          <w:p>
            <w:pPr>
              <w:widowControl/>
            </w:pPr>
          </w:p>
        </w:tc>
        <w:tc>
          <w:tcPr>
            <w:tcW w:w="474" w:type="pct"/>
            <w:vMerge/>
            <w:tcBorders>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通过配置IP或页面路径，对特定的访问者或页面进行放行或拦截。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支持邮件、Syslog、短信、SNMPTrap、平台告警多种告警方式。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具备网页静态数据监测、脚本动态数据监测、网页目录监测、网页静态数据恢复、脚本动态数据恢复及网页目录恢复能力。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21</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蜜罐</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1、2U机架式，内存≥64G，电源：1+1冗余电源，硬盘≥2T，网口：千兆电口≥4，千兆光口≥4，万兆光口≥4，千兆多模光模块≥4个，万兆多模光模块≥4个。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支持Windows、Linux类操作系统蜜罐，提供不低于6种蜜罐，包括但不限于：Centos7、Suse12sp2、Suse12sp3、Windows7、Windows10、WindowsServer2008等。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在线制作反制型蜜饵，对反制对象进行上传下载文件等操作。支持攻击者溯源，能够对攻击者打标签，且展示其基础信息、社交账号、硬件指纹、系统指纹、浏览器账号、攻击工具、反制监控、所有攻击事件等信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支持通过配置的钓鱼邮件策略，模拟常见的欺骗方法。</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具有高交互蜜罐技术。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提供自定义拓扑能力，支持用户自由拖动内置组件（如蜜罐、转发节点、流量黑洞等）构建真实网络架构。</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支持浏览器信息溯源，可获取浏览器中记录的网站URL、账号，浏览器类型至少支持Chrome、Firefox、Edge等。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 支持与业务外网出口防火墙进行联动，能够进行攻击阻断。</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 支持检测WEB攻击、恶意文件攻击、远程控制、WEB后门访问、DGA域名请求、SMB远程溢出攻击、拒绝服务攻击、隧道通信、挖矿、恶意工具利用等行为。</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 支持攻击者手机号识别，可通过蜜罐直接溯源到攻击者手机号码，至少支持移动、电信、联通三大运营商。</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 支持配置IP、文件、进程等白名单，降低误报。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22</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网络吞吐性能≥30 Gbps，具备国产芯片和国产操作系统，2U机架式，内存≥32 GB，硬盘≥2T，电源规格：1+1冗余电源，网络接口：千兆电口≥16个，千兆光口≥16个，万兆光口≥8个，万兆多模光模块≥6个，接口扩展槽≥4个。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支持路由模式、交换模式、旁路模式等部署模式，部署模式切换无需重启设备。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支持双机热备，支持主备模式和主主模式。支持同步配置、运行状态等。支持配置抢占模式。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支持对控制策略进行策略分析，分析结果中存在冲突策略和合并策略。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left w:val="single" w:sz="4" w:space="0" w:color="auto"/>
              <w:bottom w:val="single" w:sz="4" w:space="0" w:color="auto"/>
              <w:right w:val="single" w:sz="4" w:space="0" w:color="auto"/>
            </w:tcBorders>
            <w:noWrap w:val="0"/>
            <w:vAlign w:val="center"/>
          </w:tcPr>
          <w:p>
            <w:pPr>
              <w:widowControl/>
            </w:pPr>
          </w:p>
        </w:tc>
        <w:tc>
          <w:tcPr>
            <w:tcW w:w="474" w:type="pct"/>
            <w:vMerge/>
            <w:tcBorders>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支持IPv4/IPv6双栈协议的源地址转换、目的地址转换、双向NAT、NAT64等地址转换。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支持端口镜像功能；支持入流量、出流量和双向流量等维度镜像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流量转发至少支持普通模式和智能模式。普通模式下，所有报文均上送安全引擎；智能模式下，超过上限的报文不再上送安全引擎。8. 支持识别多种主流应用，支持应用自定义并对自定义的应用进行分组。</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支持邮件内容过滤；支持基于发件人、收件人、邮件标题或邮件正文的关键字进行行为过滤。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713"/>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根据自定义漏洞模板扫描漏洞，扫描结果处存在扫描靶机上的漏洞信息，包括名称、CVE-ID、CNNVD-ID等信息，并在漏洞列表处记录扫描到的漏洞信息，信息与扫描结果一致。同时，可查看漏洞的具体信息和修复建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713"/>
        </w:trPr>
        <w:tc>
          <w:tcPr>
            <w:tcW w:w="236" w:type="pct"/>
            <w:vMerge/>
            <w:tcBorders>
              <w:left w:val="single" w:sz="4" w:space="0" w:color="auto"/>
              <w:bottom w:val="single" w:sz="4" w:space="0" w:color="auto"/>
              <w:right w:val="single" w:sz="4" w:space="0" w:color="auto"/>
            </w:tcBorders>
            <w:noWrap w:val="0"/>
            <w:vAlign w:val="center"/>
          </w:tcPr>
          <w:p>
            <w:pPr>
              <w:widowControl/>
            </w:pPr>
          </w:p>
        </w:tc>
        <w:tc>
          <w:tcPr>
            <w:tcW w:w="474" w:type="pct"/>
            <w:vMerge/>
            <w:tcBorders>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支持Telnet、FTP、SMTP、HTTP等协议的弱密码防护。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支持暴力破解侦查和访问控制，并支持用户根据实际场景修改频率阈值。</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支持基于源IP地址、目的IP地址、端口、协议等的黑名单配置，支持自定义黑名单生效时间。</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▲14.支持管理员开启双因子认证，至少支持密码和手机APP令牌的双因子认证。（</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支持手动和自定义周期系统配置自动备份。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Web管理界面支持Ping、Traceroute、HTTP(S)诊断工具，可支持基于接口、协议、IP地址等进行网络抓包。</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23</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态势感知探针</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1.≥2U标准机架式，双电源，千兆电口≥6个，万兆光口≥2个；网络层吞吐量≥3Gbps，应用层吞吐量≥1Gbps。</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命令注入检测、PHP代码检测、XSS攻击检测、Webshell上传检测、SQL注入检测、XXE攻击检测、JAVA代码检测、SQL非注入型检测、MYSQL解析增强、php反序列化检测等自定义配置启用，针对命令注入检测、SQL注入检测等类型支持自定义高检出、低误报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3.具备流量协议内容深度还原，包括http、dns、smb、ftp、smtp、pop3、imap、tls、tftp、ikev2、krb5、ssh等协议。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违规访问检测。提供设置白名单和黑名单，监理针对性的业务和应用访问逻辑规则。策略从上到下进行匹配，可以通过右侧置顶功能对策略优先级进行调节。支持定义IP组、服务、端口、访问时间等访问策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5.支持SQL注入、XSS攻击、网页木马、网站扫描、WEBSHELL、跨站请求伪造、系统命令注入、文件包含攻击、目录遍历攻击、信息泄露攻击、Web整站系统漏洞、自定义WAF规则、WAF云防护等网站攻击检测</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流量威胁深度检测能力，联动分析平台支持异常会话检测、web攻击检测、挖矿行为检测、僵木蠕检测、webshell文件检测、异常文件检测、漏洞利用检测、DOS攻击检测、扫描行为检测、配置风险检测、异常登录检测、横向移动检测、违规访问检测等13大类、超过4万条威胁检测规则。</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7.具备网络入侵攻击报文检测引擎，触发告警，记录入侵攻击事件，记录：事件名称、来源IP、来源端口、 目的IP、目的端口、原始流ID、攻击报文、传输协议、应用协议、原始内容等。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▲8.支持违规访问检测，支持基于IP、IP组、服务、端口、访问时间等定义访问策略。支持服务器漏洞检测功能。（</w:t>
            </w:r>
            <w:r>
              <w:rPr>
                <w:rFonts w:ascii="宋体" w:hAnsi="宋体" w:cs="宋体" w:hint="eastAsia"/>
                <w:b/>
                <w:bCs/>
                <w:color w:val="0000FF"/>
                <w:kern w:val="0"/>
                <w:sz w:val="22"/>
                <w:szCs w:val="22"/>
              </w:rPr>
              <w:t>投标时同时提供：①由第三方检验检测机构出具并加盖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9.审计白名单支持源目IP、源目端口和日志类型、日志来源。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24</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日志审计系统</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授权资产数≥1000个，2U机架式，具备国产芯片和国产操作系统，内存≥64G，硬盘≥6T*8 （raid5），网口：千兆电口≥4个，万兆光口≥2个，万兆多模光模块≥2个。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支持Syslog、SNMP Trap、HTTP、ODBC/JDBC、WMI、FTP、SFTP协议日志收集，支持目前主流的网络安全设备、交换设备、路由设备、操作系统、应用系统等。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支持使用代理（Agent）方式提取日志并收集，安装包支持界面下载，且安装支持可视化向导。</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支持对Agent进行统一管控，包括卸载、升级、启动及停止操作，支持将日志收集策略统一分发。</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▲5.支持将插件安装在目标主机上对主机的CPU利用率、内存使用率、磁盘使用率、磁盘使用情况、流量等信息进行转发，在产品监控界面中即可查看目标主机的监控信息。（</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支持对收集到的重复日志进行自动聚合归并，减少日志量，并可由用户定义和修改的日志聚合归并逻辑规则。</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注册用户资产时，提供自动发现识别能力。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支持将安全事件通过资产、安全知识库、弱点库三个维度进行联动分析和匹配，将安全事件进行联动整合并生成安全事件日志。</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0"/>
        </w:trPr>
        <w:tc>
          <w:tcPr>
            <w:tcW w:w="236" w:type="pct"/>
            <w:vMerge/>
            <w:tcBorders>
              <w:top w:val="nil"/>
              <w:left w:val="single" w:sz="4" w:space="0" w:color="auto"/>
              <w:bottom w:val="single" w:sz="4" w:space="0" w:color="auto"/>
              <w:right w:val="single" w:sz="4" w:space="0" w:color="auto"/>
            </w:tcBorders>
            <w:noWrap w:val="0"/>
            <w:vAlign w:val="center"/>
          </w:tcPr>
          <w:p>
            <w:pPr>
              <w:widowControl/>
            </w:pPr>
          </w:p>
        </w:tc>
        <w:tc>
          <w:tcPr>
            <w:tcW w:w="474" w:type="pct"/>
            <w:vMerge/>
            <w:tcBorders>
              <w:top w:val="nil"/>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支持设置日志存储备份策略，包括系统日志保存期（天）、硬盘使用率百分比等策略。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支持日志备份自动传送到远程服务器，支持FTP、SAMBA、NFS等方式的远程服务器，并支持从远程服务器中恢复数据。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对日志数据进行SM3验签或者SM4加密操作。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pPr>
          </w:p>
        </w:tc>
        <w:tc>
          <w:tcPr>
            <w:tcW w:w="474" w:type="pct"/>
            <w:vMerge/>
            <w:tcBorders>
              <w:top w:val="nil"/>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支持亿级的日志里根据任意的关键字及其它的检索条件，秒级返回查询结果。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支持对日志进行SM4和AES加密转发，转发后的日志内容为密文，日志接收时，可以采用对应的解密策略进行解密。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支持硬盘空间阈值告警，当硬盘使用率达到设定的阈值时可产生并外发告警。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可以通过邮件、短信和屏幕显示进行告警。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内置综合性审计报告，并支持用户自定义报表。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 支持报表导出为PDF和Word格式文件。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 自定义的报表支持多个统计维度的数据集合。</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 采用解决方案包上传对产品进行功能扩展。</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25</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漏洞扫描系统</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1.≥2U标准机架式机箱，交流冗余电源，≥4T硬盘，≥4个千兆电口，≥4个千兆光口，≥1个可用扩展槽位，≥2个USB口，≥1个串口，默认提供1路扫描端口授权，无限扫描IP授权；</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2.允许最大并发扫描≥90个IP地址，允许最大并发任务≥15个任务，开启全插件漏洞扫描、弱口令探测和登陆扫描后扫描速度≥1000 ip/h；</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3.支持检测的漏洞数大于330000条，兼容CVE、CNCVE、CNNVD、CNVD等主流标准；</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4.支持的资产标记库数量大于27000条，覆盖操作系统、应用软件、硬件、中间件等资产；</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5.提供高级漏洞检索模板，支持将符合筛选条件的漏洞自动加入到自定义漏洞模板中，及后续插件升级包中的漏洞也可以自动加入到模板中；</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▲6.支持对C/C++/Python/Java/Php/go等语言的代码解析，语言的词法、语法分析。内置缺陷模板和缺陷规则，并支持自定义；</w:t>
            </w:r>
            <w:r>
              <w:rPr>
                <w:rFonts w:ascii="宋体" w:hAnsi="宋体" w:cs="宋体" w:hint="eastAsia"/>
                <w:b/>
                <w:bCs/>
                <w:color w:val="000000"/>
                <w:kern w:val="0"/>
                <w:szCs w:val="21"/>
              </w:rPr>
              <w:t>（</w:t>
            </w:r>
            <w:r>
              <w:rPr>
                <w:rFonts w:ascii="宋体" w:hAnsi="宋体" w:cs="宋体" w:hint="eastAsia"/>
                <w:b/>
                <w:bCs/>
                <w:color w:val="0000FF"/>
                <w:kern w:val="0"/>
                <w:szCs w:val="21"/>
              </w:rPr>
              <w:t>投标时提供软件功能截图佐证</w:t>
            </w:r>
            <w:r>
              <w:rPr>
                <w:rFonts w:ascii="宋体" w:hAnsi="宋体" w:cs="宋体" w:hint="eastAsia"/>
                <w:b/>
                <w:bCs/>
                <w:color w:val="000000"/>
                <w:kern w:val="0"/>
                <w:szCs w:val="21"/>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7.支持对扫描出的漏洞提供取证性质的验证并输出报告，直观展示漏洞利用过程和危害性。支持漏洞验证扫描任务，包括系统漏洞验证扫描、Web漏洞验证扫描；</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8.具备单独口令猜测扫描任务，支持多种口令猜测方式，包括利用SMB、RDP、SSH、Telnet、SQL SERVER、MySQL 、Oracle、Sybase、DB2、MongoDB、Memcached、Redis 、PostgreSQL 、HighGo 、UXDB 、Kingbase 、STDB 、FTP、SFTP、ActiveMQ、POP3、Tomcat、SMTP、IMAP、Onvif、RTSP、 SNMP、SIP、Vmware ESXi、HTTP Digest、Weblogic、Elasticsearch、Websphere等协议进行口令猜测，允许外挂用户提供的用户名字典、密码字典和用户名密码组合字典；</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9.支持风险告警和风险闭环处理，可在集中告警平台灵活配置告警内容、告警方式、告警资产范围等，支持邮件和页面告警，支持单个或批量修改风险状态；</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10.支持自定义风险值计算标准配置，可对主机风险等级评定标准和网络风险等级评定标准进行自定义；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系统内置多种扫描策略，包括快速扫描策略、全量自查策略、高精度监管策略、热点应急排查策略、攻防演练高位高频策略（系统）、攻防演练高位高频策略（web）、系统漏洞验证策略、web漏洞验证策略、云计算漏洞扫描策略、物联网漏洞扫描策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12.后续可拓展授权支持基于Web页面的配置核查方式，通过Web访问方式可以对目标设备进行配置核查；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13.支持高级数据分析，可对同一IP的两次扫描结果进行风险对比分析，并可在线查看同一IP的多次历史扫描结果；</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26</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API风险监测预警系统</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1.总控软硬一体机,数量1台，硬件指标：CPU≥2*16核，内存≥8*16G，系统磁盘≥2*600G SAS，数据盘≥6*8 TB SATA，万兆网口≥4（含光模块），双电源。性能参数：吞吐量≥5Gbps，引擎授权≥5。</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2.引擎软硬一体机，数量3台，硬件指标：CPU≥2*16核，内存≥8*16G，系统磁盘≥2*600G SAS，数据盘≥2*4 TB SATA，万兆网口≥2（含光模块），双电源。性能参数：吞吐量≥5Gbps。</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3.所提供产品满足自主可控，至少兼容一款CPU和操作系统，具备兼容性认证证书。</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4.至少支持反向代理、旁路镜像、Agent模式对流量进行采集。</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5.支持对应用、API自动识别为可视化资产信息，并能对资产进行添加、编辑、删除、查看详细、导入导出等管理。</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6.支持对文件、数据、应用账号等进行识别与管理。</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7.支持内置数据分类分级规则，支持内置多种数据识别策略，并支持可自定义扩展。</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8.支持API风险和弱点规则的新增、编辑、删除等管理。</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9.自动识别和检测API风险和弱点，将API风险和弱点进行汇聚和展示，支持查看风险和弱点详情、触发记录明细，支持查看日志信息进行举证。</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10.支持对API风险和弱点事件进行处置，如加入黑名单、限制访问频率、对API下线等方式。</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11.支持汇聚和展示采集到的API流量日志，对日志进行条件查询、导出、查看日志详细信息、请求和响应信息。</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12.支持API安全报告自动生成与管理，可配置报告内容、统计范围等。</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13.支持创建溯源任务，通过匹配输入的数据进行溯源分析，追溯数据泄露路径，定位数据泄露源头。</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14.支持SSL卸载、加密，将服务器上处理的SSL加解密工作进行卸载，业务服务器可以继续运行明文HTTP，而无需进行任何改造，同时向用户提供加密的HTTPS访问形式。</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15.支持在不改变业务系统源代码前提下对敏感数据进行动态脱敏。</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16.支持基于源IP、请求路径/头部/方法、查询参数、用户名等匹配条件进行访问控制。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17.支持对源IP、请求头部、用户名进行频率统计，可从不同维度进行请求的频率控制。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18.能根据不同负载算法策略，动态地将来访请求和流量分配到不同的服务器。</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19.支持查看整体API访问排行，按源IP区域统计API访问排行，支持指定API接口资产的来访区域排行、调用趋势图。</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9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20.支持通过API综合治理大屏全局展示API资产数，API访问趋势，API风险趋势，API风险态势，TOP风险分析，API弱点分析。</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21.支持从整体维度呈现全局分析信息：包括应用、API、数据、用户等资产信息，风险弱点分布、触发和处置情况。</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22.支持通过治理看板对安全治理结果进行呈现，查看对应治理场景的治理成效、日志、报告等。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27</w:t>
            </w:r>
          </w:p>
        </w:tc>
        <w:tc>
          <w:tcPr>
            <w:tcW w:w="474" w:type="pct"/>
            <w:vMerge w:val="restart"/>
            <w:tcBorders>
              <w:top w:val="nil"/>
              <w:left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 xml:space="preserve">APT威胁检测 </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吞吐量≥10G，2U机架式，内存≥128GB，硬盘≥4T，电源为1+1冗余电源，千兆电口≥4，千兆光口≥4，万兆光口≥2，千兆多模光模块≥4个，万兆多模光模块≥2个。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支持双向流量审计，可对请求和响应内容进行审计。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支持多层 VLAN、VXLAN、MPLS、GRE等网络流量的解析检测。</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0"/>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numPr>
                <w:ilvl w:val="0"/>
                <w:numId w:val="8"/>
              </w:numPr>
              <w:rPr>
                <w:rFonts w:ascii="宋体" w:hAnsi="宋体" w:cs="宋体" w:hint="eastAsia"/>
                <w:kern w:val="0"/>
                <w:sz w:val="22"/>
                <w:szCs w:val="22"/>
              </w:rPr>
            </w:pPr>
            <w:r>
              <w:rPr>
                <w:rFonts w:ascii="宋体" w:hAnsi="宋体" w:cs="宋体" w:hint="eastAsia"/>
                <w:kern w:val="0"/>
                <w:sz w:val="22"/>
                <w:szCs w:val="22"/>
              </w:rPr>
              <w:t>支持告警抑制功能，在重复攻击手段下能够减少相 同告警数量，提高用户分析效率，可自行设置告警抑制周期、告警上限、抑制阈值、持续时间、启用维度。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0"/>
        </w:trPr>
        <w:tc>
          <w:tcPr>
            <w:tcW w:w="236" w:type="pct"/>
            <w:vMerge/>
            <w:tcBorders>
              <w:left w:val="single" w:sz="4" w:space="0" w:color="auto"/>
              <w:right w:val="single" w:sz="4" w:space="0" w:color="auto"/>
            </w:tcBorders>
            <w:noWrap w:val="0"/>
            <w:vAlign w:val="center"/>
          </w:tcPr>
          <w:p>
            <w:pPr>
              <w:widowControl/>
            </w:pPr>
          </w:p>
        </w:tc>
        <w:tc>
          <w:tcPr>
            <w:tcW w:w="474" w:type="pct"/>
            <w:vMerge/>
            <w:tcBorders>
              <w:left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支持对流量中的IP地址、端口等进行统计，快速识别未登记资产。</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支持基于HTTP/HTTPS协议进行规则分析检测、基于特征规则匹配的方式识别应用，可对VPN、社交、网盘云服务、视频等近30类应用进行识别。</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支持30个以上的深度检测模块，对流量进行二次分析。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支持检测WEB攻击、异常访问、恶意文件攻击、可疑流量、远程控制、WEB后门访问、DGA域名请求、弱口令、拒绝服务攻击、隧道通信等风险类型。</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支持对邮件头欺骗、邮件发件人欺骗、邮件钓鱼、邮件恶意链接的检测内容。支持提取邮件正文中密码。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支持自定义弱口令规则配置（最短口令长度、最少字符类型数），自定义新增弱密码及其检测类型。</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支持自定义启用/禁用暴力破解模型，自定义配置模型统计时间范围、登录次数、聚合维度、用户名检测机制等参数。</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▲12.支持大屏展示网络攻击态势，包括攻击地图、 紧急事件数/总数、恶意文件数/扫描总数、风险趋 势(高、中、低风险)、流量分析(吞吐量、HTTP流量、DNS流量)、高危风险类别排名、攻击源 区域排名、紧急事件/高危事件，并支持全球地图、中国地图切换展示。（</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支持自定义HTTP登录行为关键字，包括用户名和密码。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75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支持自定义启用/禁用扫描行为模型，自定义配置模型统计周期、访问IP、告警等级等参数。</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支持自定义启用/禁用拒绝服务攻击模型，自定义配置模型统计周期、单包长度阈值、统计周期内包数量阈值等参数。</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风险查询支持一键切换运营模式和专业模式，满足不同场景的研判需求。</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 支持风险数据包保存功能，可存留会话的请求和相应数据包，帮助用户还原攻击过程，进行取证和关联分析；并支持系统内置工具一键在线预览风险数据包。</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 支持文件白名单、域名白名单、IP白名单、URL白名单、IDS规则白名单、WEB特征白名单、发件人邮箱白名单、发件人域名白名单的配置。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 从脆弱性角度，详细展示资产存在的弱口令、密码明文形式传输风险，支持导出服务器IP、首次发生时间、最近发生时间等信息。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 支持KAFKA、短信、邮件、syslog、ftp、sftp、钉钉、企业微信等数据外送方式。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28</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 xml:space="preserve">沙箱分析系统 </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1、≤2U标准上架设备，4*10GE光口（配置4个万兆多模光模块），≥4*GE电口，≥960G SSD+4TB SATA存储硬盘，冗余电源。含系统软件一套。</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▲2、支持对移动应用文件apk等进行检测分析；支持对压缩文件（zip、rar、7z、gz、tar、tgz、cab、iso、rpm、deb等）进行检测；支持对linux文件（shell、elf）进行检测。（</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3、支持对执行文件（pe、pe32、pe64、msi、class、elf等）进行检测分析；支持对脚本类文件（txt、php、html;js;css等）进行检测分析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4、支持对多媒体文件（bmp;jpeg;gif;png;tiff;mp3;flv等）进行检测分析；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5、支持office内嵌的宏、OLE对象，PDF内嵌的JavaScript、附件，JPG等图片内嵌的PE对象提取；</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6、支持对文档类文件(doc、xls、ppt、pdf、docx、xlsx、pptx、rtf、wps等)进行检测分析；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▲7、支持提取样本的文件结构信息，包括PE、Office、PDF、LNK 等类型样本的结构信息，支持提取恶意样本的家族、版本、开发语言、操作系统、发件人、收件人、邮件名等字段信息；（</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多种静态属性分析功能，包括提取文件图标、检测样本是否内嵌PE文件、是否包含宏代码、是否含有shellcode、是否有密码保护、是否有URL链接等；支持云查杀引擎，云端样本库大规模覆盖文件，快速返回判定结果，节省分析资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内置yara规则不低于16000+，涵盖后门程序、电脑病毒、窃密木马、特洛伊木马、恶意广告、黑市工具、间谍软件、恶意脚本、勒索软件、网络蠕虫、键盘记录等规则类型；支持ATT&amp;CK攻击矩阵信息检测；支持灵活设置动态检测策略，包含全过动态、全不过动态和基于策略选择、基于选定文档类型、静态风险系数等策略配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29</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日志审计系统</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授权资产数≥1000个，2U机架式，具备国产芯片和国产操作系统，内存≥64G，硬盘≥6T*8 （raid5），网口：千兆电口≥4个，万兆光口≥2个，万兆多模光模块≥2个。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支持Syslog、SNMP Trap、HTTP、ODBC/JDBC、WMI、FTP、SFTP协议日志收集，支持目前主流的网络安全设备、交换设备、路由设备、操作系统、应用系统等。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支持使用代理（Agent）方式提取日志并收集，安装包支持界面下载，且安装支持可视化向导。</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支持对Agent进行统一管控，包括卸载、升级、启动及停止操作，支持将日志收集策略统一分发。</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支持将插件安装在目标主机上对主机的CPU利用率、内存使用率、磁盘使用率、磁盘使用情况、流量等信息进行转发，在产品监控界面中即可查看目标主机的监控信息。6. 支持对收集到的重复日志进行自动聚合归并，减少日志量，并可由用户定义和修改的日志聚合归并逻辑规则。</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注册用户资产时，提供自动发现识别能力。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▲8.支持将安全事件通过资产、安全知识库、弱点库三个维度进行联动分析和匹配，将安全事件进行联动整合并生成安全事件日志。（</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支持设置日志存储备份策略，包括系统日志保存期（天）、硬盘使用率百分比等策略。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支持日志备份自动传送到远程服务器，支持FTP、SAMBA、NFS等方式的远程服务器，并支持从远程服务器中恢复数据。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对日志数据进行SM3验签或者SM4加密操作。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pPr>
          </w:p>
        </w:tc>
        <w:tc>
          <w:tcPr>
            <w:tcW w:w="474" w:type="pct"/>
            <w:vMerge/>
            <w:tcBorders>
              <w:top w:val="nil"/>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支持亿级的日志里根据任意的关键字及其它的检索条件，秒级返回查询结果。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支持对日志进行SM4和AES加密转发，转发后的日志内容为密文，日志接收时，可以采用对应的解密策略进行解密。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pPr>
          </w:p>
        </w:tc>
        <w:tc>
          <w:tcPr>
            <w:tcW w:w="474" w:type="pct"/>
            <w:vMerge/>
            <w:tcBorders>
              <w:top w:val="nil"/>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支持硬盘空间阈值告警，当硬盘使用率达到设定的阈值时可产生并外发告警。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可以通过邮件、短信和屏幕显示进行告警。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 内置综合性审计报告，并支持用户自定义报表。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 支持报表导出为PDF和Word格式文件。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 自定义的报表支持多个统计维度的数据集合。</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 采用解决方案包上传对产品进行功能扩展。</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30</w:t>
            </w:r>
          </w:p>
        </w:tc>
        <w:tc>
          <w:tcPr>
            <w:tcW w:w="474" w:type="pct"/>
            <w:vMerge w:val="restart"/>
            <w:tcBorders>
              <w:top w:val="nil"/>
              <w:left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堡垒机</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授权资产数≥1000个，并发字符连接最大数≥1000个，并发图形连接最大数≥300个，2U机架式，内存≥16GB，硬盘≥4T*2（raid1），电源为1+1冗余电源，网络接口：千兆业务电口≥4，千兆业务光口≥4，千兆多模光模块≥2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支持常用的运维协议：SSH、TELNET、RDP、VNC、FTP、SFTP、rlogin、X11。可通过应用发布的方式进行协议扩展，如数据库Oracle、MSSQL、MySQL、VMware vSphere Client、浏览器等客户端工具。</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▲3.具备违规操作阻断、访问控制、审计日志管理和会话回放的能力。（</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支持录像慢速/快速回放，支持记录起止时间、来源用户、来源IP、目标设备、协议/应用类型、命令记录、操作内容（如对文件的上传、下载、删除、修改等操作等）等。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支持UOS /麒麟等操作系统下C/S架构的堡垒机专用客户端登录堡垒机并进行管理及运维操作。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支持对重要命令进行审核，运维人员执行命令后，需等到管理员审批通过后才可执行成功。</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支持自动收集设备IP、运维协议、端口号、账号、密码、与用户的权限关系，可自动完成授权。</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支持数据库自动改密功能，包括POSTGRESQL、GBASE8S、ORACLE、MYSQL、SQL SERVER、DM（达梦）等。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具备任务编排，对目标资产进行手动执行或定时执行的方式。动作流可包括：上传文件、执行命令、下载文件等。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支持ssh、telnet、rlogin、rdp、vnc、ftp、sftp、x11协议的H5运维，无需本地运维客户端工具。</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支持对数据库运维会话的上行和下行命令（即SQL语句与执行结果信息）进行审计。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支持标准化对接CAS、JWT、SAML2、OAuth2单点登录认证，且支持配置是否自动创建堡垒机中不存在用户。</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支持录像慢速/快速回放，支持记录起止时间。</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 根据运维人员生成各种维度的分析报表，支持PDF、DOC、HTML格式导出。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 支持运维报表自动定期发送，提供一键导出符合等级保护等要求的综合分析报告。</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31</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服务器安全管理系统</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 支持统一运维管理、提供66颗物理CPU授权授权，包括包资产梳理、入侵检测、防病毒、漏洞扫描、微隔离、IPS(虚拟补丁）功能共6个模块。支持主流化环境：飞腾、华为鲲鹏、海光、兆芯、统信、麒麟等。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2支持与中创中间件兼容，同时支持与瀚高、优炫、达梦数据库兼容。</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 统一运维管理:可实现对客户端的统一运维管理、安全策略维护及全网安全日志分析、消息中心、手机令牌、安全大屏、报表中心等。支持主机安全:提供防火墙、端口白名单、外连白名单功能，支持对端口进行白名单学习与控制，以及对外连进程的监控与控制，对服务器的入流量和出流量的访问控制进行告警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30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 支持风险识别:通过风险扫描功能对服务器的后门、漏洞，弱口令等风险进行检测，发现服务器上的风险异常。并通过风险管理功能，进行统一查询，筛选及处置。能够定时为用户提供风险报告输出。支持威胁监测:以图形化的形式统计并展示服务器的可疑威胁及告警信息，包括:可疑威胁事件统计、可疑威胁分布、可疑威胁趋势，以及具体的威胁事件列表，可对主机中的各类威胁进行实时监测及处置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 溯源分析:采用行为关联分析方法将访问行为过程中所产生的日志进行综合分析比对，将入侵行为分别以探测、攻击、控制、其他等阶段，并以安全事件的方式发出告警，实时监控记录恶意攻击发生的路径及关键点，利用监控所获取的数据，分析事件完整过程，找出根本原因。</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 支持应用安全防护:以多种检测方式(内核监控、沙箱、内存 Webshell等)检测webshell攻击;查看发起连接详情，包括基本信息、连接进程信息、命令行信息，并以图形化的形式展示进程树信息，用于详细溯源。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 支持微隔离功能，支持端口白名单，记录端口暴露详情包括暴露类型、目标IP、源IP、IP归属、威胁情报、首次暴露时间、最近暴露时间等；支持主机防火墙，可针对服务器定制策略，支持对服务器进行一键隔离，应急场景下快速处置服务器网络连接行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 支持风险发现、风险分析，支持统计总风险及各类风险数量。通过各类图表展示安全评分趋势、风险项等级分布、易受攻击服务器Top5/Top10、风险项趋势、危急风险项Top5/Top10、分组安全评分、分组风险项分布、风险影响服务器趋势、漏洞风险项数量Top5/Top10、高危账号类型分布、口令风险应用排行、配置风险排行、软件漏洞修复趋势、弱口令修复趋势等相关统计信息，支持配置图表，可通过拖拽改变图表布局，支持查看和下载风险发现报告。</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 支持勒索专项治理，针对勒索防御包括已处置勒索病毒、已修复漏洞数、已处置WebShell、已阻止暴力破解等进行详细统计，针对实时告警、勒索相关攻击趋势、漏洞检测、关键服务端口暴露、弱口令账户统计、勒索病毒与查杀、已查杀勒索病毒数排行、暴力破解攻击IP、Webshell防护、未授权访问、远程异常登录统计等统计展示。支持通过端口白名单、暴力破解防护、远程登录控制等进行外网暴露面收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系统加固，支持文件监控与防护、注册表监控与防护、操作系统加固和暴力破解等，支持驱动级文件监控，保护指定目录下的文件，可选择读取、链接、写入、重命名、创建、删除、执行等权限；支持对操作系统加固设置例外进程和文件；支持防护对外服务进程执行危险命令、非系统进程在系统目录下创建可执行文件、对外服务进程执行非正常扩展名可执行文件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勒索实时防护，支持勒索专项防护包含勒索诱饵防护、系统还原点和卷影保护、内核免疫等，支持账户新增及密码窃取防护、临时目录执行敏感程序防护、高危应用传输可执行文件防护、缓冲区利用防护、敏感命令执行防护、计划任务防护、高危应用网络下载及外连防护、高危漏洞利用防护等勒索加固防护；支持勒索病毒应急处置，提供基于黑名单机制的全网病毒查杀，及失陷服务器快速隔离能力。支持对失陷服务器进行一键隔离，防止勒索病毒的横向移动和扩散。</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 支持病毒实时防护功能，提供自主研发的病毒引擎，自主拥有维护云端病毒库，支持联网进行病毒查杀，可利用云端海量病毒库提升本地病毒检出能力。支持客户端直连、控制台代理客户端连接、客户端通过代理服务器连接三种方式联网向云端病毒库请求查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 产品具有安全软件自保护功能，防止被非授权用户强行卸载、删除或修改，同时能够防止攻击者非法窃取安全产品通信数据以及能够在进程异常结束后依然保持防护能力。支持检测并阻断攻击者对外服务进程下载可疑文件、攻击者利用对外服务进程非授权添加定时任务、攻击者利用web应用上传恶意文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14.要求提供服务器安全管理系统的测试报告，要求在静默状态下windows和linux上的agent 占用服务器CPU 单核使用率不超过5%，在进程异常结束之后依然保持防护能力。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32</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终端安全管理系统</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1、配置2000点功能授权，包含病毒防护+补丁管理+主机防火墙+终端管控功能，统一配置下发，统一策略联动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2、终端安全网络版控制中心，针对防病毒功能模块、安全登录功能模块、主机安全审计，支持与现有的终端与非终端统一管理。"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▲3、产品全功能支持简体中文/繁体中体/英语自由切换。（</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▲4、具备跟现网的威胁感知系统类设备接口对接，进行处置联动，处置对象包含攻击者IP和受害者IP,联动接口处置接口包含：终端隔离、取消隔离、全盘扫描。（</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5、具有IT产品信息安全产品认证证书。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6、部署在终端，可执行终端防护、病毒查杀、日常运维等操作，为终端病毒防护提供可视化、可量化的参考依据。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7、日常运维：支持生成病毒查杀报告、处理病毒误报漏报、建立病毒查杀任务等。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8、支持对压缩包内的病毒扫描，支持多层压缩包的扫描，可自定义配置压缩包的扫描层数，至少大约10层模式下的扫描。支持不少于两个杀毒引擎混合使用。"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终端探测：支持tcp、ping、域名解析三种外联探测方式，支持自定义探测地址，探测间隔，支持违规外联措施，包含断开网络、关机。支持补丁管理：产品具有定时修复漏洞模式，同时可以设置筛选高危漏洞、功能性补丁等修复类型。</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10、支持终端授权统计、违规外联、移动存储、补丁管理和桌面管控。</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按CVE编号查询漏洞，支持按补丁号查询漏洞，管理员可查看漏洞修复情况，未修复终端数、已修复终端数量，可以查看计算机名、IP地址、高危漏洞、可选的高危漏洞、其他及功能性补丁等情况。支持外设库管理，可统计终端外接的各种设备，包括厂商和设备类型、产品、数量、PID、VID和设备来源。支持对外设进行多维度的放行，包括设备名称、PID/VID、实例路径。+D449</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33</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超融合配套AV+DPI软件授权</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1.超融合配套AV+DPI软件授权</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2.本次配置≥2个物理CPU授权，支持主流Windows、Linux、操作系统虚拟机无代理底层防病毒能力，支持无代理底层网络数据包检测功能</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3.管理平台支持横向扩容，支持多节点集群化部署，保证系统高可用性。管理平台离线，客户端仍可进行安全防护</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4.支持主流Windows、Linux、操作系统虚拟机无代理底层防病毒能力，包括Windows、RedHat、CentOS、SUSE、Ubuntu、统信、银河麒麟等，不需要在虚拟机或虚拟桌面中部署安全防护代理，对虚拟机数量无限制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无代理底层网络数据包检测，可以同时保护虚拟机操作系统以及服务应用（数据库，Web，DHCP等），提供虚拟补丁功能，在已知漏洞修复之前，提供对漏洞攻击的防护能力，屏蔽漏洞以免遭受无限制的入侵，不需要在虚拟机或虚拟桌面中部署安全防护代理</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6、支持虚拟化内核集成安全防护功能模块为虚拟机提供防护，安全防护功能模块只需在虚拟化环境底层安装，不需要在每台虚拟机上安装</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7.支持在业务虚拟机与安全防护管理中心网络不可达情况下对业务虚拟机进行安全防护、策略管理及日志告警</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▲8.支持虚拟机侧无需安装代理即可进行病毒防护，（</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9.分时段防护：支持分时段防护能力，根据不同时间段，执行不同的病毒防护策略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10.支持网络访问控制功能，自定义防火墙策略，支持IP、MAC地址、端口，支持协议：TCP、 UDP、 ARP、RARP、ICMP、ICMPv6 、IGMP、IDP等，支持IPv4、IPv6双栈协议</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11.支持网络入侵攻击的防护，包含支持防护SQL注入，Cookie 注入，命令注入，跨站脚本(XSS)，跨站请求伪造(CSRF)，WebShell攻击防护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34</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虚拟桌面终端安全管理系统</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1.产品管理中心需支持部署在系统（x86/ARM）环境中，具备与龙芯架构、麒麟系统、统信系统等信创环境的兼容互认证书。</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59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2.server客户端部署的操作系统环境需适配包括且不限于：</w:t>
            </w:r>
            <w:r>
              <w:rPr>
                <w:rFonts w:ascii="宋体" w:hAnsi="宋体" w:cs="宋体" w:hint="eastAsia"/>
                <w:kern w:val="0"/>
                <w:sz w:val="22"/>
                <w:szCs w:val="22"/>
              </w:rPr>
              <w:br/>
            </w:r>
            <w:r>
              <w:rPr>
                <w:rFonts w:ascii="宋体" w:hAnsi="宋体" w:cs="宋体" w:hint="eastAsia"/>
                <w:kern w:val="0"/>
                <w:sz w:val="22"/>
                <w:szCs w:val="22"/>
              </w:rPr>
              <w:t>-UOS （版本 1020-1030）服务器版操作系统 x86_64/arm64</w:t>
            </w:r>
            <w:r>
              <w:rPr>
                <w:rFonts w:ascii="宋体" w:hAnsi="宋体" w:cs="宋体" w:hint="eastAsia"/>
                <w:kern w:val="0"/>
                <w:sz w:val="22"/>
                <w:szCs w:val="22"/>
              </w:rPr>
              <w:br/>
            </w:r>
            <w:r>
              <w:rPr>
                <w:rFonts w:ascii="宋体" w:hAnsi="宋体" w:cs="宋体" w:hint="eastAsia"/>
                <w:kern w:val="0"/>
                <w:sz w:val="22"/>
                <w:szCs w:val="22"/>
              </w:rPr>
              <w:t>-UOS 1020e/1050e 服务器版操作系统 x86_64/arm64</w:t>
            </w:r>
            <w:r>
              <w:rPr>
                <w:rFonts w:ascii="宋体" w:hAnsi="宋体" w:cs="宋体" w:hint="eastAsia"/>
                <w:kern w:val="0"/>
                <w:sz w:val="22"/>
                <w:szCs w:val="22"/>
              </w:rPr>
              <w:br/>
            </w:r>
            <w:r>
              <w:rPr>
                <w:rFonts w:ascii="宋体" w:hAnsi="宋体" w:cs="宋体" w:hint="eastAsia"/>
                <w:kern w:val="0"/>
                <w:sz w:val="22"/>
                <w:szCs w:val="22"/>
              </w:rPr>
              <w:t>-银河麒麟（ V10、 V10 SP1/SP2）服务器版操作系统 x86_64/arm64</w:t>
            </w:r>
            <w:r>
              <w:rPr>
                <w:rFonts w:ascii="宋体" w:hAnsi="宋体" w:cs="宋体" w:hint="eastAsia"/>
                <w:kern w:val="0"/>
                <w:sz w:val="22"/>
                <w:szCs w:val="22"/>
              </w:rPr>
              <w:br/>
            </w:r>
            <w:r>
              <w:rPr>
                <w:rFonts w:ascii="宋体" w:hAnsi="宋体" w:cs="宋体" w:hint="eastAsia"/>
                <w:kern w:val="0"/>
                <w:sz w:val="22"/>
                <w:szCs w:val="22"/>
              </w:rPr>
              <w:t>-中标麒麟V7 服务器版操作系统 x86_64/arm64</w:t>
            </w:r>
            <w:r>
              <w:rPr>
                <w:rFonts w:ascii="宋体" w:hAnsi="宋体" w:cs="宋体" w:hint="eastAsia"/>
                <w:kern w:val="0"/>
                <w:sz w:val="22"/>
                <w:szCs w:val="22"/>
              </w:rPr>
              <w:br/>
            </w:r>
            <w:r>
              <w:rPr>
                <w:rFonts w:ascii="宋体" w:hAnsi="宋体" w:cs="宋体" w:hint="eastAsia"/>
                <w:kern w:val="0"/>
                <w:sz w:val="22"/>
                <w:szCs w:val="22"/>
              </w:rPr>
              <w:t>-Redhat Enterprise Linux 6.0~8.2 64 位</w:t>
            </w:r>
            <w:r>
              <w:rPr>
                <w:rFonts w:ascii="宋体" w:hAnsi="宋体" w:cs="宋体" w:hint="eastAsia"/>
                <w:kern w:val="0"/>
                <w:sz w:val="22"/>
                <w:szCs w:val="22"/>
              </w:rPr>
              <w:br/>
            </w:r>
            <w:r>
              <w:rPr>
                <w:rFonts w:ascii="宋体" w:hAnsi="宋体" w:cs="宋体" w:hint="eastAsia"/>
                <w:kern w:val="0"/>
                <w:sz w:val="22"/>
                <w:szCs w:val="22"/>
              </w:rPr>
              <w:t>-CentOS 6.0~8.2 64 位</w:t>
            </w:r>
            <w:r>
              <w:rPr>
                <w:rFonts w:ascii="宋体" w:hAnsi="宋体" w:cs="宋体" w:hint="eastAsia"/>
                <w:kern w:val="0"/>
                <w:sz w:val="22"/>
                <w:szCs w:val="22"/>
              </w:rPr>
              <w:br/>
            </w:r>
            <w:r>
              <w:rPr>
                <w:rFonts w:ascii="宋体" w:hAnsi="宋体" w:cs="宋体" w:hint="eastAsia"/>
                <w:kern w:val="0"/>
                <w:sz w:val="22"/>
                <w:szCs w:val="22"/>
              </w:rPr>
              <w:t>-SUSE 服务器版操作系统 x86_64</w:t>
            </w:r>
            <w:r>
              <w:rPr>
                <w:rFonts w:ascii="宋体" w:hAnsi="宋体" w:cs="宋体" w:hint="eastAsia"/>
                <w:kern w:val="0"/>
                <w:sz w:val="22"/>
                <w:szCs w:val="22"/>
              </w:rPr>
              <w:br/>
            </w:r>
            <w:r>
              <w:rPr>
                <w:rFonts w:ascii="宋体" w:hAnsi="宋体" w:cs="宋体" w:hint="eastAsia"/>
                <w:kern w:val="0"/>
                <w:sz w:val="22"/>
                <w:szCs w:val="22"/>
              </w:rPr>
              <w:t>-Windows Server： 2008 32/64 位、 2019&amp;2016 &amp; 2012 &amp; (2012 R2) &amp;(2008 R2)</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3.管理中心支持一个管理控制台同时管理Windows,Linux,信创操作系统，同时支持MySQL数据库和达梦数据库。</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4.支持分权分域管理，实现不同组织间的数据隔离和管理隔离。具有分组管理客户端的功能，可对不同组实施不同的病毒防护策略。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支持以“普通模式”和“调试模式”收集客户端的故障信息，可以将收集的故障信息方便地反馈至安全厂商的服务人员进行故障排查分析。支持客户端资源占用自动降级，当客户端CPU和内存使用率超过设定值时，将自动暂时关闭资源占用高的功能，待资源稳定时再开启。</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对所有平台均支持不少于三个杀毒引擎混合使用，包括云检测引擎、机器学习引擎、启发式引擎等，提供多引擎检测能力。提供对恶意代码有效检测与识别能力，对已知、未知病毒、病毒变种的全面检测、拦截和清除能力。</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7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b/>
                <w:bCs/>
                <w:kern w:val="0"/>
                <w:sz w:val="22"/>
                <w:szCs w:val="22"/>
              </w:rPr>
              <w:t>▲7.提供基于程序行为的独立恶意行为监控引擎，基于进程的操作行为和序列组合来应对未知威胁。包括：重复的系统文件，Hosts文件修改，可疑行为，新IE插件，IE设置修改，安全策略修改，动态链接库注入，Shell修改，新服务，系统文件修改，防火墙策略修改，系统进程修改，新启动程序等。（</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 xml:space="preserve">8.具备机器学习检测引擎，产品能够监控并清除病毒、木马、勒索、挖矿、恶意软件、加壳软件、CVE弱点攻击等类型的恶意威胁。 </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9.提供U盘扫描，可实时发现U盘里的病毒或恶意软件；提供云检测引擎能力，支持开启或关闭云检测引擎，云检测引擎包括公有云检测和本地云检测两种扫描方式。</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10.提供压缩文件扫描功能，支持多层压缩文件扫描，可设置最大压缩层数为16层，提供压缩文件扫描功能，允许设定压缩文件大小的上限（最大为2048MB），超过此大小的压缩文件将不会被扫描，以缩短扫描时间。</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支持针对不同病毒类型自定义设置处置措施，处置措施包括“隔离”、“清除”、“删除”、“更名”、或“不予处理”等，支持设置病毒清除动作前备份文件。具备爆发阻止功能，管理端可配置爆发阻止策略，封堵共享端口。</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12.支持管理员自定义SHA1、MD5黑名单和白名单，黑名单可指定其动作包括（阻止，隔离，记录）；同时支持扫描例外目录和扫描例外文件。支持自定义SHA1、MD5本地威胁情报。</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具备Web信誉评估功能，支持可疑连接检测，检测终端与可疑站点（C&amp;C)之间的所有连接。具备将可疑文件提交沙盒设备的联动能力。支持勒索软件防护，自动备份和恢复可疑程序更改的文件，支持阻止通常与勒索软件相关的进程。</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14.产品病毒基本库对于病毒的检测率不低于98%，清除率不低于90%；流行病毒库对于病毒的检测率不低于96%，清除率不低于96%。</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15.支持以终端维度查看终端所有资产信息，包括运行应用，安装软件，硬件，账号详情，启动项，进程，系统服务，计划任务，端口，数据库，Web服务，web站点，web应用，web框架，进程，系统服务，jar包和第三方类库。</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16.支持未知资产探测，探测方式支持Ping，ARP, Nmap方式，支持设置探测周期定期触发探测和手动立即触发探测。探测信息包含：未知资产IP，Mac，Mac厂商，计算机名，操作系统，设备类型，首次探测时间，最近探测时间。</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17.支持对Windows、Linux系统及系统中的Web服务、数据库及其他应用的漏洞进行扫描，包括编号、漏洞名称、危险程度、CVE编号及修复参考建议；</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18.支持漏洞处置优先级(VPT)，依据漏洞风险，漏洞所在设备被攻击的可能性，漏洞所在资产的重要等级，漏洞可被利用的威胁情报等维度，筛选出立即修复，优先修复，稍后修复，延后修复，让补丁管理更有序从容。</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19.支持按照终端的维度统计终端补丁的安装情况，包括计算机名称，IP地址，连接状态，操作系统，已安装补丁，未安装补丁，对应的补丁信息。并支持导出统计报表。支持按照补丁的维度统计补丁安装情况，包括补丁名称，KB号，严重等级，受影响产品，发布日期，描述，已安装终端，未安装终端，对应的终端信息。并支持导出统计报表。</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20.支持禁用双网卡连接，禁用后仅支持与服务器连接的网卡通讯，断开其他网卡的网络连接。支持禁用WIFI连接，同时支持配置允许使用的SSID白名单。</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21.文件审计支持终端本地及移动存储设备中的文件操作行为，审计的行为包括：创建，读取，修改，删除，重命名。支持选择审计文件的范围（全部，可执行文件及文档文件，指定文件类型，指定文件目录）。</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22.支持超级管理员配置远程桌面的模式：强制连接、询问连接，强制连接将无需终端接受直接连接成功，适用于无人看守的场景。管理员通过 web 控制台直接发起远程连接，无需本地下载远程桌面的相关插件。</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35</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态势感知探针</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1.≥2U标准机架式，双电源，千兆电口≥6个，万兆光口≥2个；网络层吞吐量≥3Gbps，应用层吞吐量≥1Gbps。</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命令注入检测、PHP代码检测、XSS攻击检测、Webshell上传检测、SQL注入检测、XXE攻击检测、JAVA代码检测、SQL非注入型检测、MYSQL解析增强、php反序列化检测等自定义配置启用，针对命令注入检测、SQL注入检测等类型支持自定义高检出、低误报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3.具备流量协议内容深度还原，包括http、dns、smb、ftp、smtp、pop3、imap、tls、tftp、ikev2、krb5、ssh等协议。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违规访问检测。提供设置白名单和黑名单，监理针对性的业务和应用访问逻辑规则。策略从上到下进行匹配，可以通过右侧置顶功能对策略优先级进行调节。支持定义IP组、服务、端口、访问时间等访问策略。</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5.支持SQL注入、XSS攻击、网页木马、网站扫描、WEBSHELL、跨站请求伪造、系统命令注入、文件包含攻击、目录遍历攻击、信息泄露攻击、Web整站系统漏洞、自定义WAF规则、WAF云防护等网站攻击检测</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流量威胁深度检测能力，联动分析平台支持异常会话检测、web攻击检测、挖矿行为检测、僵木蠕检测、webshell文件检测、异常文件检测、漏洞利用检测、DOS攻击检测、扫描行为检测、配置风险检测、异常登录检测、横向移动检测、违规访问检测等13大类、超过4万条威胁检测规则。</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7.具备网络入侵攻击报文检测引擎，触发告警，记录入侵攻击事件，记录：事件名称、来源IP、来源端口、 目的IP、目的端口、原始流ID、攻击报文、传输协议、应用协议、原始内容等。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▲8.支持违规访问检测，支持基于IP、IP组、服务、端口、访问时间等定义访问策略。支持服务器漏洞检测功能。（</w:t>
            </w:r>
            <w:r>
              <w:rPr>
                <w:rFonts w:ascii="宋体" w:hAnsi="宋体" w:cs="宋体" w:hint="eastAsia"/>
                <w:b/>
                <w:bCs/>
                <w:color w:val="0000FF"/>
                <w:kern w:val="0"/>
                <w:sz w:val="22"/>
                <w:szCs w:val="22"/>
              </w:rPr>
              <w:t>投标时同时提供：①由第三方检验检测机构出具并加盖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9.审计白名单支持源目IP、源目端口和日志类型、日志来源。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36</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跨网文件交换系统</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1.系统构架：系统为B/S架构，为了保证满足等级保护的相关要求，系统需为内、外网各一台设备，内、外网设备之间可以过网闸进行文件交换。单台配置： CPU：2U机架式8盘位机箱、12核24线程CPU、16G内存。存储空间：20T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2.用户数：不限制用户数，不限制并发数。</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3.传输方向：系统必须支持内、外网文件双向传输。</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4.文件传输类型：系统支持用户将文件进行内、外网互传，也支持将文件发送给系统内部的其他用户。</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5.同步方式：系统支持自动同步与手动同步。自动同步：用户上传文件后，后自动同步到对向。手动同步:用户上传文件后，选择文件手动同步到对向。</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文件杀毒：系统内置杀毒引擎，并支持第三方杀毒引擎；在文件从医院外网传输到医院内网时，产品能对文件进行病毒和木马检测，识别可能导致系统风险的恶意文件。一旦发现可疑文件，可自动阻止文件交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7.加密存储：为了保证系统中存储文件的安全性，系统采用落地加密技术，当文件上传到设备上时，设备需以加密的方式保存在硬盘上。</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8.登录IP保护：管理员可以设置每个部门用户登录的IP地址范围，防止用户账号在非可控区域登录，给单位内部数据安全带来隐患。</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9.文件类型保护：文件上传到系统时，系统会对文件后缀名进行进行分析，可以准确判断文件类型是否被伪造，如果当前文件类型与真实类型不符，文件即刻被删除，禁止传输。</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▲10.移动端支持：支持用户通过安卓APP、苹果APP端进行登录，可以查看登录账号的个人空间、回收站、公共空间文件信息，可以进行文件上传、下载、删除、移动。（</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11.软件防火墙：系统自带软件防火墙，管理员可以设置开放的源IP地址、目的IP地址、开放端口。</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9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12.多系统终端支持：系统具备Windows、MacOS、统信、麒麟等系统都有软件安装包，以客户端的形式实现文件的上传与下载。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13.白名单：管理员可以设置用户上传文件类型的白名单，用户只能上传指定类型的文件。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14.账号角色：系统具备管理员、审批员、普通用户三种角色。管理员可以对于系统进行管理，普通用户可以对于文件传输进行申请，审批员可以对于申请进行审批。</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15.个人空间：可以存储个人的文档，用户可以对于文档进行备注说明。系统可以显示这个文档被下载的次数。</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16.公共空间：管理员可以建立多个目录，给不同的部门设置不同的权限，包括查阅、管理、上传、下载等权限，也可以设置指定的用户的例外权限。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17.收藏：用户对于自己常用的文件可以进行收藏操作。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18.在线编辑：用户可以在线编辑系统中存储的文档，包括WORD、EXCEL、PPT等文件，支持多人协同编辑。</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19.版本管理：所有文件在线修改都会进行版本备份，用户可以选择历史版本进行版本恢复。</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20.子管理员：系统具备子管理员权限，子管理员可以对于下属分之机构进行管理，包括下属分支机构的组织构架、用户权限等，也可以查询下属分之机构的文件传输记录。</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21.互联网安全接入：系统自带虚拟隧道安全访问功能，用户在互联网直接访问系统时，系统的端口为隐藏的，用户无法访问系统。用户需要专用的身份验证客户端进行身份验证，验证成功后系统才会对这个终端开放访问端口，用户才可以访问系统登录页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账号安全：账号安全可以对用户进行密码复杂度和登录验证项进行设置，可以设置密码密码需要包含数字、字母、特殊符号、大小写、以及密码，登录验证项设置可以设置是否绑定手机号、第一次登录校验姓名、手机号，以及设置是否禁止一共账号多人登录、页面超时自动退出、登录失败次数设置，并可以设置在登录页是否展示APP下载二维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23.审批管理：管理员可以设置申请外传文件的审批流程，文件外发申 请后，管理员审批后，文件就进行内外网文件交换。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24.水印管理：管理员可以设置水印展示的内容，包括IP地址、用户名、时间，文件从内网传输到外网时，文件会自动加上水印。</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审计功能：产品支持对个人的文件交换行为进行审计，审计信息包括，上传时间、文件名称、用户名称，操作类型（上传文件、下载文件、删除文件、新建目录、共享文件、移动文件）、终端IP、终端位置（外网、内网）、终端名称等信息；且支持内容审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26.自动审批：当用户申请外发时，系统会进行自动审批，所有申请操作都会形成审计记录保存。</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27.日志管理：</w:t>
            </w:r>
            <w:r>
              <w:rPr>
                <w:rFonts w:ascii="宋体" w:hAnsi="宋体" w:cs="宋体" w:hint="eastAsia"/>
                <w:kern w:val="0"/>
                <w:sz w:val="22"/>
                <w:szCs w:val="22"/>
              </w:rPr>
              <w:br/>
            </w:r>
            <w:r>
              <w:rPr>
                <w:rFonts w:ascii="宋体" w:hAnsi="宋体" w:cs="宋体" w:hint="eastAsia"/>
                <w:kern w:val="0"/>
                <w:sz w:val="22"/>
                <w:szCs w:val="22"/>
              </w:rPr>
              <w:t>传输日志：可查看用户传输的文件，可以进行下载和查询</w:t>
            </w:r>
            <w:r>
              <w:rPr>
                <w:rFonts w:ascii="宋体" w:hAnsi="宋体" w:cs="宋体" w:hint="eastAsia"/>
                <w:kern w:val="0"/>
                <w:sz w:val="22"/>
                <w:szCs w:val="22"/>
              </w:rPr>
              <w:br/>
            </w:r>
            <w:r>
              <w:rPr>
                <w:rFonts w:ascii="宋体" w:hAnsi="宋体" w:cs="宋体" w:hint="eastAsia"/>
                <w:kern w:val="0"/>
                <w:sz w:val="22"/>
                <w:szCs w:val="22"/>
              </w:rPr>
              <w:t>上传日志：显示用户上传的所有文件，支持所有字段模糊查询</w:t>
            </w:r>
            <w:r>
              <w:rPr>
                <w:rFonts w:ascii="宋体" w:hAnsi="宋体" w:cs="宋体" w:hint="eastAsia"/>
                <w:kern w:val="0"/>
                <w:sz w:val="22"/>
                <w:szCs w:val="22"/>
              </w:rPr>
              <w:br/>
            </w:r>
            <w:r>
              <w:rPr>
                <w:rFonts w:ascii="宋体" w:hAnsi="宋体" w:cs="宋体" w:hint="eastAsia"/>
                <w:kern w:val="0"/>
                <w:sz w:val="22"/>
                <w:szCs w:val="22"/>
              </w:rPr>
              <w:t>下载日志：显示用户下传的所有文件，支持所有字段模糊查询</w:t>
            </w:r>
            <w:r>
              <w:rPr>
                <w:rFonts w:ascii="宋体" w:hAnsi="宋体" w:cs="宋体" w:hint="eastAsia"/>
                <w:kern w:val="0"/>
                <w:sz w:val="22"/>
                <w:szCs w:val="22"/>
              </w:rPr>
              <w:br/>
            </w:r>
            <w:r>
              <w:rPr>
                <w:rFonts w:ascii="宋体" w:hAnsi="宋体" w:cs="宋体" w:hint="eastAsia"/>
                <w:kern w:val="0"/>
                <w:sz w:val="22"/>
                <w:szCs w:val="22"/>
              </w:rPr>
              <w:t>邮件日志：可以查看到通过跨网邮件发送的文件、主题、接收人、发送人和状态。</w:t>
            </w:r>
            <w:r>
              <w:rPr>
                <w:rFonts w:ascii="宋体" w:hAnsi="宋体" w:cs="宋体" w:hint="eastAsia"/>
                <w:kern w:val="0"/>
                <w:sz w:val="22"/>
                <w:szCs w:val="22"/>
              </w:rPr>
              <w:br/>
            </w:r>
            <w:r>
              <w:rPr>
                <w:rFonts w:ascii="宋体" w:hAnsi="宋体" w:cs="宋体" w:hint="eastAsia"/>
                <w:kern w:val="0"/>
                <w:sz w:val="22"/>
                <w:szCs w:val="22"/>
              </w:rPr>
              <w:t>审批日志：审批日志中可以查看需要审批的文件的信息，审核状态也可以下载，可以查看该文件目前的审批状态。</w:t>
            </w:r>
            <w:r>
              <w:rPr>
                <w:rFonts w:ascii="宋体" w:hAnsi="宋体" w:cs="宋体" w:hint="eastAsia"/>
                <w:kern w:val="0"/>
                <w:sz w:val="22"/>
                <w:szCs w:val="22"/>
              </w:rPr>
              <w:br/>
            </w:r>
            <w:r>
              <w:rPr>
                <w:rFonts w:ascii="宋体" w:hAnsi="宋体" w:cs="宋体" w:hint="eastAsia"/>
                <w:kern w:val="0"/>
                <w:sz w:val="22"/>
                <w:szCs w:val="22"/>
              </w:rPr>
              <w:t>系统日志：可以查看哪个用户操作了那些功能，以及该用户登录的ip，和操作此功能的时间</w:t>
            </w:r>
            <w:r>
              <w:rPr>
                <w:rFonts w:ascii="宋体" w:hAnsi="宋体" w:cs="宋体" w:hint="eastAsia"/>
                <w:kern w:val="0"/>
                <w:sz w:val="22"/>
                <w:szCs w:val="22"/>
              </w:rPr>
              <w:br/>
            </w:r>
            <w:r>
              <w:rPr>
                <w:rFonts w:ascii="宋体" w:hAnsi="宋体" w:cs="宋体" w:hint="eastAsia"/>
                <w:kern w:val="0"/>
                <w:sz w:val="22"/>
                <w:szCs w:val="22"/>
              </w:rPr>
              <w:t>删除审计：在回收站中将文件删除，可以在删除审计中将文件恢复到原目录，删除审计中文件删除后，文件将无法恢复。</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72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28.统计管理：</w:t>
            </w:r>
            <w:r>
              <w:rPr>
                <w:rFonts w:ascii="宋体" w:hAnsi="宋体" w:cs="宋体" w:hint="eastAsia"/>
                <w:kern w:val="0"/>
                <w:sz w:val="22"/>
                <w:szCs w:val="22"/>
              </w:rPr>
              <w:br/>
            </w:r>
            <w:r>
              <w:rPr>
                <w:rFonts w:ascii="宋体" w:hAnsi="宋体" w:cs="宋体" w:hint="eastAsia"/>
                <w:kern w:val="0"/>
                <w:sz w:val="22"/>
                <w:szCs w:val="22"/>
              </w:rPr>
              <w:t>用户统计：可以以列表，柱状图等形式展示用户上传文件数量信息。可导出列表</w:t>
            </w:r>
            <w:r>
              <w:rPr>
                <w:rFonts w:ascii="宋体" w:hAnsi="宋体" w:cs="宋体" w:hint="eastAsia"/>
                <w:kern w:val="0"/>
                <w:sz w:val="22"/>
                <w:szCs w:val="22"/>
              </w:rPr>
              <w:br/>
            </w:r>
            <w:r>
              <w:rPr>
                <w:rFonts w:ascii="宋体" w:hAnsi="宋体" w:cs="宋体" w:hint="eastAsia"/>
                <w:kern w:val="0"/>
                <w:sz w:val="22"/>
                <w:szCs w:val="22"/>
              </w:rPr>
              <w:t>上传文件统计：可以以列表，柱状图等形式展示部门上传文件数量信息。可导出列表</w:t>
            </w:r>
            <w:r>
              <w:rPr>
                <w:rFonts w:ascii="宋体" w:hAnsi="宋体" w:cs="宋体" w:hint="eastAsia"/>
                <w:kern w:val="0"/>
                <w:sz w:val="22"/>
                <w:szCs w:val="22"/>
              </w:rPr>
              <w:br/>
            </w:r>
            <w:r>
              <w:rPr>
                <w:rFonts w:ascii="宋体" w:hAnsi="宋体" w:cs="宋体" w:hint="eastAsia"/>
                <w:kern w:val="0"/>
                <w:sz w:val="22"/>
                <w:szCs w:val="22"/>
              </w:rPr>
              <w:t>审批信息统计：可以以列表，柱状图等形式展示所有用户和部门上传文件的审批信息，可导出列表</w:t>
            </w:r>
            <w:r>
              <w:rPr>
                <w:rFonts w:ascii="宋体" w:hAnsi="宋体" w:cs="宋体" w:hint="eastAsia"/>
                <w:kern w:val="0"/>
                <w:sz w:val="22"/>
                <w:szCs w:val="22"/>
              </w:rPr>
              <w:br/>
            </w:r>
            <w:r>
              <w:rPr>
                <w:rFonts w:ascii="宋体" w:hAnsi="宋体" w:cs="宋体" w:hint="eastAsia"/>
                <w:kern w:val="0"/>
                <w:sz w:val="22"/>
                <w:szCs w:val="22"/>
              </w:rPr>
              <w:t>文件类型统计：可以以列表，柱状图等形式展示所有上传文件类型信息。可导出列表</w:t>
            </w:r>
            <w:r>
              <w:rPr>
                <w:rFonts w:ascii="宋体" w:hAnsi="宋体" w:cs="宋体" w:hint="eastAsia"/>
                <w:kern w:val="0"/>
                <w:sz w:val="22"/>
                <w:szCs w:val="22"/>
              </w:rPr>
              <w:br/>
            </w:r>
            <w:r>
              <w:rPr>
                <w:rFonts w:ascii="宋体" w:hAnsi="宋体" w:cs="宋体" w:hint="eastAsia"/>
                <w:kern w:val="0"/>
                <w:sz w:val="22"/>
                <w:szCs w:val="22"/>
              </w:rPr>
              <w:t>每日上传统计：可以以列表，柱状图，饼状图三种形式展示近10天所有上传文件数量信息。可导出列表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29.通知通告：管理员可自定义通知通告信息，通知通告信息会在个人空间上方展示。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30.用户权限：权限设置可以针对用户进行公告空间使用权限的配置，包括：查看、预览、在线编辑、下载、上传、删除权限。也可以针对用户设置是否展示功能空间、是否展示回收站。</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31.外链分享：管理员设置某个部门具有分享外链权限，具有分享权限的内部人员文件所有者需通过生成Web链接的方式将文件或文件夹分享给外部人员，并设置链接的有效期，外部人员可以访问链接和密码验证来获取文件；可配置邮件平台通知被分享外链的人员去下载；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32.回收站机制：用户删除的文件会进入回收站中，回收站的文件删除掉后，用户的个人空间会释放掉，文件信息会进入删除审计中，删除审计中的文件默认保存六个月，管理员可以对于保存时间进行设置，可以将删除审计中的文件下载，支持在线预览。</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33.统计报表：系统可以生成相关的统计报表，包括文件传输报表、管理员审批报表、传输文件信息报表等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34.快捷登录：用户可以将账号与微信绑定，实现通过微信扫码登录系统。</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35.数据防泄漏：系统具备数据防泄漏功能，内置对于身份证号、银行卡号等多种检测规则，用户传输文件时，系统会对于文件进行检测，含有敏感信息的文件将不能外传。</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37</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网络质量感知系统</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1、硬件规格：硬盘≥32T;网口≥4*RJ45，光口≥2*SFP+，满配光模块；</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2、性能要求：流量处理性能≥5Gbps</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r>
              <w:rPr>
                <w:rFonts w:ascii="宋体" w:hAnsi="宋体" w:cs="宋体" w:hint="eastAsia"/>
                <w:b/>
                <w:bCs/>
                <w:kern w:val="0"/>
                <w:sz w:val="22"/>
                <w:szCs w:val="22"/>
              </w:rPr>
              <w:t>▲3、探针要求：支持被动流量采集探针及主动探测的拨测探针（</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4、存储功能：支持自定义存储原始数据包；</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5、流量标识：支持对不同探针、不同接口、不同Vlan、不同MAC、不同IP设置别名，识别流量来源；</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支持流量进行回溯分析，能够提供流量趋势图，分析指标包括但不限于：总字节数（区分接收、发送字节数）、总数据包数（区分接收、发送数据包数）、字节收发比、数据包收发比、平均包长（区分接收、发送平均包长）、创建会话数、连接请求无响应次数、连接请求被重置次数、ICMP 丢包数、ICMP 平均\最大\最小回应时间、每秒数据包数；所有统计指标支持实时1 秒时间精度刷新与趋势呈现；所有指标能够全局进行排序，而非当前页面排序。可以按任意分析指标进行升序/降序展示；</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7、分析指标要求：系统支持流量分析指标及维度≥200个；</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监控功能：支持链路状态实时监控，可对指定链路做拨测监控和流量监控；支持应用访问实时监控，可对指定应用做拨测监控和流量监控；支持终端监控；支持可视化展示全网业务互访关系监控；支持绘制网络拓监控，支持对每个网络节点配置监控指标。</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可视化展示：支持专门用于链路、应用、终端监、网络拓扑控的监控大屏；支持用户自定义配置、设置展示大屏，能够根据运维重点组合需要的数据可视化呈现；支持灵活组合各种业务性能、链路流量的各种关键指标；支持将指标以数值、表格、线条图、柱状图、饼状图等方式呈现，数据呈现支持每秒实时刷新。</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10可视化展示：支持可视化展示全网业务互访关系，展示互访吞吐量、总包数、网络时延、丢包率等指标，支持通过IP、端口、应用、接口、站点等维度过滤互访关系图；</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11、自动排障功能：系统支持自动排障功能，排障方式支持自动拨测、流量分析；</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12、对比分析功能：支持网络对比分析功能，可对各维度指标做直观对比分析；</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13、告警功能：支持自定义配置告警；支持告警分析功能，可视化展示告警趋势、待处理告警趋势、待处理告警分布、待处理告警排行。告警信息可自动关联网络指标、应用指标，分析告警内容对网络整体及应用的影响，支持向企业微信、钉钉、飞书等第三方推送告警；</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14、报表功能：支持报表向企业微信、钉钉、飞书等第三方推送；支持报表自定义设计输出用户关注数据、内容。</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38</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网络数据防泄漏</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1.吞吐量≥5G，2U机架式，内存≥128G，电源：1+1冗余电源，硬盘≥8T*4，RAID5，网口：千兆电口≥2，万兆光口≥2，万兆多模光模块≥2个。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2.支持GRE、MPLS、VLAN、VXLAN报文解析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▲3.具备文件数据内容识别、远程管理和安全策略不可旁路的能力。（</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4.支持实时双向流量的内容审计，支持对上传和下载文件内容进行识别和过滤。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5.支持对传输层TCP/UDP的流量过滤，支持对传输层的源IP、源端口、目的IP、目的端口的过滤。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6.支持对指定的URL所产生的流量进行监控或放行。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7.统计网络流量数据，实时展示到页面。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8.支持模型生成，通过导入文件夹或选择文件，系统依据相似度自动对文件进行聚类，生成文件关键词及其权重，并支持将关键词导入检测因子。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9.支持doc、docx、ppt、pptx、xls、xlsx文档中嵌套的图片内容OCR识别。</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10.支持在策略配置模块中从策略到检测规则到检测因子的逐级下钻查看和修改。</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11.支持在策略配置模块中查看命中该策略的告警日志。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12.提供图像识别能力，识别目标文件是否为红头文件。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13.发现非工作时间操作、高频访问、超量外发、点滴式泄露、境外访问、互联网访问、文件外发等异常行为。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14.支持对文件大小、文件类型、文件创建时间、文件修改时间、文件作者进行检测和识别。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15.产品具备数据防泄漏的IPv6 Ready logo 认证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39</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数据安全分类分级系统</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1、标准机架式2U硬件架构；CPU：≥4核8线程；内存：≥32G；硬盘：HDD硬盘≥4TB*2，SSD硬盘≥240GB*1；网口：千兆电口≥2个，万兆光口≥2个（含光模块）；电源：服务器电源；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2、分类分级扫描速率峰值≥70000 单元格/s，支持数据库实例≥32个；</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3、支持旁路部署，只需网络可达；</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hint="eastAsia"/>
                <w:b/>
                <w:color w:val="FF0000"/>
                <w:szCs w:val="21"/>
              </w:rPr>
              <w:t>★4、支持常见关系型数据库MySQL、SQL Server、Oracle、DB2、PostgreSQL、Sybase、Informix等；数据库人大金仓、达梦；后关系型数据库Caché、IRIS数据库；NoSQL数据库HBase、Hive、MongoDB、星环Hive等</w:t>
            </w:r>
            <w:r>
              <w:rPr>
                <w:rFonts w:ascii="宋体" w:hAnsi="宋体" w:cs="宋体" w:hint="eastAsia"/>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b/>
                <w:color w:val="FF0000"/>
                <w:szCs w:val="21"/>
              </w:rPr>
            </w:pPr>
          </w:p>
        </w:tc>
        <w:tc>
          <w:tcPr>
            <w:tcW w:w="462" w:type="pct"/>
            <w:tcBorders>
              <w:top w:val="nil"/>
              <w:left w:val="nil"/>
              <w:bottom w:val="single" w:sz="4" w:space="0" w:color="auto"/>
              <w:right w:val="single" w:sz="4" w:space="0" w:color="auto"/>
            </w:tcBorders>
            <w:noWrap w:val="0"/>
            <w:vAlign w:val="center"/>
          </w:tcPr>
          <w:p>
            <w:pPr>
              <w:widowControl/>
              <w:rPr>
                <w:b/>
                <w:color w:val="FF0000"/>
                <w:szCs w:val="21"/>
              </w:rPr>
            </w:pPr>
          </w:p>
        </w:tc>
        <w:tc>
          <w:tcPr>
            <w:tcW w:w="466" w:type="pct"/>
            <w:tcBorders>
              <w:top w:val="nil"/>
              <w:left w:val="nil"/>
              <w:bottom w:val="single" w:sz="4" w:space="0" w:color="auto"/>
              <w:right w:val="single" w:sz="4" w:space="0" w:color="auto"/>
            </w:tcBorders>
            <w:noWrap w:val="0"/>
            <w:vAlign w:val="center"/>
          </w:tcPr>
          <w:p>
            <w:pPr>
              <w:widowControl/>
              <w:rPr>
                <w:b/>
                <w:color w:val="FF0000"/>
                <w:szCs w:val="21"/>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5、支持内置和自定义添加数据库端口进行资产发现；</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通过扫描任务自动发现数据库资产，扫描任务支持通过IP及IP段、端口及端口段进行数据库资产发现，资产发现识别信息包括数据库类型、版本、IP、端口等，扫描发现的数据库资产，经确认后纳入数据库资产管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7、支持管理集群数据库资产，设置集群主资产和关联资产，资产统计时按主资产进行统计，关联资产不纳入统计；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8、支持对数据库资产密码，采用加密存储；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9、支持自动对数据库资产元数据发现与展示，包括：库、表、列、函数、存储过程、视图等；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10、支持数据库资产展示，包括：数据库资产名称、所属组织、表总数、字段总数、敏感表比例、数据库容量统计、分类分级信息；支持扫描数据库资产账户权限清单；</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11、支持展示概览、数据库详情，并支持快速切换分类分级标准展示数据分类分级信息；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▲12、支持分类分级扫描任务设置，可选择一个或多个资产、不同分类分级标准、样本数、匹配率、全量或增量扫描、任务执行方式（手动、定时或周期），生成分类分级结果清单</w:t>
            </w:r>
            <w:r>
              <w:rPr>
                <w:rFonts w:ascii="宋体" w:hAnsi="宋体" w:cs="宋体" w:hint="eastAsia"/>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13、支持分类分级扫描任务开启、暂停、停止、批量执行，显示任务进度及状态；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14、支持按不同行业标准展示分类分级任务扫描结果，包括：数据库资产信息、表类别、表级别、字段类别、字段级别、敏感类型、确认状态等；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15、支持对分类分级清单的校正，包括：表类别、表级别、敏感类型、字段类别、字段级别进行订正修改；</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16、支持通过文件下载、API接口等方式共享分类分级清单数据；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17、支持按不同分类分级标准统计数据资产；</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18、支持敏感数据信息统计，包括敏感类型、敏感表、敏感表字段等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19、支持按组织机构、业务系统、业务物理区域进行拓扑展示数据库资产信息；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20、支持数据资产统计图表及排行列表数据导出(pdf、html）；</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21、支持不同系统账号登录后数据资产访问结果隔离和分类分级显示结果隔离；</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22、支持内置行业分类分级标准，包括通用个人信息、医疗、金融；支持自定义分类分级标准；支持对标准进行复制、导入、导出操作；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23、支持配置分类分级标准的显示与隐藏功能；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24、支持常用的敏感数据类型的配置与管理，默认支持内置敏感类型：手机号、座机号、公积金、道路运输经营许可证号、军密认证号、车牌号、医师执业证书编号、医师资格证书编号、营业执照、银行卡号、开户许可证号、税务登记证号、组织机构名称、组织机构代码、地址、姓名、邮政编码、身份证号、日期、字符串、中国护照、社会信用代码、军官证号、永久居住证号、台湾同胞大陆通行证号、港澳通行证号、电子邮箱、IP地址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25、支持常用的敏感数据字典，并支持数据字典的自定义维护；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26、支持资产拓扑配置：业务系统配置、物理逻辑区域配置、组织机构配置等；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27、支持上传系统升级包进行升级，如果升级失败，自动回退上一版本；</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28、所投设备具备与医院现有和新建的安全设备、安全平台实现无缝对接、互联互通的能力；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40</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数据库安全审计</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1、标准机架式2U硬件架构；CPU：≥8核16线程；内存：≥64G；硬盘：HDD硬盘≥4TB*2，SSD硬盘≥240GB*2；网口：板载千兆电口≥2个，万兆光口≥2个（含光模块）；电源：服务器冗余电源；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2、性能指标：SQL审计处理能力（吞吐）峰值≥1000Mbps，SQL审计处理能力（速率）峰值≥80000SQL/S；日志在线存储≥256亿条；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在目标数据库安装agent解决云环境、虚拟化环境内部流量无法镜像场景下的数据库审计，支持通过Agent对流量进行过滤，过滤内容包括端口、IP地址等内容，可以进行定义，减少网络负载；Agent运行时CPU占用率低于5%，内存占用小于150M，程序文件小于5M；</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4、支持数据库审计多节点集中管理功能，在中心节点实现对各审计节点审计日志、报表的集中查看；支持数据库审计节点设置，支持设置系统为单机、中心节点、子节点；子节点支持设置要上传的风险数据类型；管理中心和子节点都可存储审计数据，实现大数据环境下磁盘空间的有效利用和扩展，利用率达到90%；（</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5、支持传统关系型数据库，如：SQL Server、MySQL、Oracle、Sybase、DB2、Informix、PostgreSQL、MariaDB等的安全审计；支持大数据平台下多种组件的安全审计，包括 Hive、ES、MongoDB、Impala、HBase、Solr 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6、支持数据库：DM（达梦）、Kingbase（人大金仓）、XUGU（虚谷）、LibrA、GaussDB、GBase、Highgo（瀚高）、Oscar（神通）、UXDB（优炫）、GoldenDB的安全审计；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hint="eastAsia"/>
                <w:b/>
                <w:color w:val="FF0000"/>
                <w:szCs w:val="21"/>
              </w:rPr>
              <w:t>★7、支持后关系型数据库Caché、IRIS数据库，支持Caché、IRIS的集成工具Terminal、Portal、Studio、Sqlmanager、MedTrak工具的审计，其中Portal能审计到Sql语句、查询Global有返回结果，Sqlmanager支持根据SQL ID提取高效审计，Terminal能审计到SQL语句和返回结果,并支持本地审计，基于C/S的MedTrak工具能审计到操作报表的具体返回结果；</w:t>
            </w:r>
            <w:r>
              <w:rPr>
                <w:rFonts w:ascii="宋体" w:hAnsi="宋体" w:cs="宋体" w:hint="eastAsia"/>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b/>
                <w:color w:val="FF0000"/>
                <w:szCs w:val="21"/>
              </w:rPr>
            </w:pPr>
          </w:p>
        </w:tc>
        <w:tc>
          <w:tcPr>
            <w:tcW w:w="462" w:type="pct"/>
            <w:tcBorders>
              <w:top w:val="nil"/>
              <w:left w:val="nil"/>
              <w:bottom w:val="single" w:sz="4" w:space="0" w:color="auto"/>
              <w:right w:val="single" w:sz="4" w:space="0" w:color="auto"/>
            </w:tcBorders>
            <w:noWrap w:val="0"/>
            <w:vAlign w:val="center"/>
          </w:tcPr>
          <w:p>
            <w:pPr>
              <w:widowControl/>
              <w:rPr>
                <w:b/>
                <w:color w:val="FF0000"/>
                <w:szCs w:val="21"/>
              </w:rPr>
            </w:pPr>
          </w:p>
        </w:tc>
        <w:tc>
          <w:tcPr>
            <w:tcW w:w="466" w:type="pct"/>
            <w:tcBorders>
              <w:top w:val="nil"/>
              <w:left w:val="nil"/>
              <w:bottom w:val="single" w:sz="4" w:space="0" w:color="auto"/>
              <w:right w:val="single" w:sz="4" w:space="0" w:color="auto"/>
            </w:tcBorders>
            <w:noWrap w:val="0"/>
            <w:vAlign w:val="center"/>
          </w:tcPr>
          <w:p>
            <w:pPr>
              <w:widowControl/>
              <w:rPr>
                <w:b/>
                <w:color w:val="FF0000"/>
                <w:szCs w:val="21"/>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8、支持东华his系统v9.0版本的IRIS数据库审计及HTTPS业务流访问审计；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9、支持Hadoop架构下的数据仓库Hive的审计，能审计到Hive_HSQL创建数据库、建表、删除表、修改表结构、创建／删除视图、将查询结果插入到Hive表中、基本的查询等操作；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10、支持内存数据库HANA、Redis等特殊应用场景下的数据库安全审计；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11、支持主流业务协议操作的审计：Samba 、NFS、Portal、Http、pop3、ssh、SMTP、Telnet、FTP协议审计；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12、支持Hadoop架构下的大数据库Hbase审计，能审计到JDBC、Java  API等接口的调用操作；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13、支持全文检索数据库solr的审计，能审计到solr的查询、插入等行为的操作信息；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14、支持数据库SSL加密流量的审计，包括TLS1.1、TLS1.2等；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支持对操作时间、操作语句、执行结果、返回结果集、影响行数（返回行数）、执行时长、数据库用户名、实例名、服务端IP、服务端端口、客户端IP、客户端端口、客户端MAC、客户端主机名、客户端操作系统用户名、操作类型、操作内容（表、字段）、操作回应、会话ID等27个条件以上进行审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16、支持B/S、C/S应用系统三层架构http、https应用审计，可提取包括应用系统的人员工号（账号）在内的“六元组”身份信息，可定位到具体的操作自然人信息，并可获取XML返回结果；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17、支持带COM、COM+、DCOM组件的三层架构应用审计，可提取包括应用层工号（账号）之内的“六元组”身份信息；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18、支持通过部署agent实现java web环境100%准确关联，支持B/S业务系统三层关联审计；支持B/S三层架构下的应用账户、终端信息关联审计；支持PC-APP server、APP server-DB两种展示模式；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支持自定义审计策略，自定义审计策略的条件包括不限于操作类型、关键字、访问工具、客户端IP、客户端MAC、操作系统主机名、操作系统用户名、应用账户名、数据库账号、数据库名、表名、字段名、语句长度、语句执行回应、语句执行时间、返回行数、返回内容、正则表达式、规则生效时间；审计策略条件支持等于或不等于、大于等于或小于等于逻辑关系；</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20、系统需内置多种审计元素进行数据库操作行为审计：数据库操作命令、语句长度、语句执行回应、语句执行时间、返回内容、返回行数、数据库名、数据库账户、服务器端口、客户端操作系统主机名、客户端操作系统用户名、客户端MAC、客户端IP、客户端端口、客户端进程名、会话ID、关键字、时间等；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21、系统内置敏感数据类型，可自动发现业务环境中数据库对象中包含敏感数据类型，进行敏感数据级别的定义；支持敏感数据自定义，支持同步敏感数据扫描结果中的敏感数据，支持自定义敏感规则，可根据配置字段包括操作类型、敏感配置（保护对象所属的敏感数据）主体信息（访问工具、访问IP、客户端MAC、操作系统主机名、操作系统用户名）、规则生效时间进行敏感字段的操作行为监控与审计；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22、支持根据时间、保护对象、源IP的维度对业务环境中敏感数据进行敏感数据统计、敏感数据访问热度统计及分析、敏感数据访问趋势及分析；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23、支持根据系统语句（SQL语句）和白名单（条件为IP/MAC/数据库账户/审计对象/操作语句）定义规则进行应用层过滤，将客户关注的信息进行保留；</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24、审计结果隐秘设置，通过*号脱敏技术对审计结果中的重要信息进行隐秘处理，防止二次泄密；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25、支持对SQL注入、跨站脚本攻击、信息泄露、数据库CVE高危漏洞、攻击溢出等攻击行为的识别与告警；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26、支持Syslog、kafka和SNMP TRAP方式向外发送审计日志到第三方日志管理平台统一管理，可外置短信猫，支持与第三方邮件和短信系统对接，提供接口可实现与网络设备的联动；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27、支持多租户模式，满足一套系统可以为多个不同用户组提供服务；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28、所投设备应具备良好的兼容性，具备与医院现有和新建的安全设备、安全平台实现无缝对接、互联互通的能力；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41</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数据动态脱敏系统</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1、标准机架式2U硬件架构；CPU：≥8核16线程；内存：≥64G；硬盘：HDD硬盘≥4TB*1，SSD硬盘≥240GB*1；网口：板载千兆电口≥2个，万兆光口≥2个（含光模块）；电源：服务器冗余电源；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2、脱敏峰值处理能力：≥30000条SQL/秒；时延峰值≤100ms；吞吐量峰值≥500Mb/s；并发连接峰值≥20000；</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hint="eastAsia"/>
                <w:b/>
                <w:color w:val="FF0000"/>
                <w:szCs w:val="21"/>
              </w:rPr>
              <w:t>★3、支持多种数据源，包括：Oracle、SQL Server、MySQL、DB2、PostgreSQL、Caché、IRIS、Sybase、Informix等关系型数据库；</w:t>
            </w:r>
            <w:r>
              <w:rPr>
                <w:rFonts w:ascii="宋体" w:hAnsi="宋体" w:cs="宋体" w:hint="eastAsia"/>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b/>
                <w:color w:val="FF0000"/>
                <w:szCs w:val="21"/>
              </w:rPr>
            </w:pPr>
          </w:p>
        </w:tc>
        <w:tc>
          <w:tcPr>
            <w:tcW w:w="462" w:type="pct"/>
            <w:tcBorders>
              <w:top w:val="nil"/>
              <w:left w:val="nil"/>
              <w:bottom w:val="single" w:sz="4" w:space="0" w:color="auto"/>
              <w:right w:val="single" w:sz="4" w:space="0" w:color="auto"/>
            </w:tcBorders>
            <w:noWrap w:val="0"/>
            <w:vAlign w:val="center"/>
          </w:tcPr>
          <w:p>
            <w:pPr>
              <w:widowControl/>
              <w:rPr>
                <w:b/>
                <w:color w:val="FF0000"/>
                <w:szCs w:val="21"/>
              </w:rPr>
            </w:pPr>
          </w:p>
        </w:tc>
        <w:tc>
          <w:tcPr>
            <w:tcW w:w="466" w:type="pct"/>
            <w:tcBorders>
              <w:top w:val="nil"/>
              <w:left w:val="nil"/>
              <w:bottom w:val="single" w:sz="4" w:space="0" w:color="auto"/>
              <w:right w:val="single" w:sz="4" w:space="0" w:color="auto"/>
            </w:tcBorders>
            <w:noWrap w:val="0"/>
            <w:vAlign w:val="center"/>
          </w:tcPr>
          <w:p>
            <w:pPr>
              <w:widowControl/>
              <w:rPr>
                <w:b/>
                <w:color w:val="FF0000"/>
                <w:szCs w:val="21"/>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4、支持Hive、HBase非关系型数据库，支持DM、GaussDB等数据库；</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5、脱敏系统支持虚拟化部署；脱敏系统支持旁路部署或代理的方式进行部署；支持B/S架构方式进行系统的可视化操作，无需改变客户浏览习惯；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6、支持管理员账号分权分级的管理，实现账号权限的三权分立；包括系统管理员（用户管理及系统日常维护）、审计管理员（数据源审核，脱敏服务核）、操作管理员（脱敏源、脱敏服务安全策略等相关信息的建立）；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7、支持数据源中数据存储格式为UTF-8、GBK、Unicode、GB2312、ZHS16GBK、BIG5、Latin1等字符编码数据格式脱敏；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8、支持发现大数据平台架构下的数据对象信息：表名、字段名等；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72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不少于30种敏感数据类型用于敏感数据的发现，可覆盖医疗、政府、金融、学校、企业等多个行业相关的敏感数据类型。包括但不限于：姓名、地址、身份证号、手机号、银行卡号、Email、车牌号、道路运经营输许可证号、中国护照、车牌号、驾驶证档案编号、座机号、公积金、军官证号、军密认证号、医师执业证书编号、营业执照、开户许可证号、税务登记证号、组织机构名称、组织机构代码、邮政编码、日期、字符串、社会信用代码、永久居住证号、台湾同胞大陆通行证号、港澳通行证号、IP地址、医师资格证书编号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10、支持在系统前台界面自定义操作配置敏感数据类型规则，用于敏感数据的发现；</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11、支持在系统前台页面手动模式修改已发现的敏感数据类型；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12、支持敏感数据规则组自定义管理，脱敏规则组不与脱敏服务绑定；对脱敏规则组进行调整、修改时不会影响与之相关的脱敏任务，不需要删除与脱敏规则组相关的字段发现以及脱敏任务；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▲13、支持在一个字段或一列数据中自动发现并识别出所有敏感数据所属的敏感数据类型；（</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 xml:space="preserve">）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14、支持自定义设定样本数目和匹配率进行在全库表或部分表扫描敏感数据类型；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15、支持将发现的敏感数据类型结果web展现；并且能导出成格式化文件或者存储在数据库中；</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16、支持海量数据字典，并支持导入数据字典信息支持脱敏规则的建立；</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17、支持不少于十种脱敏算法：遮盖、映射、随机、替换、可逆、可逆还原等。可对数据的加密、还原、数据关联等多种数据脱敏的应用场景；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18、支持HASH脱敏算法：SHA256、HASH+盐加密等多种算法；</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19、支持在系统前台界面配置SM3国密脱敏算法；</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20、支持用户自定义脱敏算法策略，脱敏算法提供向导式的配置界面，便于理解、操作和管理；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21、支持黑、白名单过滤功能，其中黑名单过滤做到敏感列中的数据不展示；白名单过滤做到敏感列中的数据不经过脱敏处理，直接展示；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22、支持脱敏后脱敏数据、混合类型数据保持原有数据特征；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23、支持自动对发现的敏感数据字段匹配上脱敏策略，同时支持对已匹配的脱敏策略修改；</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24、支持对应用层代理脱敏方式直接针对返回结果进行脱敏；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25、支持识别不同的数据库账号、账号组，具备对不同的数据库账号、账号组配置不同的脱敏规则的能力；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26、，所投设备具备良好的兼容性，具备与医院现有和新建的安全设备、安全平台实现无缝对接、互联互通的能力；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42</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数据库防火墙</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标准机架式2U硬件架构；CPU：≥16核32线程；内存：≥64G；硬盘：HDD硬盘≥4TB*2，SSD硬盘≥240GB*2；网口：板载千兆电口≥2个，万兆光口≥4个（支持BYPASS功能、含光模块）；电源：服务器冗余电源；具备硬件Watchdog、硬件Bypass功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2、吞吐量峰值≥45000条SQL/秒，并发连接数峰值≥8500,新建连接数峰值≥5000，时延≤3ms；</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3、支持代理模式进行部署，使所有到数据库的流量都先经过数据库防火墙；</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4、支持传统关系型数据库：SQL Server、MySQL、Oracle、Sybase、DB2、Informix、PostgreSQL、MariaDB等的安全防护；支持大数据平台下多种组件的安全审计：包括Hive、ES、MongoDB、Solr等；支持内存数据库HANA、Redis、后关系型数据库Caché、IRIS等特殊应用场景下的数据库安全审计；支持数据库：DM（达梦）、LibrA、GaussDB、GBase、KingBase、Highgo的安全防护；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5、支持基于嗅探技术寻找发现网络环境中存在的数据库资产，实现数据库资产梳理；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对操作时间、SQL语句、执行结果、返回结果集、影响行数、执行时长、数据库用户名、实例名、源/目的IP、源/目的端口、源MAC、客户端主机名、客户端程序名称、客户端操作系统用户名、会话ID等15个条件以上进行审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通过规则配置，实现对数据库操作类、表、视图、索引、存储过程等各种对象的所有SQL操作审计以及阻断；支持SQL绑定变量的审计阻断，能审计到变量名及变量值；支持数据库嵌套、函数审计(sum求和函数等）、返回结果、脚本等审计以及阻断；</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8、支持通过部署agent实现java web环境100%准确关联，支持B/S业务系统三层关联阻断；支持B/S三层架构下的真实用户名关联配置；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9、支持操作阻断与会话阻断两种防护机制：操作阻断可精准拦截违规操作，不影响其他正常操作；会话阻断在遇严重威胁时切断整个会话，防止风险扩大；</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10、支持按返回数据行数(阀值)进行精细管控，超出阀值的行为进行阻断或拦截，防止大批量数据泄露；</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11、支持拦截no where引起的整表更新、整表清空的误操作；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12、支持在不关闭防火墙的情况下，对已阻断行为进行审批放行，实现灵活管控数据库操作行为，满足特殊运维场景的需要。支持针对某个数据库设置放行规则，支持按操作类型、关键字、访问工具、客户端IP、正则表达式、返回行数阈值等条件设置放行规则；（</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hint="eastAsia"/>
                <w:b/>
                <w:color w:val="FF0000"/>
                <w:szCs w:val="21"/>
              </w:rPr>
              <w:t>★13、全面支持后关系型数据库Caché的集成工具Terminal、Portal、Studio、Sqlmanager、sqldbx、MedTrak工具的审计，并支持sqldbx、portal、Sqlmanager工具操作的拦截；</w:t>
            </w:r>
            <w:r>
              <w:rPr>
                <w:rFonts w:ascii="宋体" w:hAnsi="宋体" w:cs="宋体" w:hint="eastAsia"/>
                <w:b/>
                <w:bCs/>
                <w:kern w:val="0"/>
                <w:sz w:val="22"/>
                <w:szCs w:val="22"/>
              </w:rPr>
              <w:t>（</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b/>
                <w:color w:val="FF0000"/>
                <w:szCs w:val="21"/>
              </w:rPr>
            </w:pPr>
          </w:p>
        </w:tc>
        <w:tc>
          <w:tcPr>
            <w:tcW w:w="462" w:type="pct"/>
            <w:tcBorders>
              <w:top w:val="nil"/>
              <w:left w:val="nil"/>
              <w:bottom w:val="single" w:sz="4" w:space="0" w:color="auto"/>
              <w:right w:val="single" w:sz="4" w:space="0" w:color="auto"/>
            </w:tcBorders>
            <w:noWrap w:val="0"/>
            <w:vAlign w:val="center"/>
          </w:tcPr>
          <w:p>
            <w:pPr>
              <w:widowControl/>
              <w:rPr>
                <w:b/>
                <w:color w:val="FF0000"/>
                <w:szCs w:val="21"/>
              </w:rPr>
            </w:pPr>
          </w:p>
        </w:tc>
        <w:tc>
          <w:tcPr>
            <w:tcW w:w="466" w:type="pct"/>
            <w:tcBorders>
              <w:top w:val="nil"/>
              <w:left w:val="nil"/>
              <w:bottom w:val="single" w:sz="4" w:space="0" w:color="auto"/>
              <w:right w:val="single" w:sz="4" w:space="0" w:color="auto"/>
            </w:tcBorders>
            <w:noWrap w:val="0"/>
            <w:vAlign w:val="center"/>
          </w:tcPr>
          <w:p>
            <w:pPr>
              <w:widowControl/>
              <w:rPr>
                <w:b/>
                <w:color w:val="FF0000"/>
                <w:szCs w:val="21"/>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14、支持Hadoop架构下的数据仓库HIVE的防护，能审计与拦截到Hive_HSQL创建数据库、建表、删除表、修改表结构、创建／删除视图、将查询结果插入到Hive表中、基本的查询等操作；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15、支持针对利用已公开的数据库漏洞攻击行为进行拦截的虚拟补丁功能；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16、支持自定义安全防护策略，防护策略的条件包括不限于操作类型、关键字、访问工具、客户端IP、客户端MAC、操作系统主机名、操作系统用户名、应用账户名、数据库账号、数据库名、表名、包、存储过程、函数、视图、字段名、索引、语句长度、语句执行回应、语句执行时间、返回行数、返回内容、正则表达式、规则生效时间；审计策略条件支持等于或不等于、大于等于或小于等逻辑关系；</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17、支持内置安全特征库和审计规则库不少于300条，如SQL注入攻击、跨站脚本攻击、账号提权、导表导库等；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18、支持操作语句系列的组合规则，可根据某一客体的操作行为集合，在设定时间范围内操作了设定的语句集合时进行规则审计告警；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19、支持重复操作的统计审计规则，可根据在一定的时间内，重复某项操作达到设定的统计次数并进行告警；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20、系统内置敏感数据类型，可自动发现业务环境中数据库对象中包含敏感数据类型，进行敏感数据级别的定义；支持敏感数据自定义，支持同步敏感数据扫描结果中的敏感数据，支持自定义敏感规则，可根据配置字段包括操作类型、敏感配置（保护对象所属的敏感数据）主体信息（访问工具、访问IP、客户端MAC、操作系统主机名、操作系统用户名）、规则生效时间进行敏感数据的操作行为监控、阻断防护。</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21、基于大数据全文检索技术，检索效率高达亿条数据秒级响应，快速定位相应的审计内容；</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22、支持基于时间、风险级别、保护对象、操作类型、客户端IP、客户端进程、数据库账户、应用账户、规则类型、规则名、规则组名、操作系统主机名、操作系统用户名、客户端MAC地址、客户端端口、服务端IP、服务端口、数据库名、语句长度、语句执行回应、语句执行时间、返回行数、返回结果、会话ID、记录编号、关键字等条件的审计查询；查询条件易于使用，支持等于或不等于、大于等于或小于等逻辑关系；</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23、系统内置分析报表和合规报表，支持源IP、账号、操作类型、客户端进程工具、时间等维度生成报表；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 xml:space="preserve">24、支持自定义报表，统计条件包括不限于风险级别、保护对象、客户端IP、访问工具、操作类型、数据库账户、数据库名、表名、字段名；支持添加统计模板，通过模板生成自定义报表数据；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25、支持当设备出现问题宕机后，自动启用硬件bypass功能，防止单点故障。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26、提供管理员权限设置和分权管理，审计用户，系统管理用户、规则管理用户权限分开，相应权限的用户只能查看、管理相应的功能，责任明确，相互监督。对于系统管理员、规则管理的操作行为能进行记录审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27、支持通过API接口、kafka、syslog、SNMP等协议发送到第三方日志管理平台统一管理；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28、支持第三方工单系统对接功能，支持将高危操作类型、操作对象，操作账号、操作时间等参数进行交互；</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29、所投设备应具备良好的兼容性，具备与医院现有和新建的安全设备、安全平台实现无缝对接、互联互通的能力；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728"/>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43</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企业安全验证平台</w:t>
            </w: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1、硬件要求：</w:t>
            </w:r>
            <w:r>
              <w:rPr>
                <w:rFonts w:ascii="宋体" w:hAnsi="宋体" w:cs="宋体" w:hint="eastAsia"/>
                <w:kern w:val="0"/>
                <w:sz w:val="22"/>
                <w:szCs w:val="22"/>
              </w:rPr>
              <w:br/>
            </w:r>
            <w:r>
              <w:rPr>
                <w:rFonts w:ascii="宋体" w:hAnsi="宋体" w:cs="宋体" w:hint="eastAsia"/>
                <w:kern w:val="0"/>
                <w:sz w:val="22"/>
                <w:szCs w:val="22"/>
              </w:rPr>
              <w:t>1.1验证端：硬件产品设备，≥32G内存，≥256G固态硬盘， ≥2T企业级机械硬盘，≥2个USB接口，≥1个RJ45串口，2个GE管理口（1*MGT口、1*HA口），≥4个千兆电口(至少含2组bypass)、≥2个万兆光口（含万兆多模光模块），2U，冗余电源。</w:t>
            </w:r>
            <w:r>
              <w:rPr>
                <w:rFonts w:ascii="宋体" w:hAnsi="宋体" w:cs="宋体" w:hint="eastAsia"/>
                <w:kern w:val="0"/>
                <w:sz w:val="22"/>
                <w:szCs w:val="22"/>
              </w:rPr>
              <w:br/>
            </w:r>
            <w:r>
              <w:rPr>
                <w:rFonts w:ascii="宋体" w:hAnsi="宋体" w:cs="宋体" w:hint="eastAsia"/>
                <w:kern w:val="0"/>
                <w:sz w:val="22"/>
                <w:szCs w:val="22"/>
              </w:rPr>
              <w:t>1.2最少提供5个接收端：硬件产品设备， ≥2G内存，≥1*32G eMMC，≥4个USB接口，≥2个GE电口，≥1个DB9接口，≥1个HDMI接口，桌面级，单电源。</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2.评分统计：支持基于设备类型及厂商维度聚合统计安全设备评分情况，支持统计各厂家各类型设备的平均阻断率、最高阻断率、平均检测率、最高检测率、平均穿透率、最高穿透率。</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3．纵深防御整体能力验证：支持对各类攻击样本、攻击场景和攻击过程进行手动编排，仿真攻击者边界突破、权限提升、权限维持、横向移动等完整攻击过程，验证攻击路径上相关安全产品的策略有效性，进而实现对纵深防御体系的整体验证。</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4．网站防御有效性专项验证：支持以真实网站为目标发起无害化攻击，验证安全产品对其防护策略的有效性。</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5. 网站防御覆盖度专项验证</w:t>
            </w:r>
            <w:r>
              <w:rPr>
                <w:rFonts w:ascii="宋体" w:hAnsi="宋体" w:cs="宋体" w:hint="eastAsia"/>
                <w:kern w:val="0"/>
                <w:sz w:val="22"/>
                <w:szCs w:val="22"/>
              </w:rPr>
              <w:br/>
            </w:r>
            <w:r>
              <w:rPr>
                <w:rFonts w:ascii="宋体" w:hAnsi="宋体" w:cs="宋体" w:hint="eastAsia"/>
                <w:kern w:val="0"/>
                <w:sz w:val="22"/>
                <w:szCs w:val="22"/>
              </w:rPr>
              <w:t>支持联动攻击面管理产品，排查对外暴露的网站，并对网站发起模拟攻击，验证安全产品对其防护的覆盖度。</w:t>
            </w:r>
            <w:r>
              <w:rPr>
                <w:rFonts w:ascii="宋体" w:hAnsi="宋体" w:cs="宋体" w:hint="eastAsia"/>
                <w:kern w:val="0"/>
                <w:sz w:val="22"/>
                <w:szCs w:val="22"/>
              </w:rPr>
              <w:br/>
            </w:r>
            <w:r>
              <w:rPr>
                <w:rFonts w:ascii="宋体" w:hAnsi="宋体" w:cs="宋体" w:hint="eastAsia"/>
                <w:kern w:val="0"/>
                <w:sz w:val="22"/>
                <w:szCs w:val="22"/>
              </w:rPr>
              <w:t>支持设置响应码、响应头、响应体等拦截判断方式。</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6.钓鱼邮件专项验证</w:t>
            </w:r>
            <w:r>
              <w:rPr>
                <w:rFonts w:ascii="宋体" w:hAnsi="宋体" w:cs="宋体" w:hint="eastAsia"/>
                <w:kern w:val="0"/>
                <w:sz w:val="22"/>
                <w:szCs w:val="22"/>
              </w:rPr>
              <w:br/>
            </w:r>
            <w:r>
              <w:rPr>
                <w:rFonts w:ascii="宋体" w:hAnsi="宋体" w:cs="宋体" w:hint="eastAsia"/>
                <w:kern w:val="0"/>
                <w:sz w:val="22"/>
                <w:szCs w:val="22"/>
              </w:rPr>
              <w:t>支持通过仿真钓鱼邮件发送行为，对人员防钓鱼意识做专项验证。</w:t>
            </w:r>
            <w:r>
              <w:rPr>
                <w:rFonts w:ascii="宋体" w:hAnsi="宋体" w:cs="宋体" w:hint="eastAsia"/>
                <w:kern w:val="0"/>
                <w:sz w:val="22"/>
                <w:szCs w:val="22"/>
              </w:rPr>
              <w:br/>
            </w:r>
            <w:r>
              <w:rPr>
                <w:rFonts w:ascii="宋体" w:hAnsi="宋体" w:cs="宋体" w:hint="eastAsia"/>
                <w:kern w:val="0"/>
                <w:sz w:val="22"/>
                <w:szCs w:val="22"/>
              </w:rPr>
              <w:t>支持外网和内网钓鱼两种模式，支持记录人员打开钓鱼邮件时间、点击链接及次数、敏感信息填写及次数等信息。</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7.域渗透防护专项验证：支持通过仿真模式实现域渗透防护验证，验证过程中无需在Windows服务器启用域服务。</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8.勒索病毒专项验证</w:t>
            </w:r>
            <w:r>
              <w:rPr>
                <w:rFonts w:ascii="宋体" w:hAnsi="宋体" w:cs="宋体" w:hint="eastAsia"/>
                <w:kern w:val="0"/>
                <w:sz w:val="22"/>
                <w:szCs w:val="22"/>
              </w:rPr>
              <w:br/>
            </w:r>
            <w:r>
              <w:rPr>
                <w:rFonts w:ascii="宋体" w:hAnsi="宋体" w:cs="宋体" w:hint="eastAsia"/>
                <w:kern w:val="0"/>
                <w:sz w:val="22"/>
                <w:szCs w:val="22"/>
              </w:rPr>
              <w:t>支持通过仿真WannaCry、Blackcat、LockBit、Conti等11种勒索病毒的行为，对勒索病毒的防护检测能力做专项验证。</w:t>
            </w:r>
            <w:r>
              <w:rPr>
                <w:rFonts w:ascii="宋体" w:hAnsi="宋体" w:cs="宋体" w:hint="eastAsia"/>
                <w:kern w:val="0"/>
                <w:sz w:val="22"/>
                <w:szCs w:val="22"/>
              </w:rPr>
              <w:br/>
            </w:r>
            <w:r>
              <w:rPr>
                <w:rFonts w:ascii="宋体" w:hAnsi="宋体" w:cs="宋体" w:hint="eastAsia"/>
                <w:kern w:val="0"/>
                <w:sz w:val="22"/>
                <w:szCs w:val="22"/>
              </w:rPr>
              <w:t>支持自定义勒索病毒的加密算法、加密目录和加密后文件扩展名，支持手动输入密钥，解密勒索病毒。</w:t>
            </w:r>
            <w:r>
              <w:rPr>
                <w:rFonts w:ascii="宋体" w:hAnsi="宋体" w:cs="宋体" w:hint="eastAsia"/>
                <w:kern w:val="0"/>
                <w:sz w:val="22"/>
                <w:szCs w:val="22"/>
              </w:rPr>
              <w:br/>
            </w:r>
            <w:r>
              <w:rPr>
                <w:rFonts w:ascii="宋体" w:hAnsi="宋体" w:cs="宋体" w:hint="eastAsia"/>
                <w:kern w:val="0"/>
                <w:sz w:val="22"/>
                <w:szCs w:val="22"/>
              </w:rPr>
              <w:t>支持模拟病毒的传播行为。</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9.内网横向移动专项验证：支持使用接收端作为攻击发起方，仿真攻击者在内网横向移动行为，对内网横向移动的防御能力进行专项验证。</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10.验证结果：支持统计各项评估分类的验证结果占比情况以及资产验证结果占比情况，支持展示每条样本对应的评估结果及得分，支持以不同维度筛选验证样本，并支持手动修订验证结果和批量下载。</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11. 剧本编排：支持可视化展示验证任务中所包含的样本，并支持手动拖拽调整任务中样本执行的顺序，以及单个样本重复执行的次数和停顿时间。</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44</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企业终端安全管理系统</w:t>
            </w: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r>
              <w:rPr>
                <w:rFonts w:ascii="宋体" w:hAnsi="宋体" w:cs="宋体" w:hint="eastAsia"/>
                <w:b/>
                <w:bCs/>
                <w:kern w:val="0"/>
                <w:sz w:val="22"/>
                <w:szCs w:val="22"/>
              </w:rPr>
              <w:t>一.系统架构要求：</w:t>
            </w: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1.支持通过同一个客户端、同一个服务器端进行管理,客户端和服务器端之间只有一个通讯端口,且只需部署一套服务器端。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2.支持一主多从服务器工作机制，主服务器故障，第一优先级从服务器接管工作，主从均故障时，第二优先级从服务器接管工作，以此类推。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3.客户端支持自动连接最优的中继服务器，可自动实现客户端连接中继服务器的负载均衡。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r>
              <w:rPr>
                <w:rFonts w:ascii="宋体" w:hAnsi="宋体" w:cs="宋体" w:hint="eastAsia"/>
                <w:kern w:val="0"/>
                <w:sz w:val="22"/>
                <w:szCs w:val="22"/>
              </w:rPr>
              <w:t>4.本系统的服务器端数据库需搭建在MSsql或者MySQL上，同时要求MSsql和MySQL都支持双机热备功能。 </w:t>
            </w:r>
          </w:p>
        </w:tc>
        <w:tc>
          <w:tcPr>
            <w:tcW w:w="1063"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二．</w:t>
            </w:r>
            <w:r>
              <w:rPr>
                <w:rFonts w:ascii="宋体" w:hAnsi="宋体" w:cs="宋体" w:hint="eastAsia"/>
                <w:b/>
                <w:bCs/>
                <w:kern w:val="0"/>
                <w:sz w:val="22"/>
                <w:szCs w:val="22"/>
              </w:rPr>
              <w:t>操作系统支持：</w:t>
            </w: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1、服务器端支持windows 2000/XP/2003/vista/7/8/10/2008/2012等系列操作系统，包括32/64位系统。</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2、客户端支持Mac OS X10.8~10.15.3之间的所有版本。</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3、客户端支持linux操作系统，支持发行版本包括：Redhat、Ubuntu、CentOS、Fedora、Debian。</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4.客户端支持信创操作系统。</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5.客户端授权支持免费在各种操作系统上更换（windows、linux、macos、信创） 。</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三.</w:t>
            </w:r>
            <w:r>
              <w:rPr>
                <w:rFonts w:ascii="宋体" w:hAnsi="宋体" w:cs="宋体" w:hint="eastAsia"/>
                <w:b/>
                <w:bCs/>
                <w:kern w:val="0"/>
                <w:sz w:val="22"/>
                <w:szCs w:val="22"/>
              </w:rPr>
              <w:t>基础功能：</w:t>
            </w:r>
          </w:p>
        </w:tc>
      </w:tr>
      <w:tr>
        <w:tblPrEx>
          <w:tblW w:w="5432" w:type="pct"/>
          <w:tblInd w:w="0" w:type="dxa"/>
          <w:tblLayout w:type="fixed"/>
          <w:tblCellMar>
            <w:top w:w="0" w:type="dxa"/>
            <w:left w:w="108" w:type="dxa"/>
            <w:bottom w:w="0" w:type="dxa"/>
            <w:right w:w="108" w:type="dxa"/>
          </w:tblCellMar>
        </w:tblPrEx>
        <w:trPr>
          <w:trHeight w:val="5991"/>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可对客户端计算机进行锁定、解锁、关闭、注销、重启及发送通知消息等。</w:t>
            </w:r>
          </w:p>
          <w:p>
            <w:pPr>
              <w:widowControl/>
              <w:rPr>
                <w:rFonts w:ascii="宋体" w:hAnsi="宋体" w:cs="宋体" w:hint="eastAsia"/>
                <w:kern w:val="0"/>
                <w:sz w:val="22"/>
                <w:szCs w:val="22"/>
              </w:rPr>
            </w:pPr>
            <w:r>
              <w:rPr>
                <w:rFonts w:ascii="宋体" w:hAnsi="宋体" w:cs="宋体" w:hint="eastAsia"/>
                <w:kern w:val="0"/>
                <w:sz w:val="22"/>
                <w:szCs w:val="22"/>
              </w:rPr>
              <w:t>1. 可对计算机系统相关属性的使用权限进行控制，具体如下：</w:t>
            </w:r>
          </w:p>
          <w:p>
            <w:pPr>
              <w:widowControl/>
              <w:rPr>
                <w:rFonts w:ascii="宋体" w:hAnsi="宋体" w:cs="宋体" w:hint="eastAsia"/>
                <w:kern w:val="0"/>
                <w:sz w:val="22"/>
                <w:szCs w:val="22"/>
              </w:rPr>
            </w:pPr>
            <w:r>
              <w:rPr>
                <w:rFonts w:ascii="宋体" w:hAnsi="宋体" w:cs="宋体" w:hint="eastAsia"/>
                <w:kern w:val="0"/>
                <w:sz w:val="22"/>
                <w:szCs w:val="22"/>
              </w:rPr>
              <w:t>a) 控制面板、设置屏幕属性、添加打印机、删除打印机、快速切换用户、修改计算机名称；</w:t>
            </w:r>
          </w:p>
          <w:p>
            <w:pPr>
              <w:widowControl/>
              <w:rPr>
                <w:rFonts w:ascii="宋体" w:hAnsi="宋体" w:cs="宋体" w:hint="eastAsia"/>
                <w:kern w:val="0"/>
                <w:sz w:val="22"/>
                <w:szCs w:val="22"/>
              </w:rPr>
            </w:pPr>
            <w:r>
              <w:rPr>
                <w:rFonts w:ascii="宋体" w:hAnsi="宋体" w:cs="宋体" w:hint="eastAsia"/>
                <w:kern w:val="0"/>
                <w:sz w:val="22"/>
                <w:szCs w:val="22"/>
              </w:rPr>
              <w:t>b) 设备管理器、使用磁盘管理、本地用户和组、系统服务管理；</w:t>
            </w:r>
          </w:p>
          <w:p>
            <w:pPr>
              <w:widowControl/>
              <w:rPr>
                <w:rFonts w:ascii="宋体" w:hAnsi="宋体" w:cs="宋体" w:hint="eastAsia"/>
                <w:kern w:val="0"/>
                <w:sz w:val="22"/>
                <w:szCs w:val="22"/>
              </w:rPr>
            </w:pPr>
            <w:r>
              <w:rPr>
                <w:rFonts w:ascii="宋体" w:hAnsi="宋体" w:cs="宋体" w:hint="eastAsia"/>
                <w:kern w:val="0"/>
                <w:sz w:val="22"/>
                <w:szCs w:val="22"/>
              </w:rPr>
              <w:t>c) 任务管理器、注册表编辑器、命令提示符、运行注册表中Run下的程序、运行注册表中RunOnce下的程序；</w:t>
            </w:r>
          </w:p>
          <w:p>
            <w:pPr>
              <w:widowControl/>
              <w:rPr>
                <w:rFonts w:ascii="宋体" w:hAnsi="宋体" w:cs="宋体" w:hint="eastAsia"/>
                <w:kern w:val="0"/>
                <w:sz w:val="22"/>
                <w:szCs w:val="22"/>
              </w:rPr>
            </w:pPr>
            <w:r>
              <w:rPr>
                <w:rFonts w:ascii="宋体" w:hAnsi="宋体" w:cs="宋体" w:hint="eastAsia"/>
                <w:kern w:val="0"/>
                <w:sz w:val="22"/>
                <w:szCs w:val="22"/>
              </w:rPr>
              <w:t>d) 修改网络属性、显示“网络邻居”、修改Internet选项、默认网络共享、使用网络共享、增加网络共享；</w:t>
            </w:r>
          </w:p>
          <w:p>
            <w:pPr>
              <w:widowControl/>
              <w:rPr>
                <w:rFonts w:ascii="宋体" w:hAnsi="宋体" w:cs="宋体" w:hint="eastAsia"/>
                <w:kern w:val="0"/>
                <w:sz w:val="22"/>
                <w:szCs w:val="22"/>
              </w:rPr>
            </w:pPr>
            <w:r>
              <w:rPr>
                <w:rFonts w:ascii="宋体" w:hAnsi="宋体" w:cs="宋体" w:hint="eastAsia"/>
                <w:kern w:val="0"/>
                <w:sz w:val="22"/>
                <w:szCs w:val="22"/>
              </w:rPr>
              <w:t>e) 修改网络IP/MAC配置；</w:t>
            </w:r>
          </w:p>
          <w:p>
            <w:pPr>
              <w:widowControl/>
              <w:rPr>
                <w:rFonts w:ascii="宋体" w:hAnsi="宋体" w:cs="宋体" w:hint="eastAsia"/>
                <w:kern w:val="0"/>
                <w:sz w:val="22"/>
                <w:szCs w:val="22"/>
              </w:rPr>
            </w:pPr>
            <w:r>
              <w:rPr>
                <w:rFonts w:ascii="宋体" w:hAnsi="宋体" w:cs="宋体" w:hint="eastAsia"/>
                <w:kern w:val="0"/>
                <w:sz w:val="22"/>
                <w:szCs w:val="22"/>
              </w:rPr>
              <w:t>f) 聊天类ActiveX控件、影音类ActiveX控件、游戏类ActiveX控件、Flash类ActiveX控件；</w:t>
            </w:r>
          </w:p>
          <w:p>
            <w:pPr>
              <w:widowControl/>
              <w:rPr>
                <w:rFonts w:ascii="宋体" w:hAnsi="宋体" w:cs="宋体" w:hint="eastAsia"/>
                <w:kern w:val="0"/>
                <w:sz w:val="22"/>
                <w:szCs w:val="22"/>
              </w:rPr>
            </w:pPr>
            <w:r>
              <w:rPr>
                <w:rFonts w:ascii="宋体" w:hAnsi="宋体" w:cs="宋体" w:hint="eastAsia"/>
                <w:kern w:val="0"/>
                <w:sz w:val="22"/>
                <w:szCs w:val="22"/>
              </w:rPr>
              <w:t>g) 使用print screen键复制屏幕、系统还原、windows自动更新。</w:t>
            </w:r>
          </w:p>
        </w:tc>
        <w:tc>
          <w:tcPr>
            <w:tcW w:w="1063"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 可按“时间”、“到期时间”灵活设置策略，并可设置策略“仅离线生效”；</w:t>
            </w:r>
            <w:r>
              <w:rPr>
                <w:rFonts w:ascii="宋体" w:hAnsi="宋体" w:cs="宋体" w:hint="eastAsia"/>
                <w:kern w:val="0"/>
                <w:sz w:val="22"/>
                <w:szCs w:val="22"/>
              </w:rPr>
              <w:br/>
            </w:r>
            <w:r>
              <w:rPr>
                <w:rFonts w:ascii="宋体" w:hAnsi="宋体" w:cs="宋体" w:hint="eastAsia"/>
                <w:kern w:val="0"/>
                <w:sz w:val="22"/>
                <w:szCs w:val="22"/>
              </w:rPr>
              <w:t>支持对计算机进行安全检测，检测内容包括：是否安装/运行杀毒软件，是否安装/运行特定应用程序、是否开启/禁止系统服务、是否安装特定补丁及其他特定文件、注册表项等；</w:t>
            </w:r>
            <w:r>
              <w:rPr>
                <w:rFonts w:ascii="宋体" w:hAnsi="宋体" w:cs="宋体" w:hint="eastAsia"/>
                <w:kern w:val="0"/>
                <w:sz w:val="22"/>
                <w:szCs w:val="22"/>
              </w:rPr>
              <w:br/>
            </w:r>
            <w:r>
              <w:rPr>
                <w:rFonts w:ascii="宋体" w:hAnsi="宋体" w:cs="宋体" w:hint="eastAsia"/>
                <w:kern w:val="0"/>
                <w:sz w:val="22"/>
                <w:szCs w:val="22"/>
              </w:rPr>
              <w:t>可查看计算机安全检测状态，当检测条件不满足时，可对计算机进行告警提示；</w:t>
            </w:r>
            <w:r>
              <w:rPr>
                <w:rFonts w:ascii="宋体" w:hAnsi="宋体" w:cs="宋体" w:hint="eastAsia"/>
                <w:kern w:val="0"/>
                <w:sz w:val="22"/>
                <w:szCs w:val="22"/>
              </w:rPr>
              <w:br/>
            </w:r>
            <w:r>
              <w:rPr>
                <w:rFonts w:ascii="宋体" w:hAnsi="宋体" w:cs="宋体" w:hint="eastAsia"/>
                <w:kern w:val="0"/>
                <w:sz w:val="22"/>
                <w:szCs w:val="22"/>
              </w:rPr>
              <w:t>可对安全检测进行日志记录，并可按时间、范围及检测结果等进行查询。</w:t>
            </w:r>
          </w:p>
        </w:tc>
        <w:tc>
          <w:tcPr>
            <w:tcW w:w="1063"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3.支持对计算机的硬件变化、设备的插入拔出、存储设备变化、通讯设备变化、软件变化、系统服务变化、启动项变化、系统时钟变化、计算机名称变化、网络配置变化、磁盘空间不足等进行报警并形成日志。</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4.支持记录客户端IP地址的变化日志，可通过控制台查询历史时间段内客户端使用了那些IP地址，实现IP地址使用的定位追溯。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5.支持指定时间范围锁定计算机或离线锁定计算机。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6.支持检测并记录终端计算机的内外网状态，可显示终端计算机处于内网、外网或VPN网。</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7.当计算机运行过程中CPU和内存超过指定阈值时，则进入低效能模式，客户端软件将减少或延迟处理相关任务。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四.</w:t>
            </w:r>
            <w:r>
              <w:rPr>
                <w:rFonts w:ascii="宋体" w:hAnsi="宋体" w:cs="宋体" w:hint="eastAsia"/>
                <w:b/>
                <w:bCs/>
                <w:kern w:val="0"/>
                <w:sz w:val="22"/>
                <w:szCs w:val="22"/>
              </w:rPr>
              <w:t>外设管理：</w:t>
            </w: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1.当用户私拆硬盘时，能自动发送邮件或弹窗想管理员提醒或报警。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2.支持禁用光驱、磁带驱动器、记忆棒、智能卡、MO、Zip、非系统驱动器、USB控制器和连接器、SCSI接口、直接电缆连线、拨号连接、声音设备、虚拟光驱、无线网络连接等外接设备。</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3.支持禁用移动智能终端的多种接入方式（便携设备方式访问、U盘存储方式访问、手机助手访问）。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4.可通过设置SSID、BSSID信息对客户端连接指定的无线网络进行控制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当客户端有设备被禁止时，客户端可以通过提交申请，请求在一定时间内，放开对某设备的控制。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5.支持审批权限委托，可将审批权限委托给代理管理员，并可设定委托有效时间，支持委托人在线时自动取消委托设定。</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五．</w:t>
            </w:r>
            <w:r>
              <w:rPr>
                <w:rFonts w:ascii="宋体" w:hAnsi="宋体" w:cs="宋体" w:hint="eastAsia"/>
                <w:b/>
                <w:bCs/>
                <w:kern w:val="0"/>
                <w:sz w:val="22"/>
                <w:szCs w:val="22"/>
              </w:rPr>
              <w:t>网络管理：</w:t>
            </w: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1.可通过应用程序、端口、网络地址、域名、通讯方向等参数限制计算机的网络访问权限，可限制单向或双向的通讯方向。</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2.可自定义网络地址和网络端口类别，方便归类管理。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3.可检测内部网络是否有外来计算机非法接入并提供实时报警。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4.支持限制计算机只能使用一个网络功能。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5.支持接入指定网络时弹出提示或阻断网络，防止低密级网段的电脑私自接入到高密级网段。</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6.可与安全检测功能相结合，阻断不合规客户端访问网络，直到终端符合安全检测的要求，才允许访问网络。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55"/>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7.可按“时间”、“到期时间”、“仅离线生效”灵活设置策略</w:t>
            </w:r>
          </w:p>
          <w:p>
            <w:pPr>
              <w:widowControl/>
              <w:rPr>
                <w:rFonts w:ascii="宋体" w:hAnsi="宋体" w:cs="宋体" w:hint="eastAsia"/>
                <w:kern w:val="0"/>
                <w:sz w:val="22"/>
                <w:szCs w:val="22"/>
              </w:rPr>
            </w:pPr>
            <w:r>
              <w:rPr>
                <w:rFonts w:ascii="宋体" w:hAnsi="宋体" w:cs="宋体" w:hint="eastAsia"/>
                <w:kern w:val="0"/>
                <w:sz w:val="22"/>
                <w:szCs w:val="22"/>
              </w:rPr>
              <w:t>当终端的通讯行为触发策略时，支持记录下当时的屏幕画面或锁定计算机。</w:t>
            </w:r>
          </w:p>
        </w:tc>
        <w:tc>
          <w:tcPr>
            <w:tcW w:w="1063"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六.</w:t>
            </w:r>
            <w:r>
              <w:rPr>
                <w:rFonts w:ascii="宋体" w:hAnsi="宋体" w:cs="宋体" w:hint="eastAsia"/>
                <w:b/>
                <w:bCs/>
                <w:kern w:val="0"/>
                <w:sz w:val="22"/>
                <w:szCs w:val="22"/>
              </w:rPr>
              <w:t>程序管理：</w:t>
            </w: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1.支持通过应用程序进程名称、应用程序分类等方式对应用程序的使用权限进行控制，禁止非法应用程序运行，合法的应用程序可以正常使用；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对应用程序的安装权限进行控制，支持黑白名单，即可禁止全部软件安装，再允许部分软件安装，也支持禁止指定软件安装，支持安装包规则库，可通过产品名称/主题、文件说明/标题、公司名称、安装包名称、安装包大小等规则来限制软件的安装权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3.支持限制指定软件同时使用的人数(并发数)，防止软件使用人数超过采购的数量；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4.支持通过运维密码在指定时间内临时放开软件安装权限；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5.支持对应用程序的卸载权限进行控制，支持黑白名单，即可禁止全部软件卸载，再允许部分软件卸载，也支持禁止指定软件卸载；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6.支持通过应用程序进程名称、应用程序分类等方式对应用程序的使用权限进行控制，禁止非法应用程序运行，合法的应用程序可以正常使用；</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对应用程序的安装权限进行控制，支持黑白名单，即可禁止全部软件安装，再允许部分软件安装，也支持禁止指定软件安装，支持安装包规则库，可通过产品名称/主题、文件说明/标题、公司名称、安装包名称、安装包大小等规则来限制软件的安装权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8.支持限制指定软件同时使用的人数(并发数)，防止软件使用人数超过采购的数量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9.支持通过运维密码在指定时间内临时放开软件安装权限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支持对应用程序的卸载权限进行控制，支持黑白名单，即可禁止全部软件卸载，再允许部分软件卸载，也支持禁止指定软件卸载；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 支持软件窗口水印，在打开重要的应用程序或文件时显示水印，操作其他程序或文件不显示水印，不影响用户阅读</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 支持桌面水印，可以设置文字、图片、二维码水印，扫码能识别电脑 IP 地址、mac 地址、计算机名、用户名等相关信息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七．</w:t>
            </w:r>
            <w:r>
              <w:rPr>
                <w:rFonts w:ascii="宋体" w:hAnsi="宋体" w:cs="宋体" w:hint="eastAsia"/>
                <w:b/>
                <w:bCs/>
                <w:kern w:val="0"/>
                <w:sz w:val="22"/>
                <w:szCs w:val="22"/>
              </w:rPr>
              <w:t>资产管理：</w:t>
            </w: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1.可对计算机硬件、软件资产信息进行检测、统计、查询；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2.可对计算机硬件、软件资产变更进行检测，并产生告警；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3.支持自定义添加其他类别资产信息，并支持自定义查询；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4.支持根据扩展资产登记的部门和员工信息，自动将计算机同步到组织架构的对应分组中；</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5.可对正版软件采购信息进行录入、统计，并可对计算机安装的软件信息进行统计、查询；</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6.可检测计算机补丁安装情况，并可集中下载最新补丁进行统一安装，支持“计算机模式”和“补丁模式”；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7.可对微软操作系统漏洞进行检测，并提供解决漏洞问题的建议，支持“计算机模式”和“补丁模式”；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8.可制作软件安装包或脚本分发至各计算机进行集中安装，安装模式支持安装软件、执行程序（运行一次）和派发文件，支持将普通用户权限提升到管理员权限进行软件安装；</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9.支持“计算机模式”和“软件模式”对软件进行强制、批量卸载，卸载任务模式支持“只执行一次”和“持续进行”，并且可对任务执行时间段进行设置；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10.支持远程查看客户端计算机当前运行的应用程序、进程、性能、设备管理、系统服务、磁盘管理、共享文件夹、计划任务、用户和组、启动项等，并可对应用程序、进程、系统服务、共享文件夹等进行操作，如可关闭当前运行的应用程序、进程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11.支持远程卸载客户端计算机安装的软件，并支持对安装项信息进行自定义卸载；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八.</w:t>
            </w:r>
            <w:r>
              <w:rPr>
                <w:rFonts w:ascii="宋体" w:hAnsi="宋体" w:cs="宋体" w:hint="eastAsia"/>
                <w:b/>
                <w:bCs/>
                <w:kern w:val="0"/>
                <w:sz w:val="22"/>
                <w:szCs w:val="22"/>
              </w:rPr>
              <w:t>远程维护：</w:t>
            </w: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1.可点对多远程连接到远端计算机的桌面，直接对计算机进行操作，并支持对远端计算机的键盘、鼠标进行控制；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2.支持远程控制时切换用户能自动重连；</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3.支持拦截软件弹窗广告；</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4.支持必须经过客户端允许、密码设定和强制认证远程等方式的远程控制功能；</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41"/>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5.支持远程文档传输，提供管理控制台与客户端相互传送文件的功能</w:t>
            </w:r>
          </w:p>
          <w:p>
            <w:pPr>
              <w:widowControl/>
              <w:rPr>
                <w:rFonts w:ascii="宋体" w:hAnsi="宋体" w:cs="宋体" w:hint="eastAsia"/>
                <w:kern w:val="0"/>
                <w:sz w:val="22"/>
                <w:szCs w:val="22"/>
              </w:rPr>
            </w:pPr>
            <w:r>
              <w:rPr>
                <w:rFonts w:ascii="宋体" w:hAnsi="宋体" w:cs="宋体" w:hint="eastAsia"/>
                <w:kern w:val="0"/>
                <w:sz w:val="22"/>
                <w:szCs w:val="22"/>
              </w:rPr>
              <w:t>支持对客户端下达任务，将客户端全盘文件目录列表或U盘文件列表上传到服务器，支持把客户端某个指定的文件上传到服务器；</w:t>
            </w:r>
          </w:p>
        </w:tc>
        <w:tc>
          <w:tcPr>
            <w:tcW w:w="1063"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6.支持不用远程登录客户端桌3333面即可查看和管理（关闭和启动）客户端进程、共享文件夹、服务等功能 </w:t>
            </w:r>
          </w:p>
        </w:tc>
        <w:tc>
          <w:tcPr>
            <w:tcW w:w="1063"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440"/>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45</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防火墙</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1、网络层吞吐量≥60G，并发连接≥1500万，每秒新建连接数≥45万， 标准≤2U机箱，冗余电源，标准配置板载8个10/100/1000M自适应电、8个SFP插槽（配置8个千兆多模光模块）和6个SFP+插槽（配置6个万兆多模光模块），4口40G QSFP（配置4个40G QSFP光模块），另有≥2个扩展插槽，≥1个Console口，≥1个HA接口，≥1个MGT接口，默认含32个IPsecVPN 并发隧道数（最大30000）和32个SSLVPN 并发用户数（最大4000）支持液晶屏。</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2、防火墙系统软件,含应用控制、URL过滤、病毒防护、入侵防御、威胁情报检测等功能（高级功能激活、特征库升级、威胁情报订阅需额外订购许可）</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46</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物联网安全网关</w:t>
            </w: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一、安全管理平台（1台）</w:t>
            </w: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1.≥1U标准机架式，千兆电口≥4个，万兆光口≥4个，存储容量≥14.4T，内存≥96GB DDR4 3200，系统盘≥1*480GB M.2 SSD，数据盘≥4*4TB，双电源。</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责任人管理功能，可对资产进行全生命周期管理，包括自动识别资产、入库审核、离线资产识别、自动识别资产图库、手动导入资产退库、自定义资产名称等。针对自动识别资产退库功能，可设置全局退库时间，数据更新时间。支持主机资产分级管理，责任人管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资产属性重新识别，当发现资产数据不准确时，可清空该资产属性，如主机名、备注、操作系统、标签、地理位置、硬件信息、应用软件信息、账号信息、责任人信息、服务与端口信息等，重新发起识别后，平台会自动补齐资产属性，可批量操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4.支持整体展示服务器脆弱性风险分析、热点漏洞情况、脆弱性风险详情（漏洞风险、配置风险、弱密码、web明文传输、可用性风险），支持第三方漏扫报告导入和解析，可按资产组分类上传，支持上传文件。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5.支持解决海量告警无法全部分析研判，出现漏报误报的问题，能够从自动化攻击、黑灰产攻击、误报、定向攻击、正常业务、攻防演练攻击等方面开展安全告警威胁定性分析，发掘高价值安全告警。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▲6.支持EBA实体行为分析功能，通过对对象进行持续的行为分析和行为画像构建、识别服务器异常，包括DGA解析请求、外联C&amp;C服务器、异常协议利用、下载可疑文件、异常横向访问等。（</w:t>
            </w:r>
            <w:r>
              <w:rPr>
                <w:rFonts w:ascii="宋体" w:hAnsi="宋体" w:cs="宋体" w:hint="eastAsia"/>
                <w:b/>
                <w:bCs/>
                <w:color w:val="0000FF"/>
                <w:kern w:val="0"/>
                <w:sz w:val="22"/>
                <w:szCs w:val="22"/>
              </w:rPr>
              <w:t>投标时同时提供：①由第三方检验检测机构出具并加盖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7.支持通过全流量深度分析，对SSL/TLS加密后的流量进行建模检测，能够检测出使用加密挖矿、加密黑客工具、加密反弹shell、加密webshell的加密流量通信。</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290"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二、安全网关（1台）</w:t>
            </w: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1.≥1U标准机架式，千兆电口≥8个，万兆光口SFP+（含万兆多模光纤模块）≥2个，网络层吞吐量≥10G，医疗物联网场景吞吐（入侵防御）≥1G。</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2.支持路由类型、协议类型、网络对象、国家地区等条件进行自动选路的策略路由，支持不少于3种的调度算法，至少包括带宽比例、加权流量、线路优先等。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3.具备勒索防护功能、CC攻击防护功能、Cookie攻击防护功能。具备僵尸主机检测功能，僵尸网络特征库不低于128万种，可识别主机的异常外联行为。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4.具备入侵防护IPS功能模块，漏洞规则不低于16000种，并支持失陷外联检测，至少应包含DNS隧道检测、HTTP隧道检测、Webshell加密通信检测能力。</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5.支持X-Forworded-For字段检测技术，并对非法源IP进行日志记录和联动封锁。支持服务器漏洞防扫描技术，并对扫描源IP进行日志记录和联动封锁。</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6.具备账号全生命周期保护功能，包括用户账号多余入口检测、用户账号弱口令检测、用户账号暴力破解检测、失陷账号检测，防止因账号被暴力破解导致的非法提权情况发生。</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▲7.可识别 IT、OT、IoT 混合资产，获取 IP、MAC、操作系统、类型、厂商等信息，终端类型包括但不限于：（1）PC、瘦客户机、手机、平板、交换机、路由器、防火墙、无线控制器、服务器等 IT 资产；（2）摄像头、门禁、打印机、投影仪、VOIP 设备、条形码扫描仪、医学图像打印机、呼吸机、心电图仪、监护仪、放射系统等 IoT 资产。（</w:t>
            </w:r>
            <w:r>
              <w:rPr>
                <w:rFonts w:ascii="宋体" w:hAnsi="宋体" w:cs="宋体" w:hint="eastAsia"/>
                <w:b/>
                <w:bCs/>
                <w:color w:val="0000FF"/>
                <w:kern w:val="0"/>
                <w:sz w:val="22"/>
                <w:szCs w:val="22"/>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8.具备策略生命周期管理功能。支持对安全策略修改的时间、原因、变更类型进行统一管理，便于策略的运维与管理。</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427"/>
        </w:trPr>
        <w:tc>
          <w:tcPr>
            <w:tcW w:w="236" w:type="pct"/>
            <w:vMerge/>
            <w:tcBorders>
              <w:top w:val="nil"/>
              <w:left w:val="single" w:sz="4" w:space="0" w:color="auto"/>
              <w:bottom w:val="single" w:sz="4" w:space="0" w:color="auto"/>
              <w:right w:val="single" w:sz="4" w:space="0" w:color="auto"/>
            </w:tcBorders>
            <w:noWrap w:val="0"/>
            <w:vAlign w:val="center"/>
          </w:tcPr>
          <w:p>
            <w:pPr>
              <w:widowControl/>
            </w:pPr>
          </w:p>
        </w:tc>
        <w:tc>
          <w:tcPr>
            <w:tcW w:w="474" w:type="pct"/>
            <w:vMerge/>
            <w:tcBorders>
              <w:top w:val="nil"/>
              <w:left w:val="single" w:sz="4" w:space="0" w:color="auto"/>
              <w:bottom w:val="single" w:sz="4" w:space="0" w:color="auto"/>
              <w:right w:val="single" w:sz="4" w:space="0" w:color="auto"/>
            </w:tcBorders>
            <w:noWrap w:val="0"/>
            <w:vAlign w:val="center"/>
          </w:tcPr>
          <w:p>
            <w:pPr>
              <w:widowControl/>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9.能够针对 IoT 漏洞攻击进行检测和防护，内置超过 3000 种 IoT 漏洞特征规则库。</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47</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安全监测与响应管理平台</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1、硬件要求：集群式部署，至少3节点，每节点配置：≥2U标准机架式，内存≥256GB DDR4 3200，系统盘≥240GB SATA 固态硬盘，数据盘≥96TB SATA机械硬盘，双电源，接口≥4千兆电口+2万兆光口（含万兆多模光纤模块）。</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平台要求：支持3节点服务部署，支持节点扩容，提供基础的网端、终端侧的检测数据接入和处理；实现对告警日志、遥测数据、审计信息的存储和检索；对跨安全产品的检测和响应机制提供基础的信息汇聚、存储、关联和分析能力；包含管理平台、检测响应分析引擎、数据湖模块、仪表盘、安全事件检索与调查、报表、基础大屏等功能。包含日最大3亿日志量接入性能的授权。</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3、组件配置：提供高级漏洞管理模块1套，第三方日志分析模块1套，SOAR模块1套，物联网安全分析系统模块1套；</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4.交付服务：提供≥10人天工作量，包含需求调研&amp;现场调研、实施方案设计与评审确认、平台部署、组件联调、质量检查、资产初始化（50个资产以内）、关键价值展示、测试验证、知识转移&amp;项目验收。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5.支持攻击链、入口点、父子进程、影响面的还原，可支持进程树纵向拓展层级≥10个、横向拓展层级≥15个，以对风险资产的复杂威胁提供更全面细颗粒度的展现视角；</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635"/>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6.支持对接入设备进行数据质量三级安全效果评级，要求：（1）一级安全效果：至少包含日志解析，设备上报日志触发规则后能够生成安全日志，触发一次规则生成一条安全日志；（2）二级安全效果：至少包含A.告警聚合：将多条同类安全日志聚合生成告警; B.告警融合：将不同来源设备上报的日志融合生成告警,C.业务误报：能检测到告警是由正常业务访问行为触发，非攻击行为; (3)三级安全效果：A.攻击成功：能够检测出告警的攻击结果为攻击成功,B.威胁定性：能够对告警的攻击行为进行定性，比如是否业务行为、病毒行为、定向攻击行为、扫描行为等,C.人为攻击：能够检测到告警定性为定向攻击，人为针对性攻击行为,D.网端关联告警：网和端设备检测的告警能够关联成一条告警,E.网端关联事件：网和端设备检测的事件能够关联成一条事件,F.攻击链还原：能够将事件还原攻击过程并形成攻击链。（</w:t>
            </w:r>
            <w:r>
              <w:rPr>
                <w:rFonts w:ascii="宋体" w:hAnsi="宋体" w:cs="宋体" w:hint="eastAsia"/>
                <w:b/>
                <w:bCs/>
                <w:color w:val="0000FF"/>
                <w:kern w:val="0"/>
                <w:sz w:val="22"/>
                <w:szCs w:val="22"/>
              </w:rPr>
              <w:t>投标时同时提供：①由第三方检验检测机构出具并加盖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7.支持多源告警消减与融合，对告警进行payload相似度、单个攻击源对多个目标发起的相似攻击、多个攻击源对单个目标发起的相似攻击等维度的深度聚合归并。</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对终端遥测数据缺失、端点覆盖率不全的场景下，基于网端遥测数据采用图神经网络等AI算法实现故事线自动仿真模拟诊断，最大限度辅助诊断终端遥测数据缺失情境下的威胁风险，在无终端情况下提供近似有终端的安全效果。</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48</w:t>
            </w:r>
          </w:p>
        </w:tc>
        <w:tc>
          <w:tcPr>
            <w:tcW w:w="47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kern w:val="0"/>
                <w:sz w:val="22"/>
                <w:szCs w:val="22"/>
              </w:rPr>
            </w:pPr>
            <w:r>
              <w:rPr>
                <w:rFonts w:ascii="宋体" w:hAnsi="宋体" w:cs="宋体" w:hint="eastAsia"/>
                <w:kern w:val="0"/>
                <w:sz w:val="22"/>
                <w:szCs w:val="22"/>
              </w:rPr>
              <w:t>安全GPT智能运营</w:t>
            </w: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1.支持网络安全概念、工具、漏洞、术语等专业内容的解释和解读；</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2.支持攻击智能解读，包含：恶意数据包、可疑命令、攻击脚本等，自动解读攻击目的、手法及原理；HTTP数据包解读，对数据包payload进行自然语言解释、意图分析，并提供修复建议；</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1152"/>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3.支持威胁实体调查，支持输入输入外部威胁情报，安全GPT自动提取关键信息，自动梳理情报的上下文信息，揭示威胁的活动轨迹和攻击链条。支持威胁情报解读文字、图片、链接的可视化展示，支持展示威胁情报威胁等级、发现时间、更新时间、告警次数、影响客户数等。支持调用威胁情报分析恶意文件MD5，并返回大模型解读结果，并支持将结果辅助导出。</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4.支持自动化值守状态整体监控，可基于时间自定义筛选，支持展示接入设备组件名称及告警数量、告警总数、GPT告警消减后的事件总数、自动执行处置数、人工决策处置数、以及已闭环和未闭环的事件数量。支持展示值守时间至XX天XX时XX分，可查看告警研判覆盖率、累积节省研判用时等。</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5.支持告警降噪与定性，支持针对全量告警的安全GPT生成式分析，实现可疑行为、业务误报、真实攻击未成功等研判结论，帮助安全运营人员有效过滤海量误报并聚焦有效告警。</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6.支持研判分析过程思维链展示，包含自动生成攻击者IP分析、数据包内容分析、攻击成功原因分析、攻击趋势分析等维度的内容。</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864"/>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b/>
                <w:bCs/>
                <w:kern w:val="0"/>
                <w:sz w:val="22"/>
                <w:szCs w:val="22"/>
              </w:rPr>
              <w:t>▲7.支持安全GPT对事件的全量分析研判，安全事件列表支持至少按照等级、名称、事件ID、GPT研判结论、安全事件一级分类、安全事件二级分类、影响资产等维度展示事件属性。（</w:t>
            </w:r>
            <w:r>
              <w:rPr>
                <w:rFonts w:ascii="宋体" w:hAnsi="宋体" w:cs="宋体" w:hint="eastAsia"/>
                <w:b/>
                <w:bCs/>
                <w:color w:val="0000FF"/>
                <w:kern w:val="0"/>
                <w:sz w:val="22"/>
                <w:szCs w:val="22"/>
              </w:rPr>
              <w:t>投标时提供软件功能截图佐证</w:t>
            </w:r>
            <w:r>
              <w:rPr>
                <w:rFonts w:ascii="宋体" w:hAnsi="宋体" w:cs="宋体" w:hint="eastAsia"/>
                <w:b/>
                <w:bCs/>
                <w:kern w:val="0"/>
                <w:sz w:val="22"/>
                <w:szCs w:val="22"/>
              </w:rPr>
              <w:t>）</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b/>
                <w:bCs/>
                <w:kern w:val="0"/>
                <w:sz w:val="22"/>
                <w:szCs w:val="22"/>
              </w:rPr>
            </w:pPr>
          </w:p>
        </w:tc>
      </w:tr>
      <w:tr>
        <w:tblPrEx>
          <w:tblW w:w="5432" w:type="pct"/>
          <w:tblInd w:w="0" w:type="dxa"/>
          <w:tblLayout w:type="fixed"/>
          <w:tblCellMar>
            <w:top w:w="0" w:type="dxa"/>
            <w:left w:w="108" w:type="dxa"/>
            <w:bottom w:w="0" w:type="dxa"/>
            <w:right w:w="108" w:type="dxa"/>
          </w:tblCellMar>
        </w:tblPrEx>
        <w:trPr>
          <w:trHeight w:val="576"/>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8.支持一键遏制操作，智能提取关键威胁实体，结合端网能力一键处置，在业务影响最小化的情况下，实现外部威胁不入内网，关键数据不出内网，确保威胁“进不来、出不去、不扩散”。</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r>
        <w:tblPrEx>
          <w:tblW w:w="5432" w:type="pct"/>
          <w:tblInd w:w="0" w:type="dxa"/>
          <w:tblLayout w:type="fixed"/>
          <w:tblCellMar>
            <w:top w:w="0" w:type="dxa"/>
            <w:left w:w="108" w:type="dxa"/>
            <w:bottom w:w="0" w:type="dxa"/>
            <w:right w:w="108" w:type="dxa"/>
          </w:tblCellMar>
        </w:tblPrEx>
        <w:trPr>
          <w:trHeight w:val="288"/>
        </w:trPr>
        <w:tc>
          <w:tcPr>
            <w:tcW w:w="23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47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kern w:val="0"/>
                <w:sz w:val="22"/>
                <w:szCs w:val="22"/>
              </w:rPr>
            </w:pPr>
          </w:p>
        </w:tc>
        <w:tc>
          <w:tcPr>
            <w:tcW w:w="2299"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r>
              <w:rPr>
                <w:rFonts w:ascii="宋体" w:hAnsi="宋体" w:cs="宋体" w:hint="eastAsia"/>
                <w:kern w:val="0"/>
                <w:sz w:val="22"/>
                <w:szCs w:val="22"/>
              </w:rPr>
              <w:t>9.无需本地部署，可深度对接安全监测与响应管理平台。</w:t>
            </w:r>
          </w:p>
        </w:tc>
        <w:tc>
          <w:tcPr>
            <w:tcW w:w="1063"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2"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c>
          <w:tcPr>
            <w:tcW w:w="466" w:type="pct"/>
            <w:tcBorders>
              <w:top w:val="nil"/>
              <w:left w:val="nil"/>
              <w:bottom w:val="single" w:sz="4" w:space="0" w:color="auto"/>
              <w:right w:val="single" w:sz="4" w:space="0" w:color="auto"/>
            </w:tcBorders>
            <w:noWrap w:val="0"/>
            <w:vAlign w:val="center"/>
          </w:tcPr>
          <w:p>
            <w:pPr>
              <w:widowControl/>
              <w:rPr>
                <w:rFonts w:ascii="宋体" w:hAnsi="宋体" w:cs="宋体" w:hint="eastAsia"/>
                <w:kern w:val="0"/>
                <w:sz w:val="22"/>
                <w:szCs w:val="22"/>
              </w:rPr>
            </w:pPr>
          </w:p>
        </w:tc>
      </w:tr>
    </w:tbl>
    <w:p>
      <w:pPr>
        <w:rPr>
          <w:szCs w:val="20"/>
        </w:rPr>
      </w:pPr>
    </w:p>
    <w:p>
      <w:pPr>
        <w:rPr>
          <w:szCs w:val="20"/>
        </w:rPr>
      </w:pPr>
      <w:r>
        <w:rPr>
          <w:rFonts w:hint="eastAsia"/>
          <w:szCs w:val="20"/>
        </w:rPr>
        <w:t>2）商用密码技术需求</w:t>
      </w:r>
    </w:p>
    <w:tbl>
      <w:tblPr>
        <w:tblStyle w:val="TableNormal"/>
        <w:tblW w:w="5436" w:type="pct"/>
        <w:tblInd w:w="0" w:type="dxa"/>
        <w:tblCellMar>
          <w:top w:w="0" w:type="dxa"/>
          <w:left w:w="108" w:type="dxa"/>
          <w:bottom w:w="0" w:type="dxa"/>
          <w:right w:w="108" w:type="dxa"/>
        </w:tblCellMar>
      </w:tblPr>
      <w:tblGrid>
        <w:gridCol w:w="638"/>
        <w:gridCol w:w="1161"/>
        <w:gridCol w:w="3680"/>
        <w:gridCol w:w="1933"/>
        <w:gridCol w:w="1060"/>
        <w:gridCol w:w="801"/>
      </w:tblGrid>
      <w:tr>
        <w:tblPrEx>
          <w:tblW w:w="5436" w:type="pct"/>
          <w:tblInd w:w="0" w:type="dxa"/>
          <w:tblCellMar>
            <w:top w:w="0" w:type="dxa"/>
            <w:left w:w="108" w:type="dxa"/>
            <w:bottom w:w="0" w:type="dxa"/>
            <w:right w:w="108" w:type="dxa"/>
          </w:tblCellMar>
        </w:tblPrEx>
        <w:trPr>
          <w:trHeight w:val="312"/>
        </w:trPr>
        <w:tc>
          <w:tcPr>
            <w:tcW w:w="344" w:type="pct"/>
            <w:tcBorders>
              <w:top w:val="single" w:sz="4" w:space="0" w:color="auto"/>
              <w:left w:val="single" w:sz="4" w:space="0" w:color="auto"/>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626"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设备名称</w:t>
            </w:r>
          </w:p>
        </w:tc>
        <w:tc>
          <w:tcPr>
            <w:tcW w:w="1984"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招标</w:t>
            </w:r>
            <w:r>
              <w:rPr>
                <w:rFonts w:ascii="宋体" w:hAnsi="宋体" w:cs="宋体" w:hint="eastAsia"/>
                <w:b/>
                <w:bCs/>
                <w:color w:val="000000"/>
                <w:szCs w:val="21"/>
              </w:rPr>
              <w:t>技术要求</w:t>
            </w:r>
          </w:p>
        </w:tc>
        <w:tc>
          <w:tcPr>
            <w:tcW w:w="1042"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投标技术响应</w:t>
            </w:r>
          </w:p>
        </w:tc>
        <w:tc>
          <w:tcPr>
            <w:tcW w:w="571"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偏离情况</w:t>
            </w:r>
          </w:p>
        </w:tc>
        <w:tc>
          <w:tcPr>
            <w:tcW w:w="431" w:type="pct"/>
            <w:tcBorders>
              <w:top w:val="single" w:sz="4" w:space="0" w:color="auto"/>
              <w:left w:val="nil"/>
              <w:bottom w:val="single" w:sz="4" w:space="0" w:color="auto"/>
              <w:right w:val="single" w:sz="4" w:space="0" w:color="auto"/>
            </w:tcBorders>
            <w:shd w:val="clear" w:color="000000" w:fill="D9E1F4"/>
            <w:noWrap/>
            <w:vAlign w:val="center"/>
          </w:tcPr>
          <w:p>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说明</w:t>
            </w: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IPSec/SSL VPN综合安全网关</w:t>
            </w: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1、支持客户端证书过滤功能，支持基于 issus、subject 等项拒绝连接。</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936"/>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2、支持TCP+SSL/TLS的安全传输通道交付服务，能够满足基于SSL/TLS安全协议的TCP网络应用系统，或是无安全策略的传统TCP网络应用系统，实现传输通道的快速安全保障与加速。</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3、页面可查看证书算法、证书有效期起止时间等所有信息。 </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4、支持 TLS1.1、TLS1.2、TLS1.3、DTLS1.3 等协议；</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5、支持SSL加速、SSL卸载、HTTP压缩、Web高速缓存功能、HTTP请求和响应改写、HTTP内容改写、HTTP反向代理转发和HTTP重定向； </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6、支持密码算法：SM2、SM3、SM4等；支持ECC-SM4-SM3、ECDHE-SM4-SM3密钥套件；</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7、支持 SSL 和 IPSec 负载功能，负载均衡策略支持静态、 默认等方式；</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8、支持隧道组，与 NAT 结合及 NAT 穿越等多种复杂应用；</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9、支持IPV6协议，设备需兼容IPV4与IPV6网络并存，支持设备和后台服务支持IPV6 to IPV4与IPV4 to IPV6模式下的地址转换。</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10、支持在web 管理页面查看设备 CPU、 内存、 硬盘使用率，系统告警信息，CPU 温度，风扇状态和 转速， 电源模块状态等。</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11、支持视图查看SSL加速状态、CPU使用率、内存使用率、并发连接数、新建连接数等； </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12、支持命令行页面，无需安装辅助软件即可运行 ping、tcpdump、telnet 等排错命令；</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13、支持基于 CPU、 内存占用率状态进行条件筛选进行主 备机切换或设备重启；</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14、支持三层、七层 ACL 过滤；支持单个用户访问服务的上行/下行带宽占用量控制。</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 xml:space="preserve">15、性能指标：隧道数≥300个；吞吐率≥500Mbps；SSL性能指标：新建连接数(个/秒)≥1900；最大并发(个)≥130000；吞吐量≥500Mbps； </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▲16、支持IPv6 Ready Logo认证（</w:t>
            </w:r>
            <w:r>
              <w:rPr>
                <w:rFonts w:ascii="宋体" w:hAnsi="宋体" w:cs="宋体" w:hint="eastAsia"/>
                <w:b/>
                <w:bCs/>
                <w:color w:val="0000FF"/>
                <w:kern w:val="0"/>
                <w:szCs w:val="21"/>
              </w:rPr>
              <w:t>投标时提供认证证书佐证</w:t>
            </w:r>
            <w:r>
              <w:rPr>
                <w:rFonts w:ascii="宋体" w:hAnsi="宋体" w:cs="宋体" w:hint="eastAsia"/>
                <w:b/>
                <w:bCs/>
                <w:color w:val="000000"/>
                <w:kern w:val="0"/>
                <w:szCs w:val="21"/>
              </w:rPr>
              <w:t>）</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服务器密码机</w:t>
            </w: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1、采用硬件芯片实现各类密码算法；</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2、支持密钥安全产生、安装、存储、使用、销毁以及备份恢复全生命周期的管理；</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3、至少支持三层密钥结构包括：管理密钥、用户密钥/设备密钥/密钥加密密钥、会话密钥；</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4、采用双物理噪声源；</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5、支持设备初始化配置包括密钥产生安装、生成管理员、按照安全机制对密钥安全存储和备份、系统配置、一键检测等功能，保证设备处于正常工作状态；</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6、支持密钥安全存储，保证关键密钥在任何时候不以明文形式出现在设备外，密钥备份文件也受到备份密钥的加密保护；</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7、支持访问控制，可通过管理界面设置管理员权限和密钥产生、安装、备份恢复以及日志查询等操作；</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8、支持审计日志的记录，查询和导出功能，支持审计日志签名；</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9、密码机API接口符合《密码设备应用接口规范（GM/T 0018-2012）》标准接口规范，同时支持PKCS#11、JCE等国际标准接口；</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10、对外可提供高稳定、高性能的服务，支持热备负载功能，支持多机并行，提供容错功能，当有密码机出现故障时不影响业务运算；</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11、支持设备运行状态监控，支持监控CPU使用率、内存使用率、磁盘使用率、CPU温度、电源风扇转速等；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12、弱算法过滤：支持通过管理界面进行弱密码算法过滤配置，保障密码算法安全合规；</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13、支持基于主密钥保护下的密钥的备份和恢复功能，保证应用系统的安全性和可靠性；</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14、支持基于SM4对称算法的MAC产生及验证；</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15、支持基于SM4算法的FPE保留格式加解密功能；</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16、支持SM4算法、SM1算法的ECB和CBC模式的数据加密和解密运算；</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17、支持各类电子数据和文件的数字签名和验证；</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 xml:space="preserve">18、支持基于RSA/SM2密码算法的由内部密钥保护到外部密钥保护的数字信封转换功能； </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19、SM2算法密钥对产生≥13000对/秒；SM2签名≥39000次/秒，验签≥18000次/秒；SM4算法加解密≥700Mbps；SM3 杂凑运算≥700Mbps。</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20、硬件规格：设备高度≥2U，网络接口≥2*100/1000M 自适应网口；电源指标：550W 1+1 标准服务器冗余电源；支持应用接口：Java、C、JCE、HTTP等；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highlight w:val="yellow"/>
              </w:rPr>
            </w:pPr>
            <w:r>
              <w:rPr>
                <w:rFonts w:ascii="宋体" w:hAnsi="宋体" w:cs="宋体" w:hint="eastAsia"/>
                <w:b/>
                <w:bCs/>
                <w:color w:val="000000"/>
                <w:kern w:val="0"/>
                <w:szCs w:val="21"/>
              </w:rPr>
              <w:t>▲21、支持IPv6 Ready Logo认证（</w:t>
            </w:r>
            <w:r>
              <w:rPr>
                <w:rFonts w:ascii="宋体" w:hAnsi="宋体" w:cs="宋体" w:hint="eastAsia"/>
                <w:b/>
                <w:bCs/>
                <w:color w:val="0000FF"/>
                <w:kern w:val="0"/>
                <w:szCs w:val="21"/>
              </w:rPr>
              <w:t>投标时提供认证证书佐证</w:t>
            </w:r>
            <w:r>
              <w:rPr>
                <w:rFonts w:ascii="宋体" w:hAnsi="宋体" w:cs="宋体" w:hint="eastAsia"/>
                <w:b/>
                <w:bCs/>
                <w:color w:val="000000"/>
                <w:kern w:val="0"/>
                <w:szCs w:val="21"/>
              </w:rPr>
              <w:t>）。</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3</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协同签名系统</w:t>
            </w: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1、支持可视化的用户管理、证书管理，实现数字证书得申请、更新、吊销等；</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2、支持对接入应用的授权管理；</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3、提供restful API的形式接口与业务系统对接，产品提供对业务系统请求报文的真实性完整性校验；</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4、产品支持基于数字证书的安全认证登录管理功能，能实现多种角色管理，包括但不限于管理员、操作员、审计员等；</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5、产品符合电子认证业务的合规性，基于协同密钥技术来实现移动端用户私钥的生成和使用，实现移动端认证与签名并保证用户密钥的安全；提供身份核验服务；</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936"/>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6、支持在统一页面实现对用户的集中管理，包括用户导入、用户新增、用户照片和签章图片导入、单个冻结和批量冻结、单个删除和批量删除、批量导出、签章样式自定义编辑等功能；</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7、支持在线、离线证书签发模式、日志及审计功能；支持用户量、签名量、证数量的统计分析；</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8、支持授权签名及管理，用户只需要使用手机在PC端完成一次授权即可多次签名，并可以关闭授权，满足无证书用户业务签名；</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9、支持推送签名，用户以推送的方式发起签名，签名者在手机端收到推送后直接完成签名；支持在签名任务中添加签名描述信息；</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10、支持PC端扫码签名，支持个人及单位网页签章、PDF签章等功能；</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11、支持双机及集群的高性能负载，支持IPv4/IPv6；</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936"/>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12、支持管理员一键授权管理：能够在单一页面实现自由勾选功能模块对管理员进行权限分配，包括对用户管理功能的授权、对证书验证管理的授权、CSS高级配置的授权、系统设置的授权、日志的授权、配置管理的授权等；</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1248"/>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13、支持一人多设备、一设备多人的应用场景；支持授权签名：用户只需要使用手机在PC端完成一次授权即可多次签名，并可以关闭授权；支持推送签名：用户以推送的方式发起签名，签名者在手机端收到推送后直接完成签名；支持在签名任务中添加签名描述信息；</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14、多认证源，提供数字证书、身份核验CTID、短信、生物识别多种认证源；</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15支持可视化的用户管理、证书管理，用户量、签名量、证数量的统计分析，便于用户管理及统计查询，可导出统计报表；</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16、支持在线、离线、自建CA证书签发等多种模式；</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936"/>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17、支持通过系统唯一用户标识绑定用户身份；支持通过接口添加用户信息，支持CRL配置和根证书配置，支持标准签名验证，能够与USBKey签名互通，支持证书有效性验证；</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18、支持移动协同证书，与安全认证网关实现国密SSL双向认证；</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19、支持本机监控运维功能，包括CPU、磁盘、内存、进程、网络流量等使用情况及可视化展示；</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20、支持电子病历评级业务日志查询，支持验签功能；</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21、支持算法标准：SM2、SM3、SM4；</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22、产品兼容医院现有UKEY证书体系，可实现数字证书的互通互认。</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23、性能要求：最大用户数≥1500；最大并发量≥200；SM2协同签名效率≥500次/秒；</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24、设备高度≥2U，网络接口≥2*100/1000M 自适应网口；电源指标：550W 1+1 标准服务器冗余电源；</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b/>
                <w:bCs/>
                <w:color w:val="000000"/>
                <w:kern w:val="0"/>
                <w:szCs w:val="21"/>
              </w:rPr>
              <w:t>▲25、产品具备IPv6 Ready Logo认证证书（</w:t>
            </w:r>
            <w:r>
              <w:rPr>
                <w:rFonts w:ascii="宋体" w:hAnsi="宋体" w:cs="宋体" w:hint="eastAsia"/>
                <w:b/>
                <w:bCs/>
                <w:color w:val="0000FF"/>
                <w:kern w:val="0"/>
                <w:szCs w:val="21"/>
              </w:rPr>
              <w:t>投标时提供认证证书佐证</w:t>
            </w:r>
            <w:r>
              <w:rPr>
                <w:rFonts w:ascii="宋体" w:hAnsi="宋体" w:cs="宋体" w:hint="eastAsia"/>
                <w:b/>
                <w:bCs/>
                <w:color w:val="000000"/>
                <w:kern w:val="0"/>
                <w:szCs w:val="21"/>
              </w:rPr>
              <w:t>）。 </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b/>
                <w:bCs/>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协同签名密码模块</w:t>
            </w: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1、要求移动端提供SDK和APP两种形态模块；</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2、移动端支持基于激活码下载证书和扫码下载证书；</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3、移动端支持基于签名任务id和扫码签名；</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4、移动端APP支持扫码签名、推送签名；</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5、移动端APP支持通过扫码或手动方式配置服务端；</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6、要求移动端APP在Android应用市场和苹果AppStore中已经发布；</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7、移动端SDK支持集中显示待签名文件列表，并且支持批量勾选文件进行签署；</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8、移动端APP支持授权设置，可根据科室、性能、时间进行配置及控制，被授权人通过APP响应及签名；</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9、移动端SDK支持通过传入PIN码的方式进行签名；</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10、移动端支持通过PIN码或指纹进行认证后签名；</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11、移动端SDK支持开启和关闭指纹；</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r>
              <w:rPr>
                <w:rFonts w:ascii="宋体" w:hAnsi="宋体" w:cs="宋体" w:hint="eastAsia"/>
                <w:color w:val="000000"/>
                <w:kern w:val="0"/>
                <w:szCs w:val="21"/>
              </w:rPr>
              <w:t>12、支持Androi5.0及以上版本；iOS10.0及以上版本；</w:t>
            </w:r>
          </w:p>
        </w:tc>
        <w:tc>
          <w:tcPr>
            <w:tcW w:w="1042"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密码服务平台</w:t>
            </w:r>
          </w:p>
        </w:tc>
        <w:tc>
          <w:tcPr>
            <w:tcW w:w="4029"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（一）部署建设：</w:t>
            </w: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1、部署要求：1）支持在超融合一体机中部署；2）支持可视化界面快捷部署。</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2、分期建设：支持根据业务发展，按照产品功能进行分期平滑建设。</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936"/>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3、扩展要求：1）支持在有限的服务器资源情况下，支撑100+应用系统的展接入；2）支持在有限的服务器资源情况下，支撑全场景密码服务的运行，至少包括加解密服务 、签名验签服务、时间戳服务、协同签名服务等4种服务类型。</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029"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（二）密码资源池管理：</w:t>
            </w:r>
          </w:p>
        </w:tc>
      </w:tr>
      <w:tr>
        <w:tblPrEx>
          <w:tblW w:w="5436" w:type="pct"/>
          <w:tblInd w:w="0" w:type="dxa"/>
          <w:tblCellMar>
            <w:top w:w="0" w:type="dxa"/>
            <w:left w:w="108" w:type="dxa"/>
            <w:bottom w:w="0" w:type="dxa"/>
            <w:right w:w="108" w:type="dxa"/>
          </w:tblCellMar>
        </w:tblPrEx>
        <w:trPr>
          <w:trHeight w:val="2178"/>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1、设备管理：1）支持不同厂商、不同密码设备型号的统一调度、统一管理，包括设备的增删改查、健康检查等；2）设备类型包括各类密码设备。</w:t>
            </w:r>
          </w:p>
          <w:p>
            <w:pPr>
              <w:widowControl/>
              <w:rPr>
                <w:rFonts w:ascii="宋体" w:hAnsi="宋体" w:cs="宋体" w:hint="eastAsia"/>
                <w:color w:val="000000"/>
                <w:kern w:val="0"/>
                <w:szCs w:val="21"/>
              </w:rPr>
            </w:pPr>
            <w:r>
              <w:rPr>
                <w:rFonts w:ascii="宋体" w:hAnsi="宋体" w:cs="宋体" w:hint="eastAsia"/>
                <w:color w:val="000000"/>
                <w:kern w:val="0"/>
                <w:szCs w:val="21"/>
              </w:rPr>
              <w:t>资源池设备负载：支持资源池内设备负载均衡，包括硬负载与软负载两种方式，保证服务的高可用性，可实现弹性业务伸缩，确保流量均衡。</w:t>
            </w:r>
          </w:p>
        </w:tc>
        <w:tc>
          <w:tcPr>
            <w:tcW w:w="1042"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2、设备监控：支持设备的snmp监控与配置管理，包括CPU使用率、内存使用率、磁盘使用率等设备运行状态的监控。</w:t>
            </w:r>
          </w:p>
        </w:tc>
        <w:tc>
          <w:tcPr>
            <w:tcW w:w="1042"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3、资源池监控：支持对密码资源池的统一监控，包括资源池的请求量、成功率、错误率等统计分析。</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4、版本管理：支持管理密码设备服务的多个版本，支持扩充实例与版本作废。</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5、使用模式：支持密码资源使用模式配置，可根据业务需求，为指定应用分配指定的密码资源；可实现密码资源独享、共享服务。</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6、服务管理：支持密码资源的服务管理，包括服务扩容、上架、下架、启停、删除、修改、升级、回滚、克隆实例、移动实例、健康检查、修改端口等。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7、密码资源调度：支持对密码机等各类密码产品进行统一均衡调度管理，实现服务的动态调度与高可用性。</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8、接口规范：依据行业标准《GMT/ 0018密码设备应用接口规范》，提供标准化接口进行服务支撑，兼容不同厂商密码设备的管理与调用，满足业务系统平滑无改。</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029"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（三）密钥管理：</w:t>
            </w: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1、生命周期管理：支持密钥的全生命周期管理，包括但不限于密钥的产生、修改、共享、存储、启用、禁用、注销、轮转、归档、恢复、下载、统计等。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2、规范要求：随机数的生成方式采用物理噪声源生成随机数、支持生成符合国密规范《GM/T 0003.1-2012》的SM2非对称密钥、支持生成SM1、SM4对称密钥。</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3、密钥安全存储：支持对称密钥和非对称密钥基于多层密钥保护体系的安全存储，不同应用的密钥隔离保存，确保密钥权限范围可控，防止未授权应用获取密钥。</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4、密钥轮转：支持自定义密钥更新策略，包含自动更新及主动更新。提供密钥自动轮转能力，支持密钥轮转策略配置。</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5、密钥归档：支持通过界面方式对即将归档与已归档的密钥进行管理，并对归档的密钥提供长期的安全存储。</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6、密钥恢复：采用基于密钥加密的方式备份密钥和安全数据，采用基于证书签名的方式保障密钥完整性，备份记录有据可查。</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7、司法密钥恢复审核：可对密钥的申请人、密钥持有人、申请人联系方式、密钥标识等进行审核。</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8、密钥共享：支持将A业务系统的密钥授权给B业务系统使用。支持密钥授权策略的配置，包括密钥信息、密钥用途、授权周期等。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9、密钥统计：支持对称密钥与非对称密钥的统计分析，包括正常、禁用、注销等各个状态下密钥数量、算法等多维度统计。</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10、密钥安全隔离：不用应用之间的密钥未经授权，不能使用其他密钥进行密码运算。</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029"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（四）证书管理：</w:t>
            </w: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1、证书生命周期管理：支持应用证书的全生命周期管理，包括：证书申请、导入、更新、删除、下载、查询等生命周期管理。</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2、证书有效性验证：支持对证书的有效性验证，包括信任域（根证链）、CRL列表、有效期、证书状态等。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3、可信根证书链管理：支持对可信根证书链的管理，包括证书链的导入、删除、下载等操作，支持文件上传或base64编码格式证书链导入。</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4、CRL管理：支持对CRL进行管理，包括CRL的添加、删除、编辑、下载、在线与离线更新，支持更新策略的配置。</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5、多CA运营服务：支持接入多CA运营服务,支持证书服务代理接口。</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029"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（五）基础密码服务：</w:t>
            </w:r>
          </w:p>
        </w:tc>
      </w:tr>
      <w:tr>
        <w:tblPrEx>
          <w:tblW w:w="5436" w:type="pct"/>
          <w:tblInd w:w="0" w:type="dxa"/>
          <w:tblCellMar>
            <w:top w:w="0" w:type="dxa"/>
            <w:left w:w="108" w:type="dxa"/>
            <w:bottom w:w="0" w:type="dxa"/>
            <w:right w:w="108" w:type="dxa"/>
          </w:tblCellMar>
        </w:tblPrEx>
        <w:trPr>
          <w:trHeight w:val="490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1、加解密服务：1）支持对称与非对称算法的加解密。对称密钥支持符合国密规范《GM/T 0002-2012》的SM4算法加解密；</w:t>
            </w:r>
          </w:p>
          <w:p>
            <w:pPr>
              <w:widowControl/>
              <w:rPr>
                <w:rFonts w:ascii="宋体" w:hAnsi="宋体" w:cs="宋体" w:hint="eastAsia"/>
                <w:color w:val="000000"/>
                <w:kern w:val="0"/>
                <w:szCs w:val="21"/>
              </w:rPr>
            </w:pPr>
            <w:r>
              <w:rPr>
                <w:rFonts w:ascii="宋体" w:hAnsi="宋体" w:cs="宋体" w:hint="eastAsia"/>
                <w:color w:val="000000"/>
                <w:kern w:val="0"/>
                <w:szCs w:val="21"/>
              </w:rPr>
              <w:t>2）非对称密钥支持符合国密规范《GM/T 0003.4-2012》的SM2算法加解密；</w:t>
            </w:r>
          </w:p>
          <w:p>
            <w:pPr>
              <w:widowControl/>
              <w:rPr>
                <w:rFonts w:ascii="宋体" w:hAnsi="宋体" w:cs="宋体" w:hint="eastAsia"/>
                <w:color w:val="000000"/>
                <w:kern w:val="0"/>
                <w:szCs w:val="21"/>
              </w:rPr>
            </w:pPr>
            <w:r>
              <w:rPr>
                <w:rFonts w:ascii="宋体" w:hAnsi="宋体" w:cs="宋体" w:hint="eastAsia"/>
                <w:color w:val="000000"/>
                <w:kern w:val="0"/>
                <w:szCs w:val="21"/>
              </w:rPr>
              <w:t>3）支持基于SM4算法的MAC产生及验证；</w:t>
            </w:r>
          </w:p>
          <w:p>
            <w:pPr>
              <w:widowControl/>
              <w:rPr>
                <w:rFonts w:ascii="宋体" w:hAnsi="宋体" w:cs="宋体" w:hint="eastAsia"/>
                <w:color w:val="000000"/>
                <w:kern w:val="0"/>
                <w:szCs w:val="21"/>
              </w:rPr>
            </w:pPr>
            <w:r>
              <w:rPr>
                <w:rFonts w:ascii="宋体" w:hAnsi="宋体" w:cs="宋体" w:hint="eastAsia"/>
                <w:color w:val="000000"/>
                <w:kern w:val="0"/>
                <w:szCs w:val="21"/>
              </w:rPr>
              <w:t>4）支持ECB、CBC等多种加密模式，支持自定义IV偏移量，支持PKCS5Padding、PKCS7Padding方式自动填充补位。</w:t>
            </w:r>
          </w:p>
          <w:p>
            <w:pPr>
              <w:widowControl/>
              <w:rPr>
                <w:rFonts w:ascii="宋体" w:hAnsi="宋体" w:cs="宋体" w:hint="eastAsia"/>
                <w:color w:val="000000"/>
                <w:kern w:val="0"/>
                <w:szCs w:val="21"/>
              </w:rPr>
            </w:pPr>
            <w:r>
              <w:rPr>
                <w:rFonts w:ascii="宋体" w:hAnsi="宋体" w:cs="宋体" w:hint="eastAsia"/>
                <w:color w:val="000000"/>
                <w:kern w:val="0"/>
                <w:szCs w:val="21"/>
              </w:rPr>
              <w:t>5）支持FPE(保留格式)的加密解密，包括但不限于姓名、手机号、身份证号以及中英文数字组合类型的文本格式。</w:t>
            </w:r>
          </w:p>
          <w:p>
            <w:pPr>
              <w:widowControl/>
              <w:rPr>
                <w:rFonts w:ascii="宋体" w:hAnsi="宋体" w:cs="宋体" w:hint="eastAsia"/>
                <w:color w:val="000000"/>
                <w:kern w:val="0"/>
                <w:szCs w:val="21"/>
              </w:rPr>
            </w:pPr>
            <w:r>
              <w:rPr>
                <w:rFonts w:ascii="宋体" w:hAnsi="宋体" w:cs="宋体" w:hint="eastAsia"/>
                <w:color w:val="000000"/>
                <w:kern w:val="0"/>
                <w:szCs w:val="21"/>
              </w:rPr>
              <w:t>6）支持1G以上大文件的加解密。</w:t>
            </w:r>
          </w:p>
        </w:tc>
        <w:tc>
          <w:tcPr>
            <w:tcW w:w="1042"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2、签名验签服务：支持SM2算法签名验签、P1\P7签名、HMAC-SM3、数字信封等服务</w:t>
            </w:r>
          </w:p>
        </w:tc>
        <w:tc>
          <w:tcPr>
            <w:tcW w:w="1042"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3、身份认证服务：支持多因子认证、单点登录、多要素身份认证等；支持对身份认证接口进行统计，可通过可视化界面展示出身份认证接口调用情况。</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029"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（六）支持业务密码服务：</w:t>
            </w: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支持电子签章服务、手写签名服务、协同签名服务等业务服务。</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029"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（七）统一密码服务网关：</w:t>
            </w: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提供统一的密码服务访问入口，支持对访问入口的配置，如AK/SK认证方式、防重放攻击、限流熔断、http方法（GET、POST、PUT、DELETE、PATCH）。</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029"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（八）统一运维服务：</w:t>
            </w: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1、支持监控管理：包括密码服务监控、服务器监控、探针监控、组件监控、中间件监控、接口监控、监控数据图表可视化、运维日志等。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4085"/>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2、支持告警管理：1）告警模板：支持告警监控策略配置，支持自定义配置的预警方式和预警信息；内置各类告警策略模板，降低配置操作难度，和告警资源分组组合使用，提升配置效率。</w:t>
            </w:r>
          </w:p>
          <w:p>
            <w:pPr>
              <w:widowControl/>
              <w:rPr>
                <w:rFonts w:ascii="宋体" w:hAnsi="宋体" w:cs="宋体" w:hint="eastAsia"/>
                <w:color w:val="000000"/>
                <w:kern w:val="0"/>
                <w:szCs w:val="21"/>
              </w:rPr>
            </w:pPr>
            <w:r>
              <w:rPr>
                <w:rFonts w:ascii="宋体" w:hAnsi="宋体" w:cs="宋体" w:hint="eastAsia"/>
                <w:color w:val="000000"/>
                <w:kern w:val="0"/>
                <w:szCs w:val="21"/>
              </w:rPr>
              <w:t>2）告警方式：支持短信、邮箱、企业微信、钉钉等多种告警通知能力。</w:t>
            </w:r>
          </w:p>
          <w:p>
            <w:pPr>
              <w:widowControl/>
              <w:rPr>
                <w:rFonts w:ascii="宋体" w:hAnsi="宋体" w:cs="宋体" w:hint="eastAsia"/>
                <w:color w:val="000000"/>
                <w:kern w:val="0"/>
                <w:szCs w:val="21"/>
              </w:rPr>
            </w:pPr>
            <w:r>
              <w:rPr>
                <w:rFonts w:ascii="宋体" w:hAnsi="宋体" w:cs="宋体" w:hint="eastAsia"/>
                <w:color w:val="000000"/>
                <w:kern w:val="0"/>
                <w:szCs w:val="21"/>
              </w:rPr>
              <w:t>3）告警联系人分组：支持告警联系人分组配置。</w:t>
            </w:r>
          </w:p>
          <w:p>
            <w:pPr>
              <w:widowControl/>
              <w:rPr>
                <w:rFonts w:ascii="宋体" w:hAnsi="宋体" w:cs="宋体" w:hint="eastAsia"/>
                <w:color w:val="000000"/>
                <w:kern w:val="0"/>
                <w:szCs w:val="21"/>
              </w:rPr>
            </w:pPr>
            <w:r>
              <w:rPr>
                <w:rFonts w:ascii="宋体" w:hAnsi="宋体" w:cs="宋体" w:hint="eastAsia"/>
                <w:color w:val="000000"/>
                <w:kern w:val="0"/>
                <w:szCs w:val="21"/>
              </w:rPr>
              <w:t>4）告警统计分析：支持告警统计分析，支持按告警资源、不同时间维度年、月、日、自定义时间进行告警趋势查询。支持告警配置查询、告警历史查询。</w:t>
            </w:r>
          </w:p>
        </w:tc>
        <w:tc>
          <w:tcPr>
            <w:tcW w:w="1042"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4347"/>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运维巡检：1）全面巡检：支持一键巡检所有服务，包括各项密码服务、密码设备、接口、中间件的正常与异常状态，也可支持选择部分模块进行巡检。检测完成形成检测报告与记录，可追溯检测历史与报告分析等。检测结果分析与日志，可协助运维人员快速发现问题、排查问题、解决问题等。</w:t>
            </w:r>
          </w:p>
          <w:p>
            <w:pPr>
              <w:widowControl/>
              <w:rPr>
                <w:rFonts w:ascii="宋体" w:hAnsi="宋体" w:cs="宋体" w:hint="eastAsia"/>
                <w:color w:val="000000"/>
                <w:kern w:val="0"/>
                <w:szCs w:val="21"/>
              </w:rPr>
            </w:pPr>
            <w:r>
              <w:rPr>
                <w:rFonts w:ascii="宋体" w:hAnsi="宋体" w:cs="宋体" w:hint="eastAsia"/>
                <w:color w:val="000000"/>
                <w:kern w:val="0"/>
                <w:szCs w:val="21"/>
              </w:rPr>
              <w:t>2）中间件巡检：支持检测MySQL、Redis、Kafka等中间件的各类检测项检测，支持中间件检测的各项灵活配置，支持查看检测耗时与异常结果原因分析等。</w:t>
            </w:r>
          </w:p>
          <w:p>
            <w:pPr>
              <w:widowControl/>
              <w:rPr>
                <w:rFonts w:ascii="宋体" w:hAnsi="宋体" w:cs="宋体" w:hint="eastAsia"/>
                <w:color w:val="000000"/>
                <w:kern w:val="0"/>
                <w:szCs w:val="21"/>
              </w:rPr>
            </w:pPr>
            <w:r>
              <w:rPr>
                <w:rFonts w:ascii="宋体" w:hAnsi="宋体" w:cs="宋体" w:hint="eastAsia"/>
                <w:color w:val="000000"/>
                <w:kern w:val="0"/>
                <w:szCs w:val="21"/>
              </w:rPr>
              <w:t>3）密码服务巡检：支持检测鉴权服务、网关服务、密码机服务等各类服进行检测，支持服务检测的各项灵活配置，支持查看检测耗时与异常结果原因分析等。</w:t>
            </w:r>
          </w:p>
          <w:p>
            <w:pPr>
              <w:widowControl/>
              <w:rPr>
                <w:rFonts w:ascii="宋体" w:hAnsi="宋体" w:cs="宋体" w:hint="eastAsia"/>
                <w:color w:val="000000"/>
                <w:kern w:val="0"/>
                <w:szCs w:val="21"/>
              </w:rPr>
            </w:pPr>
            <w:r>
              <w:rPr>
                <w:rFonts w:ascii="宋体" w:hAnsi="宋体" w:cs="宋体" w:hint="eastAsia"/>
                <w:color w:val="000000"/>
                <w:kern w:val="0"/>
                <w:szCs w:val="21"/>
              </w:rPr>
              <w:t>4）密码功能巡检：支持主密钥管理服务、数据密钥管理服务等各类接口的密码服务进行检测，支持检测的各项灵活配置，支持查看检测耗时与异常结果原因分析等。</w:t>
            </w:r>
          </w:p>
          <w:p>
            <w:pPr>
              <w:widowControl/>
              <w:rPr>
                <w:rFonts w:ascii="宋体" w:hAnsi="宋体" w:cs="宋体" w:hint="eastAsia"/>
                <w:color w:val="000000"/>
                <w:kern w:val="0"/>
                <w:szCs w:val="21"/>
              </w:rPr>
            </w:pPr>
            <w:r>
              <w:rPr>
                <w:rFonts w:ascii="宋体" w:hAnsi="宋体" w:cs="宋体" w:hint="eastAsia"/>
                <w:color w:val="000000"/>
                <w:kern w:val="0"/>
                <w:szCs w:val="21"/>
              </w:rPr>
              <w:t>5）设备巡检：支持检测服务器与各类密码设备可用性，支持检测的各项的灵活配置，支持查看检测耗时与异常结果原因分析等。</w:t>
            </w:r>
          </w:p>
        </w:tc>
        <w:tc>
          <w:tcPr>
            <w:tcW w:w="1042"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2441"/>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4、支持配置管理：1）配置管理：支持配置读取、更新、取消及版本管理，支持权限管理，支持多环境、多数据中心配置管理，支持配置发布更新秒级生效。</w:t>
            </w:r>
          </w:p>
          <w:p>
            <w:pPr>
              <w:widowControl/>
              <w:rPr>
                <w:rFonts w:ascii="宋体" w:hAnsi="宋体" w:cs="宋体" w:hint="eastAsia"/>
                <w:color w:val="000000"/>
                <w:kern w:val="0"/>
                <w:szCs w:val="21"/>
              </w:rPr>
            </w:pPr>
            <w:r>
              <w:rPr>
                <w:rFonts w:ascii="宋体" w:hAnsi="宋体" w:cs="宋体" w:hint="eastAsia"/>
                <w:color w:val="000000"/>
                <w:kern w:val="0"/>
                <w:szCs w:val="21"/>
              </w:rPr>
              <w:t>2）配置回滚：支持配置回滚，如果发现已发布的配置有问题，可以将客户端读取到的配置回滚到上一个发布版本。</w:t>
            </w:r>
          </w:p>
        </w:tc>
        <w:tc>
          <w:tcPr>
            <w:tcW w:w="1042"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single" w:sz="4" w:space="0" w:color="auto"/>
              <w:left w:val="single" w:sz="4" w:space="0" w:color="auto"/>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029" w:type="pct"/>
            <w:gridSpan w:val="4"/>
            <w:tcBorders>
              <w:top w:val="single" w:sz="4" w:space="0" w:color="auto"/>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（九）日志审计管理：</w:t>
            </w:r>
          </w:p>
        </w:tc>
      </w:tr>
      <w:tr>
        <w:tblPrEx>
          <w:tblW w:w="5436" w:type="pct"/>
          <w:tblInd w:w="0" w:type="dxa"/>
          <w:tblCellMar>
            <w:top w:w="0" w:type="dxa"/>
            <w:left w:w="108" w:type="dxa"/>
            <w:bottom w:w="0" w:type="dxa"/>
            <w:right w:w="108" w:type="dxa"/>
          </w:tblCellMar>
        </w:tblPrEx>
        <w:trPr>
          <w:trHeight w:val="936"/>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1、日志采集：支持日志采集功能，包括登录登出日志，对系统的操作日志，对文件的创建、修改、删除、查询等。并记录操作时间、IP、操作账号、操作内容等信息。</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2、日志存储：对收集到的原始日志以及分析后的数据进行长期存储，以备安全事件调查、合规性检查等需要。</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3、日志审计：支持日志的审计与验签功能，对日志的存储和保护服务安全要求，防止日志被篡改或丢失。</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4029" w:type="pct"/>
            <w:gridSpan w:val="4"/>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（十）安全合规：</w:t>
            </w: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1、双因子登录认证：支持双因子登录认证，支持账号密码登录，支持UKEY认证登录。</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936"/>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2、登录安全配置：支持登录策略配置，包括登录最长空闲时间、最大会话数、登录方式等；支持用户登录时账号密码错误次数与锁定策略配置；支持密码安全性级别设置，包括密码长度、复杂度、有效期等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3、三权分立：支持管理租户支持管理员、操作员、审计员的角色定义，依据角色进行权限管理，满足三权分立原则。</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936"/>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4、合规性安全开关：支持密服产品自身敏感数据合规性保护，包括用户敏感信息、角色权限信息等数据进行加密保护，支持对操作日志等进行完整性保护；可根据项目需求，进行数据安全保护的灵活配置。</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5、密码密文存储：配置文件中间件密码密文存储，并支持密文修改。</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6</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智能密码钥匙</w:t>
            </w: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1、支持多种类型的密钥、支持多个密钥的安全存储，支持证书的导入、导出、安全存储</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2、产品兼容医院现有数字证书体系，可实现院内已签署文件和数据的电子签名及签名验证；</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3、支持高速对称算法，满足大数据实时高速加解密功能需求</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4、支持国密SKF、PKCS11和CSP接口之间的数据互通，即通过国密SKF接口生成的密钥和签发的证书，可以通过PKCS11、CSP接口进行读取和使用；</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5、支持SM2、SM3、SM4等国密算法；</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6、符合GM/T 0016-2012《智能密码钥匙密码应用接口规范》；</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7、防DPA/SPA攻击；</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8、适配统信、麒麟等多种信创环境；</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9、支持多密钥和多应用；</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10、可提供国密SKF接口；</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11、数据存储年限大于10年；</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12、擦写次数大于100000次；</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13、USBKey具备完善的PIN校验保护功能；</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14、SM2密钥对生成≤0.11秒；</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15、SM2数字签名和验证≥63次/秒；</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16、标准USB2.0设备，支持USB2.0\3.0接口（PC适用）；</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17、采用纯32位芯片，符合国家的安全和产业政策；</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18、USBKey可用空间≥160KB；</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19、具有满足FIPS 140-2标准和GM/T 005-2021《随机数检测规范》要求的真随机数发生器；</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b/>
                <w:bCs/>
                <w:color w:val="000000"/>
                <w:kern w:val="0"/>
                <w:szCs w:val="21"/>
              </w:rPr>
              <w:t>▲20、支持与统信桌面操作系统兼容（</w:t>
            </w:r>
            <w:r>
              <w:rPr>
                <w:rFonts w:ascii="宋体" w:hAnsi="宋体" w:cs="宋体" w:hint="eastAsia"/>
                <w:b/>
                <w:bCs/>
                <w:color w:val="0000FF"/>
                <w:kern w:val="0"/>
                <w:szCs w:val="21"/>
              </w:rPr>
              <w:t>投标时提供与统信桌面操作系统兼容性认证证书佐证</w:t>
            </w:r>
            <w:r>
              <w:rPr>
                <w:rFonts w:ascii="宋体" w:hAnsi="宋体" w:cs="宋体" w:hint="eastAsia"/>
                <w:b/>
                <w:bCs/>
                <w:color w:val="000000"/>
                <w:kern w:val="0"/>
                <w:szCs w:val="21"/>
              </w:rPr>
              <w:t>）；</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b/>
                <w:bCs/>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7</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SM2站点证书</w:t>
            </w: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1、提供域名身份的真实性验证，由第三方电子认证机构签发；</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2、数字证书应支持SM2等密码算法；</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3、证书格式严格遵循X.509标准；</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4、支持网站全站加密，建立客户端浏览器到网站服务器之间的“SSL加密通道”，实现加密传输；</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5、兼容主流国密浏览器，如奇安信、360、红莲花等。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8</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RSA2048站点证书</w:t>
            </w: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1、提供域名身份的真实性验证，由第三方电子认证机构签发；</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2、数字证书应支持2048等国际算法；</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3、证书格式严格遵循X.509标准；</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4、支持网站全站加密，建立客户端浏览器到网站服务器之间的“SSL加密通道”，实现加密传输；</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5、兼容主流浏览器，如IE浏览器、谷歌浏览器、360浏览器、火狐浏览器等。</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国密浏览器</w:t>
            </w: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1、支持国密算法SM2算法、SM4算法、杂凑算法SM3算法。</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2、支持USB Key国密证书采用标准SKF接口实现双向认证(强身份认证)。</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3、能够配合服务端的国密算法网关设备，实现国密算法的传输通道加密。</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接口集成对接服务</w:t>
            </w: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1、实现互联网医院系统的密码应用改造节点梳理，形成实际可行的密码应用实施方案。</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624"/>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2、负责统筹、推动、开展互联网医院系统的密码应用接口改造，通过集成密码服务实现密码应用合规性改造。</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3、在互联网医院系统的密评过程中，积极配合测评机构提供必要佐证材料。</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4、提供满足密评三级安全要求的密码安全管理制度咨询服务</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11</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个人数字证书</w:t>
            </w: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1、标识个人用户网络真实身份；</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2、数字证书应支持SM2椭圆曲线密码算法；</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3、证书格式标准遵循x．509v3标准；</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4、支持存放介质：智能USBKey；</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5、支持自定义证书扩展域管理。</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12</w:t>
            </w:r>
          </w:p>
        </w:tc>
        <w:tc>
          <w:tcPr>
            <w:tcW w:w="626" w:type="pct"/>
            <w:vMerge w:val="restart"/>
            <w:tcBorders>
              <w:top w:val="nil"/>
              <w:left w:val="single" w:sz="4" w:space="0" w:color="auto"/>
              <w:bottom w:val="single" w:sz="4" w:space="0" w:color="auto"/>
              <w:right w:val="single" w:sz="4" w:space="0" w:color="auto"/>
            </w:tcBorders>
            <w:noWrap w:val="0"/>
            <w:vAlign w:val="center"/>
          </w:tcPr>
          <w:p>
            <w:pPr>
              <w:widowControl/>
              <w:jc w:val="center"/>
              <w:rPr>
                <w:rFonts w:ascii="宋体" w:hAnsi="宋体" w:cs="宋体" w:hint="eastAsia"/>
                <w:color w:val="000000"/>
                <w:kern w:val="0"/>
                <w:szCs w:val="21"/>
              </w:rPr>
            </w:pPr>
            <w:r>
              <w:rPr>
                <w:rFonts w:ascii="宋体" w:hAnsi="宋体" w:cs="宋体" w:hint="eastAsia"/>
                <w:color w:val="000000"/>
                <w:kern w:val="0"/>
                <w:szCs w:val="21"/>
              </w:rPr>
              <w:t>手机端协同个人数字证书</w:t>
            </w: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1、标识个人用户网络真实身份；</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2、数字证书应支持SM2椭圆曲线密码算法；</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3、证书格式标准遵循x．509v3标准；</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4、密钥由移动终端和服务器协商产生，采用密钥分割技术保存密钥；</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r>
        <w:tblPrEx>
          <w:tblW w:w="5436" w:type="pct"/>
          <w:tblInd w:w="0" w:type="dxa"/>
          <w:tblCellMar>
            <w:top w:w="0" w:type="dxa"/>
            <w:left w:w="108" w:type="dxa"/>
            <w:bottom w:w="0" w:type="dxa"/>
            <w:right w:w="108" w:type="dxa"/>
          </w:tblCellMar>
        </w:tblPrEx>
        <w:trPr>
          <w:trHeight w:val="312"/>
        </w:trPr>
        <w:tc>
          <w:tcPr>
            <w:tcW w:w="344"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626" w:type="pct"/>
            <w:vMerge/>
            <w:tcBorders>
              <w:top w:val="nil"/>
              <w:left w:val="single" w:sz="4" w:space="0" w:color="auto"/>
              <w:bottom w:val="single" w:sz="4" w:space="0" w:color="auto"/>
              <w:right w:val="single" w:sz="4" w:space="0" w:color="auto"/>
            </w:tcBorders>
            <w:noWrap w:val="0"/>
            <w:vAlign w:val="center"/>
          </w:tcPr>
          <w:p>
            <w:pPr>
              <w:widowControl/>
              <w:jc w:val="left"/>
              <w:rPr>
                <w:rFonts w:ascii="宋体" w:hAnsi="宋体" w:cs="宋体" w:hint="eastAsia"/>
                <w:color w:val="000000"/>
                <w:kern w:val="0"/>
                <w:szCs w:val="21"/>
              </w:rPr>
            </w:pPr>
          </w:p>
        </w:tc>
        <w:tc>
          <w:tcPr>
            <w:tcW w:w="1984"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r>
              <w:rPr>
                <w:rFonts w:ascii="宋体" w:hAnsi="宋体" w:cs="宋体" w:hint="eastAsia"/>
                <w:color w:val="000000"/>
                <w:kern w:val="0"/>
                <w:szCs w:val="21"/>
              </w:rPr>
              <w:t>5、支持自定义证书扩展域管理。</w:t>
            </w:r>
          </w:p>
        </w:tc>
        <w:tc>
          <w:tcPr>
            <w:tcW w:w="1042"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57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c>
          <w:tcPr>
            <w:tcW w:w="431" w:type="pct"/>
            <w:tcBorders>
              <w:top w:val="nil"/>
              <w:left w:val="nil"/>
              <w:bottom w:val="single" w:sz="4" w:space="0" w:color="auto"/>
              <w:right w:val="single" w:sz="4" w:space="0" w:color="auto"/>
            </w:tcBorders>
            <w:noWrap w:val="0"/>
            <w:vAlign w:val="center"/>
          </w:tcPr>
          <w:p>
            <w:pPr>
              <w:widowControl/>
              <w:rPr>
                <w:rFonts w:ascii="宋体" w:hAnsi="宋体" w:cs="宋体" w:hint="eastAsia"/>
                <w:color w:val="000000"/>
                <w:kern w:val="0"/>
                <w:szCs w:val="21"/>
              </w:rPr>
            </w:pPr>
          </w:p>
        </w:tc>
      </w:tr>
    </w:tbl>
    <w:p/>
    <w:p>
      <w:pPr>
        <w:rPr>
          <w:szCs w:val="21"/>
        </w:rPr>
      </w:pPr>
      <w:bookmarkStart w:id="71" w:name="_Hlk72095977"/>
      <w:r>
        <w:rPr>
          <w:rFonts w:hint="eastAsia"/>
          <w:szCs w:val="21"/>
        </w:rPr>
        <w:t>证明资料【如有的话，提供的证明资料应统一编号（排序），格式自定】</w:t>
      </w:r>
      <w:bookmarkEnd w:id="71"/>
      <w:r>
        <w:rPr>
          <w:rFonts w:hint="eastAsia"/>
          <w:szCs w:val="21"/>
        </w:rPr>
        <w:t>：</w:t>
      </w:r>
    </w:p>
    <w:p>
      <w:pPr>
        <w:ind w:firstLine="420" w:firstLineChars="200"/>
        <w:rPr>
          <w:b/>
          <w:szCs w:val="21"/>
        </w:rPr>
      </w:pPr>
    </w:p>
    <w:p>
      <w:pPr>
        <w:ind w:firstLine="420" w:firstLineChars="200"/>
        <w:rPr>
          <w:b/>
          <w:szCs w:val="21"/>
        </w:rPr>
      </w:pPr>
    </w:p>
    <w:p>
      <w:pPr>
        <w:ind w:firstLine="420" w:firstLineChars="200"/>
        <w:rPr>
          <w:bCs/>
          <w:szCs w:val="21"/>
        </w:rPr>
      </w:pPr>
      <w:r>
        <w:rPr>
          <w:rFonts w:hint="eastAsia"/>
          <w:bCs/>
          <w:szCs w:val="21"/>
        </w:rPr>
        <w:t>《技术要求偏离表》编制指引：</w:t>
      </w:r>
    </w:p>
    <w:p>
      <w:pPr>
        <w:ind w:firstLine="420" w:firstLineChars="200"/>
        <w:rPr>
          <w:bCs/>
          <w:szCs w:val="21"/>
        </w:rPr>
      </w:pPr>
      <w:r>
        <w:rPr>
          <w:rFonts w:hint="eastAsia"/>
          <w:bCs/>
          <w:szCs w:val="21"/>
        </w:rPr>
        <w:t>1、技术要求偏离表的序号、货物名称、招标技术要求等栏目</w:t>
      </w:r>
      <w:bookmarkStart w:id="72" w:name="_Hlk72094407"/>
      <w:r>
        <w:rPr>
          <w:rFonts w:hint="eastAsia"/>
          <w:bCs/>
          <w:szCs w:val="21"/>
        </w:rPr>
        <w:t>对应“用户需求书”中的“技术要求”章节</w:t>
      </w:r>
      <w:bookmarkEnd w:id="72"/>
      <w:r>
        <w:rPr>
          <w:rFonts w:hint="eastAsia"/>
          <w:bCs/>
          <w:szCs w:val="21"/>
        </w:rPr>
        <w:t>相关内容。</w:t>
      </w:r>
    </w:p>
    <w:p>
      <w:pPr>
        <w:pStyle w:val="NormalWeb"/>
        <w:widowControl/>
        <w:ind w:firstLine="420" w:firstLineChars="200"/>
        <w:rPr>
          <w:bCs/>
          <w:color w:val="FF0000"/>
          <w:sz w:val="21"/>
          <w:szCs w:val="21"/>
        </w:rPr>
      </w:pPr>
      <w:r>
        <w:rPr>
          <w:bCs/>
          <w:sz w:val="21"/>
          <w:szCs w:val="21"/>
        </w:rPr>
        <w:t>2</w:t>
      </w:r>
      <w:r>
        <w:rPr>
          <w:rFonts w:hint="eastAsia"/>
          <w:bCs/>
          <w:sz w:val="21"/>
          <w:szCs w:val="21"/>
        </w:rPr>
        <w:t>、“投标技术响应”一栏必须一一对照“招标技术要求”，详细填写投标人自身投标货物的具体参数，而不能不合理照搬照抄招标文件的技术要求，以体现具体响应情况。</w:t>
      </w:r>
      <w:r>
        <w:rPr>
          <w:rFonts w:hint="eastAsia"/>
          <w:bCs/>
          <w:color w:val="FF0000"/>
          <w:sz w:val="21"/>
          <w:szCs w:val="21"/>
        </w:rPr>
        <w:t>“投标技术响应”必须与所投产品客观实际保持一致，响应不实且情节严重的，经查实，将依法记入供应商诚信档案或受到行政处罚。</w:t>
      </w:r>
    </w:p>
    <w:p>
      <w:pPr>
        <w:ind w:firstLine="420" w:firstLineChars="200"/>
        <w:rPr>
          <w:bCs/>
          <w:color w:val="FF0000"/>
          <w:szCs w:val="21"/>
        </w:rPr>
      </w:pPr>
      <w:r>
        <w:rPr>
          <w:bCs/>
          <w:szCs w:val="21"/>
        </w:rPr>
        <w:t>3</w:t>
      </w:r>
      <w:r>
        <w:rPr>
          <w:rFonts w:hint="eastAsia"/>
          <w:bCs/>
          <w:szCs w:val="21"/>
        </w:rPr>
        <w:t>、</w:t>
      </w:r>
      <w:bookmarkStart w:id="73" w:name="_Hlk72158270"/>
      <w:r>
        <w:rPr>
          <w:rFonts w:hint="eastAsia"/>
          <w:bCs/>
          <w:szCs w:val="21"/>
        </w:rPr>
        <w:t>“偏离情况”</w:t>
      </w:r>
      <w:bookmarkEnd w:id="73"/>
      <w:r>
        <w:rPr>
          <w:rFonts w:hint="eastAsia"/>
          <w:bCs/>
          <w:szCs w:val="21"/>
        </w:rPr>
        <w:t>一栏填写如实填写“正偏离”、“负偏离”或“无偏离”，其中：</w:t>
      </w:r>
      <w:bookmarkStart w:id="74" w:name="_Hlk72093866"/>
      <w:r>
        <w:rPr>
          <w:rFonts w:hint="eastAsia"/>
          <w:bCs/>
          <w:szCs w:val="21"/>
        </w:rPr>
        <w:t>“正偏离”表示“投标响应优于招标技术要求”，“负偏离”表示“投标响应不满足招标技术要求”，“无偏离”表示“投标响应与招标技术要求一致”</w:t>
      </w:r>
      <w:bookmarkEnd w:id="74"/>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pPr>
        <w:ind w:firstLine="420" w:firstLineChars="200"/>
        <w:rPr>
          <w:bCs/>
          <w:szCs w:val="21"/>
        </w:rPr>
      </w:pPr>
      <w:r>
        <w:rPr>
          <w:bCs/>
          <w:szCs w:val="21"/>
        </w:rPr>
        <w:t>4</w:t>
      </w:r>
      <w:r>
        <w:rPr>
          <w:rFonts w:hint="eastAsia"/>
          <w:bCs/>
          <w:szCs w:val="21"/>
        </w:rPr>
        <w:t>、未要求提供证明资料的招标技术要求，可以不提供证明资料（如实响应即可）。</w:t>
      </w:r>
    </w:p>
    <w:p>
      <w:pPr>
        <w:ind w:firstLine="420" w:firstLineChars="200"/>
        <w:rPr>
          <w:bCs/>
          <w:szCs w:val="21"/>
        </w:rPr>
      </w:pPr>
      <w:r>
        <w:rPr>
          <w:rFonts w:hint="eastAsia"/>
          <w:bCs/>
          <w:szCs w:val="21"/>
        </w:rPr>
        <w:t>5、</w:t>
      </w:r>
      <w:bookmarkStart w:id="75" w:name="_Hlk72096106"/>
      <w:r>
        <w:rPr>
          <w:rFonts w:hint="eastAsia"/>
          <w:bCs/>
          <w:szCs w:val="21"/>
        </w:rPr>
        <w:t>证明资料条款响应要求</w:t>
      </w:r>
      <w:bookmarkEnd w:id="75"/>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6"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7" w:name="_Hlk73558164"/>
      <w:r>
        <w:rPr>
          <w:rFonts w:hint="eastAsia"/>
          <w:bCs/>
          <w:szCs w:val="21"/>
        </w:rPr>
        <w:t>且投标人在“偏离情况”一栏响应为“正偏离”或“无偏离”的，经评审委员会认定，将判定为负偏离。</w:t>
      </w:r>
      <w:bookmarkEnd w:id="76"/>
      <w:bookmarkEnd w:id="77"/>
    </w:p>
    <w:p>
      <w:pPr>
        <w:ind w:firstLine="420" w:firstLineChars="200"/>
        <w:rPr>
          <w:bCs/>
          <w:szCs w:val="21"/>
        </w:rPr>
      </w:pPr>
      <w:r>
        <w:rPr>
          <w:rFonts w:hint="eastAsia"/>
          <w:bCs/>
          <w:szCs w:val="21"/>
        </w:rPr>
        <w:t>6、</w:t>
      </w:r>
      <w:bookmarkStart w:id="78" w:name="_Hlk72096137"/>
      <w:r>
        <w:rPr>
          <w:rFonts w:hint="eastAsia"/>
          <w:bCs/>
          <w:szCs w:val="21"/>
        </w:rPr>
        <w:t>表后“证明资料”部分内容的编制</w:t>
      </w:r>
      <w:bookmarkEnd w:id="78"/>
      <w:r>
        <w:rPr>
          <w:rFonts w:hint="eastAsia"/>
          <w:bCs/>
          <w:szCs w:val="21"/>
        </w:rPr>
        <w:t>：提供的所有证明资料应当统一编号（排序），且证明资料的编号（顺序）、数量和名称（形式）均应与“说明”一栏所填内容保持一致（一一对应），以便评审委员会查看。</w:t>
      </w:r>
      <w:bookmarkStart w:id="79" w:name="_Hlk73558180"/>
      <w:r>
        <w:rPr>
          <w:rFonts w:hint="eastAsia"/>
          <w:bCs/>
          <w:szCs w:val="21"/>
        </w:rPr>
        <w:t>未按照招标文件要求在表后放置证明材料的供应商将承担不利后果，经评审委员会认定，相关技术要求将判定为负偏离。</w:t>
      </w:r>
      <w:bookmarkEnd w:id="79"/>
    </w:p>
    <w:p>
      <w:pPr>
        <w:ind w:firstLine="420" w:firstLineChars="200"/>
        <w:rPr>
          <w:bCs/>
          <w:szCs w:val="21"/>
        </w:rPr>
      </w:pPr>
      <w:r>
        <w:rPr>
          <w:rFonts w:hint="eastAsia"/>
          <w:bCs/>
          <w:szCs w:val="21"/>
        </w:rPr>
        <w:t>7、</w:t>
      </w:r>
      <w:bookmarkStart w:id="80" w:name="_Hlk72096176"/>
      <w:r>
        <w:rPr>
          <w:rFonts w:hint="eastAsia"/>
          <w:bCs/>
          <w:szCs w:val="21"/>
        </w:rPr>
        <w:t>证明资料的形式及其它具体要求</w:t>
      </w:r>
      <w:bookmarkEnd w:id="80"/>
      <w:r>
        <w:rPr>
          <w:rFonts w:hint="eastAsia"/>
          <w:bCs/>
          <w:szCs w:val="21"/>
        </w:rPr>
        <w:t>：</w:t>
      </w:r>
    </w:p>
    <w:p>
      <w:pPr>
        <w:ind w:firstLine="420" w:firstLineChars="200"/>
        <w:rPr>
          <w:bCs/>
          <w:szCs w:val="21"/>
        </w:rPr>
      </w:pPr>
      <w:r>
        <w:rPr>
          <w:rFonts w:hint="eastAsia"/>
          <w:bCs/>
          <w:szCs w:val="21"/>
        </w:rPr>
        <w:t>（1）除照片、图片（截图）及不需加盖公章的文字说明（技术说明）外，其它证明资料均要求为原件扫描件；</w:t>
      </w:r>
    </w:p>
    <w:p>
      <w:pPr>
        <w:ind w:firstLine="420" w:firstLineChars="200"/>
        <w:rPr>
          <w:bCs/>
          <w:szCs w:val="21"/>
        </w:rPr>
      </w:pPr>
      <w:r>
        <w:rPr>
          <w:rFonts w:hint="eastAsia"/>
          <w:bCs/>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Cs/>
          <w:szCs w:val="21"/>
        </w:rPr>
      </w:pPr>
      <w:r>
        <w:rPr>
          <w:rFonts w:hint="eastAsia"/>
          <w:bCs/>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Cs/>
          <w:szCs w:val="21"/>
        </w:rPr>
      </w:pPr>
      <w:r>
        <w:rPr>
          <w:rFonts w:hint="eastAsia"/>
          <w:bCs/>
          <w:szCs w:val="21"/>
        </w:rPr>
        <w:t>其它证明资料的形式要求参照以上要求执行；</w:t>
      </w:r>
    </w:p>
    <w:p>
      <w:pPr>
        <w:ind w:firstLine="420" w:firstLineChars="200"/>
        <w:rPr>
          <w:bCs/>
          <w:szCs w:val="21"/>
        </w:rPr>
      </w:pPr>
      <w:r>
        <w:rPr>
          <w:rFonts w:hint="eastAsia"/>
          <w:bCs/>
          <w:szCs w:val="21"/>
        </w:rPr>
        <w:t>（4）证明资料均要求原件备查。</w:t>
      </w:r>
    </w:p>
    <w:p>
      <w:pPr>
        <w:ind w:firstLine="420" w:firstLineChars="200"/>
        <w:rPr>
          <w:bCs/>
          <w:szCs w:val="21"/>
        </w:rPr>
      </w:pPr>
      <w:r>
        <w:rPr>
          <w:rFonts w:hint="eastAsia"/>
          <w:bCs/>
          <w:szCs w:val="21"/>
        </w:rPr>
        <w:t>8、其它注意事项：</w:t>
      </w:r>
    </w:p>
    <w:p>
      <w:pPr>
        <w:ind w:firstLine="420" w:firstLineChars="200"/>
        <w:rPr>
          <w:bCs/>
          <w:szCs w:val="21"/>
        </w:rPr>
      </w:pPr>
      <w:r>
        <w:rPr>
          <w:rFonts w:hint="eastAsia"/>
          <w:bCs/>
          <w:szCs w:val="21"/>
        </w:rPr>
        <w:t>（1）评审委员会有权对投标人的响应情况作出判断（评审结论）；</w:t>
      </w:r>
    </w:p>
    <w:p>
      <w:pPr>
        <w:ind w:firstLine="420" w:firstLineChars="200"/>
        <w:rPr>
          <w:bCs/>
          <w:szCs w:val="21"/>
        </w:rPr>
      </w:pPr>
      <w:r>
        <w:rPr>
          <w:rFonts w:hint="eastAsia"/>
          <w:bCs/>
          <w:szCs w:val="21"/>
        </w:rPr>
        <w:t>（2）</w:t>
      </w:r>
      <w:bookmarkStart w:id="81"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1"/>
    </w:p>
    <w:p>
      <w:pPr>
        <w:ind w:firstLine="420" w:firstLineChars="200"/>
      </w:pPr>
    </w:p>
    <w:p>
      <w:pPr>
        <w:rPr>
          <w:b/>
          <w:bCs/>
          <w:sz w:val="24"/>
        </w:rPr>
      </w:pPr>
    </w:p>
    <w:p>
      <w:pPr>
        <w:pStyle w:val="Heading3"/>
        <w:jc w:val="center"/>
        <w:rPr>
          <w:rFonts w:ascii="黑体" w:eastAsia="黑体" w:hint="eastAsia"/>
          <w:sz w:val="24"/>
          <w:szCs w:val="24"/>
        </w:rPr>
      </w:pPr>
      <w:r>
        <w:rPr>
          <w:rFonts w:ascii="黑体" w:eastAsia="黑体" w:hint="eastAsia"/>
          <w:sz w:val="24"/>
          <w:szCs w:val="24"/>
        </w:rPr>
        <w:t>六、拟安排的项目主要团队成员（主要技术人员）情况（格式自定）</w:t>
      </w:r>
    </w:p>
    <w:p>
      <w:pPr>
        <w:pStyle w:val="NormalIndent"/>
        <w:ind w:firstLine="0"/>
        <w:rPr>
          <w:rFonts w:ascii="宋体" w:hAnsi="宋体" w:cs="宋体" w:hint="eastAsia"/>
          <w:color w:val="FF0000"/>
          <w:sz w:val="24"/>
        </w:rPr>
      </w:pPr>
      <w:r>
        <w:rPr>
          <w:rFonts w:ascii="宋体" w:hAnsi="宋体" w:cs="宋体" w:hint="eastAsia"/>
          <w:color w:val="FF0000"/>
          <w:sz w:val="24"/>
        </w:rPr>
        <w:t>（特别提示：投标人须按本招标文件评标信息中这一评审因素要求，提供证明资料）</w:t>
      </w:r>
    </w:p>
    <w:p>
      <w:pPr>
        <w:pStyle w:val="NormalIndent"/>
        <w:ind w:firstLine="0"/>
        <w:rPr>
          <w:rFonts w:ascii="宋体" w:hAnsi="宋体" w:cs="宋体" w:hint="eastAsia"/>
          <w:sz w:val="24"/>
        </w:rPr>
      </w:pPr>
    </w:p>
    <w:p>
      <w:pPr>
        <w:pStyle w:val="Heading3"/>
        <w:jc w:val="center"/>
        <w:rPr>
          <w:rFonts w:ascii="黑体" w:eastAsia="黑体" w:hint="eastAsia"/>
          <w:sz w:val="24"/>
          <w:szCs w:val="24"/>
        </w:rPr>
      </w:pPr>
      <w:r>
        <w:rPr>
          <w:rFonts w:ascii="黑体" w:eastAsia="黑体" w:hint="eastAsia"/>
          <w:sz w:val="24"/>
          <w:szCs w:val="24"/>
        </w:rPr>
        <w:t>七、项目实施方案（格式自定）</w:t>
      </w:r>
    </w:p>
    <w:p>
      <w:pPr>
        <w:pStyle w:val="NormalIndent"/>
        <w:ind w:firstLine="0"/>
        <w:rPr>
          <w:rFonts w:ascii="宋体" w:hAnsi="宋体" w:cs="宋体" w:hint="eastAsia"/>
          <w:color w:val="FF0000"/>
          <w:sz w:val="24"/>
        </w:rPr>
      </w:pPr>
      <w:r>
        <w:rPr>
          <w:rFonts w:ascii="宋体" w:hAnsi="宋体" w:cs="宋体" w:hint="eastAsia"/>
          <w:color w:val="FF0000"/>
          <w:sz w:val="24"/>
        </w:rPr>
        <w:t>（特别提示：投标人须按本招标文件评标信息中这一评审因素要求，提供证明资料）</w:t>
      </w: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八</w:t>
      </w:r>
      <w:r>
        <w:rPr>
          <w:rFonts w:ascii="黑体" w:eastAsia="黑体" w:hint="eastAsia"/>
          <w:b w:val="0"/>
          <w:bCs w:val="0"/>
          <w:sz w:val="24"/>
          <w:szCs w:val="20"/>
        </w:rPr>
        <w:t>、</w:t>
      </w:r>
      <w:bookmarkStart w:id="82" w:name="_Hlk72062872"/>
      <w:r>
        <w:rPr>
          <w:rFonts w:ascii="黑体" w:eastAsia="黑体" w:hint="eastAsia"/>
          <w:b w:val="0"/>
          <w:bCs w:val="0"/>
          <w:sz w:val="24"/>
          <w:szCs w:val="20"/>
        </w:rPr>
        <w:t>投标人认为需要加以说明的其他内容</w:t>
      </w:r>
      <w:bookmarkEnd w:id="82"/>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r>
        <w:rPr>
          <w:rFonts w:ascii="宋体" w:hAnsi="宋体" w:eastAsiaTheme="minorEastAsia"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jc w:val="center"/>
        <w:outlineLvl w:val="9"/>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w:t>
      </w:r>
      <w:r>
        <w:rPr>
          <w:rFonts w:ascii="宋体" w:hAnsi="宋体" w:hint="eastAsia"/>
          <w:szCs w:val="21"/>
          <w:lang w:eastAsia="zh-CN"/>
        </w:rPr>
        <w:t>深圳交易集团有限公司宝安分公司</w:t>
      </w:r>
      <w:r>
        <w:rPr>
          <w:rFonts w:ascii="宋体" w:hAnsi="宋体" w:hint="eastAsia"/>
          <w:szCs w:val="21"/>
        </w:rPr>
        <w:t>）*</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4"/>
        </w:numPr>
        <w:spacing w:before="120" w:beforeLines="50" w:after="120" w:afterLines="50"/>
        <w:ind w:left="562" w:hanging="562"/>
        <w:rPr>
          <w:sz w:val="28"/>
          <w:szCs w:val="28"/>
        </w:rPr>
      </w:pPr>
      <w:bookmarkStart w:id="83" w:name="_Hlk72399513"/>
      <w:r>
        <w:rPr>
          <w:rFonts w:hint="eastAsia"/>
          <w:sz w:val="28"/>
          <w:szCs w:val="28"/>
        </w:rPr>
        <w:t>总则</w:t>
      </w:r>
      <w:bookmarkEnd w:id="83"/>
    </w:p>
    <w:p>
      <w:pPr>
        <w:rPr>
          <w:rFonts w:ascii="黑体" w:eastAsia="黑体" w:hAnsi="宋体"/>
          <w:sz w:val="24"/>
        </w:rPr>
      </w:pPr>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4" w:name="_Hlk72399729"/>
      <w:r>
        <w:rPr>
          <w:rFonts w:ascii="宋体" w:hAnsi="宋体" w:hint="eastAsia"/>
          <w:szCs w:val="21"/>
        </w:rPr>
        <w:t>如有需要，政府集中采购机构可以对通用条款的内容进行补充。</w:t>
      </w:r>
      <w:bookmarkEnd w:id="84"/>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85" w:name="_Hlk72398581"/>
      <w:r>
        <w:rPr>
          <w:rFonts w:ascii="宋体" w:hAnsi="宋体" w:hint="eastAsia"/>
          <w:szCs w:val="21"/>
        </w:rPr>
        <w:t>；</w:t>
      </w:r>
      <w:bookmarkEnd w:id="85"/>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6"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7"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7"/>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86"/>
    </w:p>
    <w:p>
      <w:pPr>
        <w:ind w:firstLine="412" w:firstLineChars="196"/>
        <w:rPr>
          <w:rFonts w:ascii="宋体" w:hAnsi="宋体"/>
        </w:rPr>
      </w:pPr>
    </w:p>
    <w:p>
      <w:pPr>
        <w:pStyle w:val="Heading2"/>
        <w:numPr>
          <w:ilvl w:val="0"/>
          <w:numId w:val="14"/>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8"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8"/>
    </w:p>
    <w:p>
      <w:pPr>
        <w:rPr>
          <w:rFonts w:ascii="宋体" w:hAnsi="宋体"/>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89"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89"/>
    </w:p>
    <w:p>
      <w:pPr>
        <w:rPr>
          <w:rFonts w:ascii="黑体" w:eastAsia="黑体" w:hAnsi="宋体"/>
          <w:sz w:val="24"/>
        </w:rPr>
      </w:pPr>
      <w:r>
        <w:rPr>
          <w:rFonts w:ascii="黑体" w:eastAsia="黑体" w:hAnsi="宋体" w:hint="eastAsia"/>
          <w:sz w:val="24"/>
        </w:rPr>
        <w:t>15．</w:t>
      </w:r>
      <w:bookmarkStart w:id="90"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90"/>
    </w:p>
    <w:p>
      <w:pPr>
        <w:rPr>
          <w:rFonts w:ascii="黑体" w:eastAsia="黑体" w:hAnsi="宋体"/>
          <w:sz w:val="24"/>
        </w:rPr>
      </w:pPr>
      <w:r>
        <w:rPr>
          <w:rFonts w:ascii="黑体" w:eastAsia="黑体" w:hAnsi="宋体" w:hint="eastAsia"/>
          <w:sz w:val="24"/>
        </w:rPr>
        <w:t>18．</w:t>
      </w:r>
      <w:bookmarkStart w:id="91"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91"/>
    </w:p>
    <w:p>
      <w:pPr>
        <w:rPr>
          <w:rFonts w:ascii="黑体" w:eastAsia="黑体" w:hAnsi="宋体"/>
          <w:sz w:val="24"/>
        </w:rPr>
      </w:pPr>
      <w:r>
        <w:rPr>
          <w:rFonts w:ascii="黑体" w:eastAsia="黑体" w:hAnsi="宋体" w:hint="eastAsia"/>
          <w:sz w:val="24"/>
        </w:rPr>
        <w:t>19．</w:t>
      </w:r>
      <w:bookmarkStart w:id="92"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3"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93"/>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92"/>
    </w:p>
    <w:p>
      <w:pPr>
        <w:ind w:firstLine="412" w:firstLineChars="196"/>
        <w:rPr>
          <w:rFonts w:ascii="宋体" w:hAnsi="宋体"/>
          <w:szCs w:val="21"/>
        </w:rPr>
      </w:pPr>
      <w:bookmarkStart w:id="94"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94"/>
    </w:p>
    <w:p>
      <w:pPr>
        <w:rPr>
          <w:rFonts w:ascii="黑体" w:eastAsia="黑体" w:hAnsi="宋体"/>
          <w:sz w:val="24"/>
        </w:rPr>
      </w:pPr>
      <w:r>
        <w:rPr>
          <w:rFonts w:ascii="黑体" w:eastAsia="黑体" w:hAnsi="宋体" w:hint="eastAsia"/>
          <w:sz w:val="24"/>
        </w:rPr>
        <w:t>21．</w:t>
      </w:r>
      <w:bookmarkStart w:id="95"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95"/>
    </w:p>
    <w:p>
      <w:pPr>
        <w:rPr>
          <w:rFonts w:ascii="黑体" w:eastAsia="黑体" w:hAnsi="宋体"/>
          <w:sz w:val="24"/>
        </w:rPr>
      </w:pPr>
      <w:r>
        <w:rPr>
          <w:rFonts w:ascii="黑体" w:eastAsia="黑体" w:hAnsi="宋体" w:hint="eastAsia"/>
          <w:sz w:val="24"/>
        </w:rPr>
        <w:t>23．</w:t>
      </w:r>
      <w:bookmarkStart w:id="96"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96"/>
    </w:p>
    <w:p>
      <w:pPr>
        <w:ind w:firstLine="412" w:firstLineChars="196"/>
        <w:rPr>
          <w:rFonts w:ascii="宋体" w:hAnsi="宋体"/>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97"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13"/>
                    <a:stretch>
                      <a:fillRect/>
                    </a:stretch>
                  </pic:blipFill>
                  <pic:spPr>
                    <a:xfrm>
                      <a:off x="0" y="0"/>
                      <a:ext cx="5279390" cy="2727325"/>
                    </a:xfrm>
                    <a:prstGeom prst="rect">
                      <a:avLst/>
                    </a:prstGeom>
                    <a:noFill/>
                    <a:ln>
                      <a:noFill/>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bookmarkEnd w:id="97"/>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8"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98"/>
    </w:p>
    <w:p>
      <w:pPr>
        <w:pStyle w:val="Heading2"/>
        <w:numPr>
          <w:ilvl w:val="0"/>
          <w:numId w:val="14"/>
        </w:numPr>
        <w:spacing w:before="120" w:beforeLines="50" w:after="120"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99"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99"/>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0"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0"/>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1" w:name="_Toc73517673"/>
      <w:bookmarkStart w:id="102" w:name="_Toc73521581"/>
      <w:bookmarkStart w:id="103" w:name="_Toc100052400"/>
      <w:bookmarkStart w:id="104" w:name="_Toc73521669"/>
      <w:bookmarkStart w:id="105" w:name="_Toc73518151"/>
      <w:r>
        <w:rPr>
          <w:rFonts w:ascii="黑体" w:eastAsia="黑体" w:hAnsi="宋体" w:hint="eastAsia"/>
          <w:sz w:val="24"/>
        </w:rPr>
        <w:t>34．错误的修正</w:t>
      </w:r>
      <w:bookmarkEnd w:id="101"/>
      <w:bookmarkEnd w:id="102"/>
      <w:bookmarkEnd w:id="103"/>
      <w:bookmarkEnd w:id="104"/>
      <w:bookmarkEnd w:id="105"/>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106"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6"/>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0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0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07"/>
      <w:bookmarkEnd w:id="108"/>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09"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09"/>
      <w:bookmarkStart w:id="110"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110"/>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1"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1"/>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2" w:name="_Hlk71407340"/>
      <w:r>
        <w:rPr>
          <w:rFonts w:ascii="宋体" w:hAnsi="宋体" w:hint="eastAsia"/>
          <w:szCs w:val="21"/>
        </w:rPr>
        <w:t>41.3因质疑投诉或其它原因导致项目结果变更或采购终止的，政府集中采购机构有权吊销中标通知书。</w:t>
      </w:r>
      <w:bookmarkEnd w:id="112"/>
    </w:p>
    <w:p>
      <w:pPr>
        <w:ind w:firstLine="412" w:firstLineChars="196"/>
        <w:rPr>
          <w:rFonts w:ascii="宋体" w:hAnsi="宋体"/>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4"/>
        </w:numPr>
        <w:spacing w:before="120" w:beforeLines="50" w:after="120" w:afterLines="50"/>
        <w:ind w:left="562" w:hanging="562"/>
        <w:rPr>
          <w:sz w:val="28"/>
          <w:szCs w:val="28"/>
        </w:rPr>
      </w:pPr>
      <w:bookmarkStart w:id="113" w:name="_Hlk72439043"/>
      <w:r>
        <w:rPr>
          <w:rFonts w:hint="eastAsia"/>
          <w:sz w:val="28"/>
          <w:szCs w:val="28"/>
        </w:rPr>
        <w:t>合同的授予与备案</w:t>
      </w:r>
      <w:bookmarkEnd w:id="113"/>
    </w:p>
    <w:p>
      <w:pPr>
        <w:rPr>
          <w:rFonts w:ascii="黑体" w:eastAsia="黑体" w:hAnsi="宋体"/>
          <w:sz w:val="24"/>
        </w:rPr>
      </w:pPr>
      <w:bookmarkStart w:id="114" w:name="_Toc73518157"/>
      <w:bookmarkStart w:id="115" w:name="_Toc73521674"/>
      <w:bookmarkStart w:id="116" w:name="_Toc73521586"/>
      <w:bookmarkStart w:id="117" w:name="_Toc73517679"/>
      <w:bookmarkStart w:id="118" w:name="_Toc100052408"/>
      <w:bookmarkStart w:id="119" w:name="_Hlk72439088"/>
      <w:r>
        <w:rPr>
          <w:rFonts w:ascii="黑体" w:eastAsia="黑体" w:hAnsi="宋体" w:hint="eastAsia"/>
          <w:sz w:val="24"/>
        </w:rPr>
        <w:t>43．合同授予标准</w:t>
      </w:r>
      <w:bookmarkEnd w:id="114"/>
      <w:bookmarkEnd w:id="115"/>
      <w:bookmarkEnd w:id="116"/>
      <w:bookmarkEnd w:id="117"/>
      <w:bookmarkEnd w:id="118"/>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0" w:name="_Toc73521587"/>
      <w:bookmarkStart w:id="121" w:name="_Toc73518158"/>
      <w:bookmarkStart w:id="122" w:name="_Toc73521675"/>
      <w:bookmarkStart w:id="123" w:name="_Toc73517680"/>
      <w:bookmarkStart w:id="124" w:name="_Toc100052409"/>
      <w:r>
        <w:rPr>
          <w:rFonts w:ascii="黑体" w:eastAsia="黑体" w:hAnsi="宋体" w:hint="eastAsia"/>
          <w:sz w:val="24"/>
        </w:rPr>
        <w:t>44．</w:t>
      </w:r>
      <w:bookmarkEnd w:id="120"/>
      <w:bookmarkEnd w:id="121"/>
      <w:bookmarkEnd w:id="122"/>
      <w:bookmarkEnd w:id="123"/>
      <w:bookmarkEnd w:id="124"/>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25" w:name="_Toc73517682"/>
      <w:bookmarkStart w:id="126" w:name="_Toc73521677"/>
      <w:bookmarkStart w:id="127" w:name="_Toc100052410"/>
      <w:bookmarkStart w:id="128" w:name="_Toc73521589"/>
      <w:bookmarkStart w:id="129" w:name="_Toc73518160"/>
      <w:r>
        <w:rPr>
          <w:rFonts w:ascii="黑体" w:eastAsia="黑体" w:hAnsi="宋体" w:hint="eastAsia"/>
          <w:sz w:val="24"/>
        </w:rPr>
        <w:t>45．合同的签订</w:t>
      </w:r>
      <w:bookmarkEnd w:id="125"/>
      <w:bookmarkEnd w:id="126"/>
      <w:bookmarkEnd w:id="127"/>
      <w:bookmarkEnd w:id="128"/>
      <w:bookmarkEnd w:id="129"/>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0" w:name="_Toc73517683"/>
      <w:bookmarkStart w:id="131" w:name="_Toc73518161"/>
      <w:bookmarkStart w:id="132" w:name="_Toc73521678"/>
      <w:bookmarkStart w:id="133" w:name="_Toc100052411"/>
      <w:bookmarkStart w:id="134" w:name="_Toc73521590"/>
      <w:r>
        <w:rPr>
          <w:rFonts w:ascii="黑体" w:eastAsia="黑体" w:hAnsi="宋体" w:hint="eastAsia"/>
          <w:sz w:val="24"/>
        </w:rPr>
        <w:t>46．履约担保</w:t>
      </w:r>
      <w:bookmarkEnd w:id="130"/>
      <w:bookmarkEnd w:id="131"/>
      <w:bookmarkEnd w:id="132"/>
      <w:bookmarkEnd w:id="133"/>
      <w:bookmarkEnd w:id="134"/>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35" w:name="_Hlk72440769"/>
      <w:r>
        <w:rPr>
          <w:rFonts w:ascii="宋体" w:hAnsi="宋体" w:hint="eastAsia"/>
          <w:szCs w:val="21"/>
        </w:rPr>
        <w:t>政府集中采购机构或采购人不予退还其交纳的谈判保证金，情节严重的，并由主管部门</w:t>
      </w:r>
      <w:bookmarkEnd w:id="135"/>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119"/>
    </w:p>
    <w:p>
      <w:pPr>
        <w:pStyle w:val="Heading2"/>
        <w:numPr>
          <w:ilvl w:val="0"/>
          <w:numId w:val="14"/>
        </w:numPr>
        <w:spacing w:before="120" w:beforeLines="50" w:after="120" w:afterLines="50"/>
        <w:ind w:left="562" w:hanging="562"/>
        <w:rPr>
          <w:sz w:val="28"/>
          <w:szCs w:val="28"/>
        </w:rPr>
      </w:pPr>
      <w:r>
        <w:rPr>
          <w:rFonts w:hint="eastAsia"/>
          <w:sz w:val="28"/>
          <w:szCs w:val="28"/>
        </w:rPr>
        <w:t>质疑处理</w:t>
      </w:r>
    </w:p>
    <w:p>
      <w:pPr>
        <w:rPr>
          <w:rFonts w:ascii="黑体" w:eastAsia="黑体" w:hAnsi="宋体"/>
          <w:sz w:val="24"/>
        </w:rPr>
      </w:pPr>
      <w:bookmarkStart w:id="136"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136"/>
    </w:p>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D68F902-E47F-42F4-A6E0-A44B57AD2F4D}"/>
  </w:font>
  <w:font w:name="Arial">
    <w:panose1 w:val="020B0604020202020204"/>
    <w:charset w:val="01"/>
    <w:family w:val="swiss"/>
    <w:pitch w:val="default"/>
    <w:sig w:usb0="E0002EFF" w:usb1="C000785B" w:usb2="00000009" w:usb3="00000000" w:csb0="400001FF" w:csb1="FFFF0000"/>
    <w:embedRegular r:id="rId2" w:fontKey="{5F03CC6C-11F2-4842-8AD9-2D834E217093}"/>
  </w:font>
  <w:font w:name="黑体">
    <w:panose1 w:val="02010609060101010101"/>
    <w:charset w:val="86"/>
    <w:family w:val="auto"/>
    <w:pitch w:val="default"/>
    <w:sig w:usb0="800002BF" w:usb1="38CF7CFA" w:usb2="00000016" w:usb3="00000000" w:csb0="00040001" w:csb1="00000000"/>
    <w:embedRegular r:id="rId3" w:fontKey="{B4B8E723-972A-45AE-B45C-18696E1C1F0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4" w:fontKey="{C84EC579-3329-454E-BB2A-83172FD09D76}"/>
  </w:font>
  <w:font w:name="Arial Unicode MS">
    <w:altName w:val="宋体"/>
    <w:panose1 w:val="020B0604020202020204"/>
    <w:charset w:val="86"/>
    <w:family w:val="auto"/>
    <w:pitch w:val="default"/>
    <w:sig w:usb0="00000000" w:usb1="00000000" w:usb2="0000003F" w:usb3="00000000" w:csb0="003F01FF" w:csb1="00000000"/>
  </w:font>
  <w:font w:name="隶书">
    <w:panose1 w:val="02010509060101010101"/>
    <w:charset w:val="86"/>
    <w:family w:val="auto"/>
    <w:pitch w:val="default"/>
    <w:sig w:usb0="00000001" w:usb1="080E0000" w:usb2="00000000" w:usb3="00000000" w:csb0="00040000" w:csb1="00000000"/>
  </w:font>
  <w:font w:name="Verdana">
    <w:panose1 w:val="020B0604030504040204"/>
    <w:charset w:val="00"/>
    <w:family w:val="auto"/>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5" w:fontKey="{985384CF-046C-49FB-A53D-4D2EB4808B4D}"/>
  </w:font>
  <w:font w:name="长城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embedRegular r:id="rId6" w:fontKey="{BAA79C67-CD58-41E9-82A1-16E2804125CE}"/>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7" w:fontKey="{D9F912AD-3C2A-465C-8B11-F54DAA12AF15}"/>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embedRegular r:id="rId8" w:fontKey="{90C64304-E705-45A1-90A7-5DD88B5E84F1}"/>
  </w:font>
  <w:font w:name="方正小标宋简体">
    <w:panose1 w:val="02000000000000000000"/>
    <w:charset w:val="86"/>
    <w:family w:val="auto"/>
    <w:pitch w:val="default"/>
    <w:sig w:usb0="A00002BF" w:usb1="184F6CFA" w:usb2="00000012" w:usb3="00000000" w:csb0="00040001" w:csb1="00000000"/>
    <w:embedRegular r:id="rId9" w:fontKey="{EF71071D-49FE-426C-8EC6-E6D41CD19E2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fldChar w:fldCharType="begin"/>
    </w:r>
    <w:r>
      <w:instrText>PAGE</w:instrText>
    </w:r>
    <w:r>
      <w:fldChar w:fldCharType="separate"/>
    </w:r>
    <w:r>
      <w:t>XXX</w:t>
    </w:r>
    <w: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255</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239341B"/>
    <w:multiLevelType w:val="singleLevel"/>
    <w:tmpl w:val="9239341B"/>
    <w:lvl w:ilvl="0">
      <w:start w:val="2"/>
      <w:numFmt w:val="decimal"/>
      <w:suff w:val="nothing"/>
      <w:lvlText w:val="%1、"/>
      <w:lvlJc w:val="left"/>
    </w:lvl>
  </w:abstractNum>
  <w:abstractNum w:abstractNumId="1">
    <w:nsid w:val="B5E306ED"/>
    <w:multiLevelType w:val="multilevel"/>
    <w:tmpl w:val="B5E306ED"/>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BF205925"/>
    <w:multiLevelType w:val="multilevel"/>
    <w:tmpl w:val="BF205925"/>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nsid w:val="CF092B84"/>
    <w:multiLevelType w:val="singleLevel"/>
    <w:tmpl w:val="CF092B84"/>
    <w:lvl w:ilvl="0">
      <w:start w:val="1"/>
      <w:numFmt w:val="decimal"/>
      <w:pStyle w:val="41"/>
      <w:lvlText w:val="%1."/>
      <w:lvlJc w:val="left"/>
      <w:pPr>
        <w:tabs>
          <w:tab w:val="left" w:pos="2040"/>
        </w:tabs>
        <w:ind w:left="2040" w:hanging="360" w:leftChars="800" w:hangingChars="200"/>
      </w:pPr>
    </w:lvl>
  </w:abstractNum>
  <w:abstractNum w:abstractNumId="4">
    <w:nsid w:val="E6A79C91"/>
    <w:multiLevelType w:val="singleLevel"/>
    <w:tmpl w:val="E6A79C91"/>
    <w:lvl w:ilvl="0">
      <w:start w:val="4"/>
      <w:numFmt w:val="decimal"/>
      <w:suff w:val="space"/>
      <w:lvlText w:val="%1."/>
      <w:lvlJc w:val="left"/>
    </w:lvl>
  </w:abstractNum>
  <w:abstractNum w:abstractNumId="5">
    <w:nsid w:val="FEDC44D1"/>
    <w:multiLevelType w:val="singleLevel"/>
    <w:tmpl w:val="FEDC44D1"/>
    <w:lvl w:ilvl="0">
      <w:start w:val="1"/>
      <w:numFmt w:val="decimal"/>
      <w:lvlText w:val="(%1)"/>
      <w:lvlJc w:val="left"/>
      <w:pPr>
        <w:ind w:left="425" w:hanging="425"/>
      </w:pPr>
      <w:rPr>
        <w:rFonts w:hint="default"/>
      </w:rPr>
    </w:lvl>
  </w:abstractNum>
  <w:abstractNum w:abstractNumId="6">
    <w:nsid w:val="0053208E"/>
    <w:multiLevelType w:val="singleLevel"/>
    <w:tmpl w:val="0053208E"/>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7">
    <w:nsid w:val="0248C179"/>
    <w:multiLevelType w:val="singleLevel"/>
    <w:tmpl w:val="0248C179"/>
    <w:lvl w:ilvl="0">
      <w:start w:val="1"/>
      <w:numFmt w:val="decimal"/>
      <w:suff w:val="nothing"/>
      <w:lvlText w:val="%1、"/>
      <w:lvlJc w:val="left"/>
    </w:lvl>
  </w:abstractNum>
  <w:abstractNum w:abstractNumId="8">
    <w:nsid w:val="03D62ECE"/>
    <w:multiLevelType w:val="multilevel"/>
    <w:tmpl w:val="03D62ECE"/>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9">
    <w:nsid w:val="25B654F3"/>
    <w:multiLevelType w:val="singleLevel"/>
    <w:tmpl w:val="25B654F3"/>
    <w:lvl w:ilvl="0">
      <w:start w:val="3"/>
      <w:numFmt w:val="decimal"/>
      <w:suff w:val="nothing"/>
      <w:lvlText w:val="（%1）"/>
      <w:lvlJc w:val="left"/>
    </w:lvl>
  </w:abstractNum>
  <w:abstractNum w:abstractNumId="10">
    <w:nsid w:val="2A8F537B"/>
    <w:multiLevelType w:val="multilevel"/>
    <w:tmpl w:val="2A8F537B"/>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3D02514D"/>
    <w:multiLevelType w:val="singleLevel"/>
    <w:tmpl w:val="3D02514D"/>
    <w:lvl w:ilvl="0">
      <w:start w:val="5"/>
      <w:numFmt w:val="chineseCounting"/>
      <w:suff w:val="nothing"/>
      <w:lvlText w:val="%1、"/>
      <w:lvlJc w:val="left"/>
      <w:rPr>
        <w:rFonts w:hint="eastAsia"/>
      </w:rPr>
    </w:lvl>
  </w:abstractNum>
  <w:abstractNum w:abstractNumId="12">
    <w:nsid w:val="59ADCABA"/>
    <w:multiLevelType w:val="multilevel"/>
    <w:tmpl w:val="59ADCABA"/>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72183CF9"/>
    <w:multiLevelType w:val="singleLevel"/>
    <w:tmpl w:val="72183CF9"/>
    <w:lvl w:ilvl="0">
      <w:start w:val="7"/>
      <w:numFmt w:val="chineseCounting"/>
      <w:suff w:val="nothing"/>
      <w:lvlText w:val="%1、"/>
      <w:lvlJc w:val="left"/>
      <w:rPr>
        <w:rFonts w:hint="eastAsia"/>
      </w:rPr>
    </w:lvl>
  </w:abstractNum>
  <w:num w:numId="1">
    <w:abstractNumId w:val="6"/>
  </w:num>
  <w:num w:numId="2">
    <w:abstractNumId w:val="3"/>
  </w:num>
  <w:num w:numId="3">
    <w:abstractNumId w:val="12"/>
  </w:num>
  <w:num w:numId="4">
    <w:abstractNumId w:val="2"/>
  </w:num>
  <w:num w:numId="5">
    <w:abstractNumId w:val="1"/>
  </w:num>
  <w:num w:numId="6">
    <w:abstractNumId w:val="8"/>
  </w:num>
  <w:num w:numId="7">
    <w:abstractNumId w:val="9"/>
  </w:num>
  <w:num w:numId="8">
    <w:abstractNumId w:val="4"/>
  </w:num>
  <w:num w:numId="9">
    <w:abstractNumId w:val="5"/>
  </w:num>
  <w:num w:numId="10">
    <w:abstractNumId w:val="13"/>
  </w:num>
  <w:num w:numId="11">
    <w:abstractNumId w:val="7"/>
  </w:num>
  <w:num w:numId="12">
    <w:abstractNumId w:val="0"/>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saveSubsetFonts/>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s>
  <m:mathPr>
    <m:mathFont m:val="Cambria Math"/>
    <m:smallFrac/>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next w:val="Heading4"/>
    <w:link w:val="2Char"/>
    <w:qFormat/>
    <w:pPr>
      <w:adjustRightInd w:val="0"/>
      <w:jc w:val="center"/>
      <w:textAlignment w:val="baseline"/>
      <w:outlineLvl w:val="1"/>
    </w:pPr>
    <w:rPr>
      <w:rFonts w:ascii="Times New Roman" w:eastAsia="宋体" w:hAnsi="Times New Roman" w:cs="Times New Roman"/>
      <w:kern w:val="0"/>
      <w:sz w:val="24"/>
      <w:szCs w:val="20"/>
    </w:rPr>
  </w:style>
  <w:style w:type="paragraph" w:styleId="Heading3">
    <w:name w:val="heading 3"/>
    <w:next w:val="Normal"/>
    <w:link w:val="3Char1"/>
    <w:uiPriority w:val="9"/>
    <w:qFormat/>
    <w:pPr>
      <w:spacing w:before="260" w:after="260" w:line="240" w:lineRule="auto"/>
      <w:outlineLvl w:val="2"/>
    </w:pPr>
    <w:rPr>
      <w:rFonts w:ascii="宋体" w:eastAsia="宋体" w:hAnsi="宋体" w:cs="Times New Roman"/>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TOC8"/>
    <w:link w:val="5Char"/>
    <w:qFormat/>
    <w:pPr>
      <w:keepNext/>
      <w:keepLines/>
      <w:spacing w:before="280" w:after="290" w:line="376" w:lineRule="auto"/>
      <w:outlineLvl w:val="4"/>
    </w:pPr>
    <w:rPr>
      <w:b/>
      <w:sz w:val="28"/>
      <w:szCs w:val="20"/>
    </w:rPr>
  </w:style>
  <w:style w:type="paragraph" w:styleId="Heading6">
    <w:name w:val="heading 6"/>
    <w:basedOn w:val="Normal"/>
    <w:next w:val="TOC8"/>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TOC8"/>
    <w:link w:val="7Char"/>
    <w:qFormat/>
    <w:pPr>
      <w:keepNext/>
      <w:keepLines/>
      <w:spacing w:before="240" w:after="64" w:line="320" w:lineRule="auto"/>
      <w:outlineLvl w:val="6"/>
    </w:pPr>
    <w:rPr>
      <w:b/>
      <w:sz w:val="24"/>
      <w:szCs w:val="20"/>
    </w:rPr>
  </w:style>
  <w:style w:type="paragraph" w:styleId="Heading8">
    <w:name w:val="heading 8"/>
    <w:basedOn w:val="Normal"/>
    <w:next w:val="TOC8"/>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TOC8"/>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Quote"/>
    <w:qFormat/>
    <w:pPr>
      <w:spacing w:line="360" w:lineRule="auto"/>
    </w:pPr>
    <w:rPr>
      <w:b/>
      <w:bCs/>
      <w:sz w:val="24"/>
    </w:rPr>
  </w:style>
  <w:style w:type="paragraph" w:styleId="Quote">
    <w:name w:val="Quote"/>
    <w:basedOn w:val="Normal"/>
    <w:next w:val="Normal"/>
    <w:uiPriority w:val="99"/>
    <w:qFormat/>
    <w:rPr>
      <w:rFonts w:cs="Calibri"/>
      <w:i/>
      <w:iCs/>
      <w:color w:val="000000"/>
      <w:sz w:val="22"/>
      <w:szCs w:val="22"/>
    </w:rPr>
  </w:style>
  <w:style w:type="paragraph" w:styleId="TOC8">
    <w:name w:val="toc 8"/>
    <w:basedOn w:val="Normal"/>
    <w:next w:val="Normal"/>
    <w:link w:val="Char0"/>
    <w:semiHidden/>
    <w:qFormat/>
    <w:pPr>
      <w:ind w:left="1470"/>
      <w:jc w:val="left"/>
    </w:pPr>
    <w:rPr>
      <w:szCs w:val="21"/>
    </w:rPr>
  </w:style>
  <w:style w:type="paragraph" w:styleId="TOC7">
    <w:name w:val="toc 7"/>
    <w:basedOn w:val="Normal"/>
    <w:next w:val="Normal"/>
    <w:semiHidden/>
    <w:qFormat/>
    <w:pPr>
      <w:ind w:left="1260"/>
      <w:jc w:val="left"/>
    </w:pPr>
    <w:rPr>
      <w:szCs w:val="21"/>
    </w:rPr>
  </w:style>
  <w:style w:type="paragraph" w:styleId="NormalIndent">
    <w:name w:val="Normal Indent"/>
    <w:basedOn w:val="Normal"/>
    <w:next w:val="Normal"/>
    <w:qFormat/>
    <w:pPr>
      <w:ind w:firstLine="420"/>
    </w:pPr>
    <w:rPr>
      <w:szCs w:val="20"/>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qFormat/>
    <w:pPr>
      <w:spacing w:after="120"/>
    </w:pPr>
    <w:rPr>
      <w:sz w:val="16"/>
      <w:szCs w:val="16"/>
    </w:rPr>
  </w:style>
  <w:style w:type="paragraph" w:styleId="BodyTextIndent">
    <w:name w:val="Body Text Indent"/>
    <w:basedOn w:val="Normal"/>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qFormat/>
    <w:rPr>
      <w:rFonts w:ascii="宋体" w:hAnsi="Courier New"/>
      <w:szCs w:val="20"/>
    </w:rPr>
  </w:style>
  <w:style w:type="paragraph" w:styleId="Date">
    <w:name w:val="Date"/>
    <w:basedOn w:val="Normal"/>
    <w:next w:val="Normal"/>
    <w:qFormat/>
    <w:rPr>
      <w:rFonts w:ascii="宋体" w:hAnsi="Courier New"/>
      <w:sz w:val="32"/>
      <w:szCs w:val="20"/>
    </w:rPr>
  </w:style>
  <w:style w:type="paragraph" w:styleId="BodyTextIndent2">
    <w:name w:val="Body Text Indent 2"/>
    <w:basedOn w:val="Normal"/>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8"/>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qFormat/>
    <w:pPr>
      <w:spacing w:line="360" w:lineRule="auto"/>
    </w:pPr>
    <w:rPr>
      <w:sz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TOC8"/>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link w:val="Char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link w:val="Char7"/>
    <w:qFormat/>
    <w:pPr>
      <w:spacing w:afterLines="50"/>
      <w:ind w:left="600" w:leftChars="600"/>
    </w:pPr>
  </w:style>
  <w:style w:type="paragraph" w:customStyle="1" w:styleId="CharCharCharCharChar">
    <w:name w:val="Char Char Char Char Char"/>
    <w:basedOn w:val="Normal"/>
    <w:link w:val="Char1"/>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link w:val="Char4"/>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link w:val="Char1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CharCharCharCharChar"/>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CharCharCharChar"/>
    <w:qFormat/>
    <w:rPr>
      <w:rFonts w:ascii="Arial" w:eastAsia="隶书" w:hAnsi="Arial" w:cs="Arial"/>
      <w:b/>
      <w:bCs/>
      <w:kern w:val="2"/>
      <w:sz w:val="32"/>
      <w:szCs w:val="32"/>
      <w:lang w:val="en-US" w:eastAsia="zh-CN" w:bidi="ar-SA"/>
    </w:rPr>
  </w:style>
  <w:style w:type="character" w:customStyle="1" w:styleId="Char4">
    <w:name w:val="日期 Char"/>
    <w:link w:val="a3"/>
    <w:qFormat/>
    <w:rPr>
      <w:rFonts w:ascii="宋体" w:eastAsia="宋体" w:hAnsi="Courier New"/>
      <w:kern w:val="2"/>
      <w:sz w:val="32"/>
      <w:lang w:val="en-US" w:eastAsia="zh-CN" w:bidi="ar-SA"/>
    </w:rPr>
  </w:style>
  <w:style w:type="character" w:customStyle="1" w:styleId="HTMLChar">
    <w:name w:val="HTML 预设格式 Char"/>
    <w:qFormat/>
    <w:rPr>
      <w:rFonts w:ascii="Arial Unicode MS" w:eastAsia="Arial Unicode MS" w:hAnsi="Arial Unicode MS"/>
      <w:color w:val="000000"/>
      <w:lang w:val="en-US" w:eastAsia="zh-CN" w:bidi="ar-SA"/>
    </w:rPr>
  </w:style>
  <w:style w:type="character" w:customStyle="1" w:styleId="Char5">
    <w:name w:val="纯文本 Char"/>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a1"/>
    <w:qFormat/>
    <w:rPr>
      <w:rFonts w:eastAsia="宋体"/>
      <w:b/>
      <w:bCs/>
      <w:kern w:val="2"/>
      <w:sz w:val="24"/>
      <w:szCs w:val="24"/>
      <w:lang w:val="en-US" w:eastAsia="zh-CN" w:bidi="ar-SA"/>
    </w:rPr>
  </w:style>
  <w:style w:type="character" w:customStyle="1" w:styleId="2Char0">
    <w:name w:val="正文文本缩进 2 Char"/>
    <w:qFormat/>
    <w:rPr>
      <w:rFonts w:ascii="宋体" w:eastAsia="宋体" w:hAnsi="宋体"/>
      <w:kern w:val="2"/>
      <w:sz w:val="21"/>
      <w:szCs w:val="24"/>
      <w:lang w:val="en-US" w:eastAsia="zh-CN" w:bidi="ar-SA"/>
    </w:rPr>
  </w:style>
  <w:style w:type="character" w:customStyle="1" w:styleId="Char8">
    <w:name w:val="页眉 Char"/>
    <w:link w:val="BalloonText"/>
    <w:uiPriority w:val="99"/>
    <w:qFormat/>
    <w:rPr>
      <w:rFonts w:eastAsia="宋体"/>
      <w:kern w:val="2"/>
      <w:sz w:val="18"/>
      <w:szCs w:val="18"/>
      <w:lang w:val="en-US" w:eastAsia="zh-CN" w:bidi="ar-SA"/>
    </w:rPr>
  </w:style>
  <w:style w:type="character" w:customStyle="1" w:styleId="3Char0">
    <w:name w:val="正文文本缩进 3 Char"/>
    <w:qFormat/>
    <w:rPr>
      <w:rFonts w:ascii="宋体" w:eastAsia="宋体"/>
      <w:b/>
      <w:bCs/>
      <w:kern w:val="2"/>
      <w:sz w:val="24"/>
      <w:szCs w:val="24"/>
      <w:lang w:val="en-US" w:eastAsia="zh-CN" w:bidi="ar-SA"/>
    </w:rPr>
  </w:style>
  <w:style w:type="character" w:customStyle="1" w:styleId="2Char1">
    <w:name w:val="正文文本 2 Char"/>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qFormat/>
    <w:rPr>
      <w:rFonts w:eastAsia="宋体"/>
      <w:kern w:val="2"/>
      <w:sz w:val="16"/>
      <w:szCs w:val="16"/>
      <w:lang w:val="en-US" w:eastAsia="zh-CN" w:bidi="ar-SA"/>
    </w:rPr>
  </w:style>
  <w:style w:type="character" w:customStyle="1" w:styleId="Char10">
    <w:name w:val="批注框文本 Char"/>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qFormat/>
    <w:pPr>
      <w:spacing w:line="360" w:lineRule="auto"/>
      <w:jc w:val="center"/>
    </w:pPr>
    <w:rPr>
      <w:rFonts w:eastAsia="黑体"/>
    </w:rPr>
  </w:style>
  <w:style w:type="paragraph" w:customStyle="1" w:styleId="---0">
    <w:name w:val="--规划-图和表"/>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21313"/>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TOC8"/>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CharCharCharCharChar"/>
    <w:qFormat/>
    <w:pPr>
      <w:spacing w:after="120"/>
      <w:ind w:left="420" w:leftChars="200"/>
    </w:pPr>
  </w:style>
  <w:style w:type="paragraph" w:customStyle="1" w:styleId="7">
    <w:name w:val="7"/>
    <w:basedOn w:val="Heading3"/>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Heading4"/>
    <w:qFormat/>
    <w:pPr>
      <w:autoSpaceDE w:val="0"/>
      <w:autoSpaceDN w:val="0"/>
      <w:adjustRightInd w:val="0"/>
      <w:jc w:val="left"/>
    </w:pPr>
    <w:rPr>
      <w:rFonts w:ascii="宋体"/>
      <w:kern w:val="0"/>
      <w:sz w:val="18"/>
      <w:szCs w:val="18"/>
    </w:rPr>
  </w:style>
  <w:style w:type="paragraph" w:customStyle="1" w:styleId="6">
    <w:name w:val="6"/>
    <w:basedOn w:val="Heading3"/>
    <w:qFormat/>
    <w:pPr>
      <w:spacing w:line="270" w:lineRule="atLeast"/>
      <w:jc w:val="both"/>
    </w:p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qFormat/>
    <w:pPr>
      <w:ind w:firstLine="560" w:firstLineChars="200"/>
    </w:pPr>
    <w:rPr>
      <w:rFonts w:eastAsia="仿宋_GB2312" w:cs="宋体"/>
      <w:sz w:val="28"/>
      <w:szCs w:val="20"/>
    </w:rPr>
  </w:style>
  <w:style w:type="character" w:customStyle="1" w:styleId="Char15">
    <w:name w:val="缩进正文 Char"/>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uiPriority w:val="99"/>
    <w:qFormat/>
    <w:rPr>
      <w:rFonts w:ascii="宋体"/>
      <w:sz w:val="34"/>
    </w:rPr>
  </w:style>
  <w:style w:type="character" w:customStyle="1" w:styleId="Char17">
    <w:name w:val="批注主题 Char"/>
    <w:basedOn w:val="Char16"/>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footer" Target="footer2.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DE219022FC6E4BF6895D139D8AB5144F_13</vt:lpwstr>
  </property>
  <property fmtid="{D5CDD505-2E9C-101B-9397-08002B2CF9AE}" pid="4" name="KSOTemplateDocerSaveRecord">
    <vt:lpwstr>eyJoZGlkIjoiNGE3ZjU2M2NjZmFlYmQwYTc0ZDZkMjFmM2ExNmI5ZTQiLCJ1c2VySWQiOiIyMjQxNTg5MDcifQ==</vt:lpwstr>
  </property>
</Properties>
</file>

<file path=customXml/item3.xml><?xml version="1.0" encoding="utf-8"?>
<Properties xmlns="http://schemas.openxmlformats.org/officeDocument/2006/extended-properties" xmlns:vt="http://schemas.openxmlformats.org/officeDocument/2006/docPropsVTypes">
  <Template>Normal</Template>
  <Company>Microsoft</Company>
  <Pages>52</Pages>
  <Words>18801</Words>
  <Characters>19757</Characters>
  <Lines>332</Lines>
  <Paragraphs>93</Paragraphs>
  <TotalTime>1</TotalTime>
  <ScaleCrop>false</ScaleCrop>
  <LinksUpToDate>false</LinksUpToDate>
  <CharactersWithSpaces>20421</CharactersWithSpaces>
  <Application>WPS Office_12.1.0.22529_F1E327BC-269C-435d-A152-05C5408002CA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2021-04-19T08:29:00Z</dcterms:created>
  <dc:creator>thsware</dc:creator>
  <cp:lastModifiedBy>梁建华</cp:lastModifiedBy>
  <cp:lastPrinted>2021-05-09T08:02:00Z</cp:lastPrinted>
  <dcterms:modified xsi:type="dcterms:W3CDTF">2025-09-03T08:43:32Z</dcterms:modified>
  <dc:title>招  标　文　件</dc:title>
  <cp:revision>83</cp:revision>
</cp:coreProperties>
</file>

<file path=customXml/itemProps1.xml><?xml version="1.0" encoding="utf-8"?>
<ds:datastoreItem xmlns:ds="http://schemas.openxmlformats.org/officeDocument/2006/customXml" ds:itemID="{F18F8195-465B-44FE-B08A-3EF6B09C327F}">
  <ds:schemaRefs/>
</ds:datastoreItem>
</file>

<file path=customXml/itemProps2.xml><?xml version="1.0" encoding="utf-8"?>
<ds:datastoreItem xmlns:ds="http://schemas.openxmlformats.org/officeDocument/2006/customXml" ds:itemID="{9a11717c-1438-4614-99d9-48f8e66a1da5}">
  <ds:schemaRefs/>
</ds:datastoreItem>
</file>

<file path=customXml/itemProps3.xml><?xml version="1.0" encoding="utf-8"?>
<ds:datastoreItem xmlns:ds="http://schemas.openxmlformats.org/officeDocument/2006/customXml" ds:itemID="{85df4fad-e251-4aae-be00-0cad425a7c10}">
  <ds:schemaRefs/>
</ds:datastoreItem>
</file>

<file path=customXml/itemProps4.xml><?xml version="1.0" encoding="utf-8"?>
<ds:datastoreItem xmlns:ds="http://schemas.openxmlformats.org/officeDocument/2006/customXml" ds:itemID="{6ce39451-f616-4ff4-8c1e-7f54edcc077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255</Pages>
  <Words>13822</Words>
  <Characters>14729</Characters>
  <Application>Microsoft Office Word</Application>
  <DocSecurity>0</DocSecurity>
  <Lines>332</Lines>
  <Paragraphs>93</Paragraphs>
  <ScaleCrop>false</ScaleCrop>
  <Company>Microsoft</Company>
  <LinksUpToDate>false</LinksUpToDate>
  <CharactersWithSpaces>14850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标_x3000_文_x3000_件</dc:title>
  <dc:creator>thsware</dc:creator>
  <cp:lastModifiedBy>张工</cp:lastModifiedBy>
  <cp:revision>83</cp:revision>
  <cp:lastPrinted>2021-05-09T08:02:00Z</cp:lastPrinted>
  <dcterms:created xsi:type="dcterms:W3CDTF">2021-04-19T08:29:00Z</dcterms:created>
  <dcterms:modified xsi:type="dcterms:W3CDTF">2025-09-30T09:47:15Z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724DC03EB52A4363A374568423F0951B_13</vt:lpwstr>
  </property>
  <property fmtid="{D5CDD505-2E9C-101B-9397-08002B2CF9AE}" pid="3" name="KSOProductBuildVer">
    <vt:lpwstr>2052-12.1.0.22529</vt:lpwstr>
  </property>
  <property fmtid="{D5CDD505-2E9C-101B-9397-08002B2CF9AE}" pid="4" name="KSOTemplateDocerSaveRecord">
    <vt:lpwstr>eyJoZGlkIjoiYWQ1N2QwYWE3YzI3MmJlNWQ1ZWI5ZjRiYjQ1MTMwMjMiLCJ1c2VySWQiOiI5ODcyMDk0MjAifQ==</vt:lpwstr>
  </property>
</Properties>
</file>