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GoBack"/>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none"/>
          <w:lang w:val="en-US" w:eastAsia="zh-CN"/>
        </w:rPr>
      </w:pPr>
      <w:bookmarkEnd w:id="0"/>
      <w:r>
        <w:rPr>
          <w:rFonts w:ascii="宋体" w:eastAsia="宋体" w:hAnsi="宋体" w:cs="宋体" w:hint="eastAsia"/>
          <w:b/>
          <w:bCs/>
          <w:color w:val="FF0000"/>
          <w:sz w:val="21"/>
          <w:szCs w:val="21"/>
          <w:highlight w:val="none"/>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lang w:val="en-US" w:eastAsia="zh-CN"/>
        </w:rPr>
      </w:pPr>
    </w:p>
    <w:p>
      <w:pPr>
        <w:keepNext w:val="0"/>
        <w:keepLines w:val="0"/>
        <w:pageBreakBefore w:val="0"/>
        <w:numPr>
          <w:ilvl w:val="0"/>
          <w:numId w:val="0"/>
        </w:numPr>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lang w:eastAsia="zh-CN"/>
        </w:rPr>
      </w:pPr>
      <w:r>
        <w:rPr>
          <w:rFonts w:cs="Times New Roman" w:hint="eastAsia"/>
          <w:b/>
          <w:color w:val="FF0000"/>
          <w:kern w:val="2"/>
          <w:sz w:val="21"/>
          <w:szCs w:val="24"/>
          <w:lang w:val="en-US" w:eastAsia="zh-CN" w:bidi="ar-SA"/>
        </w:rPr>
        <w:t>五</w:t>
      </w:r>
      <w:r>
        <w:rPr>
          <w:rFonts w:ascii="Times New Roman" w:eastAsia="宋体" w:hAnsi="Times New Roman" w:cs="Times New Roman" w:hint="eastAsia"/>
          <w:b/>
          <w:color w:val="FF0000"/>
          <w:kern w:val="2"/>
          <w:sz w:val="21"/>
          <w:szCs w:val="24"/>
          <w:lang w:val="en-US" w:eastAsia="zh-CN" w:bidi="ar-SA"/>
        </w:rPr>
        <w:t>、</w:t>
      </w:r>
      <w:r>
        <w:rPr>
          <w:rFonts w:hint="eastAsia"/>
          <w:b/>
          <w:color w:val="FF0000"/>
        </w:rPr>
        <w:t>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r>
        <w:rPr>
          <w:rFonts w:hint="eastAsia"/>
          <w:b/>
          <w:color w:val="FF0000"/>
          <w:lang w:eastAsia="zh-CN"/>
        </w:rPr>
        <w:t>。</w:t>
      </w:r>
    </w:p>
    <w:p>
      <w:pPr>
        <w:pStyle w:val="BodyText"/>
        <w:numPr>
          <w:ilvl w:val="0"/>
          <w:numId w:val="0"/>
        </w:numPr>
        <w:rPr>
          <w:rFonts w:hint="eastAsia"/>
          <w:lang w:val="en-US" w:eastAsia="zh-CN"/>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b/>
          <w:color w:val="FF0000"/>
          <w:lang w:val="en-US" w:eastAsia="zh-CN"/>
        </w:rPr>
        <w:t>六</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eastAsia"/>
                <w:sz w:val="30"/>
                <w:szCs w:val="30"/>
                <w:lang w:eastAsia="zh-CN"/>
              </w:rPr>
            </w:pPr>
            <w:r>
              <w:rPr>
                <w:rFonts w:asciiTheme="minorEastAsia" w:hAnsiTheme="minorEastAsia" w:hint="eastAsia"/>
                <w:sz w:val="30"/>
                <w:szCs w:val="30"/>
                <w:lang w:eastAsia="zh-CN"/>
              </w:rPr>
              <w:t>BACG2026000027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深圳市宝安区中医院成本核算信息化系统采购项目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8"/>
          <w:footerReference w:type="default" r:id="rId9"/>
          <w:headerReference w:type="first" r:id="rId10"/>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kinsoku/>
              <w:wordWrap/>
              <w:overflowPunct/>
              <w:topLinePunct w:val="0"/>
              <w:autoSpaceDE/>
              <w:autoSpaceDN/>
              <w:bidi w:val="0"/>
              <w:adjustRightInd/>
              <w:snapToGrid/>
              <w:jc w:val="center"/>
              <w:textAlignment w:val="top"/>
              <w:rPr>
                <w:rFonts w:ascii="宋体" w:hAnsi="宋体" w:cs="宋体"/>
                <w:szCs w:val="21"/>
              </w:rPr>
            </w:pPr>
            <w:r>
              <w:rPr>
                <w:rFonts w:ascii="宋体" w:eastAsia="宋体" w:hAnsi="宋体" w:cs="宋体" w:hint="eastAsia"/>
                <w:kern w:val="0"/>
                <w:sz w:val="21"/>
                <w:szCs w:val="21"/>
              </w:rPr>
              <w:t>4</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r>
              <w:rPr>
                <w:rFonts w:ascii="宋体" w:eastAsia="宋体" w:hAnsi="宋体" w:cs="宋体" w:hint="eastAsia"/>
                <w:sz w:val="21"/>
                <w:szCs w:val="21"/>
              </w:rPr>
              <w:t>评审中出现下列情形之一的，评审委员会应当启动异常低价投标（响应）审查程序：</w:t>
            </w: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r>
              <w:rPr>
                <w:rFonts w:ascii="宋体" w:eastAsia="宋体" w:hAnsi="宋体" w:cs="宋体" w:hint="eastAsia"/>
                <w:sz w:val="21"/>
                <w:szCs w:val="21"/>
              </w:rPr>
              <w:t>1.投标（响应）报价低于全部通过符合性审查供应商投标（响应）报价平均值</w:t>
            </w:r>
            <w:r>
              <w:rPr>
                <w:rFonts w:ascii="宋体" w:hAnsi="宋体" w:cs="宋体" w:hint="eastAsia"/>
                <w:sz w:val="21"/>
                <w:szCs w:val="21"/>
                <w:lang w:val="en-US" w:eastAsia="zh-CN"/>
              </w:rPr>
              <w:t>60</w:t>
            </w:r>
            <w:r>
              <w:rPr>
                <w:rFonts w:ascii="宋体" w:eastAsia="宋体" w:hAnsi="宋体" w:cs="宋体" w:hint="eastAsia"/>
                <w:sz w:val="21"/>
                <w:szCs w:val="21"/>
              </w:rPr>
              <w:t>%的，即投标（响应）报价&lt;全部通过符合性审查供应商投标（响应）报价平均值×</w:t>
            </w:r>
            <w:r>
              <w:rPr>
                <w:rFonts w:ascii="宋体" w:hAnsi="宋体" w:cs="宋体" w:hint="eastAsia"/>
                <w:sz w:val="21"/>
                <w:szCs w:val="21"/>
                <w:lang w:val="en-US" w:eastAsia="zh-CN"/>
              </w:rPr>
              <w:t>60</w:t>
            </w:r>
            <w:r>
              <w:rPr>
                <w:rFonts w:ascii="宋体" w:eastAsia="宋体" w:hAnsi="宋体" w:cs="宋体" w:hint="eastAsia"/>
                <w:sz w:val="21"/>
                <w:szCs w:val="21"/>
              </w:rPr>
              <w:t>%；</w:t>
            </w: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r>
              <w:rPr>
                <w:rFonts w:ascii="宋体" w:eastAsia="宋体" w:hAnsi="宋体" w:cs="宋体" w:hint="eastAsia"/>
                <w:sz w:val="21"/>
                <w:szCs w:val="21"/>
              </w:rPr>
              <w:t>2.投标（响应）报价低于通过符合性审查的次低报价供应商投标（响应）报价</w:t>
            </w:r>
            <w:r>
              <w:rPr>
                <w:rFonts w:ascii="宋体" w:hAnsi="宋体" w:cs="宋体" w:hint="eastAsia"/>
                <w:sz w:val="21"/>
                <w:szCs w:val="21"/>
                <w:lang w:val="en-US" w:eastAsia="zh-CN"/>
              </w:rPr>
              <w:t>60</w:t>
            </w:r>
            <w:r>
              <w:rPr>
                <w:rFonts w:ascii="宋体" w:eastAsia="宋体" w:hAnsi="宋体" w:cs="宋体" w:hint="eastAsia"/>
                <w:sz w:val="21"/>
                <w:szCs w:val="21"/>
              </w:rPr>
              <w:t>%的，即投标（响应）报价&lt;通过符合性审查的次低报价供应商投标（响应）报价×</w:t>
            </w:r>
            <w:r>
              <w:rPr>
                <w:rFonts w:ascii="宋体" w:hAnsi="宋体" w:cs="宋体" w:hint="eastAsia"/>
                <w:sz w:val="21"/>
                <w:szCs w:val="21"/>
                <w:lang w:val="en-US" w:eastAsia="zh-CN"/>
              </w:rPr>
              <w:t>60</w:t>
            </w:r>
            <w:r>
              <w:rPr>
                <w:rFonts w:ascii="宋体" w:eastAsia="宋体" w:hAnsi="宋体" w:cs="宋体" w:hint="eastAsia"/>
                <w:sz w:val="21"/>
                <w:szCs w:val="21"/>
              </w:rPr>
              <w:t>%；</w:t>
            </w: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r>
              <w:rPr>
                <w:rFonts w:ascii="宋体" w:eastAsia="宋体" w:hAnsi="宋体" w:cs="宋体" w:hint="eastAsia"/>
                <w:sz w:val="21"/>
                <w:szCs w:val="21"/>
              </w:rPr>
              <w:t>3.投标（响应）报价低于采购项目最高限价</w:t>
            </w:r>
            <w:r>
              <w:rPr>
                <w:rFonts w:ascii="宋体" w:hAnsi="宋体" w:cs="宋体" w:hint="eastAsia"/>
                <w:sz w:val="21"/>
                <w:szCs w:val="21"/>
                <w:lang w:val="en-US" w:eastAsia="zh-CN"/>
              </w:rPr>
              <w:t>55</w:t>
            </w:r>
            <w:r>
              <w:rPr>
                <w:rFonts w:ascii="宋体" w:eastAsia="宋体" w:hAnsi="宋体" w:cs="宋体" w:hint="eastAsia"/>
                <w:sz w:val="21"/>
                <w:szCs w:val="21"/>
              </w:rPr>
              <w:t>%的，即投标（响应）报价&lt;采购项目最高限价×</w:t>
            </w:r>
            <w:r>
              <w:rPr>
                <w:rFonts w:ascii="宋体" w:hAnsi="宋体" w:cs="宋体" w:hint="eastAsia"/>
                <w:sz w:val="21"/>
                <w:szCs w:val="21"/>
                <w:lang w:val="en-US" w:eastAsia="zh-CN"/>
              </w:rPr>
              <w:t>55</w:t>
            </w:r>
            <w:r>
              <w:rPr>
                <w:rFonts w:ascii="宋体" w:eastAsia="宋体" w:hAnsi="宋体" w:cs="宋体" w:hint="eastAsia"/>
                <w:sz w:val="21"/>
                <w:szCs w:val="21"/>
              </w:rPr>
              <w:t>%；</w:t>
            </w: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r>
              <w:rPr>
                <w:rFonts w:ascii="宋体" w:eastAsia="宋体" w:hAnsi="宋体" w:cs="宋体" w:hint="eastAsia"/>
                <w:sz w:val="21"/>
                <w:szCs w:val="21"/>
              </w:rPr>
              <w:t>4.评审委员会基于专业判断，认为供应商报价过低，有可能影响产品质量或者不能诚信履约的其他情形。</w:t>
            </w: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r>
              <w:rPr>
                <w:rFonts w:ascii="宋体" w:eastAsia="宋体" w:hAnsi="宋体" w:cs="宋体" w:hint="eastAsia"/>
                <w:sz w:val="21"/>
                <w:szCs w:val="21"/>
              </w:rPr>
              <w:t>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w:t>
            </w:r>
          </w:p>
          <w:p>
            <w:pPr>
              <w:keepNext w:val="0"/>
              <w:keepLines w:val="0"/>
              <w:pageBreakBefore w:val="0"/>
              <w:widowControl/>
              <w:kinsoku/>
              <w:wordWrap/>
              <w:overflowPunct/>
              <w:topLinePunct w:val="0"/>
              <w:autoSpaceDE/>
              <w:autoSpaceDN/>
              <w:bidi w:val="0"/>
              <w:adjustRightInd/>
              <w:snapToGrid/>
              <w:jc w:val="left"/>
              <w:textAlignment w:val="top"/>
              <w:rPr>
                <w:rFonts w:ascii="宋体" w:eastAsia="宋体" w:hAnsi="宋体" w:cs="宋体" w:hint="eastAsia"/>
                <w:sz w:val="21"/>
                <w:szCs w:val="21"/>
              </w:rPr>
            </w:pPr>
          </w:p>
          <w:p>
            <w:pPr>
              <w:keepNext w:val="0"/>
              <w:keepLines w:val="0"/>
              <w:pageBreakBefore w:val="0"/>
              <w:widowControl/>
              <w:kinsoku/>
              <w:wordWrap/>
              <w:overflowPunct/>
              <w:topLinePunct w:val="0"/>
              <w:autoSpaceDE/>
              <w:autoSpaceDN/>
              <w:bidi w:val="0"/>
              <w:adjustRightInd/>
              <w:snapToGrid/>
              <w:jc w:val="left"/>
              <w:textAlignment w:val="top"/>
              <w:rPr>
                <w:rFonts w:ascii="宋体" w:hAnsi="宋体" w:cs="宋体"/>
                <w:szCs w:val="21"/>
              </w:rPr>
            </w:pPr>
            <w:r>
              <w:rPr>
                <w:rFonts w:ascii="宋体" w:eastAsia="宋体" w:hAnsi="宋体" w:cs="宋体" w:hint="eastAsia"/>
                <w:sz w:val="21"/>
                <w:szCs w:val="21"/>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w:t>
            </w:r>
            <w:r>
              <w:rPr>
                <w:rFonts w:hint="eastAsia"/>
                <w:lang w:val="en-US" w:eastAsia="zh-CN"/>
              </w:rPr>
              <w:t>不得</w:t>
            </w:r>
            <w:r>
              <w:rPr>
                <w:rFonts w:hint="eastAsia"/>
              </w:rPr>
              <w:t>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Times New Roman" w:hint="eastAsia"/>
                <w:sz w:val="21"/>
                <w:szCs w:val="24"/>
                <w:lang w:val="en-US" w:eastAsia="zh-CN"/>
              </w:rPr>
              <w:t>不得与其他</w:t>
            </w:r>
            <w:r>
              <w:rPr>
                <w:rFonts w:ascii="Times New Roman" w:eastAsia="宋体" w:hAnsi="Times New Roman" w:cs="Times New Roman" w:hint="eastAsia"/>
                <w:sz w:val="21"/>
                <w:szCs w:val="24"/>
              </w:rPr>
              <w:t>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Times New Roman" w:hint="eastAsia"/>
                <w:sz w:val="21"/>
                <w:szCs w:val="24"/>
                <w:lang w:val="en-US" w:eastAsia="zh-CN"/>
              </w:rPr>
              <w:t>不得与其他</w:t>
            </w:r>
            <w:r>
              <w:rPr>
                <w:rFonts w:ascii="Times New Roman" w:eastAsia="宋体" w:hAnsi="Times New Roman" w:cs="Times New Roman" w:hint="eastAsia"/>
                <w:sz w:val="21"/>
                <w:szCs w:val="24"/>
              </w:rPr>
              <w:t>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pStyle w:val="BodyText"/>
              <w:rPr>
                <w:sz w:val="21"/>
                <w:szCs w:val="21"/>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综合评分法，是指投标文件满足招标文件全部实质性要求，且按照评审因素的量化指标评审得分最高的投标人为中标候选人的评标方法。</w:t>
            </w:r>
          </w:p>
          <w:p>
            <w:pPr>
              <w:pStyle w:val="a"/>
              <w:rPr>
                <w:rFonts w:hint="eastAsia"/>
                <w:lang w:eastAsia="zh-CN"/>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765"/>
        <w:gridCol w:w="623"/>
        <w:gridCol w:w="6324"/>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2068"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632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1</w:t>
            </w:r>
          </w:p>
        </w:tc>
        <w:tc>
          <w:tcPr>
            <w:tcW w:w="2068"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价格</w:t>
            </w:r>
          </w:p>
        </w:tc>
        <w:tc>
          <w:tcPr>
            <w:tcW w:w="6324"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default"/>
                <w:b/>
                <w:bCs/>
                <w:color w:val="0000FF"/>
                <w:sz w:val="24"/>
                <w:lang w:val="en-US"/>
              </w:rPr>
            </w:pPr>
            <w:r>
              <w:rPr>
                <w:rFonts w:hint="eastAsia"/>
                <w:b/>
                <w:bCs/>
                <w:color w:val="0000FF"/>
                <w:lang w:val="en-US" w:eastAsia="zh-CN"/>
              </w:rPr>
              <w:t>20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2</w:t>
            </w:r>
          </w:p>
        </w:tc>
        <w:tc>
          <w:tcPr>
            <w:tcW w:w="2068"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6324"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67</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7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2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63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w:t>
            </w:r>
          </w:p>
        </w:tc>
        <w:tc>
          <w:tcPr>
            <w:tcW w:w="765"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eastAsia="宋体" w:asciiTheme="minorEastAsia" w:hAnsiTheme="minorEastAsia" w:cs="宋体"/>
                <w:kern w:val="2"/>
                <w:sz w:val="21"/>
                <w:szCs w:val="21"/>
                <w:lang w:val="en-US" w:eastAsia="zh-CN" w:bidi="ar-SA"/>
              </w:rPr>
            </w:pPr>
            <w:r>
              <w:rPr>
                <w:rFonts w:ascii="宋体" w:eastAsia="宋体" w:hAnsi="宋体" w:cs="宋体" w:hint="eastAsia"/>
                <w:sz w:val="21"/>
                <w:szCs w:val="21"/>
              </w:rPr>
              <w:t>项目服务</w:t>
            </w:r>
            <w:r>
              <w:rPr>
                <w:rFonts w:ascii="宋体" w:eastAsia="宋体" w:hAnsi="宋体" w:cs="宋体" w:hint="eastAsia"/>
                <w:sz w:val="21"/>
                <w:szCs w:val="21"/>
                <w:lang w:val="en-US" w:eastAsia="zh-CN"/>
              </w:rPr>
              <w:t>整体</w:t>
            </w:r>
            <w:r>
              <w:rPr>
                <w:rFonts w:ascii="宋体" w:eastAsia="宋体" w:hAnsi="宋体" w:cs="宋体" w:hint="eastAsia"/>
                <w:sz w:val="21"/>
                <w:szCs w:val="21"/>
              </w:rPr>
              <w:t>方案</w:t>
            </w:r>
          </w:p>
        </w:tc>
        <w:tc>
          <w:tcPr>
            <w:tcW w:w="62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eastAsia="宋体" w:asciiTheme="minorEastAsia" w:hAnsiTheme="minorEastAsia" w:cs="宋体"/>
                <w:kern w:val="2"/>
                <w:sz w:val="21"/>
                <w:szCs w:val="21"/>
                <w:lang w:val="en-US" w:eastAsia="zh-CN" w:bidi="ar-SA"/>
              </w:rPr>
            </w:pPr>
            <w:r>
              <w:rPr>
                <w:rFonts w:asciiTheme="minorEastAsia" w:hAnsiTheme="minorEastAsia" w:cs="宋体" w:hint="eastAsia"/>
                <w:kern w:val="2"/>
                <w:sz w:val="21"/>
                <w:szCs w:val="21"/>
                <w:lang w:val="en-US" w:eastAsia="zh-CN" w:bidi="ar-SA"/>
              </w:rPr>
              <w:t>18</w:t>
            </w:r>
          </w:p>
        </w:tc>
        <w:tc>
          <w:tcPr>
            <w:tcW w:w="6324" w:type="dxa"/>
            <w:tcBorders>
              <w:top w:val="single" w:sz="8" w:space="0" w:color="000000"/>
              <w:left w:val="single" w:sz="8" w:space="0" w:color="000000"/>
              <w:bottom w:val="single" w:sz="8" w:space="0" w:color="000000"/>
              <w:right w:val="single" w:sz="8" w:space="0" w:color="000000"/>
            </w:tcBorders>
            <w:shd w:val="clear" w:color="auto" w:fill="FFFFFF"/>
            <w:vAlign w:val="top"/>
          </w:tcPr>
          <w:p>
            <w:pPr>
              <w:wordWrap w:val="0"/>
              <w:spacing w:line="240" w:lineRule="auto"/>
              <w:rPr>
                <w:rFonts w:ascii="宋体" w:eastAsia="宋体" w:hAnsi="宋体" w:cs="宋体" w:hint="eastAsia"/>
                <w:b/>
                <w:sz w:val="21"/>
                <w:szCs w:val="21"/>
                <w:lang w:eastAsia="zh-CN"/>
              </w:rPr>
            </w:pPr>
            <w:r>
              <w:rPr>
                <w:rFonts w:ascii="宋体" w:eastAsia="宋体" w:hAnsi="宋体" w:cs="宋体" w:hint="eastAsia"/>
                <w:b/>
                <w:sz w:val="21"/>
                <w:szCs w:val="21"/>
              </w:rPr>
              <w:t>（一）评分内容：</w:t>
            </w:r>
          </w:p>
          <w:p>
            <w:pPr>
              <w:wordWrap w:val="0"/>
              <w:spacing w:line="240" w:lineRule="auto"/>
              <w:rPr>
                <w:rFonts w:ascii="宋体" w:eastAsia="宋体" w:hAnsi="宋体" w:cs="宋体" w:hint="eastAsia"/>
                <w:bCs/>
                <w:sz w:val="21"/>
                <w:szCs w:val="21"/>
              </w:rPr>
            </w:pPr>
            <w:r>
              <w:rPr>
                <w:rFonts w:ascii="宋体" w:eastAsia="宋体" w:hAnsi="宋体" w:cs="宋体" w:hint="eastAsia"/>
                <w:bCs/>
                <w:sz w:val="21"/>
                <w:szCs w:val="21"/>
              </w:rPr>
              <w:t>针对本项目的项目</w:t>
            </w:r>
            <w:r>
              <w:rPr>
                <w:rFonts w:ascii="宋体" w:eastAsia="宋体" w:hAnsi="宋体" w:cs="宋体" w:hint="eastAsia"/>
                <w:bCs/>
                <w:sz w:val="21"/>
                <w:szCs w:val="21"/>
                <w:lang w:val="en-US" w:eastAsia="zh-CN"/>
              </w:rPr>
              <w:t>服务</w:t>
            </w:r>
            <w:r>
              <w:rPr>
                <w:rFonts w:ascii="宋体" w:eastAsia="宋体" w:hAnsi="宋体" w:cs="宋体" w:hint="eastAsia"/>
                <w:bCs/>
                <w:sz w:val="21"/>
                <w:szCs w:val="21"/>
              </w:rPr>
              <w:t>整体方案，</w:t>
            </w:r>
            <w:r>
              <w:rPr>
                <w:rFonts w:ascii="宋体" w:eastAsia="宋体" w:hAnsi="宋体" w:cs="宋体" w:hint="eastAsia"/>
                <w:bCs/>
                <w:sz w:val="21"/>
                <w:szCs w:val="21"/>
                <w:lang w:val="en-US" w:eastAsia="zh-CN"/>
              </w:rPr>
              <w:t>包括但不限于：</w:t>
            </w:r>
          </w:p>
          <w:p>
            <w:pPr>
              <w:numPr>
                <w:ilvl w:val="0"/>
                <w:numId w:val="7"/>
              </w:numPr>
              <w:wordWrap w:val="0"/>
              <w:spacing w:line="240" w:lineRule="auto"/>
              <w:rPr>
                <w:rFonts w:ascii="宋体" w:eastAsia="宋体" w:hAnsi="宋体" w:cs="宋体" w:hint="eastAsia"/>
                <w:bCs/>
                <w:sz w:val="21"/>
                <w:szCs w:val="21"/>
                <w:highlight w:val="none"/>
                <w:lang w:val="en-US" w:eastAsia="zh-CN"/>
              </w:rPr>
            </w:pPr>
            <w:r>
              <w:rPr>
                <w:rFonts w:ascii="宋体" w:eastAsia="宋体" w:hAnsi="宋体" w:cs="宋体" w:hint="eastAsia"/>
                <w:bCs/>
                <w:sz w:val="21"/>
                <w:szCs w:val="21"/>
                <w:highlight w:val="none"/>
                <w:lang w:val="en-US" w:eastAsia="zh-CN"/>
              </w:rPr>
              <w:t>建设方案；</w:t>
            </w:r>
          </w:p>
          <w:p>
            <w:pPr>
              <w:numPr>
                <w:ilvl w:val="0"/>
                <w:numId w:val="7"/>
              </w:numPr>
              <w:wordWrap w:val="0"/>
              <w:spacing w:line="240" w:lineRule="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实施方案；</w:t>
            </w:r>
          </w:p>
          <w:p>
            <w:pPr>
              <w:wordWrap w:val="0"/>
              <w:spacing w:line="240" w:lineRule="auto"/>
              <w:rPr>
                <w:rFonts w:ascii="宋体" w:eastAsia="宋体" w:hAnsi="宋体" w:cs="宋体" w:hint="eastAsia"/>
                <w:bCs/>
                <w:sz w:val="21"/>
                <w:szCs w:val="21"/>
              </w:rPr>
            </w:pPr>
            <w:r>
              <w:rPr>
                <w:rFonts w:ascii="宋体" w:eastAsia="宋体" w:hAnsi="宋体" w:cs="宋体" w:hint="eastAsia"/>
                <w:bCs/>
                <w:sz w:val="21"/>
                <w:szCs w:val="21"/>
                <w:lang w:val="en-US" w:eastAsia="zh-CN"/>
              </w:rPr>
              <w:t>3、</w:t>
            </w:r>
            <w:r>
              <w:rPr>
                <w:rFonts w:ascii="宋体" w:eastAsia="宋体" w:hAnsi="宋体" w:cs="宋体" w:hint="eastAsia"/>
                <w:bCs/>
                <w:sz w:val="21"/>
                <w:szCs w:val="21"/>
              </w:rPr>
              <w:t>测试方案；</w:t>
            </w:r>
          </w:p>
          <w:p>
            <w:pPr>
              <w:wordWrap w:val="0"/>
              <w:spacing w:line="240" w:lineRule="auto"/>
              <w:rPr>
                <w:rFonts w:ascii="宋体" w:eastAsia="宋体" w:hAnsi="宋体" w:cs="宋体" w:hint="eastAsia"/>
                <w:bCs/>
                <w:sz w:val="21"/>
                <w:szCs w:val="21"/>
              </w:rPr>
            </w:pPr>
            <w:r>
              <w:rPr>
                <w:rFonts w:ascii="宋体" w:eastAsia="宋体" w:hAnsi="宋体" w:cs="宋体" w:hint="eastAsia"/>
                <w:bCs/>
                <w:sz w:val="21"/>
                <w:szCs w:val="21"/>
                <w:lang w:val="en-US" w:eastAsia="zh-CN"/>
              </w:rPr>
              <w:t>4、</w:t>
            </w:r>
            <w:r>
              <w:rPr>
                <w:rFonts w:ascii="宋体" w:eastAsia="宋体" w:hAnsi="宋体" w:cs="宋体" w:hint="eastAsia"/>
                <w:bCs/>
                <w:sz w:val="21"/>
                <w:szCs w:val="21"/>
              </w:rPr>
              <w:t>接口设计；</w:t>
            </w:r>
          </w:p>
          <w:p>
            <w:pPr>
              <w:wordWrap/>
              <w:spacing w:line="240" w:lineRule="auto"/>
              <w:rPr>
                <w:rFonts w:ascii="宋体" w:eastAsia="宋体" w:hAnsi="宋体" w:cs="宋体" w:hint="eastAsia"/>
                <w:bCs/>
                <w:sz w:val="21"/>
                <w:szCs w:val="21"/>
                <w:lang w:eastAsia="zh-CN"/>
              </w:rPr>
            </w:pPr>
            <w:r>
              <w:rPr>
                <w:rFonts w:ascii="宋体" w:eastAsia="宋体" w:hAnsi="宋体" w:cs="宋体" w:hint="eastAsia"/>
                <w:bCs/>
                <w:sz w:val="21"/>
                <w:szCs w:val="21"/>
                <w:lang w:val="en-US" w:eastAsia="zh-CN"/>
              </w:rPr>
              <w:t>5</w:t>
            </w:r>
            <w:r>
              <w:rPr>
                <w:rFonts w:ascii="宋体" w:eastAsia="宋体" w:hAnsi="宋体" w:cs="宋体" w:hint="eastAsia"/>
                <w:bCs/>
                <w:sz w:val="21"/>
                <w:szCs w:val="21"/>
              </w:rPr>
              <w:t>、安全设计</w:t>
            </w:r>
            <w:r>
              <w:rPr>
                <w:rFonts w:ascii="宋体" w:eastAsia="宋体" w:hAnsi="宋体" w:cs="宋体" w:hint="eastAsia"/>
                <w:bCs/>
                <w:sz w:val="21"/>
                <w:szCs w:val="21"/>
                <w:lang w:eastAsia="zh-CN"/>
              </w:rPr>
              <w:t>；</w:t>
            </w:r>
          </w:p>
          <w:p>
            <w:pPr>
              <w:wordWrap w:val="0"/>
              <w:spacing w:line="240" w:lineRule="auto"/>
              <w:rPr>
                <w:rFonts w:ascii="宋体" w:eastAsia="宋体" w:hAnsi="宋体" w:cs="宋体" w:hint="eastAsia"/>
                <w:bCs/>
                <w:sz w:val="21"/>
                <w:szCs w:val="21"/>
                <w:highlight w:val="none"/>
                <w:lang w:val="en-US" w:eastAsia="zh-CN"/>
              </w:rPr>
            </w:pPr>
            <w:r>
              <w:rPr>
                <w:rFonts w:ascii="宋体" w:eastAsia="宋体" w:hAnsi="宋体" w:cs="宋体" w:hint="eastAsia"/>
                <w:bCs/>
                <w:sz w:val="21"/>
                <w:szCs w:val="21"/>
                <w:lang w:val="en-US" w:eastAsia="zh-CN"/>
              </w:rPr>
              <w:t>6</w:t>
            </w:r>
            <w:r>
              <w:rPr>
                <w:rFonts w:ascii="宋体" w:eastAsia="宋体" w:hAnsi="宋体" w:cs="宋体" w:hint="eastAsia"/>
                <w:bCs/>
                <w:sz w:val="21"/>
                <w:szCs w:val="21"/>
                <w:highlight w:val="none"/>
                <w:lang w:val="en-US" w:eastAsia="zh-CN"/>
              </w:rPr>
              <w:t>、应急方案。</w:t>
            </w:r>
          </w:p>
          <w:p>
            <w:pPr>
              <w:wordWrap w:val="0"/>
              <w:spacing w:line="240" w:lineRule="auto"/>
              <w:rPr>
                <w:rFonts w:ascii="宋体" w:eastAsia="宋体" w:hAnsi="宋体" w:cs="宋体" w:hint="eastAsia"/>
                <w:b/>
                <w:sz w:val="21"/>
                <w:szCs w:val="21"/>
                <w:highlight w:val="none"/>
                <w:lang w:eastAsia="zh-CN"/>
              </w:rPr>
            </w:pPr>
            <w:r>
              <w:rPr>
                <w:rFonts w:ascii="宋体" w:eastAsia="宋体" w:hAnsi="宋体" w:cs="宋体" w:hint="eastAsia"/>
                <w:b/>
                <w:sz w:val="21"/>
                <w:szCs w:val="21"/>
                <w:highlight w:val="none"/>
              </w:rPr>
              <w:t>（二）评分依据：</w:t>
            </w:r>
          </w:p>
          <w:p>
            <w:pPr>
              <w:wordWrap w:val="0"/>
              <w:spacing w:line="240" w:lineRule="auto"/>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rPr>
              <w:t>1.每提供以上任意一项得</w:t>
            </w:r>
            <w:r>
              <w:rPr>
                <w:rFonts w:ascii="宋体" w:hAnsi="宋体" w:cs="宋体" w:hint="eastAsia"/>
                <w:sz w:val="21"/>
                <w:szCs w:val="21"/>
                <w:highlight w:val="none"/>
                <w:lang w:val="en-US" w:eastAsia="zh-CN"/>
              </w:rPr>
              <w:t>10</w:t>
            </w:r>
            <w:r>
              <w:rPr>
                <w:rFonts w:ascii="宋体" w:eastAsia="宋体" w:hAnsi="宋体" w:cs="宋体" w:hint="eastAsia"/>
                <w:sz w:val="21"/>
                <w:szCs w:val="21"/>
                <w:highlight w:val="none"/>
              </w:rPr>
              <w:t>分，全部提供得</w:t>
            </w:r>
            <w:r>
              <w:rPr>
                <w:rFonts w:ascii="宋体" w:hAnsi="宋体" w:cs="宋体" w:hint="eastAsia"/>
                <w:sz w:val="21"/>
                <w:szCs w:val="21"/>
                <w:highlight w:val="none"/>
                <w:lang w:val="en-US" w:eastAsia="zh-CN"/>
              </w:rPr>
              <w:t>60</w:t>
            </w:r>
            <w:r>
              <w:rPr>
                <w:rFonts w:ascii="宋体" w:eastAsia="宋体" w:hAnsi="宋体" w:cs="宋体" w:hint="eastAsia"/>
                <w:sz w:val="21"/>
                <w:szCs w:val="21"/>
                <w:highlight w:val="none"/>
              </w:rPr>
              <w:t>分</w:t>
            </w: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本小项最高得</w:t>
            </w:r>
            <w:r>
              <w:rPr>
                <w:rFonts w:ascii="宋体" w:hAnsi="宋体" w:cs="宋体" w:hint="eastAsia"/>
                <w:sz w:val="21"/>
                <w:szCs w:val="21"/>
                <w:highlight w:val="none"/>
                <w:lang w:val="en-US" w:eastAsia="zh-CN"/>
              </w:rPr>
              <w:t>60</w:t>
            </w:r>
            <w:r>
              <w:rPr>
                <w:rFonts w:ascii="宋体" w:eastAsia="宋体" w:hAnsi="宋体" w:cs="宋体" w:hint="eastAsia"/>
                <w:sz w:val="21"/>
                <w:szCs w:val="21"/>
                <w:highlight w:val="none"/>
                <w:lang w:val="en-US" w:eastAsia="zh-CN"/>
              </w:rPr>
              <w:t>分。</w:t>
            </w:r>
          </w:p>
          <w:p>
            <w:pPr>
              <w:wordWrap w:val="0"/>
              <w:spacing w:line="240" w:lineRule="auto"/>
              <w:rPr>
                <w:rFonts w:ascii="宋体" w:eastAsia="宋体" w:hAnsi="宋体" w:cs="宋体" w:hint="eastAsia"/>
                <w:sz w:val="21"/>
                <w:szCs w:val="21"/>
                <w:highlight w:val="none"/>
              </w:rPr>
            </w:pPr>
            <w:r>
              <w:rPr>
                <w:rFonts w:ascii="宋体" w:eastAsia="宋体" w:hAnsi="宋体" w:cs="宋体" w:hint="eastAsia"/>
                <w:sz w:val="21"/>
                <w:szCs w:val="21"/>
                <w:highlight w:val="none"/>
              </w:rPr>
              <w:t>2.在此基础上，专家根据各投标人的具体响应内容评审。</w:t>
            </w:r>
          </w:p>
          <w:p>
            <w:pPr>
              <w:wordWrap w:val="0"/>
              <w:spacing w:line="240" w:lineRule="auto"/>
              <w:rPr>
                <w:rFonts w:ascii="宋体" w:eastAsia="宋体" w:hAnsi="宋体" w:cs="宋体" w:hint="eastAsia"/>
                <w:sz w:val="21"/>
                <w:szCs w:val="21"/>
                <w:highlight w:val="none"/>
              </w:rPr>
            </w:pPr>
            <w:r>
              <w:rPr>
                <w:rFonts w:ascii="宋体" w:eastAsia="宋体" w:hAnsi="宋体" w:cs="宋体" w:hint="eastAsia"/>
                <w:sz w:val="21"/>
                <w:szCs w:val="21"/>
                <w:highlight w:val="none"/>
              </w:rPr>
              <w:t>(1)评审为优：方案整体科学合理、针对性强、可操作性强，</w:t>
            </w:r>
            <w:r>
              <w:rPr>
                <w:rFonts w:ascii="宋体" w:hAnsi="宋体" w:cs="宋体" w:hint="eastAsia"/>
                <w:sz w:val="21"/>
                <w:szCs w:val="21"/>
                <w:highlight w:val="none"/>
                <w:lang w:val="en-US" w:eastAsia="zh-CN"/>
              </w:rPr>
              <w:t>得40</w:t>
            </w:r>
            <w:r>
              <w:rPr>
                <w:rFonts w:ascii="宋体" w:eastAsia="宋体" w:hAnsi="宋体" w:cs="宋体" w:hint="eastAsia"/>
                <w:sz w:val="21"/>
                <w:szCs w:val="21"/>
                <w:highlight w:val="none"/>
              </w:rPr>
              <w:t>分；</w:t>
            </w:r>
          </w:p>
          <w:p>
            <w:pPr>
              <w:wordWrap w:val="0"/>
              <w:spacing w:line="240" w:lineRule="auto"/>
              <w:rPr>
                <w:rFonts w:ascii="宋体" w:eastAsia="宋体" w:hAnsi="宋体" w:cs="宋体" w:hint="eastAsia"/>
                <w:sz w:val="21"/>
                <w:szCs w:val="21"/>
                <w:highlight w:val="none"/>
              </w:rPr>
            </w:pPr>
            <w:r>
              <w:rPr>
                <w:rFonts w:ascii="宋体" w:eastAsia="宋体" w:hAnsi="宋体" w:cs="宋体" w:hint="eastAsia"/>
                <w:sz w:val="21"/>
                <w:szCs w:val="21"/>
                <w:highlight w:val="none"/>
              </w:rPr>
              <w:t>(2)评审为良：方案较合理、有一定针对性、一定可操作性，</w:t>
            </w:r>
            <w:r>
              <w:rPr>
                <w:rFonts w:ascii="宋体" w:hAnsi="宋体" w:cs="宋体" w:hint="eastAsia"/>
                <w:sz w:val="21"/>
                <w:szCs w:val="21"/>
                <w:highlight w:val="none"/>
                <w:lang w:val="en-US" w:eastAsia="zh-CN"/>
              </w:rPr>
              <w:t>得30</w:t>
            </w:r>
            <w:r>
              <w:rPr>
                <w:rFonts w:ascii="宋体" w:eastAsia="宋体" w:hAnsi="宋体" w:cs="宋体" w:hint="eastAsia"/>
                <w:sz w:val="21"/>
                <w:szCs w:val="21"/>
                <w:highlight w:val="none"/>
              </w:rPr>
              <w:t>分；</w:t>
            </w:r>
          </w:p>
          <w:p>
            <w:pPr>
              <w:wordWrap w:val="0"/>
              <w:spacing w:line="240" w:lineRule="auto"/>
              <w:rPr>
                <w:rFonts w:ascii="宋体" w:eastAsia="宋体" w:hAnsi="宋体" w:cs="宋体" w:hint="eastAsia"/>
                <w:sz w:val="21"/>
                <w:szCs w:val="21"/>
                <w:highlight w:val="none"/>
              </w:rPr>
            </w:pPr>
            <w:r>
              <w:rPr>
                <w:rFonts w:ascii="宋体" w:eastAsia="宋体" w:hAnsi="宋体" w:cs="宋体" w:hint="eastAsia"/>
                <w:sz w:val="21"/>
                <w:szCs w:val="21"/>
                <w:highlight w:val="none"/>
              </w:rPr>
              <w:t>(3)评审为中：方案不尽合理、针对性一般、可操作性一般，</w:t>
            </w:r>
            <w:r>
              <w:rPr>
                <w:rFonts w:ascii="宋体" w:hAnsi="宋体" w:cs="宋体" w:hint="eastAsia"/>
                <w:sz w:val="21"/>
                <w:szCs w:val="21"/>
                <w:highlight w:val="none"/>
                <w:lang w:val="en-US" w:eastAsia="zh-CN"/>
              </w:rPr>
              <w:t>得1</w:t>
            </w:r>
            <w:r>
              <w:rPr>
                <w:rFonts w:ascii="宋体" w:eastAsia="宋体" w:hAnsi="宋体" w:cs="宋体" w:hint="eastAsia"/>
                <w:sz w:val="21"/>
                <w:szCs w:val="21"/>
                <w:highlight w:val="none"/>
                <w:lang w:val="en-US" w:eastAsia="zh-CN"/>
              </w:rPr>
              <w:t>0</w:t>
            </w:r>
            <w:r>
              <w:rPr>
                <w:rFonts w:ascii="宋体" w:eastAsia="宋体" w:hAnsi="宋体" w:cs="宋体" w:hint="eastAsia"/>
                <w:sz w:val="21"/>
                <w:szCs w:val="21"/>
                <w:highlight w:val="none"/>
              </w:rPr>
              <w:t>分；</w:t>
            </w:r>
          </w:p>
          <w:p>
            <w:pPr>
              <w:wordWrap w:val="0"/>
              <w:spacing w:line="240" w:lineRule="auto"/>
              <w:rPr>
                <w:rFonts w:eastAsia="宋体" w:asciiTheme="minorEastAsia" w:hAnsiTheme="minorEastAsia" w:cs="宋体"/>
                <w:kern w:val="2"/>
                <w:sz w:val="21"/>
                <w:szCs w:val="21"/>
                <w:lang w:val="en-US" w:eastAsia="zh-CN" w:bidi="ar-SA"/>
              </w:rPr>
            </w:pPr>
            <w:r>
              <w:rPr>
                <w:rFonts w:ascii="宋体" w:eastAsia="宋体" w:hAnsi="宋体" w:cs="宋体" w:hint="eastAsia"/>
                <w:sz w:val="21"/>
                <w:szCs w:val="21"/>
              </w:rPr>
              <w:t>(4)评审为差：方案不合理、无针对性、无可操作性，不</w:t>
            </w:r>
            <w:r>
              <w:rPr>
                <w:rFonts w:ascii="宋体" w:hAnsi="宋体" w:cs="宋体" w:hint="eastAsia"/>
                <w:sz w:val="21"/>
                <w:szCs w:val="21"/>
                <w:lang w:val="en-US" w:eastAsia="zh-CN"/>
              </w:rPr>
              <w:t>得</w:t>
            </w:r>
            <w:r>
              <w:rPr>
                <w:rFonts w:ascii="宋体" w:eastAsia="宋体" w:hAnsi="宋体" w:cs="宋体" w:hint="eastAsia"/>
                <w:sz w:val="21"/>
                <w:szCs w:val="21"/>
              </w:rPr>
              <w:t>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76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ordWrap w:val="0"/>
              <w:jc w:val="center"/>
              <w:rPr>
                <w:rFonts w:eastAsia="宋体" w:asciiTheme="minorEastAsia" w:hAnsiTheme="minorEastAsia" w:cs="Times New Roman"/>
                <w:b/>
                <w:kern w:val="2"/>
                <w:sz w:val="21"/>
                <w:szCs w:val="21"/>
                <w:lang w:val="en-US" w:eastAsia="zh-CN" w:bidi="ar-SA"/>
              </w:rPr>
            </w:pPr>
            <w:r>
              <w:rPr>
                <w:rFonts w:ascii="宋体" w:eastAsia="宋体" w:hAnsi="宋体" w:cs="宋体" w:hint="eastAsia"/>
                <w:i w:val="0"/>
                <w:iCs w:val="0"/>
                <w:color w:val="000000"/>
                <w:kern w:val="0"/>
                <w:sz w:val="21"/>
                <w:szCs w:val="21"/>
                <w:u w:val="none"/>
                <w:lang w:val="en-US" w:eastAsia="zh-CN"/>
              </w:rPr>
              <w:t>技术支持及售后运维服务方案</w:t>
            </w:r>
          </w:p>
        </w:tc>
        <w:tc>
          <w:tcPr>
            <w:tcW w:w="623" w:type="dxa"/>
            <w:tcBorders>
              <w:top w:val="single" w:sz="8" w:space="0" w:color="000000"/>
              <w:left w:val="single" w:sz="8" w:space="0" w:color="000000"/>
              <w:bottom w:val="single" w:sz="8" w:space="0" w:color="000000"/>
              <w:right w:val="single" w:sz="8" w:space="0" w:color="000000"/>
            </w:tcBorders>
            <w:shd w:val="clear" w:color="auto" w:fill="FFFFFF"/>
            <w:vAlign w:val="center"/>
          </w:tcPr>
          <w:p>
            <w:pPr>
              <w:wordWrap w:val="0"/>
              <w:jc w:val="center"/>
              <w:rPr>
                <w:rFonts w:eastAsia="宋体" w:asciiTheme="minorEastAsia" w:hAnsiTheme="minorEastAsia" w:cs="Times New Roman"/>
                <w:kern w:val="2"/>
                <w:sz w:val="21"/>
                <w:szCs w:val="21"/>
                <w:lang w:val="en-US" w:eastAsia="zh-CN" w:bidi="ar-SA"/>
              </w:rPr>
            </w:pPr>
            <w:r>
              <w:rPr>
                <w:rFonts w:ascii="宋体" w:hAnsi="宋体" w:cs="宋体" w:hint="eastAsia"/>
                <w:szCs w:val="21"/>
                <w:lang w:val="en-US" w:eastAsia="zh-CN"/>
              </w:rPr>
              <w:t>9</w:t>
            </w:r>
          </w:p>
        </w:tc>
        <w:tc>
          <w:tcPr>
            <w:tcW w:w="6324" w:type="dxa"/>
            <w:tcBorders>
              <w:top w:val="single" w:sz="8" w:space="0" w:color="000000"/>
              <w:left w:val="single" w:sz="8" w:space="0" w:color="000000"/>
              <w:bottom w:val="single" w:sz="8" w:space="0" w:color="000000"/>
              <w:right w:val="single" w:sz="8" w:space="0" w:color="000000"/>
            </w:tcBorders>
            <w:shd w:val="clear" w:color="auto" w:fill="FFFFFF"/>
            <w:vAlign w:val="top"/>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b/>
                <w:bCs/>
                <w:i w:val="0"/>
                <w:iCs w:val="0"/>
                <w:color w:val="auto"/>
                <w:kern w:val="0"/>
                <w:sz w:val="21"/>
                <w:szCs w:val="21"/>
                <w:u w:val="none"/>
                <w:lang w:val="en-US" w:eastAsia="zh-CN"/>
              </w:rPr>
              <w:t>（一）评分内容：</w:t>
            </w:r>
            <w:r>
              <w:rPr>
                <w:rFonts w:ascii="宋体" w:eastAsia="宋体" w:hAnsi="宋体" w:cs="宋体" w:hint="eastAsia"/>
                <w:i w:val="0"/>
                <w:iCs w:val="0"/>
                <w:color w:val="auto"/>
                <w:kern w:val="0"/>
                <w:sz w:val="21"/>
                <w:szCs w:val="21"/>
                <w:u w:val="none"/>
                <w:lang w:val="en-US" w:eastAsia="zh-CN"/>
              </w:rPr>
              <w:br/>
            </w:r>
            <w:r>
              <w:rPr>
                <w:rFonts w:ascii="宋体" w:eastAsia="宋体" w:hAnsi="宋体" w:cs="宋体" w:hint="eastAsia"/>
                <w:i w:val="0"/>
                <w:iCs w:val="0"/>
                <w:color w:val="auto"/>
                <w:kern w:val="0"/>
                <w:sz w:val="21"/>
                <w:szCs w:val="21"/>
                <w:u w:val="none"/>
                <w:lang w:val="en-US" w:eastAsia="zh-CN"/>
              </w:rPr>
              <w:t>针对本项目提供</w:t>
            </w:r>
            <w:r>
              <w:rPr>
                <w:rFonts w:ascii="宋体" w:eastAsia="宋体" w:hAnsi="宋体" w:cs="宋体" w:hint="eastAsia"/>
                <w:i w:val="0"/>
                <w:iCs w:val="0"/>
                <w:color w:val="000000"/>
                <w:kern w:val="0"/>
                <w:sz w:val="21"/>
                <w:szCs w:val="21"/>
                <w:u w:val="none"/>
                <w:lang w:val="en-US" w:eastAsia="zh-CN"/>
              </w:rPr>
              <w:t>技术支持及</w:t>
            </w:r>
            <w:r>
              <w:rPr>
                <w:rFonts w:ascii="宋体" w:eastAsia="宋体" w:hAnsi="宋体" w:cs="宋体" w:hint="eastAsia"/>
                <w:i w:val="0"/>
                <w:iCs w:val="0"/>
                <w:color w:val="auto"/>
                <w:kern w:val="0"/>
                <w:sz w:val="21"/>
                <w:szCs w:val="21"/>
                <w:u w:val="none"/>
                <w:lang w:val="en-US" w:eastAsia="zh-CN"/>
              </w:rPr>
              <w:t>售后服务方案，包括但不限于：</w:t>
            </w:r>
          </w:p>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1.本地化服务方案；</w:t>
            </w:r>
          </w:p>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2.专业化人员配备；</w:t>
            </w:r>
          </w:p>
          <w:p>
            <w:pPr>
              <w:keepNext w:val="0"/>
              <w:keepLines w:val="0"/>
              <w:widowControl/>
              <w:suppressLineNumbers w:val="0"/>
              <w:jc w:val="left"/>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3.服务内容、响应时间、故障处理、服务质量保证等内容。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leftChars="0" w:rightChars="0"/>
              <w:jc w:val="both"/>
              <w:textAlignment w:val="auto"/>
              <w:rPr>
                <w:rFonts w:ascii="宋体" w:eastAsia="宋体" w:hAnsi="宋体" w:cs="宋体" w:hint="eastAsia"/>
                <w:i w:val="0"/>
                <w:iCs w:val="0"/>
                <w:color w:val="auto"/>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w:t>
            </w:r>
            <w:r>
              <w:rPr>
                <w:rFonts w:ascii="宋体" w:eastAsia="宋体" w:hAnsi="宋体" w:cs="宋体" w:hint="eastAsia"/>
                <w:i w:val="0"/>
                <w:iCs w:val="0"/>
                <w:color w:val="auto"/>
                <w:kern w:val="0"/>
                <w:sz w:val="21"/>
                <w:szCs w:val="21"/>
                <w:u w:val="none"/>
                <w:lang w:val="en-US" w:eastAsia="zh-CN"/>
              </w:rPr>
              <w:t>二）</w:t>
            </w:r>
            <w:r>
              <w:rPr>
                <w:rFonts w:ascii="宋体" w:eastAsia="宋体" w:hAnsi="宋体" w:cs="宋体" w:hint="eastAsia"/>
                <w:b/>
                <w:sz w:val="21"/>
                <w:szCs w:val="21"/>
              </w:rPr>
              <w:t>评分依据：</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leftChars="0" w:rightChars="0"/>
              <w:jc w:val="both"/>
              <w:textAlignment w:val="auto"/>
              <w:rPr>
                <w:rFonts w:ascii="宋体" w:eastAsia="宋体" w:hAnsi="宋体" w:cs="宋体" w:hint="eastAsia"/>
                <w:sz w:val="21"/>
                <w:szCs w:val="21"/>
              </w:rPr>
            </w:pPr>
            <w:r>
              <w:rPr>
                <w:rFonts w:ascii="宋体" w:eastAsia="宋体" w:hAnsi="宋体" w:cs="宋体" w:hint="eastAsia"/>
                <w:bCs/>
                <w:color w:val="auto"/>
                <w:kern w:val="0"/>
                <w:sz w:val="21"/>
                <w:szCs w:val="21"/>
                <w:highlight w:val="none"/>
                <w:lang w:val="en-US" w:eastAsia="zh-CN"/>
              </w:rPr>
              <w:t>1.</w:t>
            </w:r>
            <w:r>
              <w:rPr>
                <w:rFonts w:ascii="宋体" w:eastAsia="宋体" w:hAnsi="宋体" w:cs="宋体" w:hint="eastAsia"/>
                <w:sz w:val="21"/>
                <w:szCs w:val="21"/>
              </w:rPr>
              <w:t>每提供以上任意一项得</w:t>
            </w:r>
            <w:r>
              <w:rPr>
                <w:rFonts w:ascii="宋体" w:hAnsi="宋体" w:cs="宋体" w:hint="eastAsia"/>
                <w:sz w:val="21"/>
                <w:szCs w:val="21"/>
                <w:lang w:val="en-US" w:eastAsia="zh-CN"/>
              </w:rPr>
              <w:t>20</w:t>
            </w:r>
            <w:r>
              <w:rPr>
                <w:rFonts w:ascii="宋体" w:eastAsia="宋体" w:hAnsi="宋体" w:cs="宋体" w:hint="eastAsia"/>
                <w:sz w:val="21"/>
                <w:szCs w:val="21"/>
              </w:rPr>
              <w:t>分，全部提供得</w:t>
            </w:r>
            <w:r>
              <w:rPr>
                <w:rFonts w:ascii="宋体" w:hAnsi="宋体" w:cs="宋体" w:hint="eastAsia"/>
                <w:sz w:val="21"/>
                <w:szCs w:val="21"/>
                <w:lang w:val="en-US" w:eastAsia="zh-CN"/>
              </w:rPr>
              <w:t>60</w:t>
            </w:r>
            <w:r>
              <w:rPr>
                <w:rFonts w:ascii="宋体" w:eastAsia="宋体" w:hAnsi="宋体" w:cs="宋体" w:hint="eastAsia"/>
                <w:sz w:val="21"/>
                <w:szCs w:val="21"/>
              </w:rPr>
              <w:t>分</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本小项最高得</w:t>
            </w:r>
            <w:r>
              <w:rPr>
                <w:rFonts w:ascii="宋体" w:hAnsi="宋体" w:cs="宋体" w:hint="eastAsia"/>
                <w:sz w:val="21"/>
                <w:szCs w:val="21"/>
                <w:lang w:val="en-US" w:eastAsia="zh-CN"/>
              </w:rPr>
              <w:t>60</w:t>
            </w:r>
            <w:r>
              <w:rPr>
                <w:rFonts w:ascii="宋体" w:eastAsia="宋体" w:hAnsi="宋体" w:cs="宋体" w:hint="eastAsia"/>
                <w:sz w:val="21"/>
                <w:szCs w:val="21"/>
                <w:lang w:val="en-US" w:eastAsia="zh-CN"/>
              </w:rPr>
              <w:t>分；</w:t>
            </w:r>
          </w:p>
          <w:p>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240" w:lineRule="auto"/>
              <w:ind w:left="0" w:right="0" w:firstLine="0" w:leftChars="0" w:rightChars="0"/>
              <w:jc w:val="left"/>
              <w:textAlignment w:val="auto"/>
              <w:rPr>
                <w:rFonts w:ascii="宋体" w:eastAsia="宋体" w:hAnsi="宋体" w:cs="宋体" w:hint="eastAsia"/>
                <w:bCs/>
                <w:color w:val="auto"/>
                <w:kern w:val="0"/>
                <w:sz w:val="21"/>
                <w:szCs w:val="21"/>
                <w:highlight w:val="none"/>
                <w:lang w:val="en-US" w:eastAsia="zh-CN"/>
              </w:rPr>
            </w:pPr>
            <w:r>
              <w:rPr>
                <w:rFonts w:ascii="宋体" w:eastAsia="宋体" w:hAnsi="宋体" w:cs="宋体" w:hint="eastAsia"/>
                <w:sz w:val="21"/>
                <w:szCs w:val="21"/>
              </w:rPr>
              <w:t>2.在此基础上，专家根据各投标人的具体响应内容评审。</w:t>
            </w:r>
          </w:p>
          <w:p>
            <w:pPr>
              <w:wordWrap w:val="0"/>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auto"/>
                <w:kern w:val="0"/>
                <w:sz w:val="21"/>
                <w:szCs w:val="21"/>
                <w:u w:val="none"/>
                <w:lang w:val="en-US" w:eastAsia="zh-CN"/>
              </w:rPr>
              <w:t>（1）</w:t>
            </w:r>
            <w:r>
              <w:rPr>
                <w:rFonts w:ascii="宋体" w:eastAsia="宋体" w:hAnsi="宋体" w:cs="宋体" w:hint="eastAsia"/>
                <w:i w:val="0"/>
                <w:iCs w:val="0"/>
                <w:color w:val="000000"/>
                <w:kern w:val="0"/>
                <w:sz w:val="21"/>
                <w:szCs w:val="21"/>
                <w:u w:val="none"/>
                <w:lang w:val="en-US" w:eastAsia="zh-CN"/>
              </w:rPr>
              <w:t>运行维护服务及技术支持方案、本地化服务及</w:t>
            </w:r>
            <w:r>
              <w:rPr>
                <w:rFonts w:ascii="宋体" w:eastAsia="宋体" w:hAnsi="宋体" w:cs="宋体" w:hint="eastAsia"/>
                <w:i w:val="0"/>
                <w:iCs w:val="0"/>
                <w:color w:val="auto"/>
                <w:kern w:val="0"/>
                <w:sz w:val="21"/>
                <w:szCs w:val="21"/>
                <w:u w:val="none"/>
                <w:lang w:val="en-US" w:eastAsia="zh-CN"/>
              </w:rPr>
              <w:t>配置维护人员完善，服务方案科学合理，针对性强的，</w:t>
            </w:r>
            <w:r>
              <w:rPr>
                <w:rFonts w:ascii="宋体" w:hAnsi="宋体" w:cs="宋体" w:hint="eastAsia"/>
                <w:i w:val="0"/>
                <w:iCs w:val="0"/>
                <w:color w:val="auto"/>
                <w:kern w:val="0"/>
                <w:sz w:val="21"/>
                <w:szCs w:val="21"/>
                <w:u w:val="none"/>
                <w:lang w:val="en-US" w:eastAsia="zh-CN"/>
              </w:rPr>
              <w:t>得40</w:t>
            </w:r>
            <w:r>
              <w:rPr>
                <w:rFonts w:ascii="宋体" w:eastAsia="宋体" w:hAnsi="宋体" w:cs="宋体" w:hint="eastAsia"/>
                <w:i w:val="0"/>
                <w:iCs w:val="0"/>
                <w:color w:val="auto"/>
                <w:kern w:val="0"/>
                <w:sz w:val="21"/>
                <w:szCs w:val="21"/>
                <w:u w:val="none"/>
                <w:lang w:val="en-US" w:eastAsia="zh-CN"/>
              </w:rPr>
              <w:t>分；</w:t>
            </w:r>
            <w:r>
              <w:rPr>
                <w:rFonts w:ascii="宋体" w:eastAsia="宋体" w:hAnsi="宋体" w:cs="宋体" w:hint="eastAsia"/>
                <w:i w:val="0"/>
                <w:iCs w:val="0"/>
                <w:color w:val="auto"/>
                <w:kern w:val="0"/>
                <w:sz w:val="21"/>
                <w:szCs w:val="21"/>
                <w:u w:val="none"/>
                <w:lang w:val="en-US" w:eastAsia="zh-CN"/>
              </w:rPr>
              <w:br/>
            </w:r>
            <w:r>
              <w:rPr>
                <w:rFonts w:ascii="宋体" w:eastAsia="宋体" w:hAnsi="宋体" w:cs="宋体" w:hint="eastAsia"/>
                <w:i w:val="0"/>
                <w:iCs w:val="0"/>
                <w:color w:val="auto"/>
                <w:kern w:val="0"/>
                <w:sz w:val="21"/>
                <w:szCs w:val="21"/>
                <w:u w:val="none"/>
                <w:lang w:val="en-US" w:eastAsia="zh-CN"/>
              </w:rPr>
              <w:t>（2）</w:t>
            </w:r>
            <w:r>
              <w:rPr>
                <w:rFonts w:ascii="宋体" w:eastAsia="宋体" w:hAnsi="宋体" w:cs="宋体" w:hint="eastAsia"/>
                <w:i w:val="0"/>
                <w:iCs w:val="0"/>
                <w:color w:val="000000"/>
                <w:kern w:val="0"/>
                <w:sz w:val="21"/>
                <w:szCs w:val="21"/>
                <w:u w:val="none"/>
                <w:lang w:val="en-US" w:eastAsia="zh-CN"/>
              </w:rPr>
              <w:t>运行维护服务及技术支持方案、本地化服务及</w:t>
            </w:r>
            <w:r>
              <w:rPr>
                <w:rFonts w:ascii="宋体" w:eastAsia="宋体" w:hAnsi="宋体" w:cs="宋体" w:hint="eastAsia"/>
                <w:i w:val="0"/>
                <w:iCs w:val="0"/>
                <w:color w:val="auto"/>
                <w:kern w:val="0"/>
                <w:sz w:val="21"/>
                <w:szCs w:val="21"/>
                <w:u w:val="none"/>
                <w:lang w:val="en-US" w:eastAsia="zh-CN"/>
              </w:rPr>
              <w:t>配置维护人员</w:t>
            </w:r>
            <w:r>
              <w:rPr>
                <w:rFonts w:ascii="宋体" w:hAnsi="宋体" w:cs="宋体" w:hint="eastAsia"/>
                <w:i w:val="0"/>
                <w:iCs w:val="0"/>
                <w:color w:val="auto"/>
                <w:kern w:val="0"/>
                <w:sz w:val="21"/>
                <w:szCs w:val="21"/>
                <w:u w:val="none"/>
                <w:lang w:val="en-US" w:eastAsia="zh-CN"/>
              </w:rPr>
              <w:t>较为</w:t>
            </w:r>
            <w:r>
              <w:rPr>
                <w:rFonts w:ascii="宋体" w:eastAsia="宋体" w:hAnsi="宋体" w:cs="宋体" w:hint="eastAsia"/>
                <w:i w:val="0"/>
                <w:iCs w:val="0"/>
                <w:color w:val="auto"/>
                <w:kern w:val="0"/>
                <w:sz w:val="21"/>
                <w:szCs w:val="21"/>
                <w:u w:val="none"/>
                <w:lang w:val="en-US" w:eastAsia="zh-CN"/>
              </w:rPr>
              <w:t>完善，服务方案科学</w:t>
            </w:r>
            <w:r>
              <w:rPr>
                <w:rFonts w:ascii="宋体" w:hAnsi="宋体" w:cs="宋体" w:hint="eastAsia"/>
                <w:i w:val="0"/>
                <w:iCs w:val="0"/>
                <w:color w:val="auto"/>
                <w:kern w:val="0"/>
                <w:sz w:val="21"/>
                <w:szCs w:val="21"/>
                <w:u w:val="none"/>
                <w:lang w:val="en-US" w:eastAsia="zh-CN"/>
              </w:rPr>
              <w:t>较为</w:t>
            </w:r>
            <w:r>
              <w:rPr>
                <w:rFonts w:ascii="宋体" w:eastAsia="宋体" w:hAnsi="宋体" w:cs="宋体" w:hint="eastAsia"/>
                <w:i w:val="0"/>
                <w:iCs w:val="0"/>
                <w:color w:val="auto"/>
                <w:kern w:val="0"/>
                <w:sz w:val="21"/>
                <w:szCs w:val="21"/>
                <w:u w:val="none"/>
                <w:lang w:val="en-US" w:eastAsia="zh-CN"/>
              </w:rPr>
              <w:t>合理，针对性</w:t>
            </w:r>
            <w:r>
              <w:rPr>
                <w:rFonts w:ascii="宋体" w:hAnsi="宋体" w:cs="宋体" w:hint="eastAsia"/>
                <w:i w:val="0"/>
                <w:iCs w:val="0"/>
                <w:color w:val="auto"/>
                <w:kern w:val="0"/>
                <w:sz w:val="21"/>
                <w:szCs w:val="21"/>
                <w:u w:val="none"/>
                <w:lang w:val="en-US" w:eastAsia="zh-CN"/>
              </w:rPr>
              <w:t>较</w:t>
            </w:r>
            <w:r>
              <w:rPr>
                <w:rFonts w:ascii="宋体" w:eastAsia="宋体" w:hAnsi="宋体" w:cs="宋体" w:hint="eastAsia"/>
                <w:i w:val="0"/>
                <w:iCs w:val="0"/>
                <w:color w:val="auto"/>
                <w:kern w:val="0"/>
                <w:sz w:val="21"/>
                <w:szCs w:val="21"/>
                <w:u w:val="none"/>
                <w:lang w:val="en-US" w:eastAsia="zh-CN"/>
              </w:rPr>
              <w:t>强的，</w:t>
            </w:r>
            <w:r>
              <w:rPr>
                <w:rFonts w:ascii="宋体" w:hAnsi="宋体" w:cs="宋体" w:hint="eastAsia"/>
                <w:i w:val="0"/>
                <w:iCs w:val="0"/>
                <w:color w:val="auto"/>
                <w:kern w:val="0"/>
                <w:sz w:val="21"/>
                <w:szCs w:val="21"/>
                <w:u w:val="none"/>
                <w:lang w:val="en-US" w:eastAsia="zh-CN"/>
              </w:rPr>
              <w:t>得</w:t>
            </w:r>
            <w:r>
              <w:rPr>
                <w:rFonts w:ascii="宋体" w:eastAsia="宋体" w:hAnsi="宋体" w:cs="宋体" w:hint="eastAsia"/>
                <w:i w:val="0"/>
                <w:iCs w:val="0"/>
                <w:color w:val="auto"/>
                <w:kern w:val="0"/>
                <w:sz w:val="21"/>
                <w:szCs w:val="21"/>
                <w:u w:val="none"/>
                <w:lang w:val="en-US" w:eastAsia="zh-CN"/>
              </w:rPr>
              <w:t>30分；</w:t>
            </w:r>
            <w:r>
              <w:rPr>
                <w:rFonts w:ascii="宋体" w:eastAsia="宋体" w:hAnsi="宋体" w:cs="宋体" w:hint="eastAsia"/>
                <w:i w:val="0"/>
                <w:iCs w:val="0"/>
                <w:color w:val="auto"/>
                <w:kern w:val="0"/>
                <w:sz w:val="21"/>
                <w:szCs w:val="21"/>
                <w:u w:val="none"/>
                <w:lang w:val="en-US" w:eastAsia="zh-CN"/>
              </w:rPr>
              <w:br/>
            </w:r>
            <w:r>
              <w:rPr>
                <w:rFonts w:ascii="宋体" w:eastAsia="宋体" w:hAnsi="宋体" w:cs="宋体" w:hint="eastAsia"/>
                <w:i w:val="0"/>
                <w:iCs w:val="0"/>
                <w:color w:val="auto"/>
                <w:kern w:val="0"/>
                <w:sz w:val="21"/>
                <w:szCs w:val="21"/>
                <w:u w:val="none"/>
                <w:lang w:val="en-US" w:eastAsia="zh-CN"/>
              </w:rPr>
              <w:t>（3）</w:t>
            </w:r>
            <w:r>
              <w:rPr>
                <w:rFonts w:ascii="宋体" w:eastAsia="宋体" w:hAnsi="宋体" w:cs="宋体" w:hint="eastAsia"/>
                <w:i w:val="0"/>
                <w:iCs w:val="0"/>
                <w:color w:val="000000"/>
                <w:kern w:val="0"/>
                <w:sz w:val="21"/>
                <w:szCs w:val="21"/>
                <w:u w:val="none"/>
                <w:lang w:val="en-US" w:eastAsia="zh-CN"/>
              </w:rPr>
              <w:t>运行维护服务及技术支持方案、本地化服务及</w:t>
            </w:r>
            <w:r>
              <w:rPr>
                <w:rFonts w:ascii="宋体" w:eastAsia="宋体" w:hAnsi="宋体" w:cs="宋体" w:hint="eastAsia"/>
                <w:i w:val="0"/>
                <w:iCs w:val="0"/>
                <w:color w:val="auto"/>
                <w:kern w:val="0"/>
                <w:sz w:val="21"/>
                <w:szCs w:val="21"/>
                <w:u w:val="none"/>
                <w:lang w:val="en-US" w:eastAsia="zh-CN"/>
              </w:rPr>
              <w:t>配置维护人员完善</w:t>
            </w:r>
            <w:r>
              <w:rPr>
                <w:rFonts w:ascii="宋体" w:hAnsi="宋体" w:cs="宋体" w:hint="eastAsia"/>
                <w:i w:val="0"/>
                <w:iCs w:val="0"/>
                <w:color w:val="auto"/>
                <w:kern w:val="0"/>
                <w:sz w:val="21"/>
                <w:szCs w:val="21"/>
                <w:u w:val="none"/>
                <w:lang w:val="en-US" w:eastAsia="zh-CN"/>
              </w:rPr>
              <w:t>性一般</w:t>
            </w:r>
            <w:r>
              <w:rPr>
                <w:rFonts w:ascii="宋体" w:eastAsia="宋体" w:hAnsi="宋体" w:cs="宋体" w:hint="eastAsia"/>
                <w:i w:val="0"/>
                <w:iCs w:val="0"/>
                <w:color w:val="auto"/>
                <w:kern w:val="0"/>
                <w:sz w:val="21"/>
                <w:szCs w:val="21"/>
                <w:u w:val="none"/>
                <w:lang w:val="en-US" w:eastAsia="zh-CN"/>
              </w:rPr>
              <w:t>，服务方案科学合理</w:t>
            </w:r>
            <w:r>
              <w:rPr>
                <w:rFonts w:ascii="宋体" w:hAnsi="宋体" w:cs="宋体" w:hint="eastAsia"/>
                <w:i w:val="0"/>
                <w:iCs w:val="0"/>
                <w:color w:val="auto"/>
                <w:kern w:val="0"/>
                <w:sz w:val="21"/>
                <w:szCs w:val="21"/>
                <w:u w:val="none"/>
                <w:lang w:val="en-US" w:eastAsia="zh-CN"/>
              </w:rPr>
              <w:t>性一般</w:t>
            </w:r>
            <w:r>
              <w:rPr>
                <w:rFonts w:ascii="宋体" w:eastAsia="宋体" w:hAnsi="宋体" w:cs="宋体" w:hint="eastAsia"/>
                <w:i w:val="0"/>
                <w:iCs w:val="0"/>
                <w:color w:val="auto"/>
                <w:kern w:val="0"/>
                <w:sz w:val="21"/>
                <w:szCs w:val="21"/>
                <w:u w:val="none"/>
                <w:lang w:val="en-US" w:eastAsia="zh-CN"/>
              </w:rPr>
              <w:t>，针对性</w:t>
            </w:r>
            <w:r>
              <w:rPr>
                <w:rFonts w:ascii="宋体" w:hAnsi="宋体" w:cs="宋体" w:hint="eastAsia"/>
                <w:i w:val="0"/>
                <w:iCs w:val="0"/>
                <w:color w:val="auto"/>
                <w:kern w:val="0"/>
                <w:sz w:val="21"/>
                <w:szCs w:val="21"/>
                <w:u w:val="none"/>
                <w:lang w:val="en-US" w:eastAsia="zh-CN"/>
              </w:rPr>
              <w:t>一般的</w:t>
            </w:r>
            <w:r>
              <w:rPr>
                <w:rFonts w:ascii="宋体" w:eastAsia="宋体" w:hAnsi="宋体" w:cs="宋体" w:hint="eastAsia"/>
                <w:i w:val="0"/>
                <w:iCs w:val="0"/>
                <w:color w:val="auto"/>
                <w:kern w:val="0"/>
                <w:sz w:val="21"/>
                <w:szCs w:val="21"/>
                <w:u w:val="none"/>
                <w:lang w:val="en-US" w:eastAsia="zh-CN"/>
              </w:rPr>
              <w:t>，</w:t>
            </w:r>
            <w:r>
              <w:rPr>
                <w:rFonts w:ascii="宋体" w:hAnsi="宋体" w:cs="宋体" w:hint="eastAsia"/>
                <w:i w:val="0"/>
                <w:iCs w:val="0"/>
                <w:color w:val="auto"/>
                <w:kern w:val="0"/>
                <w:sz w:val="21"/>
                <w:szCs w:val="21"/>
                <w:u w:val="none"/>
                <w:lang w:val="en-US" w:eastAsia="zh-CN"/>
              </w:rPr>
              <w:t>得</w:t>
            </w:r>
            <w:r>
              <w:rPr>
                <w:rFonts w:ascii="宋体" w:eastAsia="宋体" w:hAnsi="宋体" w:cs="宋体" w:hint="eastAsia"/>
                <w:i w:val="0"/>
                <w:iCs w:val="0"/>
                <w:color w:val="auto"/>
                <w:kern w:val="0"/>
                <w:sz w:val="21"/>
                <w:szCs w:val="21"/>
                <w:u w:val="none"/>
                <w:lang w:val="en-US" w:eastAsia="zh-CN"/>
              </w:rPr>
              <w:t>10分</w:t>
            </w:r>
            <w:r>
              <w:rPr>
                <w:rFonts w:ascii="宋体" w:eastAsia="宋体" w:hAnsi="宋体" w:cs="宋体" w:hint="eastAsia"/>
                <w:i w:val="0"/>
                <w:iCs w:val="0"/>
                <w:color w:val="000000"/>
                <w:kern w:val="0"/>
                <w:sz w:val="21"/>
                <w:szCs w:val="21"/>
                <w:u w:val="none"/>
                <w:lang w:val="en-US" w:eastAsia="zh-CN"/>
              </w:rPr>
              <w:t>。</w:t>
            </w:r>
          </w:p>
          <w:p>
            <w:pPr>
              <w:wordWrap w:val="0"/>
              <w:rPr>
                <w:rFonts w:eastAsia="宋体" w:asciiTheme="minorEastAsia" w:hAnsiTheme="minorEastAsia" w:cs="宋体"/>
                <w:kern w:val="2"/>
                <w:sz w:val="21"/>
                <w:szCs w:val="21"/>
                <w:lang w:val="en-US" w:eastAsia="zh-CN" w:bidi="ar-SA"/>
              </w:rPr>
            </w:pPr>
            <w:r>
              <w:rPr>
                <w:rFonts w:ascii="宋体" w:eastAsia="宋体" w:hAnsi="宋体" w:cs="宋体" w:hint="eastAsia"/>
                <w:sz w:val="21"/>
                <w:szCs w:val="21"/>
              </w:rPr>
              <w:t>(4)评审为差：方案不合理、无针对性、无可操作性，不</w:t>
            </w:r>
            <w:r>
              <w:rPr>
                <w:rFonts w:ascii="宋体" w:hAnsi="宋体" w:cs="宋体" w:hint="eastAsia"/>
                <w:sz w:val="21"/>
                <w:szCs w:val="21"/>
                <w:lang w:val="en-US" w:eastAsia="zh-CN"/>
              </w:rPr>
              <w:t>得</w:t>
            </w:r>
            <w:r>
              <w:rPr>
                <w:rFonts w:ascii="宋体" w:eastAsia="宋体" w:hAnsi="宋体" w:cs="宋体" w:hint="eastAsia"/>
                <w:sz w:val="21"/>
                <w:szCs w:val="21"/>
              </w:rPr>
              <w:t>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76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ordWrap w:val="0"/>
              <w:jc w:val="center"/>
              <w:rPr>
                <w:rFonts w:eastAsia="宋体" w:asciiTheme="minorEastAsia" w:hAnsiTheme="minorEastAsia" w:cs="宋体"/>
                <w:kern w:val="2"/>
                <w:sz w:val="21"/>
                <w:szCs w:val="21"/>
                <w:lang w:val="en-US" w:eastAsia="zh-CN" w:bidi="ar-SA"/>
              </w:rPr>
            </w:pPr>
            <w:r>
              <w:rPr>
                <w:rFonts w:ascii="宋体" w:hAnsi="宋体" w:cs="宋体" w:hint="eastAsia"/>
                <w:szCs w:val="21"/>
              </w:rPr>
              <w:t>拟安排项目</w:t>
            </w:r>
            <w:r>
              <w:rPr>
                <w:rFonts w:ascii="宋体" w:hAnsi="宋体" w:cs="宋体" w:hint="eastAsia"/>
                <w:szCs w:val="21"/>
                <w:lang w:val="en-US" w:eastAsia="zh-CN"/>
              </w:rPr>
              <w:t>负责人（仅限1人）</w:t>
            </w:r>
          </w:p>
        </w:tc>
        <w:tc>
          <w:tcPr>
            <w:tcW w:w="623" w:type="dxa"/>
            <w:tcBorders>
              <w:top w:val="single" w:sz="8" w:space="0" w:color="000000"/>
              <w:left w:val="single" w:sz="8" w:space="0" w:color="000000"/>
              <w:bottom w:val="single" w:sz="8" w:space="0" w:color="000000"/>
              <w:right w:val="single" w:sz="8" w:space="0" w:color="000000"/>
            </w:tcBorders>
            <w:shd w:val="clear" w:color="auto" w:fill="FFFFFF"/>
            <w:vAlign w:val="center"/>
          </w:tcPr>
          <w:p>
            <w:pPr>
              <w:wordWrap w:val="0"/>
              <w:jc w:val="center"/>
              <w:rPr>
                <w:rFonts w:eastAsia="宋体" w:asciiTheme="minorEastAsia" w:hAnsiTheme="minorEastAsia" w:cs="宋体"/>
                <w:kern w:val="2"/>
                <w:sz w:val="21"/>
                <w:szCs w:val="21"/>
                <w:lang w:val="en-US" w:eastAsia="zh-CN" w:bidi="ar-SA"/>
              </w:rPr>
            </w:pPr>
            <w:r>
              <w:rPr>
                <w:rFonts w:ascii="宋体" w:hAnsi="宋体" w:cs="宋体" w:hint="eastAsia"/>
                <w:szCs w:val="21"/>
                <w:lang w:val="en-US" w:eastAsia="zh-CN"/>
              </w:rPr>
              <w:t>5</w:t>
            </w:r>
          </w:p>
        </w:tc>
        <w:tc>
          <w:tcPr>
            <w:tcW w:w="6324" w:type="dxa"/>
            <w:tcBorders>
              <w:top w:val="single" w:sz="8" w:space="0" w:color="000000"/>
              <w:left w:val="single" w:sz="8" w:space="0" w:color="000000"/>
              <w:bottom w:val="single" w:sz="8" w:space="0" w:color="000000"/>
              <w:right w:val="single" w:sz="8" w:space="0" w:color="000000"/>
            </w:tcBorders>
            <w:shd w:val="clear" w:color="auto" w:fill="FFFFFF"/>
            <w:vAlign w:val="top"/>
          </w:tcPr>
          <w:p>
            <w:pPr>
              <w:wordWrap w:val="0"/>
              <w:rPr>
                <w:rFonts w:ascii="宋体" w:hAnsi="宋体" w:cs="宋体" w:hint="eastAsia"/>
                <w:b/>
                <w:bCs/>
                <w:szCs w:val="21"/>
              </w:rPr>
            </w:pPr>
            <w:r>
              <w:rPr>
                <w:rFonts w:ascii="宋体" w:hAnsi="宋体" w:cs="宋体" w:hint="eastAsia"/>
                <w:b/>
                <w:bCs/>
                <w:szCs w:val="21"/>
              </w:rPr>
              <w:t>（一）评分内容：</w:t>
            </w:r>
          </w:p>
          <w:p>
            <w:pPr>
              <w:wordWrap w:val="0"/>
              <w:rPr>
                <w:rFonts w:ascii="宋体" w:hAnsi="宋体" w:cs="宋体" w:hint="eastAsia"/>
                <w:szCs w:val="21"/>
              </w:rPr>
            </w:pPr>
            <w:r>
              <w:rPr>
                <w:rFonts w:ascii="宋体" w:hAnsi="宋体" w:cs="宋体" w:hint="eastAsia"/>
                <w:szCs w:val="21"/>
              </w:rPr>
              <w:t>拟安排项目负责人为投标单位自有员工（以社保为准），在此基础上:</w:t>
            </w:r>
          </w:p>
          <w:p>
            <w:pPr>
              <w:wordWrap w:val="0"/>
              <w:rPr>
                <w:rFonts w:ascii="宋体" w:hAnsi="宋体" w:cs="宋体" w:hint="eastAsia"/>
                <w:szCs w:val="21"/>
              </w:rPr>
            </w:pPr>
            <w:r>
              <w:rPr>
                <w:rFonts w:ascii="宋体" w:hAnsi="宋体" w:cs="宋体" w:hint="eastAsia"/>
                <w:szCs w:val="21"/>
              </w:rPr>
              <w:t>1、具有</w:t>
            </w:r>
            <w:r>
              <w:rPr>
                <w:rFonts w:ascii="宋体" w:hAnsi="宋体" w:cs="宋体" w:hint="eastAsia"/>
                <w:szCs w:val="21"/>
                <w:lang w:val="en-US" w:eastAsia="zh-CN"/>
              </w:rPr>
              <w:t>相关机构颁发的</w:t>
            </w:r>
            <w:r>
              <w:rPr>
                <w:rFonts w:ascii="宋体" w:hAnsi="宋体" w:cs="宋体" w:hint="eastAsia"/>
                <w:szCs w:val="21"/>
              </w:rPr>
              <w:t>ITSS-IT服务项目经理证书得</w:t>
            </w:r>
            <w:r>
              <w:rPr>
                <w:rFonts w:ascii="宋体" w:hAnsi="宋体" w:cs="宋体" w:hint="eastAsia"/>
                <w:szCs w:val="21"/>
                <w:lang w:val="en-US" w:eastAsia="zh-CN"/>
              </w:rPr>
              <w:t>40</w:t>
            </w:r>
            <w:r>
              <w:rPr>
                <w:rFonts w:ascii="宋体" w:hAnsi="宋体" w:cs="宋体" w:hint="eastAsia"/>
                <w:szCs w:val="21"/>
              </w:rPr>
              <w:t>分；</w:t>
            </w:r>
          </w:p>
          <w:p>
            <w:pPr>
              <w:wordWrap w:val="0"/>
              <w:rPr>
                <w:rFonts w:ascii="宋体" w:hAnsi="宋体" w:cs="宋体" w:hint="eastAsia"/>
                <w:szCs w:val="21"/>
              </w:rPr>
            </w:pPr>
            <w:r>
              <w:rPr>
                <w:rFonts w:ascii="宋体" w:hAnsi="宋体" w:cs="宋体" w:hint="eastAsia"/>
                <w:szCs w:val="21"/>
              </w:rPr>
              <w:t>2、具有</w:t>
            </w:r>
            <w:r>
              <w:rPr>
                <w:rFonts w:ascii="宋体" w:hAnsi="宋体" w:cs="宋体" w:hint="eastAsia"/>
                <w:szCs w:val="21"/>
                <w:lang w:val="en-US" w:eastAsia="zh-CN"/>
              </w:rPr>
              <w:t>相关机构颁发的</w:t>
            </w:r>
            <w:r>
              <w:rPr>
                <w:rFonts w:ascii="宋体" w:hAnsi="宋体" w:cs="宋体" w:hint="eastAsia"/>
                <w:szCs w:val="21"/>
              </w:rPr>
              <w:t>信息安全保障人员认证证书（安全运维专业级）证书得</w:t>
            </w:r>
            <w:r>
              <w:rPr>
                <w:rFonts w:ascii="宋体" w:hAnsi="宋体" w:cs="宋体" w:hint="eastAsia"/>
                <w:szCs w:val="21"/>
                <w:lang w:val="en-US" w:eastAsia="zh-CN"/>
              </w:rPr>
              <w:t>30</w:t>
            </w:r>
            <w:r>
              <w:rPr>
                <w:rFonts w:ascii="宋体" w:hAnsi="宋体" w:cs="宋体" w:hint="eastAsia"/>
                <w:szCs w:val="21"/>
              </w:rPr>
              <w:t>分；</w:t>
            </w:r>
          </w:p>
          <w:p>
            <w:pPr>
              <w:wordWrap w:val="0"/>
              <w:rPr>
                <w:rFonts w:ascii="宋体" w:hAnsi="宋体" w:cs="宋体" w:hint="eastAsia"/>
                <w:szCs w:val="21"/>
              </w:rPr>
            </w:pPr>
            <w:r>
              <w:rPr>
                <w:rFonts w:ascii="宋体" w:hAnsi="宋体" w:cs="宋体" w:hint="eastAsia"/>
                <w:szCs w:val="21"/>
              </w:rPr>
              <w:t>3、具有</w:t>
            </w:r>
            <w:r>
              <w:rPr>
                <w:rFonts w:ascii="宋体" w:hAnsi="宋体" w:cs="宋体" w:hint="eastAsia"/>
                <w:szCs w:val="21"/>
                <w:lang w:val="en-US" w:eastAsia="zh-CN"/>
              </w:rPr>
              <w:t>相关机构颁发的</w:t>
            </w:r>
            <w:r>
              <w:rPr>
                <w:rFonts w:ascii="宋体" w:hAnsi="宋体" w:cs="宋体" w:hint="eastAsia"/>
                <w:szCs w:val="21"/>
              </w:rPr>
              <w:t>DSA数据安全评估师证书的得</w:t>
            </w:r>
            <w:r>
              <w:rPr>
                <w:rFonts w:ascii="宋体" w:hAnsi="宋体" w:cs="宋体" w:hint="eastAsia"/>
                <w:szCs w:val="21"/>
                <w:lang w:val="en-US" w:eastAsia="zh-CN"/>
              </w:rPr>
              <w:t>30</w:t>
            </w:r>
            <w:r>
              <w:rPr>
                <w:rFonts w:ascii="宋体" w:hAnsi="宋体" w:cs="宋体" w:hint="eastAsia"/>
                <w:szCs w:val="21"/>
              </w:rPr>
              <w:t>分；</w:t>
            </w:r>
          </w:p>
          <w:p>
            <w:pPr>
              <w:wordWrap w:val="0"/>
              <w:rPr>
                <w:rFonts w:ascii="宋体" w:hAnsi="宋体" w:cs="宋体" w:hint="eastAsia"/>
                <w:szCs w:val="21"/>
              </w:rPr>
            </w:pPr>
            <w:r>
              <w:rPr>
                <w:rFonts w:ascii="宋体" w:hAnsi="宋体" w:cs="宋体" w:hint="eastAsia"/>
                <w:szCs w:val="21"/>
              </w:rPr>
              <w:t>以上累计最高得100分。</w:t>
            </w:r>
          </w:p>
          <w:p>
            <w:pPr>
              <w:wordWrap w:val="0"/>
              <w:rPr>
                <w:rFonts w:ascii="宋体" w:hAnsi="宋体" w:cs="宋体" w:hint="eastAsia"/>
                <w:b/>
                <w:bCs/>
                <w:szCs w:val="21"/>
              </w:rPr>
            </w:pPr>
            <w:r>
              <w:rPr>
                <w:rFonts w:ascii="宋体" w:hAnsi="宋体" w:cs="宋体" w:hint="eastAsia"/>
                <w:b/>
                <w:bCs/>
                <w:szCs w:val="21"/>
              </w:rPr>
              <w:t>（二）评分依据：</w:t>
            </w:r>
          </w:p>
          <w:p>
            <w:pPr>
              <w:wordWrap w:val="0"/>
              <w:rPr>
                <w:rFonts w:ascii="宋体" w:eastAsia="宋体" w:hAnsi="宋体" w:cs="宋体" w:hint="eastAsia"/>
                <w:szCs w:val="21"/>
                <w:lang w:eastAsia="zh-CN"/>
              </w:rPr>
            </w:pPr>
            <w:r>
              <w:rPr>
                <w:rFonts w:ascii="宋体" w:hAnsi="宋体" w:cs="宋体" w:hint="eastAsia"/>
                <w:szCs w:val="21"/>
              </w:rPr>
              <w:t>1、涉及证书的，提供相关证书扫描件。如颁发单位为相关行业协会（或学会）的，则需同时提供证书颁发单位在全国社会组织信用信息公示平台（https://xxgs.chinanpo.mca.gov.cn/gsxt/newList）的信息查询截图（截图需显示发证单位状态为“正常”），否则该证书不得分</w:t>
            </w:r>
            <w:r>
              <w:rPr>
                <w:rFonts w:ascii="宋体" w:hAnsi="宋体" w:cs="宋体" w:hint="eastAsia"/>
                <w:szCs w:val="21"/>
                <w:lang w:eastAsia="zh-CN"/>
              </w:rPr>
              <w:t>；</w:t>
            </w:r>
          </w:p>
          <w:p>
            <w:pPr>
              <w:wordWrap w:val="0"/>
              <w:rPr>
                <w:rFonts w:ascii="宋体" w:hAnsi="宋体" w:cs="宋体" w:hint="eastAsia"/>
                <w:szCs w:val="21"/>
              </w:rPr>
            </w:pPr>
            <w:r>
              <w:rPr>
                <w:rFonts w:ascii="宋体" w:hAnsi="宋体" w:cs="宋体" w:hint="eastAsia"/>
                <w:szCs w:val="21"/>
              </w:rPr>
              <w:t>2、提供相关人员开标日当月（或前一个月）在本单位缴纳且载有社保部门（或税务部门）公章（或税务部门公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wordWrap w:val="0"/>
              <w:rPr>
                <w:rFonts w:eastAsia="宋体" w:asciiTheme="minorEastAsia" w:hAnsiTheme="minorEastAsia" w:cs="宋体"/>
                <w:kern w:val="2"/>
                <w:sz w:val="21"/>
                <w:szCs w:val="21"/>
                <w:lang w:val="en-US" w:eastAsia="zh-CN" w:bidi="ar-SA"/>
              </w:rPr>
            </w:pPr>
            <w:r>
              <w:rPr>
                <w:rFonts w:ascii="宋体" w:hAnsi="宋体" w:cs="宋体" w:hint="eastAsia"/>
                <w:szCs w:val="21"/>
              </w:rPr>
              <w:t>3、未按要求提供证明材料（或证明材料无法判断是否符合评分要求）的不得分，原件备查。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4</w:t>
            </w:r>
          </w:p>
        </w:tc>
        <w:tc>
          <w:tcPr>
            <w:tcW w:w="765"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rPr>
              <w:t>拟安排项目主要团队成员</w:t>
            </w:r>
            <w:r>
              <w:rPr>
                <w:rFonts w:ascii="宋体" w:hAnsi="宋体" w:cs="宋体" w:hint="eastAsia"/>
                <w:szCs w:val="21"/>
                <w:lang w:eastAsia="zh-CN"/>
              </w:rPr>
              <w:t>（</w:t>
            </w:r>
            <w:r>
              <w:rPr>
                <w:rFonts w:ascii="宋体" w:hAnsi="宋体" w:cs="宋体" w:hint="eastAsia"/>
                <w:szCs w:val="21"/>
              </w:rPr>
              <w:t>项目</w:t>
            </w:r>
            <w:r>
              <w:rPr>
                <w:rFonts w:ascii="宋体" w:hAnsi="宋体" w:cs="宋体" w:hint="eastAsia"/>
                <w:szCs w:val="21"/>
                <w:lang w:val="en-US" w:eastAsia="zh-CN"/>
              </w:rPr>
              <w:t>负责人除外</w:t>
            </w:r>
            <w:r>
              <w:rPr>
                <w:rFonts w:ascii="宋体" w:hAnsi="宋体" w:cs="宋体" w:hint="eastAsia"/>
                <w:szCs w:val="21"/>
                <w:lang w:eastAsia="zh-CN"/>
              </w:rPr>
              <w:t>）</w:t>
            </w:r>
          </w:p>
        </w:tc>
        <w:tc>
          <w:tcPr>
            <w:tcW w:w="62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18</w:t>
            </w:r>
          </w:p>
        </w:tc>
        <w:tc>
          <w:tcPr>
            <w:tcW w:w="6324" w:type="dxa"/>
            <w:tcBorders>
              <w:top w:val="single" w:sz="8" w:space="0" w:color="000000"/>
              <w:left w:val="single" w:sz="8" w:space="0" w:color="000000"/>
              <w:bottom w:val="single" w:sz="8" w:space="0" w:color="000000"/>
              <w:right w:val="single" w:sz="8" w:space="0" w:color="000000"/>
            </w:tcBorders>
            <w:shd w:val="clear" w:color="auto" w:fill="auto"/>
            <w:vAlign w:val="top"/>
          </w:tcPr>
          <w:p>
            <w:pPr>
              <w:wordWrap w:val="0"/>
              <w:rPr>
                <w:rFonts w:ascii="宋体" w:hAnsi="宋体" w:cs="宋体" w:hint="eastAsia"/>
                <w:b/>
                <w:bCs/>
                <w:szCs w:val="21"/>
                <w:highlight w:val="none"/>
              </w:rPr>
            </w:pPr>
            <w:r>
              <w:rPr>
                <w:rFonts w:ascii="宋体" w:hAnsi="宋体" w:cs="宋体" w:hint="eastAsia"/>
                <w:b/>
                <w:bCs/>
                <w:szCs w:val="21"/>
                <w:highlight w:val="none"/>
              </w:rPr>
              <w:t>（一）评分内容：</w:t>
            </w:r>
          </w:p>
          <w:p>
            <w:pPr>
              <w:wordWrap w:val="0"/>
              <w:rPr>
                <w:rFonts w:ascii="宋体" w:hAnsi="宋体" w:eastAsiaTheme="minorEastAsia" w:cs="宋体" w:hint="eastAsia"/>
                <w:sz w:val="21"/>
                <w:szCs w:val="21"/>
                <w:highlight w:val="none"/>
                <w:lang w:eastAsia="zh-CN"/>
              </w:rPr>
            </w:pPr>
            <w:r>
              <w:rPr>
                <w:rFonts w:ascii="宋体" w:hAnsi="宋体" w:eastAsiaTheme="minorEastAsia" w:cs="宋体" w:hint="eastAsia"/>
                <w:sz w:val="21"/>
                <w:szCs w:val="21"/>
                <w:highlight w:val="none"/>
              </w:rPr>
              <w:t>拟安排</w:t>
            </w:r>
            <w:r>
              <w:rPr>
                <w:rFonts w:ascii="宋体" w:hAnsi="宋体" w:eastAsiaTheme="minorEastAsia" w:cs="宋体" w:hint="eastAsia"/>
                <w:sz w:val="21"/>
                <w:szCs w:val="21"/>
                <w:highlight w:val="none"/>
                <w:lang w:val="en-US" w:eastAsia="zh-CN"/>
              </w:rPr>
              <w:t>项目主要团队成员（项目负责人除外）</w:t>
            </w:r>
            <w:r>
              <w:rPr>
                <w:rFonts w:ascii="宋体" w:hAnsi="宋体" w:eastAsiaTheme="minorEastAsia" w:cs="宋体" w:hint="eastAsia"/>
                <w:sz w:val="21"/>
                <w:szCs w:val="21"/>
                <w:highlight w:val="none"/>
              </w:rPr>
              <w:t>为投标单位自有员工（以社保为准），在此基础上:</w:t>
            </w:r>
            <w:r>
              <w:rPr>
                <w:rFonts w:ascii="宋体" w:hAnsi="宋体" w:eastAsiaTheme="minorEastAsia" w:cs="宋体" w:hint="eastAsia"/>
                <w:sz w:val="21"/>
                <w:szCs w:val="21"/>
                <w:highlight w:val="none"/>
              </w:rPr>
              <w:br/>
            </w:r>
            <w:r>
              <w:rPr>
                <w:rFonts w:ascii="宋体" w:hAnsi="宋体" w:eastAsiaTheme="minorEastAsia" w:cs="宋体" w:hint="eastAsia"/>
                <w:sz w:val="21"/>
                <w:szCs w:val="21"/>
                <w:highlight w:val="none"/>
              </w:rPr>
              <w:t>1、具有相关机构颁发的系统架构设计师</w:t>
            </w:r>
            <w:r>
              <w:rPr>
                <w:rFonts w:ascii="宋体" w:hAnsi="宋体" w:eastAsiaTheme="minorEastAsia" w:cs="宋体" w:hint="eastAsia"/>
                <w:sz w:val="21"/>
                <w:szCs w:val="21"/>
                <w:highlight w:val="none"/>
                <w:lang w:eastAsia="zh-CN"/>
              </w:rPr>
              <w:t>（</w:t>
            </w:r>
            <w:r>
              <w:rPr>
                <w:rFonts w:ascii="宋体" w:hAnsi="宋体" w:eastAsiaTheme="minorEastAsia" w:cs="宋体" w:hint="eastAsia"/>
                <w:sz w:val="21"/>
                <w:szCs w:val="21"/>
                <w:highlight w:val="none"/>
                <w:lang w:val="en-US" w:eastAsia="zh-CN"/>
              </w:rPr>
              <w:t>高级</w:t>
            </w:r>
            <w:r>
              <w:rPr>
                <w:rFonts w:ascii="宋体" w:hAnsi="宋体" w:eastAsiaTheme="minorEastAsia" w:cs="宋体" w:hint="eastAsia"/>
                <w:sz w:val="21"/>
                <w:szCs w:val="21"/>
                <w:highlight w:val="none"/>
                <w:lang w:eastAsia="zh-CN"/>
              </w:rPr>
              <w:t>）</w:t>
            </w:r>
            <w:r>
              <w:rPr>
                <w:rFonts w:ascii="宋体" w:hAnsi="宋体" w:eastAsiaTheme="minorEastAsia" w:cs="宋体" w:hint="eastAsia"/>
                <w:sz w:val="21"/>
                <w:szCs w:val="21"/>
                <w:highlight w:val="none"/>
              </w:rPr>
              <w:t>证书的人员，每</w:t>
            </w:r>
            <w:r>
              <w:rPr>
                <w:rFonts w:ascii="宋体" w:hAnsi="宋体" w:eastAsiaTheme="minorEastAsia" w:cs="宋体" w:hint="eastAsia"/>
                <w:sz w:val="21"/>
                <w:szCs w:val="21"/>
                <w:highlight w:val="none"/>
                <w:lang w:val="en-US" w:eastAsia="zh-CN"/>
              </w:rPr>
              <w:t>提供</w:t>
            </w:r>
            <w:r>
              <w:rPr>
                <w:rFonts w:ascii="宋体" w:hAnsi="宋体" w:eastAsiaTheme="minorEastAsia" w:cs="宋体" w:hint="eastAsia"/>
                <w:sz w:val="21"/>
                <w:szCs w:val="21"/>
                <w:highlight w:val="none"/>
              </w:rPr>
              <w:t>1人得</w:t>
            </w:r>
            <w:r>
              <w:rPr>
                <w:rFonts w:ascii="宋体" w:hAnsi="宋体" w:cs="宋体" w:hint="eastAsia"/>
                <w:sz w:val="21"/>
                <w:szCs w:val="21"/>
                <w:highlight w:val="none"/>
                <w:lang w:val="en-US" w:eastAsia="zh-CN"/>
              </w:rPr>
              <w:t>15</w:t>
            </w:r>
            <w:r>
              <w:rPr>
                <w:rFonts w:ascii="宋体" w:hAnsi="宋体" w:eastAsiaTheme="minorEastAsia" w:cs="宋体" w:hint="eastAsia"/>
                <w:sz w:val="21"/>
                <w:szCs w:val="21"/>
                <w:highlight w:val="none"/>
              </w:rPr>
              <w:t>分，最高得</w:t>
            </w:r>
            <w:r>
              <w:rPr>
                <w:rFonts w:ascii="宋体" w:hAnsi="宋体" w:cs="宋体" w:hint="eastAsia"/>
                <w:sz w:val="21"/>
                <w:szCs w:val="21"/>
                <w:highlight w:val="none"/>
                <w:lang w:val="en-US" w:eastAsia="zh-CN"/>
              </w:rPr>
              <w:t>15</w:t>
            </w:r>
            <w:r>
              <w:rPr>
                <w:rFonts w:ascii="宋体" w:hAnsi="宋体" w:eastAsiaTheme="minorEastAsia" w:cs="宋体" w:hint="eastAsia"/>
                <w:sz w:val="21"/>
                <w:szCs w:val="21"/>
                <w:highlight w:val="none"/>
              </w:rPr>
              <w:t>分；</w:t>
            </w:r>
            <w:r>
              <w:rPr>
                <w:rFonts w:ascii="宋体" w:hAnsi="宋体" w:eastAsiaTheme="minorEastAsia" w:cs="宋体" w:hint="eastAsia"/>
                <w:sz w:val="21"/>
                <w:szCs w:val="21"/>
                <w:highlight w:val="none"/>
              </w:rPr>
              <w:br/>
            </w:r>
            <w:r>
              <w:rPr>
                <w:rFonts w:ascii="宋体" w:hAnsi="宋体" w:eastAsiaTheme="minorEastAsia" w:cs="宋体" w:hint="eastAsia"/>
                <w:sz w:val="21"/>
                <w:szCs w:val="21"/>
                <w:highlight w:val="none"/>
              </w:rPr>
              <w:t>2、具有相关机构颁发的数据库系统工程师的，每</w:t>
            </w:r>
            <w:r>
              <w:rPr>
                <w:rFonts w:ascii="宋体" w:hAnsi="宋体" w:eastAsiaTheme="minorEastAsia" w:cs="宋体" w:hint="eastAsia"/>
                <w:sz w:val="21"/>
                <w:szCs w:val="21"/>
                <w:highlight w:val="none"/>
                <w:lang w:val="en-US" w:eastAsia="zh-CN"/>
              </w:rPr>
              <w:t>提供</w:t>
            </w:r>
            <w:r>
              <w:rPr>
                <w:rFonts w:ascii="宋体" w:hAnsi="宋体" w:eastAsiaTheme="minorEastAsia" w:cs="宋体" w:hint="eastAsia"/>
                <w:sz w:val="21"/>
                <w:szCs w:val="21"/>
                <w:highlight w:val="none"/>
              </w:rPr>
              <w:t>1人得</w:t>
            </w:r>
            <w:r>
              <w:rPr>
                <w:rFonts w:ascii="宋体" w:hAnsi="宋体" w:cs="宋体" w:hint="eastAsia"/>
                <w:sz w:val="21"/>
                <w:szCs w:val="21"/>
                <w:highlight w:val="none"/>
                <w:lang w:val="en-US" w:eastAsia="zh-CN"/>
              </w:rPr>
              <w:t>15</w:t>
            </w:r>
            <w:r>
              <w:rPr>
                <w:rFonts w:ascii="宋体" w:hAnsi="宋体" w:eastAsiaTheme="minorEastAsia" w:cs="宋体" w:hint="eastAsia"/>
                <w:sz w:val="21"/>
                <w:szCs w:val="21"/>
                <w:highlight w:val="none"/>
              </w:rPr>
              <w:t>分，最高得</w:t>
            </w:r>
            <w:r>
              <w:rPr>
                <w:rFonts w:ascii="宋体" w:hAnsi="宋体" w:cs="宋体" w:hint="eastAsia"/>
                <w:sz w:val="21"/>
                <w:szCs w:val="21"/>
                <w:highlight w:val="none"/>
                <w:lang w:val="en-US" w:eastAsia="zh-CN"/>
              </w:rPr>
              <w:t>15分</w:t>
            </w:r>
            <w:r>
              <w:rPr>
                <w:rFonts w:ascii="宋体" w:hAnsi="宋体" w:eastAsiaTheme="minorEastAsia" w:cs="宋体" w:hint="eastAsia"/>
                <w:sz w:val="21"/>
                <w:szCs w:val="21"/>
                <w:highlight w:val="none"/>
              </w:rPr>
              <w:t>；</w:t>
            </w:r>
            <w:r>
              <w:rPr>
                <w:rFonts w:ascii="宋体" w:hAnsi="宋体" w:eastAsiaTheme="minorEastAsia" w:cs="宋体" w:hint="eastAsia"/>
                <w:sz w:val="21"/>
                <w:szCs w:val="21"/>
                <w:highlight w:val="none"/>
              </w:rPr>
              <w:br/>
            </w:r>
            <w:r>
              <w:rPr>
                <w:rFonts w:ascii="宋体" w:hAnsi="宋体" w:eastAsiaTheme="minorEastAsia" w:cs="宋体" w:hint="eastAsia"/>
                <w:sz w:val="21"/>
                <w:szCs w:val="21"/>
                <w:highlight w:val="none"/>
              </w:rPr>
              <w:t>3、</w:t>
            </w:r>
            <w:r>
              <w:rPr>
                <w:rFonts w:ascii="宋体" w:hAnsi="宋体" w:eastAsiaTheme="minorEastAsia" w:cs="宋体" w:hint="eastAsia"/>
                <w:sz w:val="21"/>
                <w:szCs w:val="21"/>
                <w:highlight w:val="none"/>
                <w:lang w:val="en-US" w:eastAsia="zh-CN"/>
              </w:rPr>
              <w:t>医学管理组长：具备</w:t>
            </w:r>
            <w:r>
              <w:rPr>
                <w:rFonts w:ascii="宋体" w:hAnsi="宋体" w:eastAsiaTheme="minorEastAsia" w:cs="宋体" w:hint="eastAsia"/>
                <w:sz w:val="21"/>
                <w:szCs w:val="21"/>
                <w:highlight w:val="none"/>
              </w:rPr>
              <w:t>卫生事业管理类专业高级（含副高级）职称的，每</w:t>
            </w:r>
            <w:r>
              <w:rPr>
                <w:rFonts w:ascii="宋体" w:hAnsi="宋体" w:eastAsiaTheme="minorEastAsia" w:cs="宋体" w:hint="eastAsia"/>
                <w:sz w:val="21"/>
                <w:szCs w:val="21"/>
                <w:highlight w:val="none"/>
                <w:lang w:val="en-US" w:eastAsia="zh-CN"/>
              </w:rPr>
              <w:t>提供</w:t>
            </w:r>
            <w:r>
              <w:rPr>
                <w:rFonts w:ascii="宋体" w:hAnsi="宋体" w:eastAsiaTheme="minorEastAsia" w:cs="宋体" w:hint="eastAsia"/>
                <w:sz w:val="21"/>
                <w:szCs w:val="21"/>
                <w:highlight w:val="none"/>
              </w:rPr>
              <w:t>1人得</w:t>
            </w:r>
            <w:r>
              <w:rPr>
                <w:rFonts w:ascii="宋体" w:hAnsi="宋体" w:cs="宋体" w:hint="eastAsia"/>
                <w:sz w:val="21"/>
                <w:szCs w:val="21"/>
                <w:highlight w:val="none"/>
                <w:lang w:val="en-US" w:eastAsia="zh-CN"/>
              </w:rPr>
              <w:t>20</w:t>
            </w:r>
            <w:r>
              <w:rPr>
                <w:rFonts w:ascii="宋体" w:hAnsi="宋体" w:eastAsiaTheme="minorEastAsia" w:cs="宋体" w:hint="eastAsia"/>
                <w:sz w:val="21"/>
                <w:szCs w:val="21"/>
                <w:highlight w:val="none"/>
              </w:rPr>
              <w:t>分，最高得</w:t>
            </w:r>
            <w:r>
              <w:rPr>
                <w:rFonts w:ascii="宋体" w:hAnsi="宋体" w:cs="宋体" w:hint="eastAsia"/>
                <w:sz w:val="21"/>
                <w:szCs w:val="21"/>
                <w:highlight w:val="none"/>
                <w:lang w:val="en-US" w:eastAsia="zh-CN"/>
              </w:rPr>
              <w:t>20</w:t>
            </w:r>
            <w:r>
              <w:rPr>
                <w:rFonts w:ascii="宋体" w:hAnsi="宋体" w:eastAsiaTheme="minorEastAsia" w:cs="宋体" w:hint="eastAsia"/>
                <w:sz w:val="21"/>
                <w:szCs w:val="21"/>
                <w:highlight w:val="none"/>
              </w:rPr>
              <w:t>分；</w:t>
            </w:r>
            <w:r>
              <w:rPr>
                <w:rFonts w:ascii="宋体" w:hAnsi="宋体" w:eastAsiaTheme="minorEastAsia" w:cs="宋体" w:hint="eastAsia"/>
                <w:sz w:val="21"/>
                <w:szCs w:val="21"/>
                <w:highlight w:val="none"/>
              </w:rPr>
              <w:br/>
            </w:r>
            <w:r>
              <w:rPr>
                <w:rFonts w:ascii="宋体" w:hAnsi="宋体" w:eastAsiaTheme="minorEastAsia" w:cs="宋体" w:hint="eastAsia"/>
                <w:sz w:val="21"/>
                <w:szCs w:val="21"/>
                <w:highlight w:val="none"/>
              </w:rPr>
              <w:t>4、医学临床组长：具有医学类高级（含副高级）职称的，每</w:t>
            </w:r>
            <w:r>
              <w:rPr>
                <w:rFonts w:ascii="宋体" w:hAnsi="宋体" w:eastAsiaTheme="minorEastAsia" w:cs="宋体" w:hint="eastAsia"/>
                <w:sz w:val="21"/>
                <w:szCs w:val="21"/>
                <w:highlight w:val="none"/>
                <w:lang w:val="en-US" w:eastAsia="zh-CN"/>
              </w:rPr>
              <w:t>提供</w:t>
            </w:r>
            <w:r>
              <w:rPr>
                <w:rFonts w:ascii="宋体" w:hAnsi="宋体" w:eastAsiaTheme="minorEastAsia" w:cs="宋体" w:hint="eastAsia"/>
                <w:sz w:val="21"/>
                <w:szCs w:val="21"/>
                <w:highlight w:val="none"/>
              </w:rPr>
              <w:t>1人得</w:t>
            </w:r>
            <w:r>
              <w:rPr>
                <w:rFonts w:ascii="宋体" w:hAnsi="宋体" w:cs="宋体" w:hint="eastAsia"/>
                <w:sz w:val="21"/>
                <w:szCs w:val="21"/>
                <w:highlight w:val="none"/>
                <w:lang w:val="en-US" w:eastAsia="zh-CN"/>
              </w:rPr>
              <w:t>20</w:t>
            </w:r>
            <w:r>
              <w:rPr>
                <w:rFonts w:ascii="宋体" w:hAnsi="宋体" w:eastAsiaTheme="minorEastAsia" w:cs="宋体" w:hint="eastAsia"/>
                <w:sz w:val="21"/>
                <w:szCs w:val="21"/>
                <w:highlight w:val="none"/>
              </w:rPr>
              <w:t>分，最高得</w:t>
            </w:r>
            <w:r>
              <w:rPr>
                <w:rFonts w:ascii="宋体" w:hAnsi="宋体" w:cs="宋体" w:hint="eastAsia"/>
                <w:sz w:val="21"/>
                <w:szCs w:val="21"/>
                <w:highlight w:val="none"/>
                <w:lang w:val="en-US" w:eastAsia="zh-CN"/>
              </w:rPr>
              <w:t>20</w:t>
            </w:r>
            <w:r>
              <w:rPr>
                <w:rFonts w:ascii="宋体" w:hAnsi="宋体" w:eastAsiaTheme="minorEastAsia" w:cs="宋体" w:hint="eastAsia"/>
                <w:sz w:val="21"/>
                <w:szCs w:val="21"/>
                <w:highlight w:val="none"/>
              </w:rPr>
              <w:t>分；</w:t>
            </w:r>
            <w:r>
              <w:rPr>
                <w:rFonts w:ascii="宋体" w:hAnsi="宋体" w:eastAsiaTheme="minorEastAsia" w:cs="宋体" w:hint="eastAsia"/>
                <w:sz w:val="21"/>
                <w:szCs w:val="21"/>
                <w:highlight w:val="none"/>
              </w:rPr>
              <w:br/>
            </w:r>
            <w:r>
              <w:rPr>
                <w:rFonts w:ascii="宋体" w:hAnsi="宋体" w:eastAsiaTheme="minorEastAsia" w:cs="宋体" w:hint="eastAsia"/>
                <w:sz w:val="21"/>
                <w:szCs w:val="21"/>
                <w:highlight w:val="none"/>
              </w:rPr>
              <w:t>5、统计组组长：具有统计类中级</w:t>
            </w:r>
            <w:r>
              <w:rPr>
                <w:rFonts w:ascii="宋体" w:hAnsi="宋体" w:eastAsiaTheme="minorEastAsia" w:cs="宋体" w:hint="eastAsia"/>
                <w:sz w:val="21"/>
                <w:szCs w:val="21"/>
                <w:highlight w:val="none"/>
                <w:lang w:eastAsia="zh-CN"/>
              </w:rPr>
              <w:t>（</w:t>
            </w:r>
            <w:r>
              <w:rPr>
                <w:rFonts w:ascii="宋体" w:hAnsi="宋体" w:eastAsiaTheme="minorEastAsia" w:cs="宋体" w:hint="eastAsia"/>
                <w:sz w:val="21"/>
                <w:szCs w:val="21"/>
                <w:highlight w:val="none"/>
                <w:lang w:val="en-US" w:eastAsia="zh-CN"/>
              </w:rPr>
              <w:t>或以上</w:t>
            </w:r>
            <w:r>
              <w:rPr>
                <w:rFonts w:ascii="宋体" w:hAnsi="宋体" w:eastAsiaTheme="minorEastAsia" w:cs="宋体" w:hint="eastAsia"/>
                <w:sz w:val="21"/>
                <w:szCs w:val="21"/>
                <w:highlight w:val="none"/>
                <w:lang w:eastAsia="zh-CN"/>
              </w:rPr>
              <w:t>）</w:t>
            </w:r>
            <w:r>
              <w:rPr>
                <w:rFonts w:ascii="宋体" w:hAnsi="宋体" w:eastAsiaTheme="minorEastAsia" w:cs="宋体" w:hint="eastAsia"/>
                <w:sz w:val="21"/>
                <w:szCs w:val="21"/>
                <w:highlight w:val="none"/>
              </w:rPr>
              <w:t>职称的，每</w:t>
            </w:r>
            <w:r>
              <w:rPr>
                <w:rFonts w:ascii="宋体" w:hAnsi="宋体" w:eastAsiaTheme="minorEastAsia" w:cs="宋体" w:hint="eastAsia"/>
                <w:sz w:val="21"/>
                <w:szCs w:val="21"/>
                <w:highlight w:val="none"/>
                <w:lang w:val="en-US" w:eastAsia="zh-CN"/>
              </w:rPr>
              <w:t>提供</w:t>
            </w:r>
            <w:r>
              <w:rPr>
                <w:rFonts w:ascii="宋体" w:hAnsi="宋体" w:eastAsiaTheme="minorEastAsia" w:cs="宋体" w:hint="eastAsia"/>
                <w:sz w:val="21"/>
                <w:szCs w:val="21"/>
                <w:highlight w:val="none"/>
              </w:rPr>
              <w:t>1人得</w:t>
            </w:r>
            <w:r>
              <w:rPr>
                <w:rFonts w:ascii="宋体" w:hAnsi="宋体" w:cs="宋体" w:hint="eastAsia"/>
                <w:sz w:val="21"/>
                <w:szCs w:val="21"/>
                <w:highlight w:val="none"/>
                <w:lang w:val="en-US" w:eastAsia="zh-CN"/>
              </w:rPr>
              <w:t>15</w:t>
            </w:r>
            <w:r>
              <w:rPr>
                <w:rFonts w:ascii="宋体" w:hAnsi="宋体" w:eastAsiaTheme="minorEastAsia" w:cs="宋体" w:hint="eastAsia"/>
                <w:sz w:val="21"/>
                <w:szCs w:val="21"/>
                <w:highlight w:val="none"/>
              </w:rPr>
              <w:t>分，最高得</w:t>
            </w:r>
            <w:r>
              <w:rPr>
                <w:rFonts w:ascii="宋体" w:hAnsi="宋体" w:cs="宋体" w:hint="eastAsia"/>
                <w:sz w:val="21"/>
                <w:szCs w:val="21"/>
                <w:highlight w:val="none"/>
                <w:lang w:val="en-US" w:eastAsia="zh-CN"/>
              </w:rPr>
              <w:t>15</w:t>
            </w:r>
            <w:r>
              <w:rPr>
                <w:rFonts w:ascii="宋体" w:hAnsi="宋体" w:eastAsiaTheme="minorEastAsia" w:cs="宋体" w:hint="eastAsia"/>
                <w:sz w:val="21"/>
                <w:szCs w:val="21"/>
                <w:highlight w:val="none"/>
              </w:rPr>
              <w:t>分。</w:t>
            </w:r>
            <w:r>
              <w:rPr>
                <w:rFonts w:ascii="宋体" w:hAnsi="宋体" w:eastAsiaTheme="minorEastAsia" w:cs="宋体" w:hint="eastAsia"/>
                <w:sz w:val="21"/>
                <w:szCs w:val="21"/>
                <w:highlight w:val="none"/>
              </w:rPr>
              <w:br/>
            </w:r>
            <w:r>
              <w:rPr>
                <w:rFonts w:ascii="宋体" w:hAnsi="宋体" w:eastAsiaTheme="minorEastAsia" w:cs="宋体" w:hint="eastAsia"/>
                <w:sz w:val="21"/>
                <w:szCs w:val="21"/>
                <w:highlight w:val="none"/>
              </w:rPr>
              <w:t>6、财务组组长：具有财会类中级</w:t>
            </w:r>
            <w:r>
              <w:rPr>
                <w:rFonts w:ascii="宋体" w:hAnsi="宋体" w:eastAsiaTheme="minorEastAsia" w:cs="宋体" w:hint="eastAsia"/>
                <w:sz w:val="21"/>
                <w:szCs w:val="21"/>
                <w:highlight w:val="none"/>
                <w:lang w:eastAsia="zh-CN"/>
              </w:rPr>
              <w:t>（</w:t>
            </w:r>
            <w:r>
              <w:rPr>
                <w:rFonts w:ascii="宋体" w:hAnsi="宋体" w:eastAsiaTheme="minorEastAsia" w:cs="宋体" w:hint="eastAsia"/>
                <w:sz w:val="21"/>
                <w:szCs w:val="21"/>
                <w:highlight w:val="none"/>
                <w:lang w:val="en-US" w:eastAsia="zh-CN"/>
              </w:rPr>
              <w:t>或以上</w:t>
            </w:r>
            <w:r>
              <w:rPr>
                <w:rFonts w:ascii="宋体" w:hAnsi="宋体" w:eastAsiaTheme="minorEastAsia" w:cs="宋体" w:hint="eastAsia"/>
                <w:sz w:val="21"/>
                <w:szCs w:val="21"/>
                <w:highlight w:val="none"/>
                <w:lang w:eastAsia="zh-CN"/>
              </w:rPr>
              <w:t>）</w:t>
            </w:r>
            <w:r>
              <w:rPr>
                <w:rFonts w:ascii="宋体" w:hAnsi="宋体" w:eastAsiaTheme="minorEastAsia" w:cs="宋体" w:hint="eastAsia"/>
                <w:sz w:val="21"/>
                <w:szCs w:val="21"/>
                <w:highlight w:val="none"/>
              </w:rPr>
              <w:t>职称的，每</w:t>
            </w:r>
            <w:r>
              <w:rPr>
                <w:rFonts w:ascii="宋体" w:hAnsi="宋体" w:eastAsiaTheme="minorEastAsia" w:cs="宋体" w:hint="eastAsia"/>
                <w:sz w:val="21"/>
                <w:szCs w:val="21"/>
                <w:highlight w:val="none"/>
                <w:lang w:val="en-US" w:eastAsia="zh-CN"/>
              </w:rPr>
              <w:t>提供</w:t>
            </w:r>
            <w:r>
              <w:rPr>
                <w:rFonts w:ascii="宋体" w:hAnsi="宋体" w:eastAsiaTheme="minorEastAsia" w:cs="宋体" w:hint="eastAsia"/>
                <w:sz w:val="21"/>
                <w:szCs w:val="21"/>
                <w:highlight w:val="none"/>
              </w:rPr>
              <w:t>1人得15分，最高得15分</w:t>
            </w:r>
            <w:r>
              <w:rPr>
                <w:rFonts w:ascii="宋体" w:hAnsi="宋体" w:eastAsiaTheme="minorEastAsia" w:cs="宋体" w:hint="eastAsia"/>
                <w:sz w:val="21"/>
                <w:szCs w:val="21"/>
                <w:highlight w:val="none"/>
                <w:lang w:eastAsia="zh-CN"/>
              </w:rPr>
              <w:t>。</w:t>
            </w:r>
          </w:p>
          <w:p>
            <w:pPr>
              <w:wordWrap w:val="0"/>
              <w:rPr>
                <w:rFonts w:ascii="宋体" w:hAnsi="宋体" w:cs="宋体" w:hint="eastAsia"/>
                <w:szCs w:val="21"/>
                <w:highlight w:val="none"/>
              </w:rPr>
            </w:pPr>
            <w:r>
              <w:rPr>
                <w:rFonts w:ascii="宋体" w:hAnsi="宋体" w:eastAsiaTheme="minorEastAsia" w:cs="宋体" w:hint="eastAsia"/>
                <w:sz w:val="21"/>
                <w:szCs w:val="21"/>
                <w:highlight w:val="none"/>
              </w:rPr>
              <w:t>注：同一人具有多个证书不重复计分，</w:t>
            </w:r>
            <w:r>
              <w:rPr>
                <w:rFonts w:ascii="宋体" w:hAnsi="宋体" w:eastAsiaTheme="minorEastAsia" w:cs="宋体" w:hint="eastAsia"/>
                <w:sz w:val="21"/>
                <w:szCs w:val="21"/>
                <w:highlight w:val="none"/>
                <w:lang w:val="en-US" w:eastAsia="zh-CN"/>
              </w:rPr>
              <w:t>以得分最高分计算。</w:t>
            </w:r>
            <w:r>
              <w:rPr>
                <w:rFonts w:ascii="宋体" w:hAnsi="宋体" w:eastAsiaTheme="minorEastAsia" w:cs="宋体" w:hint="eastAsia"/>
                <w:sz w:val="21"/>
                <w:szCs w:val="21"/>
                <w:highlight w:val="none"/>
              </w:rPr>
              <w:t>以上合计最高100分。</w:t>
            </w:r>
          </w:p>
          <w:p>
            <w:pPr>
              <w:wordWrap w:val="0"/>
              <w:rPr>
                <w:rFonts w:ascii="宋体" w:hAnsi="宋体" w:cs="宋体" w:hint="eastAsia"/>
                <w:b/>
                <w:bCs/>
                <w:szCs w:val="21"/>
                <w:highlight w:val="none"/>
              </w:rPr>
            </w:pPr>
            <w:r>
              <w:rPr>
                <w:rFonts w:ascii="宋体" w:hAnsi="宋体" w:cs="宋体" w:hint="eastAsia"/>
                <w:b/>
                <w:bCs/>
                <w:szCs w:val="21"/>
                <w:highlight w:val="none"/>
              </w:rPr>
              <w:t>（二）评分依据：</w:t>
            </w:r>
          </w:p>
          <w:p>
            <w:pPr>
              <w:wordWrap w:val="0"/>
              <w:rPr>
                <w:rFonts w:ascii="宋体" w:hAnsi="宋体" w:cs="宋体" w:hint="eastAsia"/>
                <w:szCs w:val="21"/>
                <w:highlight w:val="none"/>
                <w:lang w:eastAsia="zh-CN"/>
              </w:rPr>
            </w:pPr>
            <w:r>
              <w:rPr>
                <w:rFonts w:ascii="宋体" w:hAnsi="宋体" w:cs="宋体" w:hint="eastAsia"/>
                <w:szCs w:val="21"/>
                <w:highlight w:val="none"/>
              </w:rPr>
              <w:t>1、提供相关证书扫描件</w:t>
            </w:r>
            <w:r>
              <w:rPr>
                <w:rFonts w:ascii="宋体" w:hAnsi="宋体" w:cs="宋体" w:hint="eastAsia"/>
                <w:szCs w:val="21"/>
                <w:highlight w:val="none"/>
                <w:lang w:eastAsia="zh-CN"/>
              </w:rPr>
              <w:t>；</w:t>
            </w:r>
          </w:p>
          <w:p>
            <w:pPr>
              <w:wordWrap w:val="0"/>
              <w:rPr>
                <w:rFonts w:ascii="宋体" w:hAnsi="宋体" w:cs="宋体" w:hint="eastAsia"/>
                <w:szCs w:val="21"/>
                <w:highlight w:val="none"/>
                <w:lang w:eastAsia="zh-CN"/>
              </w:rPr>
            </w:pPr>
            <w:r>
              <w:rPr>
                <w:rFonts w:ascii="宋体" w:hAnsi="宋体" w:cs="宋体" w:hint="eastAsia"/>
                <w:szCs w:val="21"/>
                <w:highlight w:val="none"/>
                <w:lang w:val="en-US" w:eastAsia="zh-CN"/>
              </w:rPr>
              <w:t>1）</w:t>
            </w:r>
            <w:r>
              <w:rPr>
                <w:rFonts w:ascii="宋体" w:hAnsi="宋体" w:cs="宋体" w:hint="eastAsia"/>
                <w:szCs w:val="21"/>
                <w:highlight w:val="none"/>
              </w:rPr>
              <w:t>如颁发单位为相关行业协会（或学会）的，则需同时提供证书颁发单位在全国社会组织信用信息公示平台（https://xxgs.chinanpo.mca.gov.cn/gsxt/newList）的信息查询截图（截图需显示发证单位状态为“正常”），否则该证书不得分</w:t>
            </w:r>
            <w:r>
              <w:rPr>
                <w:rFonts w:ascii="宋体" w:hAnsi="宋体" w:cs="宋体" w:hint="eastAsia"/>
                <w:szCs w:val="21"/>
                <w:highlight w:val="none"/>
                <w:lang w:eastAsia="zh-CN"/>
              </w:rPr>
              <w:t>；</w:t>
            </w:r>
          </w:p>
          <w:p>
            <w:pPr>
              <w:wordWrap w:val="0"/>
              <w:rPr>
                <w:rFonts w:hint="default"/>
                <w:lang w:val="en-US" w:eastAsia="zh-CN"/>
              </w:rPr>
            </w:pPr>
            <w:r>
              <w:rPr>
                <w:rFonts w:ascii="宋体" w:hAnsi="宋体" w:cs="宋体" w:hint="eastAsia"/>
                <w:szCs w:val="21"/>
                <w:highlight w:val="none"/>
                <w:lang w:val="en-US" w:eastAsia="zh-CN"/>
              </w:rPr>
              <w:t>2）涉及职称证书的，还需同时提供提供全国人力资源和社会保障服务平台官网查询截图（查询网址：http://www.12333.gov.cn/）,如职称证书无法提供查询截图，则需提供人社部门（或发证部门或职称管理部门）出具的证明文件（或网站公示查询）。</w:t>
            </w:r>
          </w:p>
          <w:p>
            <w:pPr>
              <w:wordWrap w:val="0"/>
              <w:rPr>
                <w:rFonts w:ascii="宋体" w:hAnsi="宋体" w:cs="宋体" w:hint="eastAsia"/>
                <w:szCs w:val="21"/>
                <w:highlight w:val="none"/>
              </w:rPr>
            </w:pPr>
            <w:r>
              <w:rPr>
                <w:rFonts w:ascii="宋体" w:hAnsi="宋体" w:cs="宋体" w:hint="eastAsia"/>
                <w:szCs w:val="21"/>
                <w:highlight w:val="none"/>
              </w:rPr>
              <w:t>2、提供相关人员开标日当月（或前一个月）在本单位缴纳且载有社保部门（或税务部门）公章（或税务部门公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wordWrap w:val="0"/>
              <w:rPr>
                <w:rFonts w:ascii="宋体" w:eastAsia="宋体" w:hAnsi="宋体" w:cs="宋体" w:hint="eastAsia"/>
                <w:kern w:val="2"/>
                <w:sz w:val="21"/>
                <w:szCs w:val="21"/>
                <w:lang w:val="en-US" w:eastAsia="zh-CN" w:bidi="ar-SA"/>
              </w:rPr>
            </w:pPr>
            <w:r>
              <w:rPr>
                <w:rFonts w:ascii="宋体" w:hAnsi="宋体" w:cs="宋体" w:hint="eastAsia"/>
                <w:szCs w:val="21"/>
                <w:highlight w:val="none"/>
              </w:rPr>
              <w:t>3、未按要求提供证明材料（或证明材料无法判断是否符合评分要求）的不得分，原件备查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5</w:t>
            </w:r>
          </w:p>
        </w:tc>
        <w:tc>
          <w:tcPr>
            <w:tcW w:w="765"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rPr>
              <w:t>投标人同类项目业绩</w:t>
            </w:r>
          </w:p>
        </w:tc>
        <w:tc>
          <w:tcPr>
            <w:tcW w:w="62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default"/>
                <w:kern w:val="2"/>
                <w:sz w:val="21"/>
                <w:szCs w:val="21"/>
                <w:lang w:val="en-US" w:eastAsia="zh-CN" w:bidi="ar-SA"/>
              </w:rPr>
            </w:pPr>
            <w:r>
              <w:rPr>
                <w:rFonts w:ascii="宋体" w:hAnsi="宋体" w:cs="宋体" w:hint="eastAsia"/>
                <w:szCs w:val="21"/>
                <w:lang w:val="en-US" w:eastAsia="zh-CN"/>
              </w:rPr>
              <w:t>17</w:t>
            </w:r>
          </w:p>
        </w:tc>
        <w:tc>
          <w:tcPr>
            <w:tcW w:w="6324" w:type="dxa"/>
            <w:tcBorders>
              <w:top w:val="single" w:sz="8" w:space="0" w:color="000000"/>
              <w:left w:val="single" w:sz="8" w:space="0" w:color="000000"/>
              <w:bottom w:val="single" w:sz="8" w:space="0" w:color="000000"/>
              <w:right w:val="single" w:sz="8" w:space="0" w:color="000000"/>
            </w:tcBorders>
            <w:shd w:val="clear" w:color="auto" w:fill="auto"/>
            <w:vAlign w:val="top"/>
          </w:tcPr>
          <w:p>
            <w:pPr>
              <w:wordWrap w:val="0"/>
              <w:rPr>
                <w:rFonts w:ascii="宋体" w:hAnsi="宋体" w:cs="宋体" w:hint="eastAsia"/>
                <w:b/>
                <w:bCs/>
                <w:szCs w:val="21"/>
                <w:highlight w:val="none"/>
              </w:rPr>
            </w:pPr>
            <w:r>
              <w:rPr>
                <w:rFonts w:ascii="宋体" w:hAnsi="宋体" w:cs="宋体" w:hint="eastAsia"/>
                <w:b/>
                <w:bCs/>
                <w:szCs w:val="21"/>
                <w:highlight w:val="none"/>
              </w:rPr>
              <w:t>（一）评分内容：</w:t>
            </w:r>
          </w:p>
          <w:p>
            <w:pPr>
              <w:wordWrap w:val="0"/>
              <w:rPr>
                <w:rFonts w:ascii="宋体" w:hAnsi="宋体" w:cs="宋体" w:hint="eastAsia"/>
                <w:szCs w:val="21"/>
                <w:highlight w:val="none"/>
              </w:rPr>
            </w:pPr>
            <w:r>
              <w:rPr>
                <w:rFonts w:ascii="宋体" w:hAnsi="宋体" w:cs="宋体" w:hint="eastAsia"/>
                <w:szCs w:val="21"/>
                <w:highlight w:val="none"/>
              </w:rPr>
              <w:t>1、自2022年1月1日至本项目投标截止之日止（以合同签订日期为准）具有医院成本核算类项目业绩的，每提供1个</w:t>
            </w:r>
            <w:r>
              <w:rPr>
                <w:rFonts w:ascii="宋体" w:hAnsi="宋体" w:cs="宋体" w:hint="eastAsia"/>
                <w:szCs w:val="21"/>
                <w:highlight w:val="none"/>
                <w:lang w:val="en-US" w:eastAsia="zh-CN"/>
              </w:rPr>
              <w:t>业绩</w:t>
            </w:r>
            <w:r>
              <w:rPr>
                <w:rFonts w:ascii="宋体" w:hAnsi="宋体" w:cs="宋体" w:hint="eastAsia"/>
                <w:szCs w:val="21"/>
                <w:highlight w:val="none"/>
              </w:rPr>
              <w:t>得1</w:t>
            </w:r>
            <w:r>
              <w:rPr>
                <w:rFonts w:ascii="宋体" w:hAnsi="宋体" w:cs="宋体" w:hint="eastAsia"/>
                <w:szCs w:val="21"/>
                <w:highlight w:val="none"/>
                <w:lang w:val="en-US" w:eastAsia="zh-CN"/>
              </w:rPr>
              <w:t>0</w:t>
            </w:r>
            <w:r>
              <w:rPr>
                <w:rFonts w:ascii="宋体" w:hAnsi="宋体" w:cs="宋体" w:hint="eastAsia"/>
                <w:szCs w:val="21"/>
                <w:highlight w:val="none"/>
              </w:rPr>
              <w:t>分，满分</w:t>
            </w:r>
            <w:r>
              <w:rPr>
                <w:rFonts w:ascii="宋体" w:hAnsi="宋体" w:cs="宋体" w:hint="eastAsia"/>
                <w:szCs w:val="21"/>
                <w:highlight w:val="none"/>
                <w:lang w:val="en-US" w:eastAsia="zh-CN"/>
              </w:rPr>
              <w:t>5</w:t>
            </w:r>
            <w:r>
              <w:rPr>
                <w:rFonts w:ascii="宋体" w:hAnsi="宋体" w:cs="宋体" w:hint="eastAsia"/>
                <w:szCs w:val="21"/>
                <w:highlight w:val="none"/>
              </w:rPr>
              <w:t>0分。</w:t>
            </w:r>
          </w:p>
          <w:p>
            <w:pPr>
              <w:wordWrap w:val="0"/>
              <w:rPr>
                <w:rFonts w:ascii="宋体" w:hAnsi="宋体" w:cs="宋体" w:hint="eastAsia"/>
                <w:szCs w:val="21"/>
                <w:highlight w:val="none"/>
              </w:rPr>
            </w:pPr>
            <w:r>
              <w:rPr>
                <w:rFonts w:ascii="宋体" w:hAnsi="宋体" w:cs="宋体" w:hint="eastAsia"/>
                <w:szCs w:val="21"/>
                <w:highlight w:val="none"/>
              </w:rPr>
              <w:t>2、自2022年1月1日至本项目投标截止之日止（以合同签订日期为准）具有医院DRG及DIP管理系统类项目业绩的</w:t>
            </w:r>
            <w:r>
              <w:rPr>
                <w:rFonts w:ascii="宋体" w:hAnsi="宋体" w:cs="宋体" w:hint="eastAsia"/>
                <w:szCs w:val="21"/>
                <w:highlight w:val="none"/>
                <w:lang w:eastAsia="zh-CN"/>
              </w:rPr>
              <w:t>（</w:t>
            </w:r>
            <w:r>
              <w:rPr>
                <w:rFonts w:ascii="宋体" w:hAnsi="宋体" w:cs="宋体" w:hint="eastAsia"/>
                <w:szCs w:val="21"/>
                <w:highlight w:val="none"/>
                <w:lang w:val="en-US" w:eastAsia="zh-CN"/>
              </w:rPr>
              <w:t>需包含</w:t>
            </w:r>
            <w:r>
              <w:rPr>
                <w:rFonts w:ascii="宋体" w:eastAsia="宋体" w:hAnsi="宋体" w:cs="宋体" w:hint="eastAsia"/>
                <w:sz w:val="21"/>
                <w:szCs w:val="21"/>
                <w:highlight w:val="none"/>
              </w:rPr>
              <w:t>预分组、DRG/DIP分析</w:t>
            </w:r>
            <w:r>
              <w:rPr>
                <w:rFonts w:ascii="宋体" w:hAnsi="宋体" w:cs="宋体" w:hint="eastAsia"/>
                <w:sz w:val="21"/>
                <w:szCs w:val="21"/>
                <w:highlight w:val="none"/>
                <w:lang w:val="en-US" w:eastAsia="zh-CN"/>
              </w:rPr>
              <w:t>等服务内容</w:t>
            </w:r>
            <w:r>
              <w:rPr>
                <w:rFonts w:ascii="宋体" w:hAnsi="宋体" w:cs="宋体" w:hint="eastAsia"/>
                <w:sz w:val="21"/>
                <w:szCs w:val="21"/>
                <w:highlight w:val="none"/>
                <w:lang w:eastAsia="zh-CN"/>
              </w:rPr>
              <w:t>）</w:t>
            </w:r>
            <w:r>
              <w:rPr>
                <w:rFonts w:ascii="宋体" w:hAnsi="宋体" w:cs="宋体" w:hint="eastAsia"/>
                <w:szCs w:val="21"/>
                <w:highlight w:val="none"/>
              </w:rPr>
              <w:t>，每提供</w:t>
            </w:r>
            <w:r>
              <w:rPr>
                <w:rFonts w:ascii="宋体" w:hAnsi="宋体" w:cs="宋体" w:hint="eastAsia"/>
                <w:szCs w:val="21"/>
                <w:highlight w:val="none"/>
                <w:lang w:val="en-US" w:eastAsia="zh-CN"/>
              </w:rPr>
              <w:t>1个业绩</w:t>
            </w:r>
            <w:r>
              <w:rPr>
                <w:rFonts w:ascii="宋体" w:hAnsi="宋体" w:cs="宋体" w:hint="eastAsia"/>
                <w:szCs w:val="21"/>
                <w:highlight w:val="none"/>
              </w:rPr>
              <w:t>得5分，最高得20分。</w:t>
            </w:r>
          </w:p>
          <w:p>
            <w:pPr>
              <w:wordWrap w:val="0"/>
              <w:rPr>
                <w:rFonts w:ascii="宋体" w:hAnsi="宋体" w:cs="宋体" w:hint="eastAsia"/>
                <w:szCs w:val="21"/>
                <w:highlight w:val="none"/>
              </w:rPr>
            </w:pPr>
            <w:r>
              <w:rPr>
                <w:rFonts w:ascii="宋体" w:hAnsi="宋体" w:cs="宋体" w:hint="eastAsia"/>
                <w:szCs w:val="21"/>
                <w:highlight w:val="none"/>
              </w:rPr>
              <w:t>3、</w:t>
            </w:r>
            <w:r>
              <w:rPr>
                <w:rFonts w:ascii="宋体" w:hAnsi="宋体" w:cs="宋体" w:hint="eastAsia"/>
                <w:szCs w:val="21"/>
                <w:highlight w:val="none"/>
                <w:lang w:val="en-US" w:eastAsia="zh-CN"/>
              </w:rPr>
              <w:t>自</w:t>
            </w:r>
            <w:r>
              <w:rPr>
                <w:rFonts w:ascii="宋体" w:hAnsi="宋体" w:cs="宋体" w:hint="eastAsia"/>
                <w:szCs w:val="21"/>
                <w:highlight w:val="none"/>
              </w:rPr>
              <w:t>202</w:t>
            </w:r>
            <w:r>
              <w:rPr>
                <w:rFonts w:ascii="宋体" w:hAnsi="宋体" w:cs="宋体" w:hint="eastAsia"/>
                <w:szCs w:val="21"/>
                <w:highlight w:val="none"/>
                <w:lang w:val="en-US" w:eastAsia="zh-CN"/>
              </w:rPr>
              <w:t>2</w:t>
            </w:r>
            <w:r>
              <w:rPr>
                <w:rFonts w:ascii="宋体" w:hAnsi="宋体" w:cs="宋体" w:hint="eastAsia"/>
                <w:szCs w:val="21"/>
                <w:highlight w:val="none"/>
              </w:rPr>
              <w:t>年1月至本项目投标截止之日止（以合同签订日期为准）</w:t>
            </w:r>
            <w:r>
              <w:rPr>
                <w:rFonts w:ascii="宋体" w:hAnsi="宋体" w:cs="宋体" w:hint="eastAsia"/>
                <w:strike w:val="0"/>
                <w:szCs w:val="21"/>
                <w:highlight w:val="none"/>
              </w:rPr>
              <w:t>具有</w:t>
            </w:r>
            <w:r>
              <w:rPr>
                <w:rFonts w:ascii="宋体" w:hAnsi="宋体" w:cs="宋体" w:hint="eastAsia"/>
                <w:strike w:val="0"/>
                <w:szCs w:val="21"/>
                <w:highlight w:val="none"/>
                <w:lang w:val="en-US" w:eastAsia="zh-CN"/>
              </w:rPr>
              <w:t>国家机关或事业单位</w:t>
            </w:r>
            <w:r>
              <w:rPr>
                <w:rFonts w:ascii="宋体" w:hAnsi="宋体" w:cs="宋体" w:hint="eastAsia"/>
                <w:szCs w:val="21"/>
                <w:highlight w:val="none"/>
              </w:rPr>
              <w:t>DIP付费实施服务</w:t>
            </w:r>
            <w:r>
              <w:rPr>
                <w:rFonts w:ascii="宋体" w:hAnsi="宋体" w:cs="宋体" w:hint="eastAsia"/>
                <w:szCs w:val="21"/>
                <w:highlight w:val="none"/>
                <w:lang w:val="en-US" w:eastAsia="zh-CN"/>
              </w:rPr>
              <w:t>业绩</w:t>
            </w:r>
            <w:r>
              <w:rPr>
                <w:rFonts w:ascii="宋体" w:hAnsi="宋体" w:cs="宋体" w:hint="eastAsia"/>
                <w:szCs w:val="21"/>
                <w:highlight w:val="none"/>
              </w:rPr>
              <w:t>的，</w:t>
            </w:r>
            <w:r>
              <w:rPr>
                <w:rFonts w:ascii="宋体" w:hAnsi="宋体" w:cs="宋体" w:hint="eastAsia"/>
                <w:szCs w:val="21"/>
                <w:highlight w:val="none"/>
                <w:lang w:val="en-US" w:eastAsia="zh-CN"/>
              </w:rPr>
              <w:t>每</w:t>
            </w:r>
            <w:r>
              <w:rPr>
                <w:rFonts w:ascii="宋体" w:hAnsi="宋体" w:cs="宋体" w:hint="eastAsia"/>
                <w:szCs w:val="21"/>
                <w:highlight w:val="none"/>
              </w:rPr>
              <w:t>提供1个</w:t>
            </w:r>
            <w:r>
              <w:rPr>
                <w:rFonts w:ascii="宋体" w:hAnsi="宋体" w:cs="宋体" w:hint="eastAsia"/>
                <w:szCs w:val="21"/>
                <w:highlight w:val="none"/>
                <w:lang w:val="en-US" w:eastAsia="zh-CN"/>
              </w:rPr>
              <w:t>业绩</w:t>
            </w:r>
            <w:r>
              <w:rPr>
                <w:rFonts w:ascii="宋体" w:hAnsi="宋体" w:cs="宋体" w:hint="eastAsia"/>
                <w:szCs w:val="21"/>
                <w:highlight w:val="none"/>
              </w:rPr>
              <w:t>得</w:t>
            </w:r>
            <w:r>
              <w:rPr>
                <w:rFonts w:ascii="宋体" w:hAnsi="宋体" w:cs="宋体" w:hint="eastAsia"/>
                <w:szCs w:val="21"/>
                <w:highlight w:val="none"/>
                <w:lang w:val="en-US" w:eastAsia="zh-CN"/>
              </w:rPr>
              <w:t>5</w:t>
            </w:r>
            <w:r>
              <w:rPr>
                <w:rFonts w:ascii="宋体" w:hAnsi="宋体" w:cs="宋体" w:hint="eastAsia"/>
                <w:szCs w:val="21"/>
                <w:highlight w:val="none"/>
              </w:rPr>
              <w:t>分，最高得</w:t>
            </w:r>
            <w:r>
              <w:rPr>
                <w:rFonts w:ascii="宋体" w:hAnsi="宋体" w:cs="宋体" w:hint="eastAsia"/>
                <w:szCs w:val="21"/>
                <w:highlight w:val="none"/>
                <w:lang w:val="en-US" w:eastAsia="zh-CN"/>
              </w:rPr>
              <w:t>3</w:t>
            </w:r>
            <w:r>
              <w:rPr>
                <w:rFonts w:ascii="宋体" w:hAnsi="宋体" w:cs="宋体" w:hint="eastAsia"/>
                <w:szCs w:val="21"/>
                <w:highlight w:val="none"/>
              </w:rPr>
              <w:t>0分。</w:t>
            </w:r>
          </w:p>
          <w:p>
            <w:pPr>
              <w:wordWrap w:val="0"/>
              <w:rPr>
                <w:rFonts w:ascii="宋体" w:eastAsia="宋体" w:hAnsi="宋体" w:cs="宋体" w:hint="default"/>
                <w:szCs w:val="21"/>
                <w:highlight w:val="none"/>
                <w:lang w:val="en-US" w:eastAsia="zh-CN"/>
              </w:rPr>
            </w:pPr>
            <w:r>
              <w:rPr>
                <w:rFonts w:ascii="宋体" w:hAnsi="宋体" w:cs="宋体" w:hint="eastAsia"/>
                <w:szCs w:val="21"/>
                <w:highlight w:val="none"/>
                <w:lang w:val="en-US" w:eastAsia="zh-CN"/>
              </w:rPr>
              <w:t>注：以上同一合同同时包含以上多个内容，不可重复计分。</w:t>
            </w:r>
          </w:p>
          <w:p>
            <w:pPr>
              <w:wordWrap w:val="0"/>
              <w:rPr>
                <w:rFonts w:ascii="宋体" w:hAnsi="宋体" w:cs="宋体" w:hint="eastAsia"/>
                <w:b/>
                <w:bCs/>
                <w:szCs w:val="21"/>
                <w:highlight w:val="none"/>
              </w:rPr>
            </w:pPr>
            <w:r>
              <w:rPr>
                <w:rFonts w:ascii="宋体" w:hAnsi="宋体" w:cs="宋体" w:hint="eastAsia"/>
                <w:b/>
                <w:bCs/>
                <w:szCs w:val="21"/>
                <w:highlight w:val="none"/>
              </w:rPr>
              <w:t>（二）评审依据：</w:t>
            </w:r>
          </w:p>
          <w:p>
            <w:pPr>
              <w:wordWrap w:val="0"/>
              <w:rPr>
                <w:rFonts w:ascii="宋体" w:hAnsi="宋体" w:cs="宋体" w:hint="eastAsia"/>
                <w:szCs w:val="21"/>
                <w:highlight w:val="none"/>
                <w:lang w:eastAsia="zh-CN"/>
              </w:rPr>
            </w:pPr>
            <w:r>
              <w:rPr>
                <w:rFonts w:ascii="宋体" w:hAnsi="宋体" w:cs="宋体" w:hint="eastAsia"/>
                <w:szCs w:val="21"/>
                <w:highlight w:val="none"/>
              </w:rPr>
              <w:t>1、提供合同关键信息（含签订合同双方的单位名称、合同项目名称、服务内容、签订合同双方的落款盖章、签订日期的关键页）</w:t>
            </w:r>
            <w:r>
              <w:rPr>
                <w:rFonts w:ascii="宋体" w:hAnsi="宋体" w:cs="宋体" w:hint="eastAsia"/>
                <w:szCs w:val="21"/>
                <w:highlight w:val="none"/>
                <w:lang w:eastAsia="zh-CN"/>
              </w:rPr>
              <w:t>。</w:t>
            </w:r>
          </w:p>
          <w:p>
            <w:pPr>
              <w:wordWrap w:val="0"/>
              <w:rPr>
                <w:rFonts w:ascii="宋体" w:hAnsi="宋体" w:cs="宋体" w:hint="eastAsia"/>
                <w:szCs w:val="21"/>
                <w:highlight w:val="none"/>
              </w:rPr>
            </w:pPr>
            <w:r>
              <w:rPr>
                <w:rFonts w:ascii="宋体" w:hAnsi="宋体" w:cs="宋体" w:hint="eastAsia"/>
                <w:szCs w:val="21"/>
                <w:highlight w:val="none"/>
              </w:rPr>
              <w:t>2、通过合同关键信息无法判断是否得分的，还须同时提供能证明得分的其它证明资料，如甲方（合同相对方）出具的并加盖公章（或业务章）的项目报告或其他证明文件。</w:t>
            </w:r>
          </w:p>
          <w:p>
            <w:pPr>
              <w:wordWrap w:val="0"/>
              <w:rPr>
                <w:rFonts w:ascii="宋体" w:hAnsi="宋体" w:cs="宋体" w:hint="eastAsia"/>
                <w:szCs w:val="21"/>
                <w:highlight w:val="none"/>
              </w:rPr>
            </w:pPr>
            <w:r>
              <w:rPr>
                <w:rFonts w:ascii="宋体" w:hAnsi="宋体" w:cs="宋体" w:hint="eastAsia"/>
                <w:szCs w:val="21"/>
                <w:highlight w:val="none"/>
              </w:rPr>
              <w:t>3、同一项目续签合同的不重复计分；每个项目须单独开具评价证明。如涉及到需要判断是否为同一项目续签的情形，如项目名称相同、出具评价证明单位相同的，投标人应提供能判别为不属同一项目续签的相关证明材料（如中标通知书或能反映不属同一项目续签的合同关键页），如不能判别，评标委员会有权对投标人作出不利判断。项目名称相同、出具服务评价证明单位相同，但是经过重新组织招标、招标编号不同的，不属同一项目续签。</w:t>
            </w:r>
          </w:p>
          <w:p>
            <w:pPr>
              <w:wordWrap w:val="0"/>
              <w:rPr>
                <w:rFonts w:ascii="宋体" w:eastAsia="宋体" w:hAnsi="宋体" w:cs="宋体" w:hint="eastAsia"/>
                <w:kern w:val="2"/>
                <w:sz w:val="21"/>
                <w:szCs w:val="21"/>
                <w:lang w:val="en-US" w:eastAsia="zh-CN" w:bidi="ar-SA"/>
              </w:rPr>
            </w:pPr>
            <w:r>
              <w:rPr>
                <w:rFonts w:ascii="宋体" w:hAnsi="宋体" w:cs="宋体" w:hint="eastAsia"/>
                <w:szCs w:val="21"/>
                <w:highlight w:val="none"/>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3</w:t>
            </w:r>
          </w:p>
        </w:tc>
        <w:tc>
          <w:tcPr>
            <w:tcW w:w="2068"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ascii="宋体" w:hAnsi="宋体" w:cs="宋体" w:hint="eastAsia"/>
                <w:b/>
                <w:bCs/>
                <w:color w:val="0000FF"/>
                <w:sz w:val="24"/>
              </w:rPr>
              <w:t>商务部分</w:t>
            </w:r>
          </w:p>
        </w:tc>
        <w:tc>
          <w:tcPr>
            <w:tcW w:w="6324"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11</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7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2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63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p>
        </w:tc>
        <w:tc>
          <w:tcPr>
            <w:tcW w:w="765"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kern w:val="2"/>
                <w:sz w:val="21"/>
                <w:szCs w:val="21"/>
                <w:lang w:val="en-US" w:eastAsia="zh-CN" w:bidi="ar-SA"/>
              </w:rPr>
            </w:pPr>
          </w:p>
        </w:tc>
        <w:tc>
          <w:tcPr>
            <w:tcW w:w="62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default"/>
                <w:kern w:val="2"/>
                <w:sz w:val="21"/>
                <w:szCs w:val="21"/>
                <w:lang w:val="en-US" w:eastAsia="zh-CN" w:bidi="ar-SA"/>
              </w:rPr>
            </w:pPr>
          </w:p>
        </w:tc>
        <w:tc>
          <w:tcPr>
            <w:tcW w:w="6324" w:type="dxa"/>
            <w:tcBorders>
              <w:top w:val="single" w:sz="8" w:space="0" w:color="000000"/>
              <w:left w:val="single" w:sz="8" w:space="0" w:color="000000"/>
              <w:bottom w:val="single" w:sz="8" w:space="0" w:color="000000"/>
              <w:right w:val="single" w:sz="8" w:space="0" w:color="000000"/>
            </w:tcBorders>
            <w:shd w:val="clear" w:color="auto" w:fill="auto"/>
            <w:vAlign w:val="top"/>
          </w:tcPr>
          <w:p>
            <w:pPr>
              <w:wordWrap w:val="0"/>
              <w:rPr>
                <w:rFonts w:ascii="宋体" w:eastAsia="宋体" w:hAnsi="宋体" w:cs="宋体"/>
                <w:kern w:val="2"/>
                <w:sz w:val="21"/>
                <w:szCs w:val="21"/>
                <w:lang w:val="en-US" w:eastAsia="zh-CN" w:bidi="ar-SA"/>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1</w:t>
            </w:r>
          </w:p>
        </w:tc>
        <w:tc>
          <w:tcPr>
            <w:tcW w:w="765"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default"/>
                <w:kern w:val="2"/>
                <w:sz w:val="21"/>
                <w:szCs w:val="21"/>
                <w:lang w:val="en-US" w:eastAsia="zh-CN" w:bidi="ar-SA"/>
              </w:rPr>
            </w:pPr>
            <w:r>
              <w:rPr>
                <w:rFonts w:ascii="宋体" w:eastAsia="宋体" w:hAnsi="宋体" w:cs="宋体" w:hint="eastAsia"/>
                <w:i w:val="0"/>
                <w:iCs w:val="0"/>
                <w:color w:val="000000"/>
                <w:kern w:val="0"/>
                <w:sz w:val="21"/>
                <w:szCs w:val="21"/>
                <w:u w:val="none"/>
                <w:lang w:val="en-US" w:eastAsia="zh-CN"/>
              </w:rPr>
              <w:t>认证证书</w:t>
            </w:r>
          </w:p>
        </w:tc>
        <w:tc>
          <w:tcPr>
            <w:tcW w:w="62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3</w:t>
            </w:r>
          </w:p>
        </w:tc>
        <w:tc>
          <w:tcPr>
            <w:tcW w:w="6324" w:type="dxa"/>
            <w:tcBorders>
              <w:top w:val="single" w:sz="8" w:space="0" w:color="000000"/>
              <w:left w:val="single" w:sz="8" w:space="0" w:color="000000"/>
              <w:bottom w:val="single" w:sz="8" w:space="0" w:color="000000"/>
              <w:right w:val="single" w:sz="8" w:space="0" w:color="000000"/>
            </w:tcBorders>
            <w:shd w:val="clear" w:color="auto" w:fill="auto"/>
            <w:vAlign w:val="top"/>
          </w:tcPr>
          <w:p>
            <w:pPr>
              <w:widowControl/>
              <w:wordWrap w:val="0"/>
              <w:jc w:val="lef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lang w:eastAsia="zh-CN"/>
              </w:rPr>
              <w:t>（</w:t>
            </w:r>
            <w:r>
              <w:rPr>
                <w:rFonts w:ascii="宋体" w:eastAsia="宋体" w:hAnsi="宋体" w:cs="宋体" w:hint="eastAsia"/>
                <w:b/>
                <w:bCs/>
                <w:sz w:val="21"/>
                <w:szCs w:val="21"/>
                <w:highlight w:val="none"/>
              </w:rPr>
              <w:t>一）评分内容：</w:t>
            </w:r>
          </w:p>
          <w:p>
            <w:pPr>
              <w:keepNext w:val="0"/>
              <w:keepLines w:val="0"/>
              <w:widowControl/>
              <w:suppressLineNumbers w:val="0"/>
              <w:jc w:val="left"/>
              <w:textAlignment w:val="center"/>
              <w:rPr>
                <w:rFonts w:ascii="宋体" w:eastAsia="宋体" w:hAnsi="宋体" w:cs="宋体" w:hint="eastAsia"/>
                <w:sz w:val="21"/>
                <w:szCs w:val="21"/>
                <w:lang w:val="en-US" w:eastAsia="zh-CN"/>
              </w:rPr>
            </w:pPr>
            <w:r>
              <w:rPr>
                <w:rFonts w:ascii="宋体" w:eastAsia="宋体" w:hAnsi="宋体" w:cs="宋体" w:hint="eastAsia"/>
                <w:sz w:val="21"/>
                <w:szCs w:val="21"/>
                <w:highlight w:val="none"/>
              </w:rPr>
              <w:t>具备下列体系认证证书</w:t>
            </w:r>
            <w:r>
              <w:rPr>
                <w:rFonts w:ascii="宋体" w:eastAsia="宋体" w:hAnsi="宋体" w:cs="宋体" w:hint="eastAsia"/>
                <w:sz w:val="21"/>
                <w:szCs w:val="21"/>
                <w:highlight w:val="none"/>
                <w:lang w:eastAsia="zh-CN"/>
              </w:rPr>
              <w:t>：</w:t>
            </w:r>
            <w:r>
              <w:rPr>
                <w:rFonts w:ascii="宋体" w:eastAsia="宋体" w:hAnsi="宋体" w:cs="宋体" w:hint="eastAsia"/>
                <w:sz w:val="24"/>
                <w:szCs w:val="24"/>
                <w:highlight w:val="yellow"/>
                <w:lang w:val="en-US" w:eastAsia="zh-CN"/>
              </w:rPr>
              <w:br/>
            </w:r>
            <w:r>
              <w:rPr>
                <w:rFonts w:ascii="宋体" w:eastAsia="宋体" w:hAnsi="宋体" w:cs="宋体" w:hint="eastAsia"/>
                <w:sz w:val="21"/>
                <w:szCs w:val="21"/>
                <w:lang w:val="en-US" w:eastAsia="zh-CN"/>
              </w:rPr>
              <w:t>1、</w:t>
            </w:r>
            <w:r>
              <w:rPr>
                <w:rFonts w:ascii="宋体" w:eastAsia="宋体" w:hAnsi="宋体" w:cs="宋体" w:hint="eastAsia"/>
                <w:sz w:val="21"/>
                <w:szCs w:val="21"/>
              </w:rPr>
              <w:t>职业健康安全管理体系认证</w:t>
            </w:r>
            <w:r>
              <w:rPr>
                <w:rFonts w:ascii="宋体" w:eastAsia="宋体" w:hAnsi="宋体" w:cs="宋体" w:hint="eastAsia"/>
                <w:sz w:val="21"/>
                <w:szCs w:val="21"/>
                <w:lang w:val="en-US" w:eastAsia="zh-CN"/>
              </w:rPr>
              <w:t>；</w:t>
            </w:r>
            <w:r>
              <w:rPr>
                <w:rFonts w:ascii="宋体" w:eastAsia="宋体" w:hAnsi="宋体" w:cs="宋体" w:hint="eastAsia"/>
                <w:sz w:val="21"/>
                <w:szCs w:val="21"/>
                <w:lang w:val="en-US" w:eastAsia="zh-CN"/>
              </w:rPr>
              <w:br/>
            </w:r>
            <w:r>
              <w:rPr>
                <w:rFonts w:ascii="宋体" w:eastAsia="宋体" w:hAnsi="宋体" w:cs="宋体" w:hint="eastAsia"/>
                <w:sz w:val="21"/>
                <w:szCs w:val="21"/>
                <w:lang w:val="en-US" w:eastAsia="zh-CN"/>
              </w:rPr>
              <w:t>2、</w:t>
            </w:r>
            <w:r>
              <w:rPr>
                <w:rFonts w:ascii="宋体" w:eastAsia="宋体" w:hAnsi="宋体" w:cs="宋体" w:hint="eastAsia"/>
                <w:sz w:val="21"/>
                <w:szCs w:val="21"/>
              </w:rPr>
              <w:t>环境管理体系认证</w:t>
            </w:r>
            <w:r>
              <w:rPr>
                <w:rFonts w:ascii="宋体" w:eastAsia="宋体" w:hAnsi="宋体" w:cs="宋体" w:hint="eastAsia"/>
                <w:sz w:val="21"/>
                <w:szCs w:val="21"/>
                <w:lang w:val="en-US" w:eastAsia="zh-CN"/>
              </w:rPr>
              <w:t>；</w:t>
            </w:r>
          </w:p>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hint="eastAsia"/>
                <w:lang w:val="en-US" w:eastAsia="zh-CN"/>
              </w:rPr>
              <w:t>3</w:t>
            </w:r>
            <w:r>
              <w:rPr>
                <w:rFonts w:ascii="宋体" w:eastAsia="宋体" w:hAnsi="宋体" w:cs="宋体" w:hint="eastAsia"/>
                <w:i w:val="0"/>
                <w:iCs w:val="0"/>
                <w:caps w:val="0"/>
                <w:spacing w:val="0"/>
                <w:sz w:val="21"/>
                <w:szCs w:val="21"/>
                <w:shd w:val="clear" w:color="auto" w:fill="auto"/>
                <w:lang w:eastAsia="zh-CN"/>
              </w:rPr>
              <w:t>、</w:t>
            </w:r>
            <w:r>
              <w:rPr>
                <w:rFonts w:ascii="宋体" w:eastAsia="宋体" w:hAnsi="宋体" w:cs="宋体" w:hint="eastAsia"/>
                <w:i w:val="0"/>
                <w:iCs w:val="0"/>
                <w:caps w:val="0"/>
                <w:spacing w:val="0"/>
                <w:sz w:val="21"/>
                <w:szCs w:val="21"/>
                <w:shd w:val="clear" w:color="auto" w:fill="auto"/>
              </w:rPr>
              <w:t>质量管理体系认证</w:t>
            </w:r>
            <w:r>
              <w:rPr>
                <w:rFonts w:ascii="宋体" w:eastAsia="宋体" w:hAnsi="宋体" w:cs="宋体" w:hint="eastAsia"/>
                <w:sz w:val="21"/>
                <w:szCs w:val="21"/>
                <w:lang w:val="en-US" w:eastAsia="zh-CN"/>
              </w:rPr>
              <w:t>证书；</w:t>
            </w:r>
            <w:r>
              <w:rPr>
                <w:rFonts w:ascii="宋体" w:eastAsia="宋体" w:hAnsi="宋体" w:cs="宋体" w:hint="eastAsia"/>
                <w:sz w:val="21"/>
                <w:szCs w:val="21"/>
                <w:lang w:val="en-US" w:eastAsia="zh-CN"/>
              </w:rPr>
              <w:br/>
            </w:r>
            <w:r>
              <w:rPr>
                <w:rFonts w:ascii="宋体" w:eastAsia="宋体" w:hAnsi="宋体" w:cs="宋体" w:hint="eastAsia"/>
                <w:sz w:val="21"/>
                <w:szCs w:val="21"/>
                <w:lang w:val="en-US" w:eastAsia="zh-CN"/>
              </w:rPr>
              <w:t>每提供1个证书得35分</w:t>
            </w:r>
            <w:r>
              <w:rPr>
                <w:rFonts w:ascii="宋体" w:hAnsi="宋体" w:cs="宋体" w:hint="eastAsia"/>
                <w:sz w:val="21"/>
                <w:szCs w:val="21"/>
                <w:lang w:val="en-US" w:eastAsia="zh-CN"/>
              </w:rPr>
              <w:t>，以上最高合计100分</w:t>
            </w:r>
            <w:r>
              <w:rPr>
                <w:rFonts w:ascii="宋体" w:eastAsia="宋体" w:hAnsi="宋体" w:cs="宋体" w:hint="eastAsia"/>
                <w:sz w:val="21"/>
                <w:szCs w:val="21"/>
                <w:lang w:val="en-US" w:eastAsia="zh-CN"/>
              </w:rPr>
              <w:t>。</w:t>
            </w:r>
          </w:p>
          <w:p>
            <w:pPr>
              <w:snapToGrid w:val="0"/>
              <w:rPr>
                <w:rFonts w:ascii="宋体" w:eastAsia="宋体" w:hAnsi="宋体" w:cs="宋体" w:hint="eastAsia"/>
                <w:b/>
                <w:bCs/>
                <w:color w:val="auto"/>
                <w:kern w:val="0"/>
                <w:szCs w:val="21"/>
                <w:highlight w:val="none"/>
                <w:lang w:eastAsia="zh-CN"/>
              </w:rPr>
            </w:pPr>
            <w:r>
              <w:rPr>
                <w:rFonts w:ascii="宋体" w:eastAsia="宋体" w:hAnsi="宋体" w:cs="宋体" w:hint="eastAsia"/>
                <w:b/>
                <w:bCs/>
                <w:color w:val="auto"/>
                <w:kern w:val="0"/>
                <w:szCs w:val="21"/>
                <w:highlight w:val="none"/>
              </w:rPr>
              <w:t>（二）评审依据：</w:t>
            </w:r>
          </w:p>
          <w:p>
            <w:pPr>
              <w:wordWrap w:val="0"/>
              <w:rPr>
                <w:rFonts w:ascii="宋体" w:eastAsia="宋体" w:hAnsi="宋体" w:cs="宋体"/>
                <w:kern w:val="2"/>
                <w:sz w:val="21"/>
                <w:szCs w:val="21"/>
                <w:lang w:val="en-US" w:eastAsia="zh-CN" w:bidi="ar-SA"/>
              </w:rPr>
            </w:pPr>
            <w:r>
              <w:rPr>
                <w:rFonts w:ascii="宋体" w:hAnsi="宋体" w:cs="宋体" w:hint="eastAsia"/>
                <w:color w:val="auto"/>
                <w:kern w:val="2"/>
                <w:sz w:val="21"/>
                <w:szCs w:val="21"/>
                <w:lang w:val="en-US" w:eastAsia="zh-CN" w:bidi="ar-SA"/>
              </w:rPr>
              <w:t>1.提供有效机构颁</w:t>
            </w:r>
            <w:r>
              <w:rPr>
                <w:rFonts w:ascii="宋体" w:hAnsi="宋体" w:cs="宋体" w:hint="eastAsia"/>
                <w:kern w:val="2"/>
                <w:sz w:val="21"/>
                <w:szCs w:val="21"/>
                <w:lang w:val="en-US" w:eastAsia="zh-CN" w:bidi="ar-SA"/>
              </w:rPr>
              <w:t>发的有效期内的认证证书扫描件及认证信息查询截图（截图需显示证书状态为有效）。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未按要求提供相关材料或扫描件不清晰导致无法识别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2</w:t>
            </w:r>
          </w:p>
        </w:tc>
        <w:tc>
          <w:tcPr>
            <w:tcW w:w="765"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kern w:val="2"/>
                <w:sz w:val="21"/>
                <w:szCs w:val="21"/>
                <w:lang w:val="en-US" w:eastAsia="zh-CN" w:bidi="ar-SA"/>
              </w:rPr>
            </w:pPr>
            <w:r>
              <w:rPr>
                <w:rFonts w:ascii="宋体" w:eastAsia="宋体" w:hAnsi="宋体" w:cs="宋体" w:hint="eastAsia"/>
                <w:i w:val="0"/>
                <w:iCs w:val="0"/>
                <w:color w:val="000000"/>
                <w:kern w:val="0"/>
                <w:sz w:val="21"/>
                <w:szCs w:val="21"/>
                <w:u w:val="none"/>
                <w:lang w:val="en-US" w:eastAsia="zh-CN"/>
              </w:rPr>
              <w:t>软件著作权</w:t>
            </w:r>
          </w:p>
        </w:tc>
        <w:tc>
          <w:tcPr>
            <w:tcW w:w="62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8</w:t>
            </w:r>
          </w:p>
        </w:tc>
        <w:tc>
          <w:tcPr>
            <w:tcW w:w="6324" w:type="dxa"/>
            <w:tcBorders>
              <w:top w:val="single" w:sz="8" w:space="0" w:color="000000"/>
              <w:left w:val="single" w:sz="8" w:space="0" w:color="000000"/>
              <w:bottom w:val="single" w:sz="8" w:space="0" w:color="000000"/>
              <w:right w:val="single" w:sz="8" w:space="0" w:color="000000"/>
            </w:tcBorders>
            <w:shd w:val="clear" w:color="auto" w:fill="auto"/>
            <w:vAlign w:val="top"/>
          </w:tcPr>
          <w:p>
            <w:pPr>
              <w:wordWrap w:val="0"/>
              <w:rPr>
                <w:rFonts w:ascii="宋体" w:hAnsi="宋体" w:cs="宋体" w:hint="eastAsia"/>
                <w:b/>
                <w:bCs/>
                <w:szCs w:val="21"/>
                <w:highlight w:val="none"/>
              </w:rPr>
            </w:pPr>
            <w:r>
              <w:rPr>
                <w:rFonts w:ascii="宋体" w:hAnsi="宋体" w:cs="宋体" w:hint="eastAsia"/>
                <w:b/>
                <w:bCs/>
                <w:szCs w:val="21"/>
                <w:highlight w:val="none"/>
              </w:rPr>
              <w:t>（一）评审内容：</w:t>
            </w:r>
          </w:p>
          <w:p>
            <w:pPr>
              <w:wordWrap w:val="0"/>
              <w:rPr>
                <w:rFonts w:ascii="宋体" w:eastAsia="宋体" w:hAnsi="宋体" w:cs="宋体" w:hint="eastAsia"/>
                <w:szCs w:val="21"/>
                <w:highlight w:val="none"/>
              </w:rPr>
            </w:pPr>
            <w:r>
              <w:rPr>
                <w:rFonts w:ascii="宋体" w:eastAsia="宋体" w:hAnsi="宋体" w:cs="宋体" w:hint="eastAsia"/>
                <w:szCs w:val="21"/>
                <w:highlight w:val="none"/>
              </w:rPr>
              <w:t>投标人具有自有或</w:t>
            </w:r>
            <w:r>
              <w:rPr>
                <w:rFonts w:ascii="宋体" w:eastAsia="宋体" w:hAnsi="宋体" w:cs="宋体" w:hint="eastAsia"/>
                <w:szCs w:val="21"/>
                <w:highlight w:val="none"/>
                <w:lang w:val="en-US" w:eastAsia="zh-CN"/>
              </w:rPr>
              <w:t>许可或转让（或购买）</w:t>
            </w:r>
            <w:r>
              <w:rPr>
                <w:rFonts w:ascii="宋体" w:eastAsia="宋体" w:hAnsi="宋体" w:cs="宋体" w:hint="eastAsia"/>
                <w:szCs w:val="21"/>
                <w:highlight w:val="none"/>
              </w:rPr>
              <w:t>的信息化管理类系统（软件），</w:t>
            </w:r>
            <w:r>
              <w:rPr>
                <w:rFonts w:ascii="宋体" w:eastAsia="宋体" w:hAnsi="宋体" w:cs="宋体" w:hint="eastAsia"/>
                <w:szCs w:val="21"/>
                <w:highlight w:val="none"/>
                <w:lang w:eastAsia="zh-CN"/>
              </w:rPr>
              <w:t>（名称与标书要求不必完全一致，用途一致或相近即可）</w:t>
            </w:r>
            <w:r>
              <w:rPr>
                <w:rFonts w:ascii="宋体" w:eastAsia="宋体" w:hAnsi="宋体" w:cs="宋体" w:hint="eastAsia"/>
                <w:szCs w:val="21"/>
                <w:highlight w:val="none"/>
              </w:rPr>
              <w:t>：</w:t>
            </w:r>
          </w:p>
          <w:p>
            <w:pPr>
              <w:wordWrap w:val="0"/>
              <w:rPr>
                <w:rFonts w:ascii="宋体" w:hAnsi="宋体" w:cs="宋体" w:hint="eastAsia"/>
                <w:szCs w:val="21"/>
                <w:highlight w:val="none"/>
                <w:lang w:eastAsia="zh-CN"/>
              </w:rPr>
            </w:pPr>
            <w:r>
              <w:rPr>
                <w:rFonts w:ascii="宋体" w:hAnsi="宋体" w:cs="宋体" w:hint="eastAsia"/>
                <w:szCs w:val="21"/>
                <w:highlight w:val="none"/>
                <w:lang w:val="en-US" w:eastAsia="zh-CN"/>
              </w:rPr>
              <w:t>每提供</w:t>
            </w:r>
            <w:r>
              <w:rPr>
                <w:rFonts w:ascii="宋体" w:hAnsi="宋体" w:cs="宋体" w:hint="eastAsia"/>
                <w:szCs w:val="21"/>
                <w:highlight w:val="none"/>
              </w:rPr>
              <w:t>1个有效证书得得1</w:t>
            </w:r>
            <w:r>
              <w:rPr>
                <w:rFonts w:ascii="宋体" w:hAnsi="宋体" w:cs="宋体" w:hint="eastAsia"/>
                <w:szCs w:val="21"/>
                <w:highlight w:val="none"/>
                <w:lang w:val="en-US" w:eastAsia="zh-CN"/>
              </w:rPr>
              <w:t>2.5</w:t>
            </w:r>
            <w:r>
              <w:rPr>
                <w:rFonts w:ascii="宋体" w:hAnsi="宋体" w:cs="宋体" w:hint="eastAsia"/>
                <w:szCs w:val="21"/>
                <w:highlight w:val="none"/>
              </w:rPr>
              <w:t>分，最高得100分</w:t>
            </w:r>
            <w:r>
              <w:rPr>
                <w:rFonts w:ascii="宋体" w:hAnsi="宋体" w:cs="宋体" w:hint="eastAsia"/>
                <w:szCs w:val="21"/>
                <w:highlight w:val="none"/>
                <w:lang w:eastAsia="zh-CN"/>
              </w:rPr>
              <w:t>，</w:t>
            </w:r>
          </w:p>
          <w:p>
            <w:pPr>
              <w:rPr>
                <w:rFonts w:eastAsia="宋体" w:hint="eastAsia"/>
                <w:lang w:val="en-US" w:eastAsia="zh-CN"/>
              </w:rPr>
            </w:pPr>
            <w:r>
              <w:rPr>
                <w:rFonts w:hint="eastAsia"/>
              </w:rPr>
              <w:t>1、医院全成本核算类</w:t>
            </w:r>
            <w:r>
              <w:rPr>
                <w:rFonts w:hint="eastAsia"/>
                <w:lang w:eastAsia="zh-CN"/>
              </w:rPr>
              <w:t>；</w:t>
            </w:r>
          </w:p>
          <w:p>
            <w:pPr>
              <w:rPr>
                <w:rFonts w:eastAsia="宋体" w:hint="eastAsia"/>
                <w:lang w:eastAsia="zh-CN"/>
              </w:rPr>
            </w:pPr>
            <w:r>
              <w:rPr>
                <w:rFonts w:hint="eastAsia"/>
              </w:rPr>
              <w:t>2、DIP成本核算类</w:t>
            </w:r>
            <w:r>
              <w:rPr>
                <w:rFonts w:hint="eastAsia"/>
                <w:lang w:eastAsia="zh-CN"/>
              </w:rPr>
              <w:t>；</w:t>
            </w:r>
          </w:p>
          <w:p>
            <w:pPr>
              <w:rPr>
                <w:rFonts w:eastAsia="宋体" w:hint="eastAsia"/>
                <w:lang w:eastAsia="zh-CN"/>
              </w:rPr>
            </w:pPr>
            <w:r>
              <w:rPr>
                <w:rFonts w:hint="eastAsia"/>
              </w:rPr>
              <w:t>3、DRG成本核算类</w:t>
            </w:r>
            <w:r>
              <w:rPr>
                <w:rFonts w:hint="eastAsia"/>
                <w:lang w:eastAsia="zh-CN"/>
              </w:rPr>
              <w:t>；</w:t>
            </w:r>
          </w:p>
          <w:p>
            <w:pPr>
              <w:rPr>
                <w:rFonts w:eastAsia="宋体" w:hint="eastAsia"/>
                <w:lang w:val="en-US" w:eastAsia="zh-CN"/>
              </w:rPr>
            </w:pPr>
            <w:r>
              <w:rPr>
                <w:rFonts w:hint="eastAsia"/>
              </w:rPr>
              <w:t>4、科室全成本核算类</w:t>
            </w:r>
            <w:r>
              <w:rPr>
                <w:rFonts w:hint="eastAsia"/>
                <w:lang w:eastAsia="zh-CN"/>
              </w:rPr>
              <w:t>；</w:t>
            </w:r>
          </w:p>
          <w:p>
            <w:pPr>
              <w:rPr>
                <w:rFonts w:eastAsia="宋体" w:hint="eastAsia"/>
                <w:lang w:val="en-US" w:eastAsia="zh-CN"/>
              </w:rPr>
            </w:pPr>
            <w:r>
              <w:rPr>
                <w:rFonts w:hint="eastAsia"/>
              </w:rPr>
              <w:t>5、医疗服务项目成本核算类</w:t>
            </w:r>
            <w:r>
              <w:rPr>
                <w:rFonts w:hint="eastAsia"/>
                <w:lang w:eastAsia="zh-CN"/>
              </w:rPr>
              <w:t>；</w:t>
            </w:r>
          </w:p>
          <w:p>
            <w:pPr>
              <w:rPr>
                <w:rFonts w:eastAsia="宋体" w:hint="eastAsia"/>
                <w:lang w:val="en-US" w:eastAsia="zh-CN"/>
              </w:rPr>
            </w:pPr>
            <w:r>
              <w:rPr>
                <w:rFonts w:hint="eastAsia"/>
              </w:rPr>
              <w:t>6、DRG绩效评价管理类</w:t>
            </w:r>
            <w:r>
              <w:rPr>
                <w:rFonts w:hint="eastAsia"/>
                <w:lang w:eastAsia="zh-CN"/>
              </w:rPr>
              <w:t>；</w:t>
            </w:r>
          </w:p>
          <w:p>
            <w:pPr>
              <w:rPr>
                <w:rFonts w:eastAsia="仿宋" w:hint="default"/>
                <w:lang w:val="en-US" w:eastAsia="zh-CN"/>
              </w:rPr>
            </w:pPr>
            <w:r>
              <w:rPr>
                <w:rFonts w:hint="eastAsia"/>
              </w:rPr>
              <w:t>7、基于DIP的医院运营管理类</w:t>
            </w:r>
            <w:r>
              <w:rPr>
                <w:rFonts w:hint="eastAsia"/>
                <w:lang w:eastAsia="zh-CN"/>
              </w:rPr>
              <w:t>；</w:t>
            </w:r>
          </w:p>
          <w:p>
            <w:pPr>
              <w:wordWrap/>
              <w:rPr>
                <w:rFonts w:hint="eastAsia"/>
                <w:lang w:eastAsia="zh-CN"/>
              </w:rPr>
            </w:pPr>
            <w:r>
              <w:rPr>
                <w:rFonts w:hint="eastAsia"/>
              </w:rPr>
              <w:t>8、基于DRG的医院运营管理类</w:t>
            </w:r>
            <w:r>
              <w:rPr>
                <w:rFonts w:hint="eastAsia"/>
                <w:lang w:eastAsia="zh-CN"/>
              </w:rPr>
              <w:t>；</w:t>
            </w:r>
          </w:p>
          <w:p>
            <w:pPr>
              <w:wordWrap w:val="0"/>
              <w:rPr>
                <w:rFonts w:ascii="宋体" w:hAnsi="宋体" w:cs="宋体" w:hint="eastAsia"/>
                <w:b/>
                <w:bCs/>
                <w:szCs w:val="21"/>
                <w:highlight w:val="none"/>
                <w:lang w:eastAsia="zh-CN"/>
              </w:rPr>
            </w:pPr>
          </w:p>
          <w:p>
            <w:pPr>
              <w:wordWrap w:val="0"/>
              <w:rPr>
                <w:rFonts w:hint="eastAsia"/>
                <w:lang w:eastAsia="zh-CN"/>
              </w:rPr>
            </w:pPr>
            <w:r>
              <w:rPr>
                <w:rFonts w:ascii="宋体" w:hAnsi="宋体" w:cs="宋体" w:hint="eastAsia"/>
                <w:b/>
                <w:bCs/>
                <w:szCs w:val="21"/>
                <w:highlight w:val="none"/>
                <w:lang w:eastAsia="zh-CN"/>
              </w:rPr>
              <w:t>同一计算机软件著作权登记证书包含以上提及的多种功能，不可以累计得分。</w:t>
            </w:r>
          </w:p>
          <w:p>
            <w:pPr>
              <w:wordWrap w:val="0"/>
              <w:rPr>
                <w:rFonts w:ascii="宋体" w:hAnsi="宋体" w:cs="宋体" w:hint="eastAsia"/>
                <w:szCs w:val="21"/>
                <w:highlight w:val="none"/>
              </w:rPr>
            </w:pPr>
            <w:r>
              <w:rPr>
                <w:rFonts w:ascii="宋体" w:hAnsi="宋体" w:cs="宋体" w:hint="eastAsia"/>
                <w:szCs w:val="21"/>
                <w:highlight w:val="none"/>
                <w:lang w:eastAsia="zh-CN"/>
              </w:rPr>
              <w:t>（</w:t>
            </w:r>
            <w:r>
              <w:rPr>
                <w:rFonts w:ascii="宋体" w:hAnsi="宋体" w:cs="宋体" w:hint="eastAsia"/>
                <w:szCs w:val="21"/>
                <w:highlight w:val="none"/>
              </w:rPr>
              <w:t>二）评分依据：</w:t>
            </w:r>
          </w:p>
          <w:p>
            <w:pP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1、（1）如为自有的，提供国家版权局颁发的计算机软件著作权登记证书扫描件和中国版权登记查询服务平台（https://register.ccopyright.com.cn/query.html）的信息查询截图，以上材料需能体现投标人为著作权人；</w:t>
            </w:r>
          </w:p>
          <w:p>
            <w:pP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（2）如为许可（含租赁）或转让（或购买）的，同时提供：</w:t>
            </w:r>
          </w:p>
          <w:p>
            <w:pP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①许可（含租赁）或转让（或购买）合同扫描件，需能体现投标人为被许可人或被转让人或购买人；</w:t>
            </w:r>
          </w:p>
          <w:p>
            <w:pP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②出售方以上每类系统由国家版权局颁发的计算机软件著作权登记证书扫描件，需能体现著作权人为出售人；</w:t>
            </w:r>
          </w:p>
          <w:p>
            <w:pP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③中国版权登记查询服务平台（https://register.ccopyright.com.cn/query.html）的信息查询截图，需能体现出售人为著作权人。</w:t>
            </w:r>
          </w:p>
          <w:p>
            <w:pP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2、提供的计算机软件著作权登记证书扫描件如无法判断是否符合评分要求的，可同时提供系统或软件的功能截图辅助判断，证书及截图均无法判断的不得分；</w:t>
            </w:r>
          </w:p>
          <w:p>
            <w:pPr>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lang w:val="en-US" w:eastAsia="zh-CN"/>
              </w:rPr>
              <w:t>3、未按要求提供相关证明材料（或相关证明材料无法判断是否符合评分要求）的不计得分，原件备查。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4</w:t>
            </w:r>
          </w:p>
        </w:tc>
        <w:tc>
          <w:tcPr>
            <w:tcW w:w="2068"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诚信情况</w:t>
            </w:r>
          </w:p>
        </w:tc>
        <w:tc>
          <w:tcPr>
            <w:tcW w:w="6324"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lang w:val="en-US" w:eastAsia="zh-CN"/>
              </w:rPr>
              <w:t>2</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7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2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63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7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62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szCs w:val="21"/>
              </w:rPr>
            </w:pPr>
            <w:r>
              <w:rPr>
                <w:rFonts w:hint="eastAsia"/>
                <w:lang w:val="en-US" w:eastAsia="zh-CN"/>
              </w:rPr>
              <w:t>2</w:t>
            </w:r>
          </w:p>
        </w:tc>
        <w:tc>
          <w:tcPr>
            <w:tcW w:w="6324"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420" w:firstLineChars="200"/>
              <w:rPr>
                <w:rFonts w:ascii="宋体" w:hAnsi="宋体" w:cs="宋体" w:hint="eastAsia"/>
                <w:b w:val="0"/>
                <w:bCs w:val="0"/>
                <w:szCs w:val="21"/>
              </w:rPr>
            </w:pPr>
            <w:r>
              <w:rPr>
                <w:rFonts w:ascii="宋体" w:hAnsi="宋体" w:cs="宋体" w:hint="eastAsia"/>
                <w:b w:val="0"/>
                <w:bCs w:val="0"/>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pStyle w:val="BodyText"/>
              <w:wordWrap w:val="0"/>
              <w:spacing w:line="240" w:lineRule="auto"/>
              <w:ind w:firstLine="420" w:firstLineChars="200"/>
              <w:rPr>
                <w:rFonts w:ascii="宋体" w:hAnsi="宋体" w:cs="宋体"/>
                <w:b w:val="0"/>
                <w:bCs w:val="0"/>
                <w:szCs w:val="21"/>
              </w:rPr>
            </w:pPr>
            <w:r>
              <w:rPr>
                <w:rFonts w:ascii="宋体" w:hAnsi="宋体" w:cs="宋体" w:hint="eastAsia"/>
                <w:b w:val="0"/>
                <w:bCs w:val="0"/>
                <w:szCs w:val="21"/>
              </w:rPr>
              <w:t>查询渠道：通过“信用中国”（www.creditchina.gov.cn，下载信用信息报告）、“中国政府采购网”（www.ccgp.gov.cn）、“深圳市政府采购监管网”（http://zfcg.sz.gov.cn）以及财政部门认可的“供应商诚信档案库”查询供应商信用信息，信用信息以开标当日的查询结果为准。</w:t>
            </w:r>
          </w:p>
        </w:tc>
      </w:tr>
    </w:tbl>
    <w:p>
      <w:pPr>
        <w:rPr>
          <w:rFonts w:ascii="宋体" w:hAnsi="宋体"/>
          <w:sz w:val="24"/>
        </w:r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6</w:t>
      </w:r>
      <w:r>
        <w:rPr>
          <w:rFonts w:hint="eastAsia"/>
          <w:b/>
          <w:sz w:val="28"/>
          <w:szCs w:val="28"/>
        </w:rPr>
        <w:t>）</w:t>
      </w:r>
      <w:bookmarkEnd w:id="1"/>
    </w:p>
    <w:p>
      <w:pPr>
        <w:ind w:firstLine="420" w:firstLineChars="200"/>
        <w:rPr>
          <w:rFonts w:hint="eastAsia"/>
        </w:rPr>
      </w:pPr>
      <w: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投标函"/>
      <w:bookmarkEnd w:id="3"/>
      <w:bookmarkStart w:id="4" w:name="bt技术标投标文件格式"/>
      <w:bookmarkEnd w:id="4"/>
      <w:bookmarkStart w:id="5" w:name="bt投标人须知"/>
      <w:bookmarkEnd w:id="5"/>
      <w:bookmarkStart w:id="6" w:name="bt投标人情况介绍"/>
      <w:bookmarkEnd w:id="6"/>
      <w:bookmarkStart w:id="7" w:name="bt投标文件签署授权委托书"/>
      <w:bookmarkEnd w:id="7"/>
      <w:bookmarkStart w:id="8" w:name="bt说明"/>
      <w:bookmarkEnd w:id="8"/>
      <w:bookmarkStart w:id="9" w:name="bt合同条款及格式"/>
      <w:bookmarkEnd w:id="9"/>
      <w:bookmarkStart w:id="10" w:name="bt投标报价汇总表"/>
      <w:bookmarkEnd w:id="10"/>
      <w:bookmarkStart w:id="11" w:name="bt本工程承诺书"/>
      <w:bookmarkEnd w:id="11"/>
      <w:bookmarkStart w:id="12" w:name="bt项目管理班子配备情况"/>
      <w:bookmarkEnd w:id="12"/>
      <w:bookmarkStart w:id="13" w:name="bt开标一览表"/>
      <w:bookmarkEnd w:id="13"/>
      <w:bookmarkStart w:id="14" w:name="bt其他资料2"/>
      <w:bookmarkEnd w:id="14"/>
      <w:bookmarkStart w:id="15" w:name="合同格式"/>
      <w:bookmarkEnd w:id="15"/>
      <w:bookmarkStart w:id="16" w:name="bt商务标投标文件格式"/>
      <w:bookmarkEnd w:id="16"/>
      <w:bookmarkStart w:id="17" w:name="bt其他资料由投标人自定"/>
      <w:bookmarkEnd w:id="17"/>
      <w:bookmarkStart w:id="18" w:name="bt合同格式"/>
      <w:bookmarkEnd w:id="18"/>
      <w:bookmarkStart w:id="19" w:name="bt合同条款"/>
      <w:bookmarkEnd w:id="19"/>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eastAsia="zh-CN"/>
                    </w:rPr>
                    <w:t>，</w:t>
                  </w:r>
                  <w:r>
                    <w:rPr>
                      <w:rFonts w:ascii="宋体" w:hAnsi="宋体" w:cs="宋体" w:hint="eastAsia"/>
                      <w:color w:val="000000" w:themeColor="text1"/>
                      <w:kern w:val="0"/>
                      <w:szCs w:val="21"/>
                      <w:lang w:val="en-US" w:eastAsia="zh-CN"/>
                      <w14:textFill>
                        <w14:solidFill>
                          <w14:schemeClr w14:val="tx1"/>
                        </w14:solidFill>
                      </w14:textFill>
                    </w:rPr>
                    <w:t>是否允许</w:t>
                  </w:r>
                  <w:r>
                    <w:rPr>
                      <w:rFonts w:ascii="宋体" w:hAnsi="宋体" w:cs="宋体" w:hint="eastAsia"/>
                      <w:color w:val="000000" w:themeColor="text1"/>
                      <w:kern w:val="0"/>
                      <w:szCs w:val="21"/>
                      <w14:textFill>
                        <w14:solidFill>
                          <w14:schemeClr w14:val="tx1"/>
                        </w14:solidFill>
                      </w14:textFill>
                    </w:rPr>
                    <w:t>投标人选用进口产品参与投标</w:t>
                  </w:r>
                  <w:r>
                    <w:rPr>
                      <w:rFonts w:ascii="宋体" w:hAnsi="宋体" w:cs="宋体" w:hint="eastAsia"/>
                      <w:color w:val="000000" w:themeColor="text1"/>
                      <w:kern w:val="0"/>
                      <w:szCs w:val="21"/>
                      <w:lang w:val="en-US" w:eastAsia="zh-CN"/>
                      <w14:textFill>
                        <w14:solidFill>
                          <w14:schemeClr w14:val="tx1"/>
                        </w14:solidFill>
                      </w14:textFill>
                    </w:rPr>
                    <w:t>以</w:t>
                  </w:r>
                  <w:r>
                    <w:rPr>
                      <w:rFonts w:ascii="宋体" w:hAnsi="宋体" w:cs="宋体" w:hint="eastAsia"/>
                      <w:color w:val="000000" w:themeColor="text1"/>
                      <w:kern w:val="0"/>
                      <w:szCs w:val="21"/>
                      <w14:textFill>
                        <w14:solidFill>
                          <w14:schemeClr w14:val="tx1"/>
                        </w14:solidFill>
                      </w14:textFill>
                    </w:rPr>
                    <w:t>招标文件</w:t>
                  </w:r>
                  <w:r>
                    <w:rPr>
                      <w:rFonts w:ascii="宋体" w:hAnsi="宋体" w:cs="宋体" w:hint="eastAsia"/>
                      <w:color w:val="000000" w:themeColor="text1"/>
                      <w:kern w:val="0"/>
                      <w:szCs w:val="21"/>
                      <w:lang w:eastAsia="zh-CN"/>
                      <w14:textFill>
                        <w14:solidFill>
                          <w14:schemeClr w14:val="tx1"/>
                        </w14:solidFill>
                      </w14:textFill>
                    </w:rPr>
                    <w:t>“</w:t>
                  </w:r>
                  <w:r>
                    <w:rPr>
                      <w:rFonts w:ascii="宋体" w:hAnsi="宋体" w:cs="宋体" w:hint="eastAsia"/>
                      <w:color w:val="000000" w:themeColor="text1"/>
                      <w:kern w:val="0"/>
                      <w:szCs w:val="21"/>
                      <w:lang w:val="en-US" w:eastAsia="zh-CN"/>
                      <w14:textFill>
                        <w14:solidFill>
                          <w14:schemeClr w14:val="tx1"/>
                        </w14:solidFill>
                      </w14:textFill>
                    </w:rPr>
                    <w:t>第三章 用户需求书</w:t>
                  </w:r>
                  <w:r>
                    <w:rPr>
                      <w:rFonts w:ascii="宋体" w:hAnsi="宋体" w:cs="宋体" w:hint="eastAsia"/>
                      <w:color w:val="000000" w:themeColor="text1"/>
                      <w:kern w:val="0"/>
                      <w:szCs w:val="21"/>
                      <w14:textFill>
                        <w14:solidFill>
                          <w14:schemeClr w14:val="tx1"/>
                        </w14:solidFill>
                      </w14:textFill>
                    </w:rPr>
                    <w:t>”</w:t>
                  </w:r>
                  <w:r>
                    <w:rPr>
                      <w:rFonts w:ascii="宋体" w:hAnsi="宋体" w:cs="宋体" w:hint="eastAsia"/>
                      <w:color w:val="000000" w:themeColor="text1"/>
                      <w:kern w:val="0"/>
                      <w:szCs w:val="21"/>
                      <w:lang w:val="en-US" w:eastAsia="zh-CN"/>
                      <w14:textFill>
                        <w14:solidFill>
                          <w14:schemeClr w14:val="tx1"/>
                        </w14:solidFill>
                      </w14:textFill>
                    </w:rPr>
                    <w:t>为准，</w:t>
                  </w:r>
                  <w:r>
                    <w:rPr>
                      <w:rFonts w:ascii="宋体" w:hAnsi="宋体" w:cs="宋体" w:hint="eastAsia"/>
                      <w:color w:val="000000" w:themeColor="text1"/>
                      <w:kern w:val="0"/>
                      <w:szCs w:val="21"/>
                      <w14:textFill>
                        <w14:solidFill>
                          <w14:schemeClr w14:val="tx1"/>
                        </w14:solidFill>
                      </w14:textFill>
                    </w:rPr>
                    <w:t>（由供应商在《政府采购投标及履约承诺函》中作出声明）；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hint="eastAsia"/>
                      <w:lang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b/>
                      <w:bCs/>
                      <w:kern w:val="0"/>
                      <w:szCs w:val="21"/>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，“中国政府采购网”（www.ccgp.gov.cn）中的“政府采购严重违法失信行为记录名单”，“深圳市政府采购监管网”（http://zfcg.sz.gov.cn）</w:t>
                  </w:r>
                  <w:r>
                    <w:rPr>
                      <w:rFonts w:asciiTheme="minorEastAsia" w:eastAsiaTheme="minorEastAsia" w:hAnsiTheme="minorEastAsia" w:cstheme="minorEastAsia" w:hint="eastAsia"/>
                      <w:b w:val="0"/>
                      <w:bCs w:val="0"/>
                      <w:sz w:val="21"/>
                      <w:szCs w:val="21"/>
                      <w:lang w:val="en-US" w:eastAsia="zh-CN"/>
                    </w:rPr>
                    <w:t>以及财政部门认可的“供应商诚信档案库”</w:t>
                  </w:r>
                  <w:r>
                    <w:rPr>
                      <w:rFonts w:ascii="宋体" w:hAnsi="宋体" w:cs="宋体" w:hint="eastAsia"/>
                      <w:kern w:val="0"/>
                      <w:szCs w:val="21"/>
                    </w:rPr>
                    <w:t>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0" w:name="_Toc73518117"/>
      <w:bookmarkStart w:id="21" w:name="_Toc101074876"/>
      <w:bookmarkStart w:id="22" w:name="_Toc73521635"/>
      <w:bookmarkStart w:id="23" w:name="_Toc73517639"/>
      <w:bookmarkStart w:id="24" w:name="_Toc60560625"/>
      <w:bookmarkStart w:id="25" w:name="_Toc100052364"/>
      <w:bookmarkStart w:id="26" w:name="_Toc73521547"/>
      <w:bookmarkStart w:id="27" w:name="_Toc60631620"/>
      <w:r>
        <w:rPr>
          <w:rFonts w:hint="eastAsia"/>
          <w:szCs w:val="24"/>
        </w:rPr>
        <w:t>一、对通用条款的补充内容</w:t>
      </w:r>
      <w:bookmarkEnd w:id="20"/>
      <w:bookmarkEnd w:id="21"/>
      <w:bookmarkEnd w:id="22"/>
      <w:bookmarkEnd w:id="23"/>
      <w:bookmarkEnd w:id="24"/>
      <w:bookmarkEnd w:id="25"/>
      <w:bookmarkEnd w:id="26"/>
      <w:bookmarkEnd w:id="27"/>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eastAsia="宋体" w:hAnsi="宋体" w:cs="Arial" w:hint="eastAsia"/>
                <w:b/>
                <w:szCs w:val="21"/>
              </w:rPr>
              <w:t>深圳市宝安区中医院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8" w:name="_Hlk71664860"/>
            <w:r>
              <w:rPr>
                <w:rFonts w:ascii="宋体" w:hAnsi="宋体" w:hint="eastAsia"/>
              </w:rPr>
              <w:t>样品、现场演示、方案讲解</w:t>
            </w:r>
            <w:bookmarkEnd w:id="28"/>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9" w:name="_Hlk72579465"/>
      <w:r>
        <w:rPr>
          <w:rFonts w:asciiTheme="minorEastAsia" w:eastAsiaTheme="minorEastAsia" w:hAnsiTheme="minorEastAsia" w:hint="eastAsia"/>
          <w:b/>
          <w:kern w:val="0"/>
          <w:szCs w:val="20"/>
        </w:rPr>
        <w:t>1、评标定标信息</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rPr>
                <w:rFonts w:eastAsia="宋体" w:hint="default"/>
                <w:lang w:val="en-US" w:eastAsia="zh-CN"/>
              </w:rPr>
            </w:pPr>
            <w:r>
              <w:rPr>
                <w:rFonts w:ascii="Wingdings" w:eastAsia="Wingdings" w:hAnsi="Wingdings" w:cs="Wingdings" w:hint="eastAsia"/>
              </w:rPr>
              <w:t>þ</w:t>
            </w:r>
            <w:r>
              <w:rPr>
                <w:rFonts w:hint="eastAsia"/>
              </w:rPr>
              <w:t>综合评分法</w:t>
            </w:r>
          </w:p>
        </w:tc>
        <w:tc>
          <w:tcPr>
            <w:tcW w:w="2450" w:type="dxa"/>
          </w:tcPr>
          <w:p>
            <w:pPr>
              <w:jc w:val="center"/>
              <w:rPr>
                <w:rFonts w:hint="eastAsia"/>
              </w:rPr>
            </w:pPr>
            <w:r>
              <w:rPr>
                <w:rFonts w:ascii="Wingdings" w:eastAsia="Wingdings" w:hAnsi="Wingdings" w:cs="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rPr>
                <w:rFonts w:eastAsia="宋体" w:hint="default"/>
                <w:lang w:val="en-US" w:eastAsia="zh-CN"/>
              </w:rPr>
            </w:pPr>
            <w:r>
              <w:rPr>
                <w:rFonts w:hint="eastAsia"/>
              </w:rPr>
              <w:t>1</w:t>
            </w:r>
          </w:p>
        </w:tc>
        <w:tc>
          <w:tcPr>
            <w:tcW w:w="2450" w:type="dxa"/>
          </w:tcPr>
          <w:p>
            <w:pPr>
              <w:jc w:val="center"/>
              <w:rPr>
                <w:rFonts w:eastAsia="宋体" w:hint="eastAsia"/>
                <w:lang w:eastAsia="zh-CN"/>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rPr>
                <w:rFonts w:hint="eastAsia"/>
              </w:rPr>
            </w:pPr>
            <w:r>
              <w:rPr>
                <w:rFonts w:hint="eastAsia"/>
              </w:rPr>
              <w:t>1</w:t>
            </w:r>
          </w:p>
        </w:tc>
      </w:tr>
    </w:tbl>
    <w:p>
      <w:pPr>
        <w:ind w:firstLine="420" w:firstLineChars="200"/>
        <w:rPr>
          <w:rFonts w:eastAsia="宋体" w:hint="default"/>
          <w:b/>
          <w:lang w:val="en-US" w:eastAsia="zh-CN"/>
        </w:rPr>
      </w:pPr>
      <w:bookmarkEnd w:id="29"/>
      <w:r>
        <w:rPr>
          <w:rFonts w:hint="eastAsia"/>
          <w:b/>
          <w:lang w:val="en-US" w:eastAsia="zh-CN"/>
        </w:rPr>
        <w:t>10</w:t>
      </w:r>
      <w:r>
        <w:rPr>
          <w:rFonts w:hint="eastAsia"/>
          <w:b/>
        </w:rPr>
        <w:t>（二）</w:t>
      </w:r>
      <w:r>
        <w:rPr>
          <w:rFonts w:hint="eastAsia"/>
          <w:b/>
          <w:lang w:val="en-US" w:eastAsia="zh-CN"/>
        </w:rPr>
        <w:t>政府采购政策的有关事项说明</w:t>
      </w:r>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关于享受中小企业扶持</w:t>
      </w:r>
      <w:r>
        <w:rPr>
          <w:rFonts w:hint="eastAsia"/>
          <w:b/>
          <w:bCs/>
        </w:rPr>
        <w:t>政策的主体</w:t>
      </w:r>
      <w:r>
        <w:rPr>
          <w:rFonts w:hint="eastAsia"/>
          <w:b/>
          <w:bCs/>
          <w:lang w:eastAsia="zh-CN"/>
        </w:rPr>
        <w:t>、</w:t>
      </w:r>
      <w:r>
        <w:rPr>
          <w:rFonts w:hint="eastAsia"/>
          <w:b/>
          <w:bCs/>
        </w:rPr>
        <w:t>价格扣除比例</w:t>
      </w:r>
      <w:r>
        <w:rPr>
          <w:rFonts w:hint="eastAsia"/>
          <w:b/>
          <w:bCs/>
          <w:lang w:val="en-US" w:eastAsia="zh-CN"/>
        </w:rPr>
        <w:t>及采购标的所属行业等事项的说明</w:t>
      </w:r>
    </w:p>
    <w:p>
      <w:pPr>
        <w:ind w:firstLine="630" w:firstLineChars="300"/>
        <w:rPr>
          <w:rFonts w:hint="eastAsia"/>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适用主体：中型企业、小型、微型企业（</w:t>
      </w:r>
      <w:r>
        <w:rPr>
          <w:rFonts w:ascii="Times New Roman" w:eastAsia="宋体" w:hAnsi="Times New Roman" w:cs="Times New Roman" w:hint="eastAsia"/>
          <w:i w:val="0"/>
          <w:iCs w:val="0"/>
          <w:caps w:val="0"/>
          <w:spacing w:val="0"/>
          <w:sz w:val="21"/>
          <w:szCs w:val="24"/>
          <w:shd w:val="clear" w:color="auto" w:fill="auto"/>
        </w:rPr>
        <w:t>残疾人福利性单位视同小型、微型企业</w:t>
      </w:r>
      <w:r>
        <w:rPr>
          <w:rFonts w:cs="Times New Roman" w:hint="eastAsia"/>
          <w:i w:val="0"/>
          <w:iCs w:val="0"/>
          <w:caps w:val="0"/>
          <w:spacing w:val="0"/>
          <w:sz w:val="21"/>
          <w:szCs w:val="24"/>
          <w:shd w:val="clear" w:color="auto" w:fill="auto"/>
          <w:lang w:eastAsia="zh-CN"/>
        </w:rPr>
        <w:t>；</w:t>
      </w:r>
      <w:r>
        <w:rPr>
          <w:rFonts w:ascii="Times New Roman" w:eastAsia="宋体" w:hAnsi="Times New Roman" w:cs="Times New Roman" w:hint="eastAsia"/>
          <w:i w:val="0"/>
          <w:iCs w:val="0"/>
          <w:caps w:val="0"/>
          <w:spacing w:val="0"/>
          <w:sz w:val="21"/>
          <w:szCs w:val="24"/>
          <w:shd w:val="clear" w:color="auto" w:fill="auto"/>
        </w:rPr>
        <w:t>监狱企业视同小型、微型企业</w:t>
      </w:r>
      <w:r>
        <w:rPr>
          <w:rFonts w:hint="eastAsia"/>
          <w:lang w:val="en-US" w:eastAsia="zh-CN"/>
        </w:rPr>
        <w:t>）。接受联合体的项目，供应商以联合体形式参加政府采购活动，联合体各方均为中小企业的，联合体视同中小企业。其中，联合体各方均为小微企业的，联合体视同小微企业。</w:t>
      </w:r>
    </w:p>
    <w:p>
      <w:pPr>
        <w:ind w:firstLine="420" w:firstLineChars="200"/>
        <w:rPr>
          <w:rFonts w:hint="eastAsia"/>
        </w:rPr>
      </w:pPr>
      <w:r>
        <w:rPr>
          <w:rFonts w:hint="eastAsia"/>
          <w:lang w:val="en-US" w:eastAsia="zh-CN"/>
        </w:rPr>
        <w:t>备注：</w:t>
      </w:r>
      <w:r>
        <w:rPr>
          <w:rFonts w:hint="eastAsia"/>
        </w:rPr>
        <w:t>(</w:t>
      </w:r>
      <w:r>
        <w:rPr>
          <w:rFonts w:hint="eastAsia"/>
          <w:lang w:val="en-US" w:eastAsia="zh-CN"/>
        </w:rPr>
        <w:t>a</w:t>
      </w:r>
      <w:r>
        <w:t>)</w:t>
      </w:r>
      <w:r>
        <w:rPr>
          <w:rFonts w:hint="eastAsia"/>
        </w:rPr>
        <w:t>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ascii="Calibri" w:eastAsia="宋体" w:hAnsi="Calibri" w:cs="Times New Roman" w:hint="eastAsia"/>
          <w:sz w:val="21"/>
          <w:szCs w:val="22"/>
        </w:rPr>
        <w:t>在货物采购项目中，货物由中小企业制造，即货物由中小企业生产且使用该中小企业商号或者注册商标</w:t>
      </w:r>
      <w:r>
        <w:rPr>
          <w:rFonts w:cs="Times New Roman" w:hint="eastAsia"/>
          <w:sz w:val="21"/>
          <w:szCs w:val="22"/>
          <w:lang w:eastAsia="zh-CN"/>
        </w:rPr>
        <w:t>（</w:t>
      </w:r>
      <w:r>
        <w:rPr>
          <w:rFonts w:cs="Times New Roman" w:hint="eastAsia"/>
          <w:sz w:val="21"/>
          <w:szCs w:val="22"/>
          <w:lang w:val="en-US" w:eastAsia="zh-CN"/>
        </w:rPr>
        <w:t>供应商提供的货物既有中小企业制造货物，也有大型企业制造货物的，不享受中小企业扶持政策）</w:t>
      </w:r>
      <w:r>
        <w:rPr>
          <w:rFonts w:ascii="Calibri" w:eastAsia="宋体" w:hAnsi="Calibri" w:cs="Times New Roman" w:hint="eastAsia"/>
          <w:sz w:val="21"/>
          <w:szCs w:val="22"/>
        </w:rPr>
        <w:t>；在工程采购项目中，工程由中小企业承建，即工程施工单位为中小企业</w:t>
      </w:r>
      <w:r>
        <w:rPr>
          <w:rFonts w:cs="Times New Roman" w:hint="eastAsia"/>
          <w:sz w:val="21"/>
          <w:szCs w:val="22"/>
          <w:lang w:eastAsia="zh-CN"/>
        </w:rPr>
        <w:t>；</w:t>
      </w:r>
      <w:r>
        <w:rPr>
          <w:rFonts w:cs="Times New Roman" w:hint="eastAsia"/>
          <w:sz w:val="21"/>
          <w:szCs w:val="22"/>
          <w:lang w:val="en-US" w:eastAsia="zh-CN"/>
        </w:rPr>
        <w:t>在服务采购项目中，服务由中小企业承接，即提供服务的人员为中小企业依照《中华人民共和国劳动合同法》订立劳动合同的从业人员。</w:t>
      </w:r>
    </w:p>
    <w:p>
      <w:pPr>
        <w:ind w:firstLine="630" w:firstLineChars="300"/>
        <w:rPr>
          <w:rFonts w:eastAsia="宋体" w:hint="default"/>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预留份额专门面向中小企业采购的项目，不再执行价格扣除比例。</w:t>
      </w:r>
    </w:p>
    <w:p>
      <w:pPr>
        <w:ind w:firstLine="630" w:firstLineChars="300"/>
      </w:pPr>
      <w:r>
        <w:rPr>
          <w:rFonts w:hint="eastAsia"/>
          <w:lang w:eastAsia="zh-CN"/>
        </w:rPr>
        <w:t>（</w:t>
      </w:r>
      <w:r>
        <w:rPr>
          <w:rFonts w:hint="eastAsia"/>
          <w:lang w:val="en-US" w:eastAsia="zh-CN"/>
        </w:rPr>
        <w:t>3</w:t>
      </w:r>
      <w:r>
        <w:rPr>
          <w:rFonts w:hint="eastAsia"/>
          <w:lang w:eastAsia="zh-CN"/>
        </w:rPr>
        <w:t>）未预留份额</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：供应商</w:t>
      </w:r>
      <w:r>
        <w:rPr>
          <w:rFonts w:hint="eastAsia"/>
        </w:rPr>
        <w:t>提供的服务</w:t>
      </w:r>
      <w:r>
        <w:rPr>
          <w:rFonts w:hint="eastAsia"/>
          <w:b/>
          <w:bCs/>
          <w:color w:val="FF0000"/>
        </w:rPr>
        <w:t>全部由</w:t>
      </w:r>
      <w:r>
        <w:rPr>
          <w:rFonts w:hint="eastAsia"/>
          <w:b/>
          <w:bCs/>
          <w:color w:val="FF0000"/>
          <w:lang w:val="en-US" w:eastAsia="zh-CN"/>
        </w:rPr>
        <w:t>小型、微型企业</w:t>
      </w:r>
      <w:r>
        <w:rPr>
          <w:rFonts w:hint="eastAsia"/>
          <w:b/>
          <w:bCs/>
          <w:color w:val="FF0000"/>
        </w:rPr>
        <w:t>承接</w:t>
      </w:r>
      <w:r>
        <w:rPr>
          <w:rFonts w:hint="eastAsia"/>
        </w:rPr>
        <w:t>，则对其投标总价给予</w:t>
      </w:r>
      <w:r>
        <w:rPr>
          <w:b/>
          <w:bCs/>
          <w:color w:val="FF0000"/>
          <w:u w:val="single"/>
        </w:rPr>
        <w:t xml:space="preserve">  </w:t>
      </w:r>
      <w:r>
        <w:rPr>
          <w:rFonts w:hint="eastAsia"/>
          <w:b/>
          <w:bCs/>
          <w:color w:val="FF0000"/>
          <w:u w:val="single"/>
          <w:lang w:val="en-US" w:eastAsia="zh-CN"/>
        </w:rPr>
        <w:t xml:space="preserve">  10  </w:t>
      </w:r>
      <w:r>
        <w:rPr>
          <w:b/>
          <w:bCs/>
          <w:color w:val="FF0000"/>
          <w:u w:val="non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w:t>
      </w:r>
    </w:p>
    <w:p>
      <w:pPr>
        <w:ind w:firstLine="630" w:firstLineChars="300"/>
      </w:pPr>
      <w:r>
        <w:rPr>
          <w:rFonts w:hint="eastAsia"/>
          <w:lang w:eastAsia="zh-CN"/>
        </w:rPr>
        <w:t>（</w:t>
      </w:r>
      <w:r>
        <w:rPr>
          <w:rFonts w:hint="eastAsia"/>
          <w:lang w:val="en-US" w:eastAsia="zh-CN"/>
        </w:rPr>
        <w:t>4</w:t>
      </w:r>
      <w:r>
        <w:rPr>
          <w:rFonts w:hint="eastAsia"/>
          <w:lang w:eastAsia="zh-CN"/>
        </w:rPr>
        <w:t>）</w:t>
      </w:r>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ind w:firstLine="630" w:firstLineChars="3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5</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中型企业、</w:t>
      </w:r>
      <w:r>
        <w:rPr>
          <w:rFonts w:asciiTheme="minorEastAsia" w:eastAsiaTheme="minorEastAsia" w:hAnsiTheme="minorEastAsia" w:cstheme="minorEastAsia" w:hint="eastAsia"/>
          <w:sz w:val="21"/>
          <w:szCs w:val="21"/>
        </w:rPr>
        <w:t>小型、微型企业为优惠主体的认定资料为《中小企业声明函》</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残疾人福利性单位为优惠主体的认定资料为《残疾人福利性单</w:t>
      </w:r>
      <w:r>
        <w:rPr>
          <w:rFonts w:hint="eastAsia"/>
        </w:rPr>
        <w:t>位声明函》；监狱企业为优惠主体的认定资料为省级以上监狱管理局、戒毒管理局出具的监狱企业证明文件。声明函样式见本招标文件第一册专用条款第</w:t>
      </w:r>
      <w:r>
        <w:rPr>
          <w:rFonts w:hint="eastAsia"/>
          <w:lang w:val="en-US" w:eastAsia="zh-CN"/>
        </w:rPr>
        <w:t>四</w:t>
      </w:r>
      <w:r>
        <w:rPr>
          <w:rFonts w:hint="eastAsia"/>
        </w:rPr>
        <w:t>章“投标文件格式、附件”中“</w:t>
      </w:r>
      <w:r>
        <w:rPr>
          <w:rFonts w:hint="eastAsia"/>
          <w:lang w:val="en-US" w:eastAsia="zh-CN"/>
        </w:rPr>
        <w:t>三</w:t>
      </w:r>
      <w:r>
        <w:rPr>
          <w:rFonts w:hint="eastAsia"/>
        </w:rPr>
        <w:t>、投标人情况及资格证明文件”章节提供的格式）。</w:t>
      </w:r>
    </w:p>
    <w:p>
      <w:pPr>
        <w:ind w:firstLine="630" w:firstLineChars="300"/>
        <w:rPr>
          <w:color w:val="FF0000"/>
        </w:rPr>
      </w:pPr>
      <w:r>
        <w:rPr>
          <w:rFonts w:hint="eastAsia"/>
        </w:rPr>
        <w:t>（</w:t>
      </w:r>
      <w:r>
        <w:rPr>
          <w:rFonts w:hint="eastAsia"/>
          <w:lang w:val="en-US" w:eastAsia="zh-CN"/>
        </w:rPr>
        <w:t>6</w:t>
      </w:r>
      <w:r>
        <w:rPr>
          <w:rFonts w:hint="eastAsia"/>
        </w:rPr>
        <w:t>）依据</w:t>
      </w:r>
      <w:r>
        <w:rPr>
          <w:rFonts w:hint="eastAsia"/>
          <w:lang w:eastAsia="zh-CN"/>
        </w:rPr>
        <w:t>《</w:t>
      </w:r>
      <w:r>
        <w:rPr>
          <w:rFonts w:asciiTheme="minorEastAsia" w:eastAsiaTheme="minorEastAsia" w:hAnsiTheme="minorEastAsia" w:cstheme="minorEastAsia" w:hint="eastAsia"/>
          <w:sz w:val="21"/>
          <w:szCs w:val="21"/>
        </w:rPr>
        <w:t>政府采购促进中小企业发展管理办法</w:t>
      </w:r>
      <w:r>
        <w:rPr>
          <w:rFonts w:asciiTheme="minorEastAsia" w:eastAsiaTheme="minorEastAsia" w:hAnsiTheme="minorEastAsia" w:cstheme="minorEastAsia" w:hint="eastAsia"/>
          <w:sz w:val="21"/>
          <w:szCs w:val="21"/>
          <w:lang w:eastAsia="zh-CN"/>
        </w:rPr>
        <w:t>》</w:t>
      </w:r>
      <w:r>
        <w:rPr>
          <w:rFonts w:hint="eastAsia"/>
        </w:rPr>
        <w:t>规定享受扶持政策获得政府采购合同的，小微企业不得将合同分包给大中型企业，中型企业不得将合同分包给大型企业</w:t>
      </w:r>
      <w:r>
        <w:rPr>
          <w:rFonts w:hint="eastAsia"/>
          <w:lang w:eastAsia="zh-CN"/>
        </w:rPr>
        <w:t>。</w:t>
      </w:r>
    </w:p>
    <w:p>
      <w:pPr>
        <w:ind w:firstLine="420" w:firstLineChars="200"/>
        <w:rPr>
          <w:rFonts w:eastAsia="宋体" w:hint="default"/>
          <w:b/>
          <w:bCs/>
          <w:lang w:val="en-US" w:eastAsia="zh-CN"/>
        </w:rPr>
      </w:pPr>
      <w:r>
        <w:rPr>
          <w:rFonts w:hint="eastAsia"/>
          <w:b/>
          <w:bCs/>
          <w:lang w:val="en-US" w:eastAsia="zh-CN"/>
        </w:rPr>
        <w:t>2</w:t>
      </w:r>
      <w:r>
        <w:rPr>
          <w:rFonts w:hint="eastAsia"/>
          <w:b/>
          <w:bCs/>
        </w:rPr>
        <w:t>、</w:t>
      </w:r>
      <w:r>
        <w:rPr>
          <w:rFonts w:hint="eastAsia"/>
          <w:b/>
          <w:bCs/>
          <w:lang w:val="en-US" w:eastAsia="zh-CN"/>
        </w:rPr>
        <w:t>关于享受对本国产品的政府采购支持政策</w:t>
      </w:r>
      <w:r>
        <w:rPr>
          <w:rFonts w:hint="eastAsia"/>
          <w:b/>
          <w:bCs/>
        </w:rPr>
        <w:t>的主体</w:t>
      </w:r>
      <w:r>
        <w:rPr>
          <w:rFonts w:hint="eastAsia"/>
          <w:b/>
          <w:bCs/>
          <w:lang w:eastAsia="zh-CN"/>
        </w:rPr>
        <w:t>、</w:t>
      </w:r>
      <w:r>
        <w:rPr>
          <w:rFonts w:hint="eastAsia"/>
          <w:b/>
          <w:bCs/>
        </w:rPr>
        <w:t>价格扣除比例</w:t>
      </w:r>
      <w:r>
        <w:rPr>
          <w:rFonts w:hint="eastAsia"/>
          <w:b/>
          <w:bCs/>
          <w:lang w:val="en-US" w:eastAsia="zh-CN"/>
        </w:rPr>
        <w:t>等事项的说明</w:t>
      </w:r>
    </w:p>
    <w:p>
      <w:pPr>
        <w:ind w:firstLine="420" w:firstLineChars="200"/>
        <w:rPr>
          <w:rFonts w:ascii="Times New Roman" w:eastAsia="宋体" w:hAnsi="Times New Roman" w:cs="Times New Roman" w:hint="eastAsia"/>
          <w:kern w:val="2"/>
          <w:sz w:val="21"/>
          <w:szCs w:val="24"/>
          <w:lang w:val="en-US" w:eastAsia="zh-CN" w:bidi="ar-SA"/>
        </w:rPr>
      </w:pPr>
      <w:r>
        <w:rPr>
          <w:rFonts w:ascii="Times New Roman" w:eastAsia="宋体" w:hAnsi="Times New Roman" w:cs="Times New Roman" w:hint="eastAsia"/>
          <w:kern w:val="2"/>
          <w:sz w:val="21"/>
          <w:szCs w:val="24"/>
          <w:lang w:val="en-US" w:eastAsia="zh-CN" w:bidi="ar-SA"/>
        </w:rPr>
        <w:t>（1）</w:t>
      </w:r>
      <w:r>
        <w:rPr>
          <w:rFonts w:cs="Times New Roman" w:hint="eastAsia"/>
          <w:kern w:val="2"/>
          <w:sz w:val="21"/>
          <w:szCs w:val="24"/>
          <w:lang w:val="en-US" w:eastAsia="zh-CN" w:bidi="ar-SA"/>
        </w:rPr>
        <w:t>适用主体：</w:t>
      </w:r>
      <w:r>
        <w:rPr>
          <w:rFonts w:ascii="Times New Roman" w:eastAsia="宋体" w:hAnsi="Times New Roman" w:cs="Times New Roman" w:hint="eastAsia"/>
          <w:kern w:val="2"/>
          <w:sz w:val="21"/>
          <w:szCs w:val="24"/>
          <w:lang w:val="en-US" w:eastAsia="zh-CN" w:bidi="ar-SA"/>
        </w:rPr>
        <w:t>国有企业、民营企业、外资企业等各类经营主体平等享受对本国产品的政府采购支持政策</w:t>
      </w:r>
      <w:r>
        <w:rPr>
          <w:rFonts w:cs="Times New Roman" w:hint="eastAsia"/>
          <w:kern w:val="2"/>
          <w:sz w:val="21"/>
          <w:szCs w:val="24"/>
          <w:lang w:val="en-US" w:eastAsia="zh-CN" w:bidi="ar-SA"/>
        </w:rPr>
        <w:t>。</w:t>
      </w:r>
    </w:p>
    <w:p>
      <w:pPr>
        <w:pStyle w:val="NoSpacing"/>
        <w:ind w:firstLine="420" w:firstLineChars="200"/>
        <w:rPr>
          <w:rFonts w:ascii="Times New Roman" w:hAnsi="Times New Roman" w:cs="Times New Roman" w:hint="eastAsia"/>
          <w:kern w:val="2"/>
          <w:sz w:val="21"/>
          <w:szCs w:val="24"/>
          <w:lang w:val="en-US" w:eastAsia="zh-CN" w:bidi="ar-SA"/>
        </w:rPr>
      </w:pPr>
      <w:r>
        <w:rPr>
          <w:rFonts w:ascii="Times New Roman" w:hAnsi="Times New Roman" w:cs="Times New Roman" w:hint="eastAsia"/>
          <w:kern w:val="2"/>
          <w:sz w:val="21"/>
          <w:szCs w:val="24"/>
          <w:lang w:val="en-US" w:eastAsia="zh-CN" w:bidi="ar-SA"/>
        </w:rPr>
        <w:t>（2）适用范围：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oSpacing"/>
        <w:ind w:firstLine="420" w:firstLineChars="200"/>
        <w:rPr>
          <w:rFonts w:ascii="Times New Roman" w:hAnsi="Times New Roman" w:cs="Times New Roman" w:hint="eastAsia"/>
          <w:kern w:val="2"/>
          <w:sz w:val="21"/>
          <w:szCs w:val="24"/>
          <w:lang w:val="en-US" w:eastAsia="zh-CN" w:bidi="ar-SA"/>
        </w:rPr>
      </w:pPr>
      <w:r>
        <w:rPr>
          <w:rFonts w:ascii="Times New Roman" w:hAnsi="Times New Roman" w:cs="Times New Roman" w:hint="eastAsia"/>
          <w:kern w:val="2"/>
          <w:sz w:val="21"/>
          <w:szCs w:val="24"/>
          <w:lang w:val="en-US" w:eastAsia="zh-CN" w:bidi="ar-SA"/>
        </w:rPr>
        <w:t>（3）价格扣除：政府采购活动中既有本国产品又有非本国产品参与竞争的，依法对本国产品给予价格评审优惠，</w:t>
      </w:r>
      <w:r>
        <w:rPr>
          <w:rFonts w:ascii="Times New Roman" w:hAnsi="Times New Roman" w:cs="Times New Roman" w:hint="eastAsia"/>
          <w:b/>
          <w:bCs/>
          <w:color w:val="FF0000"/>
          <w:kern w:val="2"/>
          <w:sz w:val="21"/>
          <w:szCs w:val="24"/>
          <w:lang w:val="en-US" w:eastAsia="zh-CN" w:bidi="ar-SA"/>
        </w:rPr>
        <w:t>对本国产品的报价给予20%的价格扣除</w:t>
      </w:r>
      <w:r>
        <w:rPr>
          <w:rFonts w:ascii="Times New Roman" w:hAnsi="Times New Roman" w:cs="Times New Roman" w:hint="eastAsia"/>
          <w:b w:val="0"/>
          <w:bCs w:val="0"/>
          <w:color w:val="000000" w:themeColor="text1"/>
          <w:kern w:val="2"/>
          <w:sz w:val="21"/>
          <w:szCs w:val="24"/>
          <w:lang w:val="en-US" w:eastAsia="zh-CN" w:bidi="ar-SA"/>
          <w14:textFill>
            <w14:solidFill>
              <w14:schemeClr w14:val="tx1"/>
            </w14:solidFill>
          </w14:textFill>
        </w:rPr>
        <w:t>，</w:t>
      </w:r>
      <w:r>
        <w:rPr>
          <w:rFonts w:ascii="Times New Roman" w:hAnsi="Times New Roman" w:cs="Times New Roman" w:hint="eastAsia"/>
          <w:kern w:val="2"/>
          <w:sz w:val="21"/>
          <w:szCs w:val="24"/>
          <w:lang w:val="en-US" w:eastAsia="zh-CN" w:bidi="ar-SA"/>
        </w:rPr>
        <w:t>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w:t>
      </w:r>
      <w:r>
        <w:rPr>
          <w:rFonts w:ascii="Times New Roman" w:hAnsi="Times New Roman" w:cs="Times New Roman" w:hint="eastAsia"/>
          <w:b/>
          <w:bCs/>
          <w:color w:val="FF0000"/>
          <w:kern w:val="2"/>
          <w:sz w:val="21"/>
          <w:szCs w:val="24"/>
          <w:lang w:val="en-US" w:eastAsia="zh-CN" w:bidi="ar-SA"/>
        </w:rPr>
        <w:t>总报价给予20%的价格扣除</w:t>
      </w:r>
      <w:r>
        <w:rPr>
          <w:rFonts w:ascii="Times New Roman" w:hAnsi="Times New Roman" w:cs="Times New Roman" w:hint="eastAsia"/>
          <w:kern w:val="2"/>
          <w:sz w:val="21"/>
          <w:szCs w:val="24"/>
          <w:lang w:val="en-US" w:eastAsia="zh-CN" w:bidi="ar-SA"/>
        </w:rPr>
        <w:t>，用扣除后的价格参与评审。</w:t>
      </w:r>
    </w:p>
    <w:p>
      <w:pPr>
        <w:pStyle w:val="NoSpacing"/>
        <w:ind w:firstLine="420" w:firstLineChars="200"/>
        <w:rPr>
          <w:rFonts w:hint="eastAsia"/>
        </w:rPr>
      </w:pPr>
      <w:r>
        <w:rPr>
          <w:rFonts w:ascii="Times New Roman" w:hAnsi="Times New Roman" w:cs="Times New Roman" w:hint="eastAsia"/>
          <w:kern w:val="2"/>
          <w:sz w:val="21"/>
          <w:szCs w:val="24"/>
          <w:lang w:val="en-US" w:eastAsia="zh-CN" w:bidi="ar-SA"/>
        </w:rPr>
        <w:t>（4）供应商</w:t>
      </w:r>
      <w:r>
        <w:rPr>
          <w:rFonts w:ascii="Times New Roman" w:eastAsia="宋体" w:hAnsi="Times New Roman" w:cs="Times New Roman" w:hint="eastAsia"/>
          <w:i w:val="0"/>
          <w:iCs w:val="0"/>
          <w:caps w:val="0"/>
          <w:spacing w:val="0"/>
          <w:sz w:val="21"/>
          <w:szCs w:val="24"/>
          <w:shd w:val="clear" w:color="auto" w:fill="auto"/>
        </w:rPr>
        <w:t>出具符合要求的《关于符合本国产品标准的声明函》或财政部会同有关部门规定的有关证明文件，该产品视为本国产品</w:t>
      </w:r>
      <w:r>
        <w:rPr>
          <w:rFonts w:ascii="Times New Roman" w:hAnsi="Times New Roman" w:cs="Times New Roman" w:hint="eastAsia"/>
          <w:i w:val="0"/>
          <w:iCs w:val="0"/>
          <w:caps w:val="0"/>
          <w:spacing w:val="0"/>
          <w:sz w:val="21"/>
          <w:szCs w:val="24"/>
          <w:shd w:val="clear" w:color="auto" w:fill="auto"/>
          <w:lang w:eastAsia="zh-CN"/>
        </w:rPr>
        <w:t>。</w:t>
      </w:r>
      <w:r>
        <w:rPr>
          <w:rFonts w:hint="eastAsia"/>
        </w:rPr>
        <w:t>声明函样式见本招标文件第一册专用条款第</w:t>
      </w:r>
      <w:r>
        <w:rPr>
          <w:rFonts w:hint="eastAsia"/>
          <w:lang w:val="en-US" w:eastAsia="zh-CN"/>
        </w:rPr>
        <w:t>四</w:t>
      </w:r>
      <w:r>
        <w:rPr>
          <w:rFonts w:hint="eastAsia"/>
        </w:rPr>
        <w:t>章“投标文件格式、附件”中“</w:t>
      </w:r>
      <w:r>
        <w:rPr>
          <w:rFonts w:hint="eastAsia"/>
          <w:lang w:val="en-US" w:eastAsia="zh-CN"/>
        </w:rPr>
        <w:t>三</w:t>
      </w:r>
      <w:r>
        <w:rPr>
          <w:rFonts w:hint="eastAsia"/>
        </w:rPr>
        <w:t>、投标人情况及资格证明文件”章节提供的格式）。</w:t>
      </w:r>
    </w:p>
    <w:p>
      <w:pPr>
        <w:pStyle w:val="NoSpacing"/>
        <w:ind w:firstLine="420" w:firstLineChars="200"/>
        <w:rPr>
          <w:rFonts w:hint="eastAsia"/>
          <w:b/>
          <w:bCs/>
          <w:lang w:val="en-US" w:eastAsia="zh-CN"/>
        </w:rPr>
      </w:pPr>
      <w:r>
        <w:rPr>
          <w:rFonts w:hint="eastAsia"/>
          <w:b/>
          <w:bCs/>
          <w:lang w:val="en-US" w:eastAsia="zh-CN"/>
        </w:rPr>
        <w:t>3</w:t>
      </w:r>
      <w:r>
        <w:rPr>
          <w:rFonts w:hint="eastAsia"/>
          <w:b/>
          <w:bCs/>
        </w:rPr>
        <w:t>、</w:t>
      </w:r>
      <w:r>
        <w:rPr>
          <w:rFonts w:hint="eastAsia"/>
          <w:b/>
          <w:bCs/>
          <w:lang w:val="en-US" w:eastAsia="zh-CN"/>
        </w:rPr>
        <w:t>关于同时满足中小企业扶持政策和对本国产品的支持政策的事项说明</w:t>
      </w:r>
    </w:p>
    <w:p>
      <w:pPr>
        <w:pStyle w:val="NoSpacing"/>
        <w:ind w:firstLine="420" w:firstLineChars="200"/>
        <w:rPr>
          <w:rFonts w:ascii="Times New Roman" w:hAnsi="Times New Roman" w:cs="Times New Roman" w:hint="default"/>
          <w:b w:val="0"/>
          <w:bCs w:val="0"/>
          <w:color w:val="auto"/>
          <w:kern w:val="2"/>
          <w:sz w:val="21"/>
          <w:szCs w:val="24"/>
          <w:lang w:val="en-US" w:eastAsia="zh-CN" w:bidi="ar-SA"/>
        </w:rPr>
      </w:pPr>
      <w:r>
        <w:rPr>
          <w:rFonts w:ascii="Times New Roman" w:hAnsi="Times New Roman" w:cs="Times New Roman" w:hint="eastAsia"/>
          <w:b w:val="0"/>
          <w:bCs w:val="0"/>
          <w:color w:val="auto"/>
          <w:kern w:val="2"/>
          <w:sz w:val="21"/>
          <w:szCs w:val="24"/>
          <w:lang w:val="en-US" w:eastAsia="zh-CN" w:bidi="ar-SA"/>
        </w:rPr>
        <w:t>本国产品政策实施后，政府采购活动中既有本国产品又有非本国产品参与竞争的，依法对本国产品给予价格评审优惠，对本国产品的报价给予20%的价格扣除，用扣除后的价格参与评审。</w:t>
      </w:r>
      <w:r>
        <w:rPr>
          <w:rFonts w:ascii="Times New Roman" w:hAnsi="Times New Roman" w:cs="Times New Roman" w:hint="eastAsia"/>
          <w:b/>
          <w:bCs/>
          <w:color w:val="FF0000"/>
          <w:kern w:val="2"/>
          <w:sz w:val="21"/>
          <w:szCs w:val="24"/>
          <w:lang w:val="en-US" w:eastAsia="zh-CN" w:bidi="ar-SA"/>
        </w:rPr>
        <w:t>同时，若提供本国产品的供应商也符合政府采购支持中小企业政策，也按规定给与价格评审优惠。需要说明的是，相关价格评审扣除优惠，都应该在供应商报价基础上计算。</w:t>
      </w:r>
      <w:r>
        <w:rPr>
          <w:rFonts w:ascii="Times New Roman" w:hAnsi="Times New Roman" w:cs="Times New Roman" w:hint="eastAsia"/>
          <w:b w:val="0"/>
          <w:bCs w:val="0"/>
          <w:color w:val="auto"/>
          <w:kern w:val="2"/>
          <w:sz w:val="21"/>
          <w:szCs w:val="24"/>
          <w:lang w:val="en-US" w:eastAsia="zh-CN" w:bidi="ar-SA"/>
        </w:rPr>
        <w:t>例如:某一供应商的产品报价100元，其提供的产品符合本国产品标准，同时按照采购文件规定也享受对小微企业的10%的价格扣除优惠。则对其报价按规定进行两次扣除，用扣除后的价格参与评审。其参与评审的价格为100-100x20%-100x10%=70元。具体情形如下：</w:t>
      </w:r>
    </w:p>
    <w:p>
      <w:pPr>
        <w:pStyle w:val="NoSpacing"/>
        <w:ind w:firstLine="420" w:firstLineChars="200"/>
        <w:rPr>
          <w:rFonts w:ascii="Times New Roman" w:hAnsi="Times New Roman" w:cs="Times New Roman" w:hint="default"/>
          <w:kern w:val="2"/>
          <w:sz w:val="21"/>
          <w:szCs w:val="24"/>
          <w:lang w:val="en-US" w:eastAsia="zh-CN" w:bidi="ar-SA"/>
        </w:rPr>
      </w:pPr>
      <w:r>
        <w:rPr>
          <w:rFonts w:ascii="Times New Roman" w:hAnsi="Times New Roman" w:cs="Times New Roman" w:hint="eastAsia"/>
          <w:kern w:val="2"/>
          <w:sz w:val="21"/>
          <w:szCs w:val="24"/>
          <w:lang w:val="en-US" w:eastAsia="zh-CN" w:bidi="ar-SA"/>
        </w:rPr>
        <w:t>（1）预留份额专门面向中小企业采购的项目，不再享受小微企业价格扣除优惠。若供应商所投货物同时满足对本国产品的支持政策的规定，应享受该政策20%价格扣除优惠；</w:t>
      </w:r>
    </w:p>
    <w:p>
      <w:pPr>
        <w:pStyle w:val="NoSpacing"/>
        <w:ind w:firstLine="420" w:firstLineChars="200"/>
        <w:rPr>
          <w:rFonts w:ascii="Times New Roman" w:hAnsi="Times New Roman" w:cs="Times New Roman" w:hint="default"/>
          <w:kern w:val="2"/>
          <w:sz w:val="21"/>
          <w:szCs w:val="24"/>
          <w:lang w:val="en-US" w:eastAsia="zh-CN" w:bidi="ar-SA"/>
        </w:rPr>
      </w:pPr>
      <w:r>
        <w:rPr>
          <w:rFonts w:ascii="Times New Roman" w:hAnsi="Times New Roman" w:cs="Times New Roman" w:hint="eastAsia"/>
          <w:kern w:val="2"/>
          <w:sz w:val="21"/>
          <w:szCs w:val="24"/>
          <w:lang w:val="en-US" w:eastAsia="zh-CN" w:bidi="ar-SA"/>
        </w:rPr>
        <w:t>（2）未预留份额专门面向中小企业采购的项目，供应商同时满足小微企业和所投产品符合本国产品支持政策规定的，应同时对该供应商投标总报价给予多项价格扣除优惠，用扣除后的价格参与评审。</w:t>
      </w:r>
    </w:p>
    <w:p>
      <w:pPr>
        <w:numPr>
          <w:ilvl w:val="0"/>
          <w:numId w:val="0"/>
        </w:numPr>
        <w:ind w:left="0" w:firstLine="420" w:leftChars="0" w:firstLineChars="200"/>
      </w:pPr>
      <w:r>
        <w:rPr>
          <w:rFonts w:hint="eastAsia"/>
          <w:b/>
          <w:bCs/>
          <w:lang w:val="en-US" w:eastAsia="zh-CN"/>
        </w:rPr>
        <w:t>4、</w:t>
      </w:r>
      <w:r>
        <w:rPr>
          <w:rFonts w:hint="default"/>
          <w:b/>
          <w:bCs/>
          <w:lang w:val="en-US" w:eastAsia="zh-CN"/>
        </w:rPr>
        <w:t>上述支持政策不改变最终中标</w:t>
      </w:r>
      <w:r>
        <w:rPr>
          <w:rFonts w:hint="eastAsia"/>
          <w:b/>
          <w:bCs/>
          <w:lang w:val="en-US" w:eastAsia="zh-CN"/>
        </w:rPr>
        <w:t>（</w:t>
      </w:r>
      <w:r>
        <w:rPr>
          <w:rFonts w:hint="default"/>
          <w:b/>
          <w:bCs/>
          <w:lang w:val="en-US" w:eastAsia="zh-CN"/>
        </w:rPr>
        <w:t>成交</w:t>
      </w:r>
      <w:r>
        <w:rPr>
          <w:rFonts w:hint="eastAsia"/>
          <w:b/>
          <w:bCs/>
          <w:lang w:val="en-US" w:eastAsia="zh-CN"/>
        </w:rPr>
        <w:t>）</w:t>
      </w:r>
      <w:r>
        <w:rPr>
          <w:rFonts w:hint="default"/>
          <w:b/>
          <w:bCs/>
          <w:lang w:val="en-US" w:eastAsia="zh-CN"/>
        </w:rPr>
        <w:t>价格，政府采购合同仍按照中标</w:t>
      </w:r>
      <w:r>
        <w:rPr>
          <w:rFonts w:hint="eastAsia"/>
          <w:b/>
          <w:bCs/>
          <w:lang w:val="en-US" w:eastAsia="zh-CN"/>
        </w:rPr>
        <w:t>（</w:t>
      </w:r>
      <w:r>
        <w:rPr>
          <w:rFonts w:hint="default"/>
          <w:b/>
          <w:bCs/>
          <w:lang w:val="en-US" w:eastAsia="zh-CN"/>
        </w:rPr>
        <w:t>成交</w:t>
      </w:r>
      <w:r>
        <w:rPr>
          <w:rFonts w:hint="eastAsia"/>
          <w:b/>
          <w:bCs/>
          <w:lang w:val="en-US" w:eastAsia="zh-CN"/>
        </w:rPr>
        <w:t>）</w:t>
      </w:r>
      <w:r>
        <w:rPr>
          <w:rFonts w:hint="default"/>
          <w:b/>
          <w:bCs/>
          <w:lang w:val="en-US" w:eastAsia="zh-CN"/>
        </w:rPr>
        <w:t>供应商的报价签订。</w:t>
      </w:r>
    </w:p>
    <w:p>
      <w:pPr>
        <w:ind w:firstLine="420" w:firstLineChars="200"/>
        <w:rPr>
          <w:rFonts w:eastAsia="宋体" w:hint="eastAsia"/>
          <w:b/>
          <w:bCs/>
          <w:lang w:eastAsia="zh-CN"/>
        </w:rPr>
      </w:pPr>
      <w:r>
        <w:rPr>
          <w:rFonts w:hint="eastAsia"/>
          <w:b/>
        </w:rPr>
        <w:t>（</w:t>
      </w:r>
      <w:r>
        <w:rPr>
          <w:rFonts w:hint="eastAsia"/>
          <w:b/>
          <w:lang w:val="en-US" w:eastAsia="zh-CN"/>
        </w:rPr>
        <w:t>三</w:t>
      </w:r>
      <w:r>
        <w:rPr>
          <w:rFonts w:hint="eastAsia"/>
          <w:b/>
        </w:rPr>
        <w:t>）</w:t>
      </w:r>
      <w:r>
        <w:rPr>
          <w:rFonts w:hint="eastAsia"/>
          <w:b/>
          <w:lang w:val="en-US" w:eastAsia="zh-CN"/>
        </w:rPr>
        <w:t>代理服务费</w:t>
      </w:r>
    </w:p>
    <w:p>
      <w:pPr>
        <w:ind w:firstLine="420" w:firstLineChars="200"/>
        <w:rPr>
          <w:rFonts w:hint="eastAsia"/>
          <w:b/>
          <w:bCs/>
          <w:lang w:val="en-US" w:eastAsia="zh-CN"/>
        </w:rPr>
      </w:pP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hint="eastAsia"/>
          <w:b/>
          <w:bCs/>
          <w:lang w:val="en-US" w:eastAsia="zh-CN"/>
        </w:rPr>
        <w:t>（四）</w:t>
      </w:r>
      <w:r>
        <w:rPr>
          <w:rFonts w:eastAsia="宋体" w:hint="eastAsia"/>
          <w:b/>
          <w:bCs/>
          <w:lang w:val="en-US" w:eastAsia="zh-CN"/>
        </w:rPr>
        <w:t>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ind w:firstLine="420" w:firstLineChars="200"/>
        <w:rPr>
          <w:rFonts w:ascii="Times New Roman" w:eastAsia="宋体" w:hAnsi="Times New Roman" w:cs="Times New Roman"/>
          <w:highlight w:val="none"/>
        </w:r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0755-83948165，020-89524338</w:t>
      </w:r>
      <w:r>
        <w:t>（CA办理指引详见链接https://szggzy.com/calock/caLock.html）。</w:t>
      </w:r>
    </w:p>
    <w:p>
      <w:pPr>
        <w:rPr>
          <w:rFonts w:hint="eastAsia"/>
          <w:sz w:val="28"/>
          <w:szCs w:val="28"/>
        </w:rPr>
      </w:pPr>
      <w:bookmarkStart w:id="30" w:name="_Toc128884461"/>
      <w: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9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478"/>
        <w:gridCol w:w="2764"/>
        <w:gridCol w:w="2090"/>
        <w:gridCol w:w="1243"/>
      </w:tblGrid>
      <w:tr>
        <w:tblPrEx>
          <w:tblW w:w="89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vAlign w:val="center"/>
          </w:tcPr>
          <w:p>
            <w:pPr>
              <w:jc w:val="center"/>
              <w:rPr>
                <w:bCs/>
                <w:szCs w:val="21"/>
              </w:rPr>
            </w:pPr>
            <w:r>
              <w:rPr>
                <w:rFonts w:hint="eastAsia"/>
                <w:bCs/>
                <w:szCs w:val="21"/>
              </w:rPr>
              <w:t>序号</w:t>
            </w:r>
          </w:p>
        </w:tc>
        <w:tc>
          <w:tcPr>
            <w:tcW w:w="2478" w:type="dxa"/>
            <w:vAlign w:val="center"/>
          </w:tcPr>
          <w:p>
            <w:pPr>
              <w:jc w:val="center"/>
              <w:rPr>
                <w:bCs/>
                <w:szCs w:val="21"/>
              </w:rPr>
            </w:pPr>
            <w:r>
              <w:rPr>
                <w:rFonts w:hint="eastAsia"/>
                <w:szCs w:val="21"/>
              </w:rPr>
              <w:t>采购计划编号</w:t>
            </w:r>
          </w:p>
        </w:tc>
        <w:tc>
          <w:tcPr>
            <w:tcW w:w="2764" w:type="dxa"/>
            <w:vAlign w:val="center"/>
          </w:tcPr>
          <w:p>
            <w:pPr>
              <w:jc w:val="center"/>
              <w:rPr>
                <w:bCs/>
                <w:szCs w:val="21"/>
              </w:rPr>
            </w:pPr>
            <w:r>
              <w:rPr>
                <w:rFonts w:hint="eastAsia"/>
                <w:bCs/>
                <w:szCs w:val="21"/>
              </w:rPr>
              <w:t>采购项目名称</w:t>
            </w:r>
          </w:p>
        </w:tc>
        <w:tc>
          <w:tcPr>
            <w:tcW w:w="2090" w:type="dxa"/>
            <w:vAlign w:val="center"/>
          </w:tcPr>
          <w:p>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pPr>
              <w:jc w:val="center"/>
              <w:rPr>
                <w:b/>
                <w:bCs/>
                <w:color w:val="FF0000"/>
                <w:szCs w:val="21"/>
              </w:rPr>
            </w:pPr>
            <w:r>
              <w:rPr>
                <w:rFonts w:hint="eastAsia"/>
                <w:b/>
                <w:bCs/>
                <w:color w:val="FF0000"/>
                <w:szCs w:val="21"/>
              </w:rPr>
              <w:t>（元）</w:t>
            </w:r>
          </w:p>
        </w:tc>
        <w:tc>
          <w:tcPr>
            <w:tcW w:w="1243" w:type="dxa"/>
            <w:vAlign w:val="center"/>
          </w:tcPr>
          <w:p>
            <w:pPr>
              <w:jc w:val="center"/>
              <w:rPr>
                <w:rFonts w:hint="eastAsia"/>
                <w:b/>
                <w:bCs/>
                <w:color w:val="FF0000"/>
                <w:szCs w:val="21"/>
              </w:rPr>
            </w:pPr>
            <w:r>
              <w:rPr>
                <w:rFonts w:ascii="Times New Roman" w:eastAsia="宋体" w:hAnsi="Times New Roman" w:cs="Times New Roman" w:hint="eastAsia"/>
                <w:b/>
                <w:bCs/>
                <w:color w:val="FF0000"/>
                <w:szCs w:val="21"/>
              </w:rPr>
              <w:t>最高限价</w:t>
            </w:r>
            <w:r>
              <w:rPr>
                <w:rFonts w:hint="eastAsia"/>
                <w:b/>
                <w:bCs/>
                <w:color w:val="FF0000"/>
                <w:szCs w:val="21"/>
              </w:rPr>
              <w:t>（元）</w:t>
            </w:r>
          </w:p>
        </w:tc>
      </w:tr>
      <w:tr>
        <w:tblPrEx>
          <w:tblW w:w="8988" w:type="dxa"/>
          <w:tblInd w:w="0" w:type="dxa"/>
          <w:tblLayout w:type="fixed"/>
          <w:tblCellMar>
            <w:top w:w="0" w:type="dxa"/>
            <w:left w:w="108" w:type="dxa"/>
            <w:bottom w:w="0" w:type="dxa"/>
            <w:right w:w="108" w:type="dxa"/>
          </w:tblCellMar>
        </w:tblPrEx>
        <w:trPr>
          <w:trHeight w:val="290"/>
        </w:trPr>
        <w:tc>
          <w:tcPr>
            <w:tcW w:w="413" w:type="dxa"/>
            <w:vAlign w:val="center"/>
          </w:tcPr>
          <w:p>
            <w:pPr>
              <w:jc w:val="center"/>
              <w:rPr>
                <w:bCs/>
                <w:color w:val="FF0000"/>
                <w:szCs w:val="21"/>
              </w:rPr>
            </w:pPr>
            <w:r>
              <w:rPr>
                <w:rFonts w:hint="eastAsia"/>
                <w:bCs/>
                <w:color w:val="FF0000"/>
                <w:szCs w:val="21"/>
              </w:rPr>
              <w:t>1</w:t>
            </w:r>
          </w:p>
        </w:tc>
        <w:tc>
          <w:tcPr>
            <w:tcW w:w="2478" w:type="dxa"/>
            <w:vAlign w:val="center"/>
          </w:tcPr>
          <w:p>
            <w:pPr>
              <w:jc w:val="center"/>
              <w:rPr>
                <w:bCs/>
                <w:color w:val="FF0000"/>
                <w:szCs w:val="21"/>
              </w:rPr>
            </w:pPr>
            <w:r>
              <w:rPr>
                <w:rFonts w:hint="eastAsia"/>
                <w:bCs/>
                <w:color w:val="FF0000"/>
                <w:szCs w:val="21"/>
              </w:rPr>
              <w:t>PLAN-2026-440306000-117004-01680</w:t>
            </w:r>
          </w:p>
        </w:tc>
        <w:tc>
          <w:tcPr>
            <w:tcW w:w="2764" w:type="dxa"/>
            <w:vAlign w:val="center"/>
          </w:tcPr>
          <w:p>
            <w:pPr>
              <w:jc w:val="center"/>
              <w:rPr>
                <w:b/>
                <w:bCs/>
                <w:color w:val="FF0000"/>
                <w:szCs w:val="21"/>
              </w:rPr>
            </w:pPr>
            <w:r>
              <w:rPr>
                <w:rFonts w:asciiTheme="minorEastAsia" w:hAnsiTheme="minorEastAsia" w:hint="eastAsia"/>
                <w:b w:val="0"/>
                <w:bCs w:val="0"/>
                <w:sz w:val="24"/>
                <w:szCs w:val="24"/>
                <w:highlight w:val="none"/>
              </w:rPr>
              <w:t>深圳市宝安区中医院成本核算信息化系统采购项目</w:t>
            </w:r>
          </w:p>
        </w:tc>
        <w:tc>
          <w:tcPr>
            <w:tcW w:w="2090" w:type="dxa"/>
            <w:vAlign w:val="center"/>
          </w:tcPr>
          <w:p>
            <w:pPr>
              <w:jc w:val="center"/>
              <w:rPr>
                <w:rFonts w:eastAsia="宋体" w:hint="default"/>
                <w:bCs/>
                <w:color w:val="FF0000"/>
                <w:szCs w:val="21"/>
                <w:lang w:val="en-US" w:eastAsia="zh-CN"/>
              </w:rPr>
            </w:pPr>
            <w:r>
              <w:rPr>
                <w:rFonts w:hint="eastAsia"/>
                <w:bCs/>
                <w:color w:val="FF0000"/>
                <w:szCs w:val="21"/>
                <w:lang w:val="en-US" w:eastAsia="zh-CN"/>
              </w:rPr>
              <w:t>1800000.00</w:t>
            </w:r>
          </w:p>
        </w:tc>
        <w:tc>
          <w:tcPr>
            <w:tcW w:w="1243" w:type="dxa"/>
            <w:vAlign w:val="center"/>
          </w:tcPr>
          <w:p>
            <w:pPr>
              <w:jc w:val="center"/>
              <w:rPr>
                <w:rFonts w:eastAsia="宋体" w:hint="default"/>
                <w:bCs/>
                <w:color w:val="FF0000"/>
                <w:szCs w:val="21"/>
                <w:lang w:val="en-US" w:eastAsia="zh-CN"/>
              </w:rPr>
            </w:pPr>
            <w:r>
              <w:rPr>
                <w:rFonts w:hint="eastAsia"/>
                <w:bCs/>
                <w:color w:val="FF0000"/>
                <w:szCs w:val="21"/>
                <w:lang w:val="en-US" w:eastAsia="zh-CN"/>
              </w:rPr>
              <w:t>1700000.00</w:t>
            </w:r>
          </w:p>
        </w:tc>
      </w:tr>
    </w:tbl>
    <w:p>
      <w:pPr>
        <w:pStyle w:val="Heading2"/>
        <w:spacing w:before="120" w:beforeLines="50" w:after="120" w:afterLines="50"/>
        <w:rPr>
          <w:szCs w:val="24"/>
        </w:rPr>
      </w:pPr>
      <w:r>
        <w:rPr>
          <w:rFonts w:hint="eastAsia"/>
          <w:szCs w:val="24"/>
        </w:rPr>
        <w:t>二、项目概况</w:t>
      </w:r>
    </w:p>
    <w:p>
      <w:pPr>
        <w:ind w:firstLine="420" w:firstLineChars="200"/>
        <w:rPr>
          <w:rFonts w:hint="eastAsia"/>
          <w:sz w:val="24"/>
        </w:rPr>
      </w:pPr>
      <w:r>
        <w:rPr>
          <w:rFonts w:hint="eastAsia"/>
          <w:sz w:val="24"/>
        </w:rPr>
        <w:t>根据国家卫生健康委 国家中医药局关于加强公立医院运营管理的指导意见（国卫财务发〔2020〕27号），公立医院要重点建设全成本管理等系统。根据国家卫生健康委办公厅 国家中医药局综合司 国家疾控局综合司关于印发《公立医院成本核算指导手册》的通知（国卫办财务函〔2023〕377号），到2025年底争取实现三级医院全部开展医疗服务项目成本核算、病种成本核算、DRG成本核算。根据深圳市医疗保障局关于印发《深圳市医疗保障住院医疗费用按病种分值付费（DIP）实施细则（试行）》的通知（深医保规〔2023〕4号），本市实施按病种分值付费（DIP）。</w:t>
      </w:r>
    </w:p>
    <w:p>
      <w:pPr>
        <w:ind w:firstLine="420" w:firstLineChars="200"/>
        <w:rPr>
          <w:rFonts w:hint="eastAsia"/>
          <w:sz w:val="24"/>
        </w:rPr>
      </w:pPr>
      <w:r>
        <w:rPr>
          <w:rFonts w:hint="eastAsia"/>
          <w:sz w:val="24"/>
        </w:rPr>
        <w:t>为贯彻落实国家及本市相关政策要求，推动医院精细化运营管理，提升成本管控能力，我院拟建设成本核算信息化系统。通过成本信息化建设，全面集成成本核算数据，优化成本核算流程，细化成本核算维度，提升数据处理与分析能力，提供成本管理决策支出。系统主要功能包括：</w:t>
      </w:r>
    </w:p>
    <w:p>
      <w:pPr>
        <w:ind w:firstLine="420" w:firstLineChars="200"/>
        <w:rPr>
          <w:sz w:val="24"/>
        </w:rPr>
      </w:pPr>
      <w:r>
        <w:rPr>
          <w:rFonts w:hint="eastAsia"/>
          <w:sz w:val="24"/>
        </w:rPr>
        <w:t>数据管理功能：系统集成成本核算相关数据并进行自动化处理，减少人工操作，提高数据准确性；核算功能：根据上级文件要求及院内管理需要按照各类成本核方法进行成本准确、及时、合理分摊；分析功能：实现实时更新，帮助管理者及时了解全院、各科室、各病种的成本状况；报表及辅助决策功能：提供多维度、多层级的成本核算及分析报表与决策支持，助力医院制定有效的成本控制措施、动态监测与预警。</w:t>
      </w: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1" w:name="_Hlk72073432"/>
      <w:r>
        <w:rPr>
          <w:rFonts w:hint="eastAsia"/>
          <w:szCs w:val="24"/>
        </w:rPr>
        <w:t>服务需求明细</w:t>
      </w:r>
      <w:bookmarkEnd w:id="31"/>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5"/>
        <w:gridCol w:w="1668"/>
        <w:gridCol w:w="3124"/>
        <w:gridCol w:w="695"/>
        <w:gridCol w:w="600"/>
        <w:gridCol w:w="1016"/>
        <w:gridCol w:w="996"/>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249" w:type="pct"/>
            <w:vAlign w:val="center"/>
          </w:tcPr>
          <w:p>
            <w:pPr>
              <w:jc w:val="center"/>
              <w:rPr>
                <w:bCs/>
                <w:szCs w:val="21"/>
              </w:rPr>
            </w:pPr>
            <w:r>
              <w:rPr>
                <w:rFonts w:hint="eastAsia"/>
                <w:bCs/>
                <w:szCs w:val="21"/>
              </w:rPr>
              <w:t>序号</w:t>
            </w:r>
          </w:p>
        </w:tc>
        <w:tc>
          <w:tcPr>
            <w:tcW w:w="978" w:type="pct"/>
            <w:vAlign w:val="center"/>
          </w:tcPr>
          <w:p>
            <w:pPr>
              <w:jc w:val="center"/>
              <w:rPr>
                <w:bCs/>
                <w:szCs w:val="21"/>
              </w:rPr>
            </w:pPr>
            <w:r>
              <w:rPr>
                <w:rFonts w:hint="eastAsia"/>
                <w:szCs w:val="21"/>
              </w:rPr>
              <w:t>采购计划编号</w:t>
            </w:r>
          </w:p>
        </w:tc>
        <w:tc>
          <w:tcPr>
            <w:tcW w:w="1832" w:type="pct"/>
            <w:vAlign w:val="center"/>
          </w:tcPr>
          <w:p>
            <w:pPr>
              <w:jc w:val="center"/>
              <w:rPr>
                <w:bCs/>
                <w:szCs w:val="21"/>
              </w:rPr>
            </w:pPr>
            <w:r>
              <w:rPr>
                <w:rFonts w:hint="eastAsia"/>
                <w:bCs/>
                <w:szCs w:val="21"/>
              </w:rPr>
              <w:t>服务需求名称（标的名称）</w:t>
            </w:r>
          </w:p>
        </w:tc>
        <w:tc>
          <w:tcPr>
            <w:tcW w:w="407" w:type="pct"/>
            <w:vAlign w:val="center"/>
          </w:tcPr>
          <w:p>
            <w:pPr>
              <w:jc w:val="center"/>
              <w:rPr>
                <w:bCs/>
                <w:szCs w:val="21"/>
              </w:rPr>
            </w:pPr>
            <w:r>
              <w:rPr>
                <w:rFonts w:hint="eastAsia"/>
                <w:bCs/>
                <w:szCs w:val="21"/>
              </w:rPr>
              <w:t>数量</w:t>
            </w:r>
          </w:p>
        </w:tc>
        <w:tc>
          <w:tcPr>
            <w:tcW w:w="351" w:type="pct"/>
            <w:vAlign w:val="center"/>
          </w:tcPr>
          <w:p>
            <w:pPr>
              <w:jc w:val="center"/>
              <w:rPr>
                <w:bCs/>
                <w:szCs w:val="21"/>
              </w:rPr>
            </w:pPr>
            <w:r>
              <w:rPr>
                <w:rFonts w:hint="eastAsia"/>
                <w:bCs/>
                <w:szCs w:val="21"/>
              </w:rPr>
              <w:t>单位</w:t>
            </w:r>
          </w:p>
        </w:tc>
        <w:tc>
          <w:tcPr>
            <w:tcW w:w="595" w:type="pct"/>
            <w:vAlign w:val="center"/>
          </w:tcPr>
          <w:p>
            <w:pPr>
              <w:jc w:val="center"/>
              <w:rPr>
                <w:rFonts w:hint="eastAsia"/>
                <w:bCs/>
                <w:szCs w:val="21"/>
              </w:rPr>
            </w:pPr>
            <w:r>
              <w:rPr>
                <w:rFonts w:ascii="Times New Roman" w:eastAsia="宋体" w:hint="eastAsia"/>
                <w:b/>
                <w:bCs/>
                <w:color w:val="FF0000"/>
                <w:szCs w:val="21"/>
                <w:lang w:val="en-US" w:eastAsia="zh-CN"/>
              </w:rPr>
              <w:t>是否专门面向中小企业</w:t>
            </w:r>
          </w:p>
        </w:tc>
        <w:tc>
          <w:tcPr>
            <w:tcW w:w="584" w:type="pct"/>
            <w:vAlign w:val="center"/>
          </w:tcPr>
          <w:p>
            <w:pPr>
              <w:jc w:val="center"/>
              <w:rPr>
                <w:rFonts w:ascii="Times New Roman" w:eastAsia="宋体" w:hint="eastAsia"/>
                <w:b/>
                <w:bCs/>
                <w:color w:val="FF0000"/>
                <w:szCs w:val="21"/>
                <w:lang w:val="en-US" w:eastAsia="zh-CN"/>
              </w:rPr>
            </w:pPr>
            <w:r>
              <w:rPr>
                <w:rFonts w:ascii="Times New Roman" w:eastAsia="宋体" w:hint="eastAsia"/>
                <w:b/>
                <w:bCs/>
                <w:color w:val="FF0000"/>
                <w:szCs w:val="21"/>
                <w:lang w:val="en-US" w:eastAsia="zh-CN"/>
              </w:rPr>
              <w:t>标的所属行业</w:t>
            </w:r>
          </w:p>
        </w:tc>
      </w:tr>
      <w:tr>
        <w:tblPrEx>
          <w:tblW w:w="4997" w:type="pct"/>
          <w:jc w:val="center"/>
          <w:tblLayout w:type="fixed"/>
          <w:tblCellMar>
            <w:top w:w="0" w:type="dxa"/>
            <w:left w:w="108" w:type="dxa"/>
            <w:bottom w:w="0" w:type="dxa"/>
            <w:right w:w="108" w:type="dxa"/>
          </w:tblCellMar>
        </w:tblPrEx>
        <w:trPr>
          <w:trHeight w:val="524"/>
          <w:jc w:val="center"/>
        </w:trPr>
        <w:tc>
          <w:tcPr>
            <w:tcW w:w="249" w:type="pct"/>
            <w:vAlign w:val="center"/>
          </w:tcPr>
          <w:p>
            <w:pPr>
              <w:jc w:val="center"/>
              <w:rPr>
                <w:rFonts w:hint="eastAsia"/>
                <w:bCs/>
                <w:szCs w:val="21"/>
              </w:rPr>
            </w:pPr>
            <w:r>
              <w:rPr>
                <w:rFonts w:hint="eastAsia"/>
                <w:bCs/>
                <w:szCs w:val="21"/>
              </w:rPr>
              <w:t>1</w:t>
            </w:r>
          </w:p>
          <w:p>
            <w:pPr>
              <w:jc w:val="center"/>
              <w:rPr>
                <w:bCs/>
                <w:szCs w:val="21"/>
              </w:rPr>
            </w:pPr>
          </w:p>
        </w:tc>
        <w:tc>
          <w:tcPr>
            <w:tcW w:w="978" w:type="pct"/>
            <w:vAlign w:val="center"/>
          </w:tcPr>
          <w:p>
            <w:pPr>
              <w:jc w:val="center"/>
              <w:rPr>
                <w:bCs/>
                <w:szCs w:val="21"/>
              </w:rPr>
            </w:pPr>
            <w:r>
              <w:rPr>
                <w:rFonts w:hint="eastAsia"/>
                <w:bCs/>
                <w:color w:val="FF0000"/>
                <w:szCs w:val="21"/>
              </w:rPr>
              <w:t>PLAN-2026-440306000-117004-01680</w:t>
            </w:r>
          </w:p>
        </w:tc>
        <w:tc>
          <w:tcPr>
            <w:tcW w:w="1832" w:type="pct"/>
            <w:vAlign w:val="center"/>
          </w:tcPr>
          <w:p>
            <w:pPr>
              <w:jc w:val="center"/>
              <w:rPr>
                <w:bCs/>
                <w:szCs w:val="21"/>
              </w:rPr>
            </w:pPr>
            <w:r>
              <w:rPr>
                <w:rFonts w:hint="eastAsia"/>
                <w:bCs/>
                <w:szCs w:val="21"/>
              </w:rPr>
              <w:t>深圳市宝安区中医院成本核算信息化系统采购项目</w:t>
            </w:r>
          </w:p>
        </w:tc>
        <w:tc>
          <w:tcPr>
            <w:tcW w:w="407" w:type="pct"/>
            <w:vAlign w:val="center"/>
          </w:tcPr>
          <w:p>
            <w:pPr>
              <w:jc w:val="center"/>
              <w:rPr>
                <w:bCs/>
                <w:szCs w:val="21"/>
              </w:rPr>
            </w:pPr>
            <w:r>
              <w:rPr>
                <w:rFonts w:hint="eastAsia"/>
                <w:lang w:val="en-US" w:eastAsia="zh-CN"/>
              </w:rPr>
              <w:t>1</w:t>
            </w:r>
          </w:p>
        </w:tc>
        <w:tc>
          <w:tcPr>
            <w:tcW w:w="351" w:type="pct"/>
            <w:vAlign w:val="center"/>
          </w:tcPr>
          <w:p>
            <w:pPr>
              <w:jc w:val="center"/>
              <w:rPr>
                <w:bCs/>
                <w:szCs w:val="21"/>
              </w:rPr>
            </w:pPr>
            <w:r>
              <w:rPr>
                <w:rFonts w:hint="eastAsia"/>
                <w:bCs/>
                <w:szCs w:val="21"/>
                <w:lang w:val="en-US" w:eastAsia="zh-CN"/>
              </w:rPr>
              <w:t>项</w:t>
            </w:r>
          </w:p>
        </w:tc>
        <w:tc>
          <w:tcPr>
            <w:tcW w:w="595" w:type="pct"/>
            <w:vAlign w:val="center"/>
          </w:tcPr>
          <w:p>
            <w:pPr>
              <w:jc w:val="center"/>
              <w:rPr>
                <w:bCs/>
                <w:szCs w:val="21"/>
              </w:rPr>
            </w:pPr>
            <w:r>
              <w:rPr>
                <w:rFonts w:hint="eastAsia"/>
                <w:bCs/>
                <w:szCs w:val="21"/>
                <w:lang w:val="en-US" w:eastAsia="zh-CN"/>
              </w:rPr>
              <w:t>否</w:t>
            </w:r>
          </w:p>
        </w:tc>
        <w:tc>
          <w:tcPr>
            <w:tcW w:w="584" w:type="pct"/>
            <w:vAlign w:val="center"/>
          </w:tcPr>
          <w:p>
            <w:pPr>
              <w:jc w:val="center"/>
              <w:rPr>
                <w:bCs/>
                <w:szCs w:val="21"/>
              </w:rPr>
            </w:pPr>
            <w:r>
              <w:rPr>
                <w:rFonts w:hint="eastAsia"/>
                <w:bCs/>
                <w:szCs w:val="21"/>
              </w:rPr>
              <w:t>软件和信息技术服务业</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bookmarkEnd w:id="30"/>
          </w:p>
        </w:tc>
      </w:tr>
    </w:tbl>
    <w:p>
      <w:pPr>
        <w:rPr>
          <w:b/>
        </w:rPr>
      </w:pPr>
      <w:r>
        <w:rPr>
          <w:rFonts w:hint="eastAsia"/>
          <w:b/>
        </w:rPr>
        <w:t>注：上表所列内容为不可负偏离条款，负偏离将视为未实质性满足招标文件要求作投标无效处理。</w:t>
      </w:r>
    </w:p>
    <w:p>
      <w:pPr>
        <w:rPr>
          <w:b/>
          <w:bCs/>
          <w:sz w:val="24"/>
        </w:rPr>
      </w:pPr>
    </w:p>
    <w:p>
      <w:pPr>
        <w:pStyle w:val="Heading2"/>
        <w:spacing w:before="120" w:beforeLines="50" w:after="120" w:afterLines="50"/>
        <w:rPr>
          <w:szCs w:val="24"/>
        </w:rPr>
      </w:pPr>
      <w:r>
        <w:rPr>
          <w:rFonts w:hint="eastAsia"/>
          <w:b/>
          <w:color w:val="FF0000"/>
          <w:szCs w:val="21"/>
        </w:rPr>
        <w:t>★</w:t>
      </w:r>
      <w:r>
        <w:rPr>
          <w:rFonts w:hint="eastAsia"/>
          <w:b/>
          <w:color w:val="FF0000"/>
          <w:szCs w:val="21"/>
          <w:lang w:val="en-US" w:eastAsia="zh-CN"/>
        </w:rPr>
        <w:t>五</w:t>
      </w:r>
      <w:r>
        <w:rPr>
          <w:rFonts w:hint="eastAsia"/>
          <w:szCs w:val="24"/>
        </w:rPr>
        <w:t>、商务要求</w:t>
      </w:r>
    </w:p>
    <w:p>
      <w:pPr>
        <w:ind w:firstLine="420" w:firstLineChars="200"/>
        <w:rPr>
          <w:rFonts w:asciiTheme="minorEastAsia" w:eastAsiaTheme="minorEastAsia" w:hAnsiTheme="minorEastAsia"/>
        </w:rPr>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numPr>
          <w:ilvl w:val="0"/>
          <w:numId w:val="0"/>
        </w:numPr>
        <w:spacing w:line="520" w:lineRule="exact"/>
        <w:ind w:firstLine="420" w:firstLineChars="200"/>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建设周期：</w:t>
      </w:r>
      <w:r>
        <w:rPr>
          <w:rFonts w:ascii="宋体" w:hAnsi="宋体" w:cs="宋体" w:hint="eastAsia"/>
          <w:sz w:val="21"/>
          <w:szCs w:val="21"/>
          <w:lang w:val="en-US" w:eastAsia="zh-CN"/>
        </w:rPr>
        <w:t>12</w:t>
      </w:r>
      <w:r>
        <w:rPr>
          <w:rFonts w:ascii="宋体" w:eastAsia="宋体" w:hAnsi="宋体" w:cs="宋体" w:hint="eastAsia"/>
          <w:sz w:val="21"/>
          <w:szCs w:val="21"/>
        </w:rPr>
        <w:t>个月</w:t>
      </w:r>
    </w:p>
    <w:p>
      <w:pPr>
        <w:numPr>
          <w:ilvl w:val="255"/>
          <w:numId w:val="0"/>
        </w:numPr>
        <w:spacing w:line="520" w:lineRule="exact"/>
        <w:ind w:firstLine="420" w:firstLineChars="200"/>
        <w:jc w:val="left"/>
        <w:rPr>
          <w:rFonts w:ascii="宋体" w:eastAsia="宋体" w:hAnsi="宋体" w:cs="宋体" w:hint="eastAsia"/>
          <w:sz w:val="21"/>
          <w:szCs w:val="21"/>
          <w:lang w:val="en-US" w:eastAsia="zh-CN"/>
        </w:rPr>
      </w:pPr>
      <w:r>
        <w:rPr>
          <w:rFonts w:hAnsi="宋体" w:eastAsiaTheme="minorEastAsia" w:hint="eastAsia"/>
          <w:color w:val="FF0000"/>
          <w:kern w:val="0"/>
          <w:szCs w:val="21"/>
          <w:lang w:val="en-US" w:eastAsia="zh-CN"/>
        </w:rPr>
        <w:t>2、</w:t>
      </w:r>
      <w:r>
        <w:rPr>
          <w:rFonts w:ascii="宋体" w:eastAsia="宋体" w:hAnsi="宋体" w:cs="宋体" w:hint="eastAsia"/>
          <w:sz w:val="21"/>
          <w:szCs w:val="21"/>
        </w:rPr>
        <w:t>项目技术要求</w:t>
      </w:r>
      <w:r>
        <w:rPr>
          <w:rFonts w:ascii="宋体" w:hAnsi="宋体" w:cs="宋体" w:hint="eastAsia"/>
          <w:sz w:val="21"/>
          <w:szCs w:val="21"/>
          <w:lang w:val="en-US" w:eastAsia="zh-CN"/>
        </w:rPr>
        <w:t>表</w:t>
      </w:r>
      <w:r>
        <w:rPr>
          <w:rFonts w:ascii="宋体" w:eastAsia="宋体" w:hAnsi="宋体" w:cs="宋体" w:hint="eastAsia"/>
          <w:sz w:val="21"/>
          <w:szCs w:val="21"/>
          <w:lang w:eastAsia="zh-CN"/>
        </w:rPr>
        <w:t>：</w:t>
      </w:r>
    </w:p>
    <w:tbl>
      <w:tblPr>
        <w:tblStyle w:val="TableNormal"/>
        <w:tblW w:w="4999"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8"/>
        <w:gridCol w:w="937"/>
        <w:gridCol w:w="576"/>
        <w:gridCol w:w="1289"/>
        <w:gridCol w:w="5397"/>
      </w:tblGrid>
      <w:tr>
        <w:tblPrEx>
          <w:tblW w:w="4999"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0"/>
        </w:trPr>
        <w:tc>
          <w:tcPr>
            <w:tcW w:w="192" w:type="pct"/>
            <w:noWrap w:val="0"/>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rPr>
              <w:t>子系统</w:t>
            </w:r>
          </w:p>
        </w:tc>
        <w:tc>
          <w:tcPr>
            <w:tcW w:w="549" w:type="pct"/>
            <w:noWrap w:val="0"/>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rPr>
              <w:t>模块</w:t>
            </w:r>
          </w:p>
        </w:tc>
        <w:tc>
          <w:tcPr>
            <w:tcW w:w="1093" w:type="pct"/>
            <w:gridSpan w:val="2"/>
            <w:noWrap w:val="0"/>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rPr>
              <w:t>功能</w:t>
            </w:r>
          </w:p>
        </w:tc>
        <w:tc>
          <w:tcPr>
            <w:tcW w:w="3165" w:type="pct"/>
            <w:noWrap w:val="0"/>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rPr>
              <w:t>功能描述</w:t>
            </w:r>
          </w:p>
        </w:tc>
      </w:tr>
      <w:tr>
        <w:tblPrEx>
          <w:tblW w:w="4999" w:type="pct"/>
          <w:tblInd w:w="-30" w:type="dxa"/>
          <w:tblLayout w:type="fixed"/>
          <w:tblCellMar>
            <w:top w:w="0" w:type="dxa"/>
            <w:left w:w="108" w:type="dxa"/>
            <w:bottom w:w="0" w:type="dxa"/>
            <w:right w:w="108" w:type="dxa"/>
          </w:tblCellMar>
        </w:tblPrEx>
        <w:trPr>
          <w:trHeight w:val="645"/>
        </w:trPr>
        <w:tc>
          <w:tcPr>
            <w:tcW w:w="192"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一、数据管理</w:t>
            </w:r>
          </w:p>
        </w:tc>
        <w:tc>
          <w:tcPr>
            <w:tcW w:w="549" w:type="pct"/>
            <w:vMerge w:val="restart"/>
            <w:noWrap w:val="0"/>
            <w:vAlign w:val="center"/>
          </w:tcPr>
          <w:p>
            <w:pPr>
              <w:keepNext w:val="0"/>
              <w:keepLines w:val="0"/>
              <w:widowControl/>
              <w:suppressLineNumbers w:val="0"/>
              <w:tabs>
                <w:tab w:val="left" w:pos="420"/>
              </w:tabs>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系统设置</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系统参数设置</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支持医院logo设置，支持系统皮肤设置，全景导航设置，支持日志管理</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收入规则设置</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支持根据科室收入场景，对开单收入和执行收入进行调整，包括：指定科室拆分、上级科室拆分到末级、按病例拆分。</w:t>
            </w:r>
          </w:p>
        </w:tc>
      </w:tr>
      <w:tr>
        <w:tblPrEx>
          <w:tblW w:w="4999" w:type="pct"/>
          <w:tblInd w:w="-30" w:type="dxa"/>
          <w:tblLayout w:type="fixed"/>
          <w:tblCellMar>
            <w:top w:w="0" w:type="dxa"/>
            <w:left w:w="108" w:type="dxa"/>
            <w:bottom w:w="0" w:type="dxa"/>
            <w:right w:w="108" w:type="dxa"/>
          </w:tblCellMar>
        </w:tblPrEx>
        <w:trPr>
          <w:trHeight w:val="3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成本规则设置</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支持医院业务数据的第三方科室数据源自定义设置。</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成本管理全景导航（大屏、成本驾驶舱）</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全景导航</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支持用户快捷系统全局使用的工作台，高效便捷进入需要使用的功能模块。支持某用户根据工作习惯自定义工作台显示顺序。</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消息提醒</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支持用户消息提醒，与消息收起功能，支持已读、未读功能，用户随时可打开消息提醒查看已读与未读的详细内容。支持成本核算数据问题，计算错误原因详细原因提醒，准确定位数据问题。</w:t>
            </w:r>
          </w:p>
        </w:tc>
      </w:tr>
      <w:tr>
        <w:tblPrEx>
          <w:tblW w:w="4999" w:type="pct"/>
          <w:tblInd w:w="-30" w:type="dxa"/>
          <w:tblLayout w:type="fixed"/>
          <w:tblCellMar>
            <w:top w:w="0" w:type="dxa"/>
            <w:left w:w="108" w:type="dxa"/>
            <w:bottom w:w="0" w:type="dxa"/>
            <w:right w:w="108" w:type="dxa"/>
          </w:tblCellMar>
        </w:tblPrEx>
        <w:trPr>
          <w:trHeight w:val="9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用户指引</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支持用户按照指引快速操作和使用系统功能。</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成本计算记录</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支持用户直观查看在全成本平台正在计算的成本状态。</w:t>
            </w:r>
          </w:p>
        </w:tc>
      </w:tr>
      <w:tr>
        <w:tblPrEx>
          <w:tblW w:w="4999" w:type="pct"/>
          <w:tblInd w:w="-30" w:type="dxa"/>
          <w:tblLayout w:type="fixed"/>
          <w:tblCellMar>
            <w:top w:w="0" w:type="dxa"/>
            <w:left w:w="108" w:type="dxa"/>
            <w:bottom w:w="0" w:type="dxa"/>
            <w:right w:w="108" w:type="dxa"/>
          </w:tblCellMar>
        </w:tblPrEx>
        <w:trPr>
          <w:trHeight w:val="505"/>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数据可视化</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根据医院管理需要，数据成果实现可视化呈现。</w:t>
            </w:r>
          </w:p>
        </w:tc>
      </w:tr>
      <w:tr>
        <w:tblPrEx>
          <w:tblW w:w="4999" w:type="pct"/>
          <w:tblInd w:w="-30" w:type="dxa"/>
          <w:tblLayout w:type="fixed"/>
          <w:tblCellMar>
            <w:top w:w="0" w:type="dxa"/>
            <w:left w:w="108" w:type="dxa"/>
            <w:bottom w:w="0" w:type="dxa"/>
            <w:right w:w="108" w:type="dxa"/>
          </w:tblCellMar>
        </w:tblPrEx>
        <w:trPr>
          <w:trHeight w:val="56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运营驾驶舱</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按照公立医院成本核算规范的各个成本核算对象，根据对应数据业务特性，形成各自的数据概览界面。同时需支持跳转至对应的成本核算分析模块。</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初始化管理</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成本科室档案</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院在初始化系统时，维护医院成本核算科室，支持科室级次维护、支持科室启用与停用控制，支持科室是否参与科室成本分摊控制，支持文件导出、导入、导入数据自动检查错误功能。添加、编辑、查询、删除。</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服务单元档案</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支持医院在初始化系统时，维护医院服务单元档案，支持医院根据管理目的按科室、按医疗服务项目维度设置服务单元。</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成本项目档案</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院在初始化系统时，维护医院核算的成本项目，支持成本项目级次维护、支持成本项目的属性定义：变动/固定、可控/不可控，支持成本项目启用与停用控制，支持成本项目是否核算财政/科教成本控制，支持成本项目是否需要计算计入拆分（人员经费，其他运行费用）设置。支持文件导出、导入、导入数据自动检查错误功能。添加、编辑、查询、删除。</w:t>
            </w:r>
          </w:p>
        </w:tc>
      </w:tr>
      <w:tr>
        <w:tblPrEx>
          <w:tblW w:w="4999" w:type="pct"/>
          <w:tblInd w:w="-30" w:type="dxa"/>
          <w:tblLayout w:type="fixed"/>
          <w:tblCellMar>
            <w:top w:w="0" w:type="dxa"/>
            <w:left w:w="108" w:type="dxa"/>
            <w:bottom w:w="0" w:type="dxa"/>
            <w:right w:w="108" w:type="dxa"/>
          </w:tblCellMar>
        </w:tblPrEx>
        <w:trPr>
          <w:trHeight w:val="96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数据字典</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院对科室单元服务性质分类、标准科室档案、第三方科室档案、科室类型、科室属性、核算项目分类、成本分类、设备代码分类、材料分类档案、剂型分类、医院资产分类、人员类别、职称、专业技术职务、医师职业类别、行政业务管理职务、人员流程情况、会计科目分类、资金来源、医院收入分类、医院药品分类、医院卫生材料分类、分摊级次等数据字典的行业标准内置数据与医院个性化数据添加、编辑、删除。</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成本分类配置</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院根据不同管理目的需要，医院内部计入成本核算对象的不同方式，不同资金来源等，配置不同的成本分类公式，包括直接成本、医疗业务成本、医疗成本、医疗全成本、医院全成本等自定义逻辑公式界面配置。</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数据映射</w:t>
            </w:r>
          </w:p>
        </w:tc>
        <w:tc>
          <w:tcPr>
            <w:tcW w:w="3165" w:type="pct"/>
            <w:noWrap w:val="0"/>
            <w:vAlign w:val="center"/>
          </w:tcPr>
          <w:p>
            <w:pPr>
              <w:pStyle w:val="ListParagraph"/>
              <w:numPr>
                <w:ilvl w:val="0"/>
                <w:numId w:val="0"/>
              </w:numPr>
              <w:tabs>
                <w:tab w:val="left" w:pos="0"/>
              </w:tabs>
              <w:spacing w:line="276" w:lineRule="auto"/>
              <w:textAlignment w:val="top"/>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支持医院成本科室映射、成本项目映射、医院会计科目映射，系统支持映射关系添加、修改、删除功能。</w:t>
            </w:r>
          </w:p>
        </w:tc>
      </w:tr>
      <w:tr>
        <w:tblPrEx>
          <w:tblW w:w="4999" w:type="pct"/>
          <w:tblInd w:w="-30" w:type="dxa"/>
          <w:tblLayout w:type="fixed"/>
          <w:tblCellMar>
            <w:top w:w="0" w:type="dxa"/>
            <w:left w:w="108" w:type="dxa"/>
            <w:bottom w:w="0" w:type="dxa"/>
            <w:right w:w="108" w:type="dxa"/>
          </w:tblCellMar>
        </w:tblPrEx>
        <w:trPr>
          <w:trHeight w:val="84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数据采集</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成本数据中台</w:t>
            </w:r>
          </w:p>
        </w:tc>
        <w:tc>
          <w:tcPr>
            <w:tcW w:w="3165" w:type="pct"/>
            <w:noWrap w:val="0"/>
            <w:vAlign w:val="center"/>
          </w:tcPr>
          <w:p>
            <w:pPr>
              <w:pStyle w:val="ListParagraph"/>
              <w:numPr>
                <w:ilvl w:val="0"/>
                <w:numId w:val="0"/>
              </w:numPr>
              <w:tabs>
                <w:tab w:val="left" w:pos="0"/>
              </w:tabs>
              <w:spacing w:line="276" w:lineRule="auto"/>
              <w:textAlignment w:val="top"/>
              <w:rPr>
                <w:rFonts w:ascii="宋体" w:hAnsi="宋体" w:eastAsiaTheme="minorEastAsia"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支持医院成本数据中台建设，对医院成本核算相关的收入、人力资源、物资、资产、财务、医保、医疗、病案数据、工作量等数据集成，支持对数据实时采集，数据映射，设置自定义的数据检查规则，数据质量检测，支持对数据清洗(流程化)，支持数据运行的日志查询</w:t>
            </w:r>
          </w:p>
        </w:tc>
      </w:tr>
      <w:tr>
        <w:tblPrEx>
          <w:tblW w:w="4999" w:type="pct"/>
          <w:tblInd w:w="-30" w:type="dxa"/>
          <w:tblLayout w:type="fixed"/>
          <w:tblCellMar>
            <w:top w:w="0" w:type="dxa"/>
            <w:left w:w="108" w:type="dxa"/>
            <w:bottom w:w="0" w:type="dxa"/>
            <w:right w:w="108" w:type="dxa"/>
          </w:tblCellMar>
        </w:tblPrEx>
        <w:trPr>
          <w:trHeight w:val="84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数据交换</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支持从不同的数据库进行高效的数据同步及数据清洗，可以支撑成本核算系统与医院各个系统之间的千万级亿级数据量的</w:t>
            </w:r>
            <w:r>
              <w:rPr>
                <w:rFonts w:ascii="宋体" w:eastAsia="宋体" w:hAnsi="宋体" w:cs="宋体" w:hint="eastAsia"/>
                <w:i w:val="0"/>
                <w:iCs w:val="0"/>
                <w:color w:val="auto"/>
                <w:kern w:val="0"/>
                <w:sz w:val="21"/>
                <w:szCs w:val="21"/>
                <w:highlight w:val="none"/>
                <w:u w:val="none"/>
                <w:lang w:val="en-US" w:eastAsia="zh-CN"/>
              </w:rPr>
              <w:t>接口</w:t>
            </w:r>
            <w:r>
              <w:rPr>
                <w:rFonts w:ascii="宋体" w:eastAsia="宋体" w:hAnsi="宋体" w:cs="宋体" w:hint="eastAsia"/>
                <w:i w:val="0"/>
                <w:iCs w:val="0"/>
                <w:color w:val="000000"/>
                <w:kern w:val="0"/>
                <w:sz w:val="21"/>
                <w:szCs w:val="21"/>
                <w:highlight w:val="none"/>
                <w:u w:val="none"/>
                <w:lang w:val="en-US" w:eastAsia="zh-CN"/>
              </w:rPr>
              <w:t>对接和数据自动采集与校验。</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文件导入</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在每一个基础数据管理和运营数据管理界面中均支持数据通过文件导入下载导入模版excel格式，可支持按模版导入、导入时校验数据错误，自动下载错误报告文件，同时支持导出excel数据功能。</w:t>
            </w:r>
          </w:p>
        </w:tc>
      </w:tr>
      <w:tr>
        <w:tblPrEx>
          <w:tblW w:w="4999" w:type="pct"/>
          <w:tblInd w:w="-30" w:type="dxa"/>
          <w:tblLayout w:type="fixed"/>
          <w:tblCellMar>
            <w:top w:w="0" w:type="dxa"/>
            <w:left w:w="108" w:type="dxa"/>
            <w:bottom w:w="0" w:type="dxa"/>
            <w:right w:w="108" w:type="dxa"/>
          </w:tblCellMar>
        </w:tblPrEx>
        <w:trPr>
          <w:trHeight w:val="10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数据治理</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检查规则</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医院对采集来的数据设置检查规则、检查顺序，并执行检查，执行规则支持自定义，可设置检查规则包括：空值检查、一般值域检查、字典值域检查、唯一性约束检查、映射检查、时间顺序检查、表缺失检查、字段缺失检查、时序数据统计检查、关联缺失检查、关联缺失检查、关联缺失检查、自定义sql检查、费用一致性检查规则等。</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质检报告</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支持对配置好的检查规则进行检查，生产数据质量报告，规则检查结果全面展示，对异常数据全面展示。</w:t>
            </w:r>
          </w:p>
        </w:tc>
      </w:tr>
      <w:tr>
        <w:tblPrEx>
          <w:tblW w:w="4999" w:type="pct"/>
          <w:tblInd w:w="-30" w:type="dxa"/>
          <w:tblLayout w:type="fixed"/>
          <w:tblCellMar>
            <w:top w:w="0" w:type="dxa"/>
            <w:left w:w="108" w:type="dxa"/>
            <w:bottom w:w="0" w:type="dxa"/>
            <w:right w:w="108" w:type="dxa"/>
          </w:tblCellMar>
        </w:tblPrEx>
        <w:trPr>
          <w:trHeight w:val="96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数据校正</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对采集到系统的问题数据，根据各业务场景情况进行一步校正，包括：剔除“非正常考勤”的薪酬金额、对部分职工“薪酬项目”金额调整、指定薪酬项目拆分、绩效发放金额校正、药品领用校正、卫生材料领用校正、固定资产折旧与无形资产摊销数据按固定比例校正、固定资产折旧与无形资产摊销数据按床日比校正、问题资产重新摊销与中止、服务工作量按床日比校正、住院工作量根据借床情况校正实际占用总床日等。</w:t>
            </w:r>
          </w:p>
        </w:tc>
      </w:tr>
      <w:tr>
        <w:tblPrEx>
          <w:tblW w:w="4999" w:type="pct"/>
          <w:tblInd w:w="-30" w:type="dxa"/>
          <w:tblLayout w:type="fixed"/>
          <w:tblCellMar>
            <w:top w:w="0" w:type="dxa"/>
            <w:left w:w="108" w:type="dxa"/>
            <w:bottom w:w="0" w:type="dxa"/>
            <w:right w:w="108" w:type="dxa"/>
          </w:tblCellMar>
        </w:tblPrEx>
        <w:trPr>
          <w:trHeight w:val="74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基础数据管理</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基础数据管理模块</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院医疗服务项目档案、药品档案、卫生材料档案、设备档案、服务计量档案、科室面积档案、职工档案、诊疗组档案、薪酬项目档案、医疗服务项目与设备档案、医疗服务项目与职工档案、项目服务单元设置、会计科目档案的数据维护、查询。</w:t>
            </w:r>
          </w:p>
        </w:tc>
      </w:tr>
      <w:tr>
        <w:tblPrEx>
          <w:tblW w:w="4999" w:type="pct"/>
          <w:tblInd w:w="-30" w:type="dxa"/>
          <w:tblLayout w:type="fixed"/>
          <w:tblCellMar>
            <w:top w:w="0" w:type="dxa"/>
            <w:left w:w="108" w:type="dxa"/>
            <w:bottom w:w="0" w:type="dxa"/>
            <w:right w:w="108" w:type="dxa"/>
          </w:tblCellMar>
        </w:tblPrEx>
        <w:trPr>
          <w:trHeight w:val="9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运营成本数据管理</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lang w:val="en-US"/>
              </w:rPr>
            </w:pPr>
            <w:r>
              <w:rPr>
                <w:rFonts w:ascii="宋体" w:eastAsia="宋体" w:hAnsi="宋体" w:cs="宋体" w:hint="eastAsia"/>
                <w:i w:val="0"/>
                <w:iCs w:val="0"/>
                <w:color w:val="000000"/>
                <w:kern w:val="0"/>
                <w:sz w:val="21"/>
                <w:szCs w:val="21"/>
                <w:highlight w:val="none"/>
                <w:u w:val="none"/>
                <w:lang w:val="en-US" w:eastAsia="zh-CN"/>
              </w:rPr>
              <w:t>运营成本数据管理采集与处理</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维护医院门诊、住院收入数据，能够区分开单与执行，按照病例层面采集。支持医院工作量数据采集，包括门诊、病区、医技、内部服务、项目工作量、排班、操作时间等数据的维护。支持医院费用数据采集：支持医院工资发放数据、药品领用消耗、卫生材料领用消耗、资产折旧、凭证数据维护，支持全部费用数据区分资金来源。支持手术麻醉、ICU等医疗数据维护。支持医院病案首页、医保结算清单、DIP分组（包括预分组与结算分组）、医保支付、DIP相关核心指标数据采集。支持根据医院管理需求的运营成本数据采集与处理。</w:t>
            </w:r>
          </w:p>
        </w:tc>
      </w:tr>
      <w:tr>
        <w:tblPrEx>
          <w:tblW w:w="4999" w:type="pct"/>
          <w:tblInd w:w="-30" w:type="dxa"/>
          <w:tblLayout w:type="fixed"/>
          <w:tblCellMar>
            <w:top w:w="0" w:type="dxa"/>
            <w:left w:w="108" w:type="dxa"/>
            <w:bottom w:w="0" w:type="dxa"/>
            <w:right w:w="108" w:type="dxa"/>
          </w:tblCellMar>
        </w:tblPrEx>
        <w:trPr>
          <w:trHeight w:val="90"/>
        </w:trPr>
        <w:tc>
          <w:tcPr>
            <w:tcW w:w="192"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二、科室全成本核算管理</w:t>
            </w: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科室全成本核算</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科室成本录入</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针对无法直接从业务系统直接或间接统计，但又需要计入科室的成本，可直接通过本功能直接录入科室成本，支持文件导入。</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科室收入录入</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针对需要调整的，无法直接从医院收费系统采集的部分收入，可以直接通过本功能直接录入科室收入。支持按照统计口径（开单/执行），资金来源进行录入，支持文件导入。</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直接成本归集</w:t>
            </w: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大用量成本</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科室能够单独统计的水电暖等成本汇总，能够支持一键自动通过凭证归集，能够支持单独页面调整添加，能够支持相关成本调整，提供调整状态记录，同时直接从凭证归集来的数据可点击详情钻取查看数据源</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计算计入成本</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科室直接成本无法直接归集的人员经费、其他运行费用计算计入配置，其中人员经费支持每月根据不同情况进行配置，自动根据排班数据或职工档案科室调整维护数据计算拆分基础以及拆分系数；其中需要计算计入的其他运行费用成本项目支持按月配置不同的拆分基础，每个需要计算计入的成本项目配置指定的拆分对象科室。</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科室直接成本汇总</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科室直接成本一键汇总，按月汇总全部成本，支持跨月汇总，支持到按各科室的每个成本项目汇总最明细的直接成本，能够分开统计直接计入成本与计算计入成本，支持区分资金来源，能够提供直接成本汇总金额查询界面，能够提供多查询条件组合查询，每一笔汇总后的直接成本金额都支持钻取到数据源进行查询。</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间接成本分摊设置</w:t>
            </w: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分摊参数</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系统内置部分标准分摊参数。</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分摊方案</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支持用于病例成本分摊的科室二级标准分摊方案、用于医院管理的三级四类分摊方案；可根据不同管理目的新增分摊方案。</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分摊方法</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支持科室成本分摊公式设置，支持一键根据医院实际成本生成分摊方法；支持批量自定义设置分摊方法，支持定向分摊和自定义分摊。</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定向分摊</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支持根据受益性等原则，对同级科室、混合科室设置定向分摊目标科室，设置定向分摊比例，设置定向分摊参数。</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科室成本计算</w:t>
            </w:r>
          </w:p>
        </w:tc>
        <w:tc>
          <w:tcPr>
            <w:tcW w:w="755" w:type="pc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科室成本分摊计算</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支持选择不同方案，支持跨月计算，自动检查数据完整性，自动进行计算，支持计算记录锁定，锁定后的基础计算数据无法修改与编辑。支持取消锁定。</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科室成本分摊结果检查</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支持对科室成本分摊前后成本金额一致性自动检查，支持检查结果导出。</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科室成本月末结账</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支持对已经核算的月份进行结账，结账后的月份无法进行计算。支持反结账。</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科室成本结果查询</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能够查看科室分摊成本结果，能够按照分摊级次查询，能够点击间接成本后溯源查询分摊参数与分摊参数的值，能够区分每个成本项目的计算计入方式，能够区分每一个成本项目资金来源。</w:t>
            </w:r>
          </w:p>
        </w:tc>
      </w:tr>
      <w:tr>
        <w:tblPrEx>
          <w:tblW w:w="4999" w:type="pct"/>
          <w:tblInd w:w="-30" w:type="dxa"/>
          <w:tblLayout w:type="fixed"/>
          <w:tblCellMar>
            <w:top w:w="0" w:type="dxa"/>
            <w:left w:w="108" w:type="dxa"/>
            <w:bottom w:w="0" w:type="dxa"/>
            <w:right w:w="108" w:type="dxa"/>
          </w:tblCellMar>
        </w:tblPrEx>
        <w:trPr>
          <w:trHeight w:val="9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诊次成本计算</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支持对三级分摊后的临床门急诊科室总成本，计算出诊次成本。能够支持一键计算。</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床日成本计算</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支持对三级分摊后的临床住院科室总成本，计算出床日成本。能够支持一键计算。</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科室成本决策分析</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收入分析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支持医院临床科室业务收入明细及损益分析、科室医疗收入分析等，支持多种查询条件，导出功能。</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支持医院各科直接成本项目分析、间接成本分析、科室成本差异分析、医疗技术与临床服务类直接成本环比分析，科室成本趋势分析。支持根据医院管理目的扩展分析内容，多种查询条件，导出功能。</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专项分析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支持医院人员经费分析，各科室药品消耗分析、各科室卫生材料消耗分析、各科室固定资产折旧与无形资产摊销分析、各科室其他费用分析。</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效益分析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支持各科室总体收益分析，医院临床服务类科室、医疗技术类科室量本利分析、医疗技术与临床服务绩效损益汇总分析。支持根据医院管理目的扩展分析内容，多种查询条件，导出功能。</w:t>
            </w:r>
          </w:p>
        </w:tc>
      </w:tr>
      <w:tr>
        <w:tblPrEx>
          <w:tblW w:w="4999" w:type="pct"/>
          <w:tblInd w:w="-30" w:type="dxa"/>
          <w:tblLayout w:type="fixed"/>
          <w:tblCellMar>
            <w:top w:w="0" w:type="dxa"/>
            <w:left w:w="108" w:type="dxa"/>
            <w:bottom w:w="0" w:type="dxa"/>
            <w:right w:w="108" w:type="dxa"/>
          </w:tblCellMar>
        </w:tblPrEx>
        <w:trPr>
          <w:trHeight w:val="907"/>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科室成本制度报表</w:t>
            </w:r>
          </w:p>
        </w:tc>
        <w:tc>
          <w:tcPr>
            <w:tcW w:w="337"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科室成本报表</w:t>
            </w: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医院科室直接成本表（医疗成本）</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4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医院科室直接成本表（医疗全成本和医院全成本）</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4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医院临床服务类科室全成本表（医疗成本）</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4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医院临床服务类科室全成本表（医疗全成本和医院全成本）</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4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医院临床服务类科室全成本构成分析表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4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医院科室成本分摊汇总表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诊次成本报表</w:t>
            </w: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医院诊次成本构成表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医院科室诊次成本表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床日成本报表</w:t>
            </w: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医院床日成本构成表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医院科室床日成本表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三、医疗服务项目成本核算管理系统</w:t>
            </w: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医疗服务项目成本核算</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分摊方法</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color w:val="000000"/>
                <w:kern w:val="0"/>
                <w:sz w:val="21"/>
                <w:szCs w:val="21"/>
                <w:highlight w:val="none"/>
              </w:rPr>
              <w:t>支持</w:t>
            </w:r>
            <w:r>
              <w:rPr>
                <w:rFonts w:ascii="宋体" w:eastAsia="宋体" w:hAnsi="宋体" w:cs="宋体" w:hint="eastAsia"/>
                <w:color w:val="000000"/>
                <w:kern w:val="0"/>
                <w:sz w:val="21"/>
                <w:szCs w:val="21"/>
                <w:highlight w:val="none"/>
                <w:lang w:eastAsia="zh-CN"/>
              </w:rPr>
              <w:t>多种医疗服务项目成本计算，包括</w:t>
            </w:r>
            <w:r>
              <w:rPr>
                <w:rFonts w:ascii="宋体" w:eastAsia="宋体" w:hAnsi="宋体" w:cs="宋体" w:hint="eastAsia"/>
                <w:color w:val="000000"/>
                <w:kern w:val="0"/>
                <w:sz w:val="21"/>
                <w:szCs w:val="21"/>
                <w:highlight w:val="none"/>
              </w:rPr>
              <w:t>作业成本法、</w:t>
            </w:r>
            <w:r>
              <w:rPr>
                <w:rFonts w:ascii="宋体" w:eastAsia="宋体" w:hAnsi="宋体" w:cs="宋体" w:hint="eastAsia"/>
                <w:color w:val="000000"/>
                <w:kern w:val="0"/>
                <w:sz w:val="21"/>
                <w:szCs w:val="21"/>
                <w:highlight w:val="none"/>
                <w:lang w:eastAsia="zh-CN"/>
              </w:rPr>
              <w:t>当量系数法、参数分配法等，支持核算方法一键切换</w:t>
            </w:r>
            <w:r>
              <w:rPr>
                <w:rFonts w:ascii="宋体" w:eastAsia="宋体" w:hAnsi="宋体" w:cs="宋体" w:hint="eastAsia"/>
                <w:color w:val="000000"/>
                <w:kern w:val="0"/>
                <w:sz w:val="21"/>
                <w:szCs w:val="21"/>
                <w:highlight w:val="none"/>
              </w:rPr>
              <w:t>。</w:t>
            </w:r>
            <w:r>
              <w:rPr>
                <w:rFonts w:ascii="宋体" w:eastAsia="宋体" w:hAnsi="宋体" w:cs="宋体" w:hint="eastAsia"/>
                <w:i w:val="0"/>
                <w:iCs w:val="0"/>
                <w:color w:val="000000"/>
                <w:kern w:val="0"/>
                <w:sz w:val="21"/>
                <w:szCs w:val="21"/>
                <w:highlight w:val="none"/>
                <w:u w:val="none"/>
                <w:lang w:val="en-US" w:eastAsia="zh-CN"/>
              </w:rPr>
              <w:t>支持医疗服务项目分摊参数字典维护，内置标准分摊参数。支持医疗服务项目成本分摊方案维护，系统内置标准分摊方案，可依据管理目的新增方案。支持医疗项目成本分摊参数公式设置，内置分摊方案能够自动生成分摊参数公式。</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成本计算</w:t>
            </w:r>
          </w:p>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支持选择不同分摊方案，按不同核算期间进行医疗服务项目成本的分摊计算。支持计算结果记录，支持计算结果月结锁定后相关计算数据无法修改调整控制，支持取消锁定控制。</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成本结果检查</w:t>
            </w:r>
          </w:p>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支持医疗服务项目成本计算结果分摊前与分摊后自动正确性检查，能够支持检查结果数据导出。</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成本结果查询</w:t>
            </w:r>
          </w:p>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支持医疗服务项目成本多维度的结果查询，支持成本数据溯源查询。</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项目成本决策分析</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项目收益分析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支持按院、科不同维度进行项目收益分析</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项目构成分析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支持按院、科的成本构成、成本分类分析</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项目比较分析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支持按院、科项目收益比较分析，成本比较分析</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项目趋势分析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支持按院、科项目收益、项目成本趋势分析</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项目同期分析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支持按院、科项目收益、项目成本同期比分析</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收费标准比较分析</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支持收费与项目成本对比分析</w:t>
            </w:r>
          </w:p>
        </w:tc>
      </w:tr>
      <w:tr>
        <w:tblPrEx>
          <w:tblW w:w="4999" w:type="pct"/>
          <w:tblInd w:w="-30" w:type="dxa"/>
          <w:tblLayout w:type="fixed"/>
          <w:tblCellMar>
            <w:top w:w="0" w:type="dxa"/>
            <w:left w:w="108" w:type="dxa"/>
            <w:bottom w:w="0" w:type="dxa"/>
            <w:right w:w="108" w:type="dxa"/>
          </w:tblCellMar>
        </w:tblPrEx>
        <w:trPr>
          <w:trHeight w:val="40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医疗服务项目成本制度报表</w:t>
            </w:r>
          </w:p>
        </w:tc>
        <w:tc>
          <w:tcPr>
            <w:tcW w:w="337"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项目成本报表</w:t>
            </w: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医院医疗服务项目成本汇总表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23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医院医疗服务项目成本明细表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支持制度报表。支持多条件搜索查询导出筛选的全部数据等。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四、DIP/DRG成本核算管理</w:t>
            </w: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病例成本</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分摊设置</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病例成本分摊参数字典维护，内置标准分摊参数；支持病例分摊方案维护标准病例分摊方案，可根据不同管理目的新增方案；支持不同的分摊方案设置科室、项目等的分摊参数公式，系统方案支持自动生成公式，支持自定义分摊。</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成本计算</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支持一键计算，支持选择不同方案、跨月度的成本计算，支持数据完整性自动检查，能够锁定/解锁已计算的记录。支持病例成本按天计算。</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成本结果检查</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支持已经计算成功的记录自动检查分摊前与分摊后的成本数据是否一致。能够导出检查结果文件。</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DIP/DRG成本核算</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DIP/DRG成本核算</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color w:val="000000"/>
                <w:kern w:val="0"/>
                <w:sz w:val="21"/>
                <w:szCs w:val="21"/>
                <w:highlight w:val="none"/>
              </w:rPr>
              <w:t>支持DIP多种成本计算方法，包括参数分配法、项目叠加法、服务单元叠加法</w:t>
            </w:r>
            <w:r>
              <w:rPr>
                <w:rFonts w:ascii="宋体" w:eastAsia="宋体" w:hAnsi="宋体" w:cs="宋体" w:hint="eastAsia"/>
                <w:color w:val="000000"/>
                <w:kern w:val="0"/>
                <w:sz w:val="21"/>
                <w:szCs w:val="21"/>
                <w:highlight w:val="none"/>
                <w:lang w:eastAsia="zh-CN"/>
              </w:rPr>
              <w:t>等</w:t>
            </w:r>
            <w:r>
              <w:rPr>
                <w:rFonts w:ascii="宋体" w:eastAsia="宋体" w:hAnsi="宋体" w:cs="宋体" w:hint="eastAsia"/>
                <w:color w:val="000000"/>
                <w:kern w:val="0"/>
                <w:sz w:val="21"/>
                <w:szCs w:val="21"/>
                <w:highlight w:val="none"/>
              </w:rPr>
              <w:t>进行病种</w:t>
            </w:r>
            <w:r>
              <w:rPr>
                <w:rFonts w:ascii="宋体" w:eastAsia="宋体" w:hAnsi="宋体" w:cs="宋体" w:hint="eastAsia"/>
                <w:color w:val="000000"/>
                <w:kern w:val="0"/>
                <w:sz w:val="21"/>
                <w:szCs w:val="21"/>
                <w:highlight w:val="none"/>
                <w:lang w:eastAsia="zh-CN"/>
              </w:rPr>
              <w:t>成本</w:t>
            </w:r>
            <w:r>
              <w:rPr>
                <w:rFonts w:ascii="宋体" w:eastAsia="宋体" w:hAnsi="宋体" w:cs="宋体" w:hint="eastAsia"/>
                <w:color w:val="000000"/>
                <w:kern w:val="0"/>
                <w:sz w:val="21"/>
                <w:szCs w:val="21"/>
                <w:highlight w:val="none"/>
              </w:rPr>
              <w:t>核算</w:t>
            </w:r>
            <w:r>
              <w:rPr>
                <w:rFonts w:ascii="宋体" w:eastAsia="宋体" w:hAnsi="宋体" w:cs="宋体" w:hint="eastAsia"/>
                <w:color w:val="000000"/>
                <w:kern w:val="0"/>
                <w:sz w:val="21"/>
                <w:szCs w:val="21"/>
                <w:highlight w:val="none"/>
                <w:lang w:eastAsia="zh-CN"/>
              </w:rPr>
              <w:t>，支持核算方法一键切换</w:t>
            </w:r>
            <w:r>
              <w:rPr>
                <w:rFonts w:ascii="宋体" w:eastAsia="宋体" w:hAnsi="宋体" w:cs="宋体" w:hint="eastAsia"/>
                <w:color w:val="000000"/>
                <w:kern w:val="0"/>
                <w:sz w:val="21"/>
                <w:szCs w:val="21"/>
                <w:highlight w:val="none"/>
              </w:rPr>
              <w:t>。</w:t>
            </w:r>
            <w:r>
              <w:rPr>
                <w:rFonts w:ascii="宋体" w:eastAsia="宋体" w:hAnsi="宋体" w:cs="宋体" w:hint="eastAsia"/>
                <w:i w:val="0"/>
                <w:iCs w:val="0"/>
                <w:color w:val="000000"/>
                <w:kern w:val="0"/>
                <w:sz w:val="21"/>
                <w:szCs w:val="21"/>
                <w:highlight w:val="none"/>
                <w:u w:val="none"/>
                <w:lang w:val="en-US" w:eastAsia="zh-CN"/>
              </w:rPr>
              <w:t>支持一键自动核算DIP/DRG成本</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DIP/DRG成本报表</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DIP/DRG成本报表</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支持成本分析报表。支持多条件搜索查询导出筛选的全部数据等。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DIP/DRG成本决策分析</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DIP/DRG成本决策分析</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支持根据计算的所有DIP/DRG成本从全院、科室、医师、项目等维度对DIP收益、DIP例均收益、DIP床日收益等进行分析</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病例收益分析</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支持根据计算的所有已经出院或未出院病例的收入、成本结构，医保收益、费用收益分析。支持点击成本结构钻取到成本分摊路径进一步挖掘分析。</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病例成本分析</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支持根据计算的病例的科室、项目等分析。</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549"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DIP/DRG成本报告</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DIP/DRG成本分析报告</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支持在DIP成本计算界面选择任意方案及区间，自动生成标准化的DIP成本分析报告，自动导出word文件。</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五、单病种成本核算管理</w:t>
            </w:r>
          </w:p>
        </w:tc>
        <w:tc>
          <w:tcPr>
            <w:tcW w:w="549"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highlight w:val="none"/>
                <w:u w:val="none"/>
                <w:lang w:val="en-US" w:eastAsia="zh-CN"/>
              </w:rPr>
            </w:pPr>
          </w:p>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单病种核算</w:t>
            </w: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单病种成本核算</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选择计算完成的病例成本结果，一键自动核算单病种成本</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单病种成本报表</w:t>
            </w:r>
          </w:p>
        </w:tc>
        <w:tc>
          <w:tcPr>
            <w:tcW w:w="3165" w:type="pct"/>
            <w:noWrap w:val="0"/>
            <w:vAlign w:val="center"/>
          </w:tcPr>
          <w:p>
            <w:pPr>
              <w:keepNext w:val="0"/>
              <w:keepLines w:val="0"/>
              <w:widowControl/>
              <w:suppressLineNumbers w:val="0"/>
              <w:jc w:val="left"/>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支持成本分析报表。支持多条件搜索查询导出筛选的全部数据等。</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单病种成本决策分析</w:t>
            </w:r>
          </w:p>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单病种成本决策分析</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支持根据计算的所有单病种成本从全院、科室、医师的维度对单病种收益、单病种例均收益、单病种床日收益进行分析</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病例收益分析</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支持根据计算的所有已经出院或未出院病例的收入、成本结构，费用收益分析。支持点击成本结构钻取到成本分摊路径进一步挖掘分析。</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病例成本分析</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支持根据计算的病例的医技项目成本、病房分摊成本、手麻分摊成本、ICU分摊成本、单收费药耗成本结构分析等。</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单病种成本分析报告</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支持在单病种成本计算界面选择任意方案及区间，自动生成标准化的单病种成本分析报告，自动导出word文件。</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val="restart"/>
            <w:noWrap w:val="0"/>
            <w:vAlign w:val="center"/>
          </w:tcPr>
          <w:p>
            <w:pPr>
              <w:jc w:val="center"/>
              <w:rPr>
                <w:rFonts w:ascii="宋体" w:eastAsia="宋体" w:hAnsi="宋体" w:cs="宋体" w:hint="eastAsia"/>
                <w:i w:val="0"/>
                <w:iCs w:val="0"/>
                <w:color w:val="000000"/>
                <w:sz w:val="21"/>
                <w:szCs w:val="21"/>
                <w:highlight w:val="none"/>
                <w:u w:val="none"/>
                <w:lang w:eastAsia="zh-CN"/>
              </w:rPr>
            </w:pPr>
            <w:r>
              <w:rPr>
                <w:rFonts w:ascii="宋体" w:eastAsia="宋体" w:hAnsi="宋体" w:cs="宋体" w:hint="eastAsia"/>
                <w:i w:val="0"/>
                <w:iCs w:val="0"/>
                <w:color w:val="000000"/>
                <w:sz w:val="21"/>
                <w:szCs w:val="21"/>
                <w:highlight w:val="none"/>
                <w:u w:val="none"/>
                <w:lang w:eastAsia="zh-CN"/>
              </w:rPr>
              <w:t>六、成本辅助决策管理</w:t>
            </w: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数字化成本管理模型应用</w:t>
            </w: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模型规则库</w:t>
            </w:r>
          </w:p>
        </w:tc>
        <w:tc>
          <w:tcPr>
            <w:tcW w:w="3165" w:type="pct"/>
            <w:noWrap w:val="0"/>
            <w:vAlign w:val="center"/>
          </w:tcPr>
          <w:p>
            <w:pPr>
              <w:keepNext w:val="0"/>
              <w:keepLines w:val="0"/>
              <w:widowControl/>
              <w:suppressLineNumbers w:val="0"/>
              <w:jc w:val="both"/>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对数字化模型训练的基础规则进行设置，可对病例年龄、性别、疾病严重程度等基本信息设置模型基础规则。</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标准诊疗方案库</w:t>
            </w:r>
          </w:p>
        </w:tc>
        <w:tc>
          <w:tcPr>
            <w:tcW w:w="3165" w:type="pct"/>
            <w:noWrap w:val="0"/>
            <w:vAlign w:val="center"/>
          </w:tcPr>
          <w:p>
            <w:pPr>
              <w:keepNext w:val="0"/>
              <w:keepLines w:val="0"/>
              <w:widowControl/>
              <w:suppressLineNumbers w:val="0"/>
              <w:jc w:val="both"/>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自动根据患者关键诊疗形成标准化诊疗方案，可支持维护诊疗方案，该方案可在临床路径中分析应用</w:t>
            </w:r>
            <w:r>
              <w:rPr>
                <w:rFonts w:ascii="宋体" w:hAnsi="宋体" w:cs="宋体" w:hint="eastAsia"/>
                <w:i w:val="0"/>
                <w:iCs w:val="0"/>
                <w:color w:val="000000"/>
                <w:kern w:val="0"/>
                <w:sz w:val="21"/>
                <w:szCs w:val="21"/>
                <w:highlight w:val="none"/>
                <w:u w:val="none"/>
                <w:lang w:val="en-US" w:eastAsia="zh-CN"/>
              </w:rPr>
              <w:t>。</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成本驱动因素库</w:t>
            </w:r>
          </w:p>
        </w:tc>
        <w:tc>
          <w:tcPr>
            <w:tcW w:w="3165" w:type="pct"/>
            <w:noWrap w:val="0"/>
            <w:vAlign w:val="center"/>
          </w:tcPr>
          <w:p>
            <w:pPr>
              <w:keepNext w:val="0"/>
              <w:keepLines w:val="0"/>
              <w:widowControl/>
              <w:suppressLineNumbers w:val="0"/>
              <w:jc w:val="both"/>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分析成本数据，以识别医院内成本的主要驱动因素，例如高成本药物、低效流程和过度使用服务等。</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数字化模型计算</w:t>
            </w:r>
          </w:p>
        </w:tc>
        <w:tc>
          <w:tcPr>
            <w:tcW w:w="3165" w:type="pct"/>
            <w:noWrap w:val="0"/>
            <w:vAlign w:val="center"/>
          </w:tcPr>
          <w:p>
            <w:pPr>
              <w:keepNext w:val="0"/>
              <w:keepLines w:val="0"/>
              <w:widowControl/>
              <w:suppressLineNumbers w:val="0"/>
              <w:jc w:val="both"/>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一键计算数字化模型，计算后可在数字化模型应用中使用。</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数字化模型应用</w:t>
            </w:r>
          </w:p>
        </w:tc>
        <w:tc>
          <w:tcPr>
            <w:tcW w:w="3165" w:type="pct"/>
            <w:noWrap w:val="0"/>
            <w:vAlign w:val="center"/>
          </w:tcPr>
          <w:p>
            <w:pPr>
              <w:keepNext w:val="0"/>
              <w:keepLines w:val="0"/>
              <w:widowControl/>
              <w:suppressLineNumbers w:val="0"/>
              <w:jc w:val="both"/>
              <w:textAlignment w:val="center"/>
              <w:rPr>
                <w:rFonts w:ascii="宋体" w:hAnsi="宋体" w:eastAsiaTheme="minorEastAsia" w:cs="宋体" w:hint="eastAsia"/>
                <w:i w:val="0"/>
                <w:iCs w:val="0"/>
                <w:color w:val="000000"/>
                <w:sz w:val="21"/>
                <w:szCs w:val="21"/>
                <w:highlight w:val="none"/>
                <w:u w:val="none"/>
                <w:lang w:eastAsia="zh-CN"/>
              </w:rPr>
            </w:pPr>
            <w:r>
              <w:rPr>
                <w:rFonts w:ascii="宋体" w:eastAsia="宋体" w:hAnsi="宋体" w:cs="宋体" w:hint="eastAsia"/>
                <w:i w:val="0"/>
                <w:iCs w:val="0"/>
                <w:color w:val="000000"/>
                <w:kern w:val="0"/>
                <w:sz w:val="21"/>
                <w:szCs w:val="21"/>
                <w:highlight w:val="none"/>
                <w:u w:val="none"/>
                <w:lang w:val="en-US" w:eastAsia="zh-CN"/>
              </w:rPr>
              <w:t>支持医院基于数字化模型对医院DIP病组分型，提供不同病种的DIP成本和费用可优化空间以及辅助决策数据支持，从院DIP可优化空间挖掘至某DIP病组下的临床路径/手术及操作/中医诊疗等，自动分析出临床不同诊疗方式的数字化模型关键指标与可优化空间，可依据模型继续挖掘不同分段下的病例收费结构可优化空间及优化辅助决策方案。</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lang w:val="en-US"/>
              </w:rPr>
            </w:pPr>
            <w:r>
              <w:rPr>
                <w:rFonts w:ascii="宋体" w:eastAsia="宋体" w:hAnsi="宋体" w:cs="宋体" w:hint="eastAsia"/>
                <w:i w:val="0"/>
                <w:iCs w:val="0"/>
                <w:color w:val="000000"/>
                <w:kern w:val="0"/>
                <w:sz w:val="21"/>
                <w:szCs w:val="21"/>
                <w:highlight w:val="none"/>
                <w:u w:val="none"/>
                <w:lang w:val="en-US" w:eastAsia="zh-CN"/>
              </w:rPr>
              <w:t>数字化模型应用数据底座</w:t>
            </w:r>
          </w:p>
        </w:tc>
        <w:tc>
          <w:tcPr>
            <w:tcW w:w="3165" w:type="pct"/>
            <w:noWrap w:val="0"/>
            <w:vAlign w:val="center"/>
          </w:tcPr>
          <w:p>
            <w:pPr>
              <w:keepNext w:val="0"/>
              <w:keepLines w:val="0"/>
              <w:widowControl/>
              <w:suppressLineNumbers w:val="0"/>
              <w:jc w:val="both"/>
              <w:textAlignment w:val="center"/>
              <w:rPr>
                <w:rFonts w:ascii="宋体" w:hAnsi="宋体" w:eastAsiaTheme="minorEastAsia" w:cs="宋体" w:hint="eastAsia"/>
                <w:i w:val="0"/>
                <w:iCs w:val="0"/>
                <w:color w:val="00000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数字化模型应用结果“可优化空间”及“不同诊疗方式下的成本与收费结构风险点”、自动作为医院成本管理深化应用数据底座基础，应用到各成本管理模型，支持生成WORD/PDF等格式报告。</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基于AI的运营分析与应用</w:t>
            </w: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AI知识库</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建设可预训练的医疗模型，支持通过本地化知识库建设，内置RAG模型可通过检索与生成功能提升运营报告文本质量，维护常见问题解答、运营管理方法等形成知识图谱。</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highlight w:val="none"/>
                <w:u w:val="none"/>
                <w:lang w:val="en-US" w:eastAsia="zh-CN"/>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AI成本管理交互问答</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通过AI交互结合，智能问答、对成本核算结果，医院成本现状分析，提供分析结果回答与成本管理优化建议。</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事中成本管控与预警</w:t>
            </w:r>
          </w:p>
        </w:tc>
        <w:tc>
          <w:tcPr>
            <w:tcW w:w="1093" w:type="pct"/>
            <w:gridSpan w:val="2"/>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p>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费用标杆规则设置</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支持根据数字化模型、临床路径计算费用标杆，支持标杆按照病例类型、度量（最小值、最大值 、平均值、中位数等）、维度（包括：全院、院区、专科、院区+专科、医疗组）、影响因素（包括：年龄、性别、疾病严重程度）配置计算规则</w:t>
            </w:r>
          </w:p>
        </w:tc>
      </w:tr>
      <w:tr>
        <w:tblPrEx>
          <w:tblW w:w="4999" w:type="pct"/>
          <w:tblInd w:w="-30" w:type="dxa"/>
          <w:tblLayout w:type="fixed"/>
          <w:tblCellMar>
            <w:top w:w="0" w:type="dxa"/>
            <w:left w:w="108" w:type="dxa"/>
            <w:bottom w:w="0" w:type="dxa"/>
            <w:right w:w="108" w:type="dxa"/>
          </w:tblCellMar>
        </w:tblPrEx>
        <w:trPr>
          <w:trHeight w:val="72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成本标杆规则设置</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支持根据数字化模型、成本核算方案计算成本标杆，支持标杆按照病例类型、度量（最小值、最大值 、平均值、中位数等）、维度（包括：全院、院区、专科、院区+专科、医疗组）、影响因素（包括：年龄、性别、疾病严重程度）配置计算规则</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医生端账号管理</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维护在医生端医生可以查看相关数据的账号（工号）。支持可以直接添加、编辑、删除，也支持批量导入导出。</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医生端角色管理</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维护在医生端管理的医生角色。支持可以直接添加、编辑、删除，也支持批量导入导出。</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成本标杆库</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维护成本标杆，支持三级标杆设置，一级包括实时预估成本标杆，标准成本标杆，二级支持床日实时预估成本标杆与标准成本标杆，三级支持详细成本项目床日实时预估标杆与标准成本标杆，系统需提供内置标杆，可调整</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动态成本指标库</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维护动态管控的成本指标，包括成本控制情况、药耗动态成本预估占比、标杆药耗成本占比、实时预估成本等，系统需提供内置的动态成本指标，可调整。</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DIP诊疗方案知识库</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维护DIP不同诊疗方式下的诊疗知识库及合规推荐项目，可通过数字化模型应用结果自动生成，支持手工录入临床路径诊疗方案。</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DIP诊疗规范规则库</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基于成本规则引擎，维护IF-Then,诊疗规范规则库，系统需内置标准规则，可依据不同情况自定义条件与输出规则</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成本标杆计算</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支持成本标杆计算与记录、标杆计算查询；支持不同的病例类型、疾病程度、年龄段、性别影响因素下差异化标杆计算。可手动调整标杆值。</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费用标杆计算</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支持费用标杆计算与记录、标杆计算查询；支持不同的病例类型、疾病程度、年龄段、性别影响因素标杆计算。可手动调整标杆值。</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收费标杆与辅助决策授权</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支持给医生授权费用标杆和辅助决策规则，可按DIP授权或者按工号授权，可取消授权</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预警提示功能</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支持医生诊间的DIP成本费用标杆提示，辅助医生优化费用结构。</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成本标杆与动态指标授权</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支持给医生授权成本标杆和动态成本指标，可按DIP授权或者按工号授权，可取消授权</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成本指标分析评价</w:t>
            </w: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医院成本评价指标分析</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包括不限于医院级成本评价指标分析、成本管理指标、医院支出结构指标、工作效率指标、医疗费用控制水平、运行效率分析、资产运营能力分析。</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left"/>
              <w:rPr>
                <w:rFonts w:ascii="宋体" w:eastAsia="宋体" w:hAnsi="宋体" w:cs="宋体" w:hint="eastAsia"/>
                <w:i w:val="0"/>
                <w:iCs w:val="0"/>
                <w:color w:val="000000"/>
                <w:kern w:val="0"/>
                <w:sz w:val="21"/>
                <w:szCs w:val="21"/>
                <w:highlight w:val="none"/>
                <w:u w:val="none"/>
                <w:lang w:val="en-US" w:eastAsia="zh-CN"/>
              </w:rPr>
            </w:pPr>
          </w:p>
        </w:tc>
        <w:tc>
          <w:tcPr>
            <w:tcW w:w="1093" w:type="pct"/>
            <w:gridSpan w:val="2"/>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科室成本评价指标分析</w:t>
            </w:r>
          </w:p>
        </w:tc>
        <w:tc>
          <w:tcPr>
            <w:tcW w:w="3165" w:type="pct"/>
            <w:noWrap w:val="0"/>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包括不限于科室级成本评价指标分析、成本管理指标、医院支出结构指标、工作效率指标、医疗费用控制水平、运行效率分析、资产运营能力分析。</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highlight w:val="none"/>
                <w:u w:val="none"/>
                <w:lang w:val="en-US" w:eastAsia="zh-CN"/>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医疗服务项目成本评价指标分析</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包含院、科不同维度进行项目收益分析、收益比较分析、项目成本构成分析、项目成本趋势分析、同比分析</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highlight w:val="none"/>
                <w:u w:val="none"/>
                <w:lang w:val="en-US" w:eastAsia="zh-CN"/>
              </w:rPr>
            </w:pPr>
          </w:p>
        </w:tc>
        <w:tc>
          <w:tcPr>
            <w:tcW w:w="1093" w:type="pct"/>
            <w:gridSpan w:val="2"/>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DIP/DRG病种成本评价指标分析</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kern w:val="0"/>
                <w:sz w:val="21"/>
                <w:szCs w:val="21"/>
                <w:highlight w:val="none"/>
                <w:u w:val="none"/>
                <w:lang w:val="en-US" w:eastAsia="zh-CN"/>
              </w:rPr>
            </w:pPr>
            <w:r>
              <w:rPr>
                <w:rFonts w:ascii="宋体" w:eastAsia="宋体" w:hAnsi="宋体" w:cs="宋体" w:hint="eastAsia"/>
                <w:i w:val="0"/>
                <w:iCs w:val="0"/>
                <w:color w:val="000000"/>
                <w:kern w:val="0"/>
                <w:sz w:val="21"/>
                <w:szCs w:val="21"/>
                <w:highlight w:val="none"/>
                <w:u w:val="none"/>
                <w:lang w:val="en-US" w:eastAsia="zh-CN"/>
              </w:rPr>
              <w:t>包括不限于DIP收益、DIP例均收益、DIP床日收益等进行分析，DIP病例的收入、成本结构，医保收益、费用收益分析。</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移动端成本应用</w:t>
            </w:r>
          </w:p>
        </w:tc>
        <w:tc>
          <w:tcPr>
            <w:tcW w:w="337"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成本管理端</w:t>
            </w:r>
          </w:p>
        </w:tc>
        <w:tc>
          <w:tcPr>
            <w:tcW w:w="75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移动端账号</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维护移动端账号（工号）、医疗组、角色、查询功能权限、数据权限</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移动端分析内容生成</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系统内置对收入、成本、结余、关键运营指标的移动端分析，支持根据个性化需要配置规则，生成移动端分析内容</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移动端内容授权</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支持对已经生成的移动端内容给医生授权，授权后的医生可看到符合权限的移动端内容</w:t>
            </w:r>
          </w:p>
        </w:tc>
      </w:tr>
      <w:tr>
        <w:tblPrEx>
          <w:tblW w:w="4999" w:type="pct"/>
          <w:tblInd w:w="-30" w:type="dxa"/>
          <w:tblLayout w:type="fixed"/>
          <w:tblCellMar>
            <w:top w:w="0" w:type="dxa"/>
            <w:left w:w="108" w:type="dxa"/>
            <w:bottom w:w="0" w:type="dxa"/>
            <w:right w:w="108" w:type="dxa"/>
          </w:tblCellMar>
        </w:tblPrEx>
        <w:trPr>
          <w:trHeight w:val="2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337" w:type="pct"/>
            <w:vMerge w:val="restart"/>
            <w:noWrap w:val="0"/>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移动端</w:t>
            </w:r>
          </w:p>
        </w:tc>
        <w:tc>
          <w:tcPr>
            <w:tcW w:w="75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登录</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登录，支持单点登录嵌入</w:t>
            </w:r>
          </w:p>
        </w:tc>
      </w:tr>
      <w:tr>
        <w:tblPrEx>
          <w:tblW w:w="4999" w:type="pct"/>
          <w:tblInd w:w="-30" w:type="dxa"/>
          <w:tblLayout w:type="fixed"/>
          <w:tblCellMar>
            <w:top w:w="0" w:type="dxa"/>
            <w:left w:w="108" w:type="dxa"/>
            <w:bottom w:w="0" w:type="dxa"/>
            <w:right w:w="108" w:type="dxa"/>
          </w:tblCellMar>
        </w:tblPrEx>
        <w:trPr>
          <w:trHeight w:val="480"/>
        </w:trPr>
        <w:tc>
          <w:tcPr>
            <w:tcW w:w="192"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549"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337" w:type="pct"/>
            <w:vMerge/>
            <w:noWrap w:val="0"/>
            <w:vAlign w:val="center"/>
          </w:tcPr>
          <w:p>
            <w:pPr>
              <w:jc w:val="center"/>
              <w:rPr>
                <w:rFonts w:ascii="宋体" w:eastAsia="宋体" w:hAnsi="宋体" w:cs="宋体" w:hint="eastAsia"/>
                <w:i w:val="0"/>
                <w:iCs w:val="0"/>
                <w:color w:val="000000"/>
                <w:sz w:val="21"/>
                <w:szCs w:val="21"/>
                <w:highlight w:val="none"/>
                <w:u w:val="none"/>
              </w:rPr>
            </w:pPr>
          </w:p>
        </w:tc>
        <w:tc>
          <w:tcPr>
            <w:tcW w:w="75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移动端分析应用</w:t>
            </w:r>
          </w:p>
        </w:tc>
        <w:tc>
          <w:tcPr>
            <w:tcW w:w="3165" w:type="pct"/>
            <w:noWrap w:val="0"/>
            <w:vAlign w:val="center"/>
          </w:tcPr>
          <w:p>
            <w:pPr>
              <w:keepNext w:val="0"/>
              <w:keepLines w:val="0"/>
              <w:widowControl/>
              <w:suppressLineNumbers w:val="0"/>
              <w:jc w:val="both"/>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支持以HTML5模式在移动端随时查询各种分析结果，包括收入分析、成本分析、结余分析、指标分析等。提供多种报表展示方式，如图表、表格等，方便管理者直观了解经营情况。</w:t>
            </w:r>
          </w:p>
        </w:tc>
      </w:tr>
    </w:tbl>
    <w:tbl>
      <w:tblPr>
        <w:tblStyle w:val="TableNormal"/>
        <w:tblpPr w:leftFromText="180" w:rightFromText="180" w:vertAnchor="text" w:horzAnchor="page" w:tblpX="1310" w:tblpY="2197"/>
        <w:tblOverlap w:val="never"/>
        <w:tblW w:w="481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19"/>
      </w:tblGrid>
      <w:tr>
        <w:tblPrEx>
          <w:tblW w:w="481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8"/>
        </w:trPr>
        <w:tc>
          <w:tcPr>
            <w:tcW w:w="5000" w:type="pct"/>
            <w:tcBorders>
              <w:top w:val="single" w:sz="4" w:space="0" w:color="auto"/>
              <w:left w:val="single" w:sz="4" w:space="0" w:color="auto"/>
              <w:bottom w:val="single" w:sz="4" w:space="0" w:color="auto"/>
              <w:right w:val="single" w:sz="4" w:space="0" w:color="auto"/>
            </w:tcBorders>
            <w:noWrap/>
            <w:vAlign w:val="center"/>
          </w:tcPr>
          <w:p>
            <w:pPr>
              <w:numPr>
                <w:ilvl w:val="0"/>
                <w:numId w:val="0"/>
              </w:numPr>
              <w:spacing w:line="520" w:lineRule="exact"/>
              <w:ind w:firstLine="210" w:firstLineChars="100"/>
              <w:jc w:val="center"/>
              <w:rPr>
                <w:rFonts w:ascii="宋体" w:eastAsia="宋体" w:hAnsi="宋体" w:cs="宋体" w:hint="eastAsia"/>
                <w:sz w:val="28"/>
                <w:szCs w:val="28"/>
                <w:highlight w:val="none"/>
                <w:lang w:eastAsia="zh-CN"/>
              </w:rPr>
            </w:pPr>
            <w:r>
              <w:rPr>
                <w:rFonts w:ascii="宋体" w:eastAsia="宋体" w:hAnsi="宋体" w:cs="宋体" w:hint="eastAsia"/>
                <w:sz w:val="28"/>
                <w:szCs w:val="28"/>
                <w:highlight w:val="none"/>
              </w:rPr>
              <w:t>接口数据来源</w:t>
            </w:r>
            <w:r>
              <w:rPr>
                <w:rFonts w:ascii="宋体" w:eastAsia="宋体" w:hAnsi="宋体" w:cs="宋体" w:hint="eastAsia"/>
                <w:sz w:val="28"/>
                <w:szCs w:val="28"/>
                <w:highlight w:val="none"/>
                <w:lang w:val="en-US" w:eastAsia="zh-CN"/>
              </w:rPr>
              <w:t>表</w:t>
            </w:r>
          </w:p>
          <w:p>
            <w:pPr>
              <w:keepNext w:val="0"/>
              <w:keepLines w:val="0"/>
              <w:widowControl/>
              <w:suppressLineNumbers w:val="0"/>
              <w:jc w:val="left"/>
              <w:textAlignment w:val="center"/>
              <w:rPr>
                <w:rFonts w:ascii="宋体" w:eastAsia="宋体" w:hAnsi="宋体" w:cs="宋体" w:hint="eastAsia"/>
                <w:b/>
                <w:bCs/>
                <w:i w:val="0"/>
                <w:iCs w:val="0"/>
                <w:color w:val="000000"/>
                <w:kern w:val="0"/>
                <w:sz w:val="21"/>
                <w:szCs w:val="21"/>
                <w:highlight w:val="none"/>
                <w:u w:val="none"/>
                <w:lang w:val="en-US" w:eastAsia="zh-CN"/>
              </w:rPr>
            </w:pPr>
          </w:p>
          <w:tbl>
            <w:tblPr>
              <w:tblStyle w:val="TableNormal"/>
              <w:tblW w:w="9338" w:type="dxa"/>
              <w:tblInd w:w="325"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1975"/>
              <w:gridCol w:w="3825"/>
              <w:gridCol w:w="3538"/>
            </w:tblGrid>
            <w:tr>
              <w:tblPrEx>
                <w:tblW w:w="9338" w:type="dxa"/>
                <w:tblInd w:w="325"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249"/>
              </w:trPr>
              <w:tc>
                <w:tcPr>
                  <w:tcW w:w="19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rPr>
                    <w:t>数据来源</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rPr>
                    <w:t>数据需求</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21"/>
                      <w:szCs w:val="21"/>
                      <w:highlight w:val="none"/>
                      <w:u w:val="none"/>
                    </w:rPr>
                  </w:pPr>
                  <w:r>
                    <w:rPr>
                      <w:rFonts w:ascii="宋体" w:eastAsia="宋体" w:hAnsi="宋体" w:cs="宋体" w:hint="eastAsia"/>
                      <w:b/>
                      <w:bCs/>
                      <w:i w:val="0"/>
                      <w:iCs w:val="0"/>
                      <w:color w:val="000000"/>
                      <w:kern w:val="0"/>
                      <w:sz w:val="21"/>
                      <w:szCs w:val="21"/>
                      <w:highlight w:val="none"/>
                      <w:u w:val="none"/>
                      <w:lang w:val="en-US" w:eastAsia="zh-CN"/>
                    </w:rPr>
                    <w:t>数据类别</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HIS系统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医疗服务项目档案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药品档案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门诊收入数据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住院收入数据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药品消耗数据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门（急）诊工作量</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住院工作量</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医技工作量</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住院转科数据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HRP系统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卫生材料档案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设备档案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卫生材料消耗数据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资产折旧与摊销数据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财务凭证数据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病案系统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病案首页</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489"/>
              </w:trPr>
              <w:tc>
                <w:tcPr>
                  <w:tcW w:w="19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DRG/DIP管理相关系统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CHS-DRG分组结果、DIP分组结果</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分组器系数</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财务系统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成本科室档案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成本科室与第三方科室映射</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成本科室与标准科室映射</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成本项目档案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成本项目映射</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会计科目档案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杭创系统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社康中心工作量、收入数据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蓝网</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医技设备数据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手麻系统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手术麻醉数据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薪酬相关系统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职工薪酬数据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薪酬项目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职工档案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智慧运营一体化平台</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可视化平台</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重症科室</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ICU数据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489"/>
              </w:trPr>
              <w:tc>
                <w:tcPr>
                  <w:tcW w:w="19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其他系统</w:t>
                  </w: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科室面积档案（需要获取全年每个月的面积档案）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内部服务工作量</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r>
              <w:tblPrEx>
                <w:tblW w:w="9338" w:type="dxa"/>
                <w:tblInd w:w="325" w:type="dxa"/>
                <w:shd w:val="clear" w:color="auto" w:fill="auto"/>
                <w:tblLayout w:type="fixed"/>
                <w:tblCellMar>
                  <w:top w:w="0" w:type="dxa"/>
                  <w:left w:w="108" w:type="dxa"/>
                  <w:bottom w:w="0" w:type="dxa"/>
                  <w:right w:w="108" w:type="dxa"/>
                </w:tblCellMar>
              </w:tblPrEx>
              <w:trPr>
                <w:trHeight w:val="249"/>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内部服务项目档案</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档案字典类数据</w:t>
                  </w:r>
                </w:p>
              </w:tc>
            </w:tr>
            <w:tr>
              <w:tblPrEx>
                <w:tblW w:w="9338" w:type="dxa"/>
                <w:tblInd w:w="325" w:type="dxa"/>
                <w:shd w:val="clear" w:color="auto" w:fill="auto"/>
                <w:tblLayout w:type="fixed"/>
                <w:tblCellMar>
                  <w:top w:w="0" w:type="dxa"/>
                  <w:left w:w="108" w:type="dxa"/>
                  <w:bottom w:w="0" w:type="dxa"/>
                  <w:right w:w="108" w:type="dxa"/>
                </w:tblCellMar>
              </w:tblPrEx>
              <w:trPr>
                <w:trHeight w:val="256"/>
              </w:trPr>
              <w:tc>
                <w:tcPr>
                  <w:tcW w:w="19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21"/>
                      <w:szCs w:val="21"/>
                      <w:highlight w:val="none"/>
                      <w:u w:val="none"/>
                    </w:rPr>
                  </w:pPr>
                </w:p>
              </w:tc>
              <w:tc>
                <w:tcPr>
                  <w:tcW w:w="382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其他必要数据</w:t>
                  </w:r>
                </w:p>
              </w:tc>
              <w:tc>
                <w:tcPr>
                  <w:tcW w:w="35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22"/>
                      <w:szCs w:val="22"/>
                      <w:highlight w:val="none"/>
                      <w:u w:val="none"/>
                    </w:rPr>
                  </w:pPr>
                  <w:r>
                    <w:rPr>
                      <w:rFonts w:ascii="宋体" w:eastAsia="宋体" w:hAnsi="宋体" w:cs="宋体" w:hint="eastAsia"/>
                      <w:i w:val="0"/>
                      <w:iCs w:val="0"/>
                      <w:color w:val="000000"/>
                      <w:kern w:val="0"/>
                      <w:sz w:val="22"/>
                      <w:szCs w:val="22"/>
                      <w:highlight w:val="none"/>
                      <w:u w:val="none"/>
                      <w:lang w:val="en-US" w:eastAsia="zh-CN"/>
                    </w:rPr>
                    <w:t>成本核算数据</w:t>
                  </w:r>
                </w:p>
              </w:tc>
            </w:tr>
          </w:tbl>
          <w:p>
            <w:pPr>
              <w:keepNext w:val="0"/>
              <w:keepLines w:val="0"/>
              <w:widowControl/>
              <w:suppressLineNumbers w:val="0"/>
              <w:jc w:val="left"/>
              <w:textAlignment w:val="center"/>
              <w:rPr>
                <w:rFonts w:ascii="宋体" w:eastAsia="宋体" w:hAnsi="宋体" w:cs="宋体" w:hint="eastAsia"/>
                <w:b/>
                <w:bCs/>
                <w:i w:val="0"/>
                <w:iCs w:val="0"/>
                <w:color w:val="000000"/>
                <w:kern w:val="0"/>
                <w:sz w:val="21"/>
                <w:szCs w:val="21"/>
                <w:highlight w:val="none"/>
                <w:u w:val="none"/>
                <w:lang w:val="en-US" w:eastAsia="zh-CN"/>
              </w:rPr>
            </w:pPr>
          </w:p>
        </w:tc>
      </w:tr>
      <w:tr>
        <w:tblPrEx>
          <w:tblW w:w="4818" w:type="pct"/>
          <w:tblInd w:w="0" w:type="dxa"/>
          <w:tblLayout w:type="fixed"/>
          <w:tblCellMar>
            <w:top w:w="0" w:type="dxa"/>
            <w:left w:w="108" w:type="dxa"/>
            <w:bottom w:w="0" w:type="dxa"/>
            <w:right w:w="108" w:type="dxa"/>
          </w:tblCellMar>
        </w:tblPrEx>
        <w:trPr>
          <w:trHeight w:val="288"/>
        </w:trPr>
        <w:tc>
          <w:tcPr>
            <w:tcW w:w="5000" w:type="pct"/>
            <w:tcBorders>
              <w:top w:val="single" w:sz="4" w:space="0" w:color="auto"/>
              <w:left w:val="single" w:sz="4" w:space="0" w:color="auto"/>
              <w:bottom w:val="single" w:sz="4" w:space="0" w:color="auto"/>
              <w:right w:val="single" w:sz="4" w:space="0" w:color="auto"/>
            </w:tcBorders>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kern w:val="0"/>
                <w:sz w:val="21"/>
                <w:szCs w:val="21"/>
                <w:highlight w:val="none"/>
                <w:u w:val="none"/>
                <w:lang w:val="en-US" w:eastAsia="zh-CN"/>
              </w:rPr>
            </w:pPr>
          </w:p>
        </w:tc>
      </w:tr>
    </w:tbl>
    <w:p>
      <w:pPr>
        <w:numPr>
          <w:ilvl w:val="255"/>
          <w:numId w:val="0"/>
        </w:numPr>
        <w:spacing w:line="520" w:lineRule="exact"/>
        <w:ind w:firstLine="0" w:firstLineChars="0"/>
        <w:jc w:val="left"/>
        <w:rPr>
          <w:rFonts w:ascii="宋体" w:eastAsia="宋体" w:hAnsi="宋体" w:cs="宋体" w:hint="eastAsia"/>
          <w:sz w:val="21"/>
          <w:szCs w:val="21"/>
          <w:lang w:val="en-US" w:eastAsia="zh-CN"/>
        </w:rPr>
      </w:pPr>
    </w:p>
    <w:p>
      <w:pPr>
        <w:numPr>
          <w:ilvl w:val="255"/>
          <w:numId w:val="0"/>
        </w:numPr>
        <w:spacing w:line="520" w:lineRule="exact"/>
        <w:ind w:firstLine="0" w:firstLineChars="0"/>
        <w:jc w:val="left"/>
        <w:rPr>
          <w:rFonts w:ascii="宋体" w:eastAsia="宋体" w:hAnsi="宋体" w:cs="宋体" w:hint="eastAsia"/>
          <w:sz w:val="21"/>
          <w:szCs w:val="21"/>
          <w:lang w:val="en-US" w:eastAsia="zh-CN"/>
        </w:rPr>
      </w:pPr>
    </w:p>
    <w:p>
      <w:pPr>
        <w:numPr>
          <w:ilvl w:val="255"/>
          <w:numId w:val="0"/>
        </w:numPr>
        <w:spacing w:line="520" w:lineRule="exact"/>
        <w:ind w:left="-1040" w:firstLine="0" w:leftChars="-495" w:firstLineChars="0"/>
        <w:jc w:val="left"/>
        <w:rPr>
          <w:rFonts w:ascii="宋体" w:eastAsia="宋体" w:hAnsi="宋体" w:cs="宋体" w:hint="eastAsia"/>
          <w:i w:val="0"/>
          <w:iCs w:val="0"/>
          <w:color w:val="000000"/>
          <w:kern w:val="0"/>
          <w:sz w:val="21"/>
          <w:szCs w:val="21"/>
          <w:highlight w:val="yellow"/>
          <w:u w:val="none"/>
          <w:lang w:val="en-US" w:eastAsia="zh-CN"/>
        </w:rPr>
      </w:pPr>
    </w:p>
    <w:p>
      <w:pPr>
        <w:numPr>
          <w:ilvl w:val="255"/>
          <w:numId w:val="0"/>
        </w:numPr>
        <w:spacing w:line="520" w:lineRule="exact"/>
        <w:ind w:left="-1040" w:firstLine="0" w:leftChars="-495" w:firstLineChars="0"/>
        <w:jc w:val="left"/>
        <w:rPr>
          <w:rFonts w:ascii="宋体" w:eastAsia="宋体" w:hAnsi="宋体" w:cs="宋体" w:hint="eastAsia"/>
          <w:i w:val="0"/>
          <w:iCs w:val="0"/>
          <w:color w:val="000000"/>
          <w:kern w:val="0"/>
          <w:sz w:val="21"/>
          <w:szCs w:val="21"/>
          <w:highlight w:val="yellow"/>
          <w:u w:val="none"/>
          <w:lang w:val="en-US" w:eastAsia="zh-CN"/>
        </w:rPr>
      </w:pPr>
    </w:p>
    <w:p>
      <w:pPr>
        <w:numPr>
          <w:ilvl w:val="255"/>
          <w:numId w:val="0"/>
        </w:numPr>
        <w:spacing w:line="520" w:lineRule="exact"/>
        <w:ind w:left="-1040" w:firstLine="0" w:leftChars="-495" w:firstLineChars="0"/>
        <w:jc w:val="left"/>
        <w:rPr>
          <w:rFonts w:ascii="宋体" w:eastAsia="宋体" w:hAnsi="宋体" w:cs="宋体" w:hint="eastAsia"/>
          <w:i w:val="0"/>
          <w:iCs w:val="0"/>
          <w:color w:val="000000"/>
          <w:kern w:val="0"/>
          <w:sz w:val="21"/>
          <w:szCs w:val="21"/>
          <w:highlight w:val="yellow"/>
          <w:u w:val="none"/>
          <w:lang w:val="en-US" w:eastAsia="zh-CN"/>
        </w:rPr>
      </w:pPr>
    </w:p>
    <w:p>
      <w:pPr>
        <w:numPr>
          <w:ilvl w:val="255"/>
          <w:numId w:val="0"/>
        </w:numPr>
        <w:spacing w:line="520" w:lineRule="exact"/>
        <w:ind w:left="0" w:firstLine="0" w:leftChars="0" w:firstLineChars="0"/>
        <w:jc w:val="left"/>
        <w:rPr>
          <w:rFonts w:ascii="宋体" w:eastAsia="宋体" w:hAnsi="宋体" w:cs="宋体" w:hint="eastAsia"/>
          <w:i w:val="0"/>
          <w:iCs w:val="0"/>
          <w:color w:val="000000"/>
          <w:kern w:val="0"/>
          <w:sz w:val="21"/>
          <w:szCs w:val="21"/>
          <w:highlight w:val="yellow"/>
          <w:u w:val="none"/>
          <w:lang w:val="en-US" w:eastAsia="zh-CN"/>
        </w:rPr>
      </w:pPr>
    </w:p>
    <w:p>
      <w:pPr>
        <w:numPr>
          <w:ilvl w:val="255"/>
          <w:numId w:val="0"/>
        </w:numPr>
        <w:spacing w:line="520" w:lineRule="exact"/>
        <w:ind w:left="0" w:firstLine="0" w:leftChars="0" w:firstLineChars="0"/>
        <w:jc w:val="left"/>
        <w:rPr>
          <w:rFonts w:hint="eastAsia"/>
          <w:b w:val="0"/>
          <w:bCs w:val="0"/>
          <w:sz w:val="21"/>
          <w:szCs w:val="22"/>
          <w:highlight w:val="yellow"/>
          <w:lang w:val="en-US" w:eastAsia="zh-CN"/>
        </w:rPr>
      </w:pPr>
    </w:p>
    <w:p>
      <w:pPr>
        <w:numPr>
          <w:ilvl w:val="255"/>
          <w:numId w:val="0"/>
        </w:numPr>
        <w:spacing w:line="520" w:lineRule="exact"/>
        <w:ind w:left="0" w:firstLine="0" w:leftChars="0" w:firstLineChars="0"/>
        <w:jc w:val="left"/>
        <w:rPr>
          <w:rFonts w:hint="eastAsia"/>
          <w:b w:val="0"/>
          <w:bCs w:val="0"/>
          <w:sz w:val="21"/>
          <w:szCs w:val="22"/>
          <w:highlight w:val="yellow"/>
          <w:lang w:val="en-US" w:eastAsia="zh-CN"/>
        </w:rPr>
      </w:pPr>
    </w:p>
    <w:p>
      <w:pPr>
        <w:numPr>
          <w:ilvl w:val="255"/>
          <w:numId w:val="0"/>
        </w:numPr>
        <w:spacing w:line="520" w:lineRule="exact"/>
        <w:ind w:left="0" w:firstLine="0" w:leftChars="0" w:firstLineChars="0"/>
        <w:jc w:val="left"/>
        <w:rPr>
          <w:rFonts w:hint="eastAsia"/>
          <w:b w:val="0"/>
          <w:bCs w:val="0"/>
          <w:sz w:val="21"/>
          <w:szCs w:val="22"/>
          <w:highlight w:val="yellow"/>
          <w:lang w:val="en-US" w:eastAsia="zh-CN"/>
        </w:rPr>
      </w:pPr>
    </w:p>
    <w:p>
      <w:pPr>
        <w:numPr>
          <w:ilvl w:val="255"/>
          <w:numId w:val="0"/>
        </w:numPr>
        <w:spacing w:line="520" w:lineRule="exact"/>
        <w:ind w:left="0" w:firstLine="0" w:leftChars="0" w:firstLineChars="0"/>
        <w:jc w:val="left"/>
        <w:rPr>
          <w:rFonts w:hint="eastAsia"/>
          <w:b w:val="0"/>
          <w:bCs w:val="0"/>
          <w:sz w:val="21"/>
          <w:szCs w:val="22"/>
          <w:highlight w:val="yellow"/>
          <w:lang w:val="en-US" w:eastAsia="zh-CN"/>
        </w:rPr>
      </w:pPr>
    </w:p>
    <w:p>
      <w:pPr>
        <w:numPr>
          <w:ilvl w:val="255"/>
          <w:numId w:val="0"/>
        </w:numPr>
        <w:spacing w:line="520" w:lineRule="exact"/>
        <w:ind w:left="0" w:firstLine="0" w:leftChars="0" w:firstLineChars="0"/>
        <w:jc w:val="left"/>
        <w:rPr>
          <w:rFonts w:ascii="宋体" w:eastAsia="宋体" w:hAnsi="宋体" w:cs="宋体" w:hint="eastAsia"/>
          <w:sz w:val="21"/>
          <w:szCs w:val="21"/>
          <w:highlight w:val="none"/>
          <w:lang w:val="en-US" w:eastAsia="zh-CN"/>
        </w:rPr>
      </w:pPr>
      <w:r>
        <w:rPr>
          <w:rFonts w:hint="eastAsia"/>
          <w:b w:val="0"/>
          <w:bCs w:val="0"/>
          <w:sz w:val="21"/>
          <w:szCs w:val="22"/>
          <w:highlight w:val="none"/>
          <w:lang w:val="en-US" w:eastAsia="zh-CN"/>
        </w:rPr>
        <w:t>3、支</w:t>
      </w:r>
      <w:r>
        <w:rPr>
          <w:rFonts w:ascii="宋体" w:eastAsia="宋体" w:hAnsi="宋体" w:cs="宋体" w:hint="eastAsia"/>
          <w:sz w:val="21"/>
          <w:szCs w:val="21"/>
          <w:highlight w:val="none"/>
          <w:lang w:val="en-US" w:eastAsia="zh-CN"/>
        </w:rPr>
        <w:t>持免费信创适配改造，包括：服务器端数据库及应用终端等。</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4、售后服务：</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（1）系统维保服务有效期内，提供系统基础运维服务，包括：软件升级、漏洞修复等；</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（2）提供系统使用培训、运维培训服务；</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（3）系统出现故障，支持7*24小时服务，支持远程指导、远程登录操作以及技术人员上门维护；</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（4）三年免费维保。</w:t>
      </w:r>
    </w:p>
    <w:p>
      <w:pPr>
        <w:numPr>
          <w:ilvl w:val="0"/>
          <w:numId w:val="0"/>
        </w:numPr>
        <w:ind w:leftChars="0"/>
        <w:rPr>
          <w:rFonts w:hint="default"/>
          <w:b w:val="0"/>
          <w:bCs w:val="0"/>
          <w:sz w:val="21"/>
          <w:szCs w:val="22"/>
          <w:highlight w:val="none"/>
          <w:lang w:val="en-US" w:eastAsia="zh-CN"/>
        </w:rPr>
      </w:pPr>
      <w:r>
        <w:rPr>
          <w:rFonts w:hint="eastAsia"/>
          <w:b w:val="0"/>
          <w:bCs w:val="0"/>
          <w:sz w:val="21"/>
          <w:szCs w:val="22"/>
          <w:highlight w:val="none"/>
          <w:lang w:val="en-US" w:eastAsia="zh-CN"/>
        </w:rPr>
        <w:t>（5）维保期后为了保障系统的正常使用，后续运维价格不高于</w:t>
      </w:r>
      <w:r>
        <w:rPr>
          <w:rFonts w:hint="eastAsia"/>
          <w:b/>
          <w:bCs/>
          <w:color w:val="FF0000"/>
          <w:sz w:val="21"/>
          <w:szCs w:val="22"/>
          <w:highlight w:val="none"/>
          <w:lang w:val="en-US" w:eastAsia="zh-CN"/>
        </w:rPr>
        <w:t>中标价</w:t>
      </w:r>
      <w:r>
        <w:rPr>
          <w:rFonts w:hint="eastAsia"/>
          <w:b w:val="0"/>
          <w:bCs w:val="0"/>
          <w:sz w:val="21"/>
          <w:szCs w:val="22"/>
          <w:highlight w:val="none"/>
          <w:lang w:val="en-US" w:eastAsia="zh-CN"/>
        </w:rPr>
        <w:t>的5%。</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5、验收方式；</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（1）安装上线运行后3个月，采购方组织人员和中标方人员一起安排场地和设备，按照合同履约条款进行验收工作，双方签署验收报告。</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2）项目所有工作内容完成以后，由乙方提交验收申请，由甲方组织验收小组，负责对项目进行全面验收，项目验收依次序对照执行标准为：①符合中华人民共和国国家和履约地相关安全质量标准、行业技术规范标准；②符合采购文件和响应承诺中各方共同认可的各项要求；③双方约定的其他验收标准。</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（3）项目完工后乙方向甲方提供项目期间的各种文档，项目的验收需通过甲方组织验收小组总体验收，甲乙双方签订验收报告，乙方须为验收提供必需的设备、工具及其他便利条件。</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6、报价要求；</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本项目报投标总价，以人民币为结算单位，投标报价包含完成项目所需的一切费用。</w:t>
      </w:r>
    </w:p>
    <w:p>
      <w:pPr>
        <w:numPr>
          <w:ilvl w:val="0"/>
          <w:numId w:val="8"/>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项目报价为广东省深圳市目的地交付价。投标报价指投标人为完成本项目所收取的全部费用，包含但不限于以下费用：系统设计、开发、实施及调试，技术服务费、第三方接口费用（包括但不限于“接口数据来源表”）、培训辅导、质保期售后服务、全额含税发票、雇员费用、项目评优考核费用、可视化工具全站点费用、项目实施过程中的应预见或不可预见费用等。采购人无须向中标供应商支付除上述本项目价款总额之外的任何费用及款项。</w:t>
      </w:r>
    </w:p>
    <w:p>
      <w:pPr>
        <w:numPr>
          <w:ilvl w:val="0"/>
          <w:numId w:val="8"/>
        </w:numPr>
        <w:ind w:left="0" w:firstLine="0" w:leftChars="0" w:firstLineChars="0"/>
        <w:rPr>
          <w:rFonts w:hint="eastAsia"/>
          <w:b w:val="0"/>
          <w:bCs w:val="0"/>
          <w:sz w:val="21"/>
          <w:szCs w:val="22"/>
          <w:highlight w:val="none"/>
          <w:lang w:val="en-US" w:eastAsia="zh-CN"/>
        </w:rPr>
      </w:pPr>
      <w:r>
        <w:rPr>
          <w:rFonts w:hint="eastAsia"/>
          <w:b w:val="0"/>
          <w:bCs w:val="0"/>
          <w:sz w:val="21"/>
          <w:szCs w:val="22"/>
          <w:highlight w:val="none"/>
          <w:lang w:val="en-US" w:eastAsia="zh-CN"/>
        </w:rPr>
        <w:t>投标人须考虑本项目在实施期间的一切可能产生的费用。</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（3）报价不得高于本项目的预算金额。</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7、付款方式；</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（1）合同签订后，乙方向甲方提供正式发票，甲方向乙方预付合同总金额的30%；</w:t>
      </w:r>
    </w:p>
    <w:p>
      <w:pPr>
        <w:numPr>
          <w:ilvl w:val="0"/>
          <w:numId w:val="0"/>
        </w:numPr>
        <w:ind w:leftChars="0"/>
        <w:rPr>
          <w:rFonts w:hint="eastAsia"/>
          <w:b w:val="0"/>
          <w:bCs w:val="0"/>
          <w:sz w:val="21"/>
          <w:szCs w:val="22"/>
          <w:highlight w:val="none"/>
          <w:lang w:val="en-US" w:eastAsia="zh-CN"/>
        </w:rPr>
      </w:pPr>
      <w:r>
        <w:rPr>
          <w:rFonts w:hint="eastAsia"/>
          <w:b w:val="0"/>
          <w:bCs w:val="0"/>
          <w:sz w:val="21"/>
          <w:szCs w:val="22"/>
          <w:highlight w:val="none"/>
          <w:lang w:val="en-US" w:eastAsia="zh-CN"/>
        </w:rPr>
        <w:t>（2）乙方完成安装、调试、培训并甲方验收合格后，乙方向甲方提供正式发票，甲方向乙方支付合同总金额的60%。</w:t>
      </w:r>
    </w:p>
    <w:p>
      <w:pPr>
        <w:numPr>
          <w:ilvl w:val="0"/>
          <w:numId w:val="0"/>
        </w:numPr>
        <w:ind w:leftChars="0"/>
        <w:rPr>
          <w:rFonts w:hint="eastAsia"/>
          <w:highlight w:val="none"/>
          <w:lang w:eastAsia="zh-CN"/>
        </w:rPr>
      </w:pPr>
      <w:r>
        <w:rPr>
          <w:rFonts w:hint="eastAsia"/>
          <w:b w:val="0"/>
          <w:bCs w:val="0"/>
          <w:sz w:val="21"/>
          <w:szCs w:val="22"/>
          <w:highlight w:val="none"/>
          <w:lang w:val="en-US" w:eastAsia="zh-CN"/>
        </w:rPr>
        <w:t>（3）项目验收满一年后，乙方向甲方提供正式发票，甲方向乙方支付合同总金额的10%</w:t>
      </w:r>
      <w:r>
        <w:rPr>
          <w:rFonts w:hint="eastAsia"/>
          <w:highlight w:val="none"/>
          <w:lang w:eastAsia="zh-CN"/>
        </w:rPr>
        <w:t>。</w:t>
      </w:r>
    </w:p>
    <w:p>
      <w:pPr>
        <w:numPr>
          <w:ilvl w:val="0"/>
          <w:numId w:val="0"/>
        </w:numPr>
        <w:ind w:leftChars="0"/>
        <w:rPr>
          <w:rFonts w:hint="eastAsia"/>
          <w:highlight w:val="none"/>
          <w:lang w:val="en-US" w:eastAsia="zh-CN"/>
        </w:rPr>
      </w:pPr>
      <w:r>
        <w:rPr>
          <w:rFonts w:hint="eastAsia"/>
          <w:highlight w:val="none"/>
          <w:lang w:val="en-US" w:eastAsia="zh-CN"/>
        </w:rPr>
        <w:t>8、人员要求：</w:t>
      </w:r>
    </w:p>
    <w:p>
      <w:pPr>
        <w:numPr>
          <w:ilvl w:val="0"/>
          <w:numId w:val="0"/>
        </w:numPr>
        <w:ind w:leftChars="0"/>
        <w:rPr>
          <w:rFonts w:hint="eastAsia"/>
          <w:highlight w:val="none"/>
          <w:lang w:val="en-US" w:eastAsia="zh-CN"/>
        </w:rPr>
      </w:pPr>
      <w:r>
        <w:rPr>
          <w:rFonts w:hint="eastAsia"/>
          <w:highlight w:val="none"/>
          <w:lang w:val="en-US" w:eastAsia="zh-CN"/>
        </w:rPr>
        <w:t>（1）项目团队人员技术要求：本项目需安排项目负责人（不少于1人），基于项目开展需要具备医学、卫生管理、计算机、统计、财务等相关专业技术背景人员，作为项目团队成员（不少于6人）；</w:t>
      </w:r>
    </w:p>
    <w:p>
      <w:pPr>
        <w:numPr>
          <w:ilvl w:val="0"/>
          <w:numId w:val="0"/>
        </w:numPr>
        <w:ind w:leftChars="0"/>
        <w:rPr>
          <w:rFonts w:hint="default"/>
          <w:highlight w:val="none"/>
          <w:lang w:val="en-US" w:eastAsia="zh-CN"/>
        </w:rPr>
      </w:pPr>
      <w:r>
        <w:rPr>
          <w:rFonts w:hint="eastAsia"/>
          <w:highlight w:val="none"/>
          <w:lang w:val="en-US" w:eastAsia="zh-CN"/>
        </w:rPr>
        <w:t>（2）项目终验前需安排项目组成员不低于2人驻点。</w:t>
      </w:r>
    </w:p>
    <w:p>
      <w:pPr>
        <w:numPr>
          <w:ilvl w:val="0"/>
          <w:numId w:val="0"/>
        </w:numPr>
        <w:ind w:leftChars="0"/>
        <w:rPr>
          <w:rFonts w:hint="eastAsia"/>
          <w:highlight w:val="none"/>
          <w:lang w:val="en-US" w:eastAsia="zh-CN"/>
        </w:rPr>
      </w:pPr>
      <w:r>
        <w:rPr>
          <w:rFonts w:hint="eastAsia"/>
          <w:color w:val="FF0000"/>
          <w:highlight w:val="none"/>
          <w:lang w:val="en-US" w:eastAsia="zh-CN"/>
        </w:rPr>
        <w:t>9、违约条款：</w:t>
      </w:r>
    </w:p>
    <w:p>
      <w:pPr>
        <w:numPr>
          <w:ilvl w:val="0"/>
          <w:numId w:val="0"/>
        </w:numPr>
        <w:ind w:leftChars="0"/>
        <w:rPr>
          <w:rFonts w:hint="default"/>
          <w:highlight w:val="none"/>
        </w:rPr>
      </w:pPr>
      <w:r>
        <w:rPr>
          <w:rFonts w:hint="default"/>
          <w:highlight w:val="none"/>
        </w:rPr>
        <w:t>违约责任与赔偿损失：</w:t>
      </w:r>
    </w:p>
    <w:p>
      <w:pPr>
        <w:numPr>
          <w:ilvl w:val="0"/>
          <w:numId w:val="0"/>
        </w:numPr>
        <w:ind w:leftChars="0"/>
        <w:rPr>
          <w:rFonts w:hint="default"/>
          <w:highlight w:val="none"/>
        </w:rPr>
      </w:pPr>
      <w:r>
        <w:rPr>
          <w:rFonts w:hint="default"/>
          <w:highlight w:val="none"/>
        </w:rPr>
        <w:t>（一）乙方提供的服务不符合采购文件、投标文件或本合同规定的，甲方有权拒收，并且乙方须向甲方支付本合同总价</w:t>
      </w:r>
      <w:r>
        <w:rPr>
          <w:rFonts w:hint="eastAsia"/>
          <w:highlight w:val="none"/>
          <w:lang w:val="en-US" w:eastAsia="zh-CN"/>
        </w:rPr>
        <w:t>30%</w:t>
      </w:r>
      <w:r>
        <w:rPr>
          <w:rFonts w:hint="default"/>
          <w:highlight w:val="none"/>
        </w:rPr>
        <w:t>的违约金。</w:t>
      </w:r>
    </w:p>
    <w:p>
      <w:pPr>
        <w:numPr>
          <w:ilvl w:val="0"/>
          <w:numId w:val="0"/>
        </w:numPr>
        <w:ind w:leftChars="0"/>
        <w:rPr>
          <w:rFonts w:hint="default"/>
          <w:highlight w:val="none"/>
        </w:rPr>
      </w:pPr>
      <w:r>
        <w:rPr>
          <w:rFonts w:hint="default"/>
          <w:highlight w:val="none"/>
        </w:rPr>
        <w:t>（二）乙方未能按本合同规定的交货时间交付货物的/提供服务，从逾期之日起每日按本合同总价3‰的数额向甲方支付违约金；逾期15天以上（含15天）的，甲方有权终止合同，要求乙方支付违约金，并且给甲方造成的经济损失由乙方承担赔偿责任。</w:t>
      </w:r>
    </w:p>
    <w:p>
      <w:pPr>
        <w:numPr>
          <w:ilvl w:val="0"/>
          <w:numId w:val="0"/>
        </w:numPr>
        <w:ind w:leftChars="0"/>
        <w:rPr>
          <w:rFonts w:hint="default"/>
          <w:highlight w:val="none"/>
        </w:rPr>
      </w:pPr>
      <w:r>
        <w:rPr>
          <w:rFonts w:hint="default"/>
          <w:highlight w:val="none"/>
        </w:rPr>
        <w:t>（三）甲方无正当理由拒收接受服务，到期拒付服务款项的，甲方向乙方偿付本合同总价5%的违约金。甲方逾期付款，则每日按本合同总价的3‰向乙方偿付违约金。</w:t>
      </w:r>
    </w:p>
    <w:p>
      <w:pPr>
        <w:numPr>
          <w:ilvl w:val="0"/>
          <w:numId w:val="0"/>
        </w:numPr>
        <w:ind w:leftChars="0"/>
        <w:rPr>
          <w:rFonts w:hint="default"/>
          <w:highlight w:val="none"/>
          <w:lang w:val="en-US" w:eastAsia="zh-CN"/>
        </w:rPr>
      </w:pPr>
      <w:r>
        <w:rPr>
          <w:rFonts w:hint="default"/>
          <w:highlight w:val="none"/>
        </w:rPr>
        <w:t>（四）其他违约责任按《中华人民共和国民法典》处理。</w:t>
      </w:r>
    </w:p>
    <w:p>
      <w:pPr>
        <w:pStyle w:val="Heading2"/>
        <w:numPr>
          <w:ilvl w:val="0"/>
          <w:numId w:val="0"/>
        </w:numPr>
        <w:spacing w:before="120" w:beforeLines="50" w:after="120" w:afterLines="50"/>
        <w:jc w:val="both"/>
        <w:rPr>
          <w:rFonts w:hint="eastAsia"/>
          <w:lang w:eastAsia="zh-CN"/>
        </w:rPr>
      </w:pPr>
    </w:p>
    <w:p>
      <w:pPr>
        <w:pStyle w:val="Heading2"/>
        <w:spacing w:before="120" w:beforeLines="50" w:after="120" w:afterLines="50"/>
        <w:rPr>
          <w:szCs w:val="24"/>
        </w:rPr>
      </w:pPr>
      <w:r>
        <w:rPr>
          <w:rFonts w:hint="eastAsia"/>
          <w:szCs w:val="24"/>
          <w:lang w:val="en-US" w:eastAsia="zh-CN"/>
        </w:rPr>
        <w:t>六</w:t>
      </w:r>
      <w:r>
        <w:rPr>
          <w:rFonts w:hint="eastAsia"/>
          <w:szCs w:val="24"/>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、“信用中国”中“信用服务”栏的“重大税收违法失信主体”“失信被执行人”，“中国政府采购网”中的“政府采购严重违法失信行为记录名单”，“深圳市政府采购监管网”</w:t>
      </w:r>
      <w:r>
        <w:rPr>
          <w:rFonts w:asciiTheme="minorEastAsia" w:eastAsiaTheme="minorEastAsia" w:hAnsiTheme="minorEastAsia" w:cstheme="minorEastAsia" w:hint="eastAsia"/>
          <w:b w:val="0"/>
          <w:bCs w:val="0"/>
          <w:sz w:val="21"/>
          <w:szCs w:val="21"/>
          <w:lang w:val="en-US" w:eastAsia="zh-CN"/>
        </w:rPr>
        <w:t>以及财政部门认可的“供应商诚信档案库”</w:t>
      </w:r>
      <w:r>
        <w:rPr>
          <w:rFonts w:hint="eastAsia"/>
          <w:bCs/>
          <w:szCs w:val="21"/>
        </w:rPr>
        <w:t>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中标（成交）供应商的投标文件正文将对外公开，投标文件附件不公开；未中标（成交）供应商的投标文件一律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11"/>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供应商登录深圳政府采购智慧平台后下载附件。如投标人误将涉及个人隐私的信息放入投标文件正文，相关后果由投标人自负；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32" w:name="_Hlk72070784"/>
      <w:r>
        <w:rPr>
          <w:rFonts w:hint="eastAsia"/>
          <w:szCs w:val="21"/>
        </w:rPr>
        <w:t>投标函</w:t>
      </w:r>
      <w:bookmarkEnd w:id="32"/>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33" w:name="_Hlk72062521"/>
      <w:r>
        <w:rPr>
          <w:rFonts w:hint="eastAsia"/>
          <w:szCs w:val="21"/>
        </w:rPr>
        <w:t>政府采购投标及履约承诺函</w:t>
      </w:r>
      <w:bookmarkEnd w:id="33"/>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bookmarkStart w:id="34" w:name="_Hlk72257201"/>
      <w:r>
        <w:rPr>
          <w:rFonts w:hint="eastAsia"/>
          <w:szCs w:val="21"/>
        </w:rPr>
        <w:t>（</w:t>
      </w:r>
      <w:r>
        <w:rPr>
          <w:szCs w:val="21"/>
        </w:rPr>
        <w:t>4</w:t>
      </w:r>
      <w:r>
        <w:rPr>
          <w:rFonts w:hint="eastAsia"/>
          <w:szCs w:val="21"/>
        </w:rPr>
        <w:t>）</w:t>
      </w:r>
      <w:bookmarkEnd w:id="34"/>
      <w:r>
        <w:rPr>
          <w:rFonts w:hint="eastAsia"/>
          <w:szCs w:val="21"/>
          <w:lang w:val="en-US" w:eastAsia="zh-CN"/>
        </w:rPr>
        <w:t>认证证书</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5</w:t>
      </w:r>
      <w:r>
        <w:rPr>
          <w:rFonts w:hint="eastAsia"/>
          <w:szCs w:val="21"/>
        </w:rPr>
        <w:t>）软件著作权</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6</w:t>
      </w:r>
      <w:r>
        <w:rPr>
          <w:rFonts w:hint="eastAsia"/>
          <w:szCs w:val="21"/>
          <w:lang w:eastAsia="zh-CN"/>
        </w:rPr>
        <w:t>）</w:t>
      </w:r>
      <w:r>
        <w:rPr>
          <w:rFonts w:hint="eastAsia"/>
          <w:szCs w:val="21"/>
        </w:rPr>
        <w:t>投标人认为需要加以说明的其他内容</w:t>
      </w:r>
      <w:r>
        <w:rPr>
          <w:rFonts w:hint="eastAsia"/>
          <w:szCs w:val="21"/>
          <w:lang w:eastAsia="zh-CN"/>
        </w:rPr>
        <w:t>（</w:t>
      </w:r>
      <w:r>
        <w:rPr>
          <w:rFonts w:hint="eastAsia"/>
          <w:szCs w:val="21"/>
          <w:lang w:val="en-US" w:eastAsia="zh-CN"/>
        </w:rPr>
        <w:t>公开</w:t>
      </w:r>
      <w:r>
        <w:rPr>
          <w:rFonts w:hint="eastAsia"/>
          <w:szCs w:val="21"/>
          <w:lang w:eastAsia="zh-CN"/>
        </w:rPr>
        <w:t>）；</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rPr>
        <w:t>项目详细报价</w:t>
      </w:r>
      <w:r>
        <w:rPr>
          <w:rFonts w:hint="eastAsia"/>
          <w:szCs w:val="21"/>
          <w:lang w:eastAsia="zh-CN"/>
        </w:rPr>
        <w:t>；</w:t>
      </w:r>
    </w:p>
    <w:p>
      <w:pPr>
        <w:ind w:left="718" w:firstLine="1418" w:leftChars="342" w:firstLineChars="675"/>
        <w:rPr>
          <w:rFonts w:ascii="宋体" w:eastAsia="宋体" w:hAnsi="宋体" w:cs="宋体" w:hint="eastAsia"/>
          <w:sz w:val="21"/>
          <w:szCs w:val="21"/>
          <w:lang w:eastAsia="zh-CN"/>
        </w:rPr>
      </w:pPr>
      <w:r>
        <w:rPr>
          <w:rFonts w:hint="eastAsia"/>
          <w:szCs w:val="21"/>
          <w:lang w:eastAsia="zh-CN"/>
        </w:rPr>
        <w:t>（</w:t>
      </w:r>
      <w:r>
        <w:rPr>
          <w:rFonts w:hint="eastAsia"/>
          <w:szCs w:val="21"/>
          <w:lang w:val="en-US" w:eastAsia="zh-CN"/>
        </w:rPr>
        <w:t>6</w:t>
      </w:r>
      <w:r>
        <w:rPr>
          <w:rFonts w:hint="eastAsia"/>
          <w:szCs w:val="21"/>
          <w:lang w:eastAsia="zh-CN"/>
        </w:rPr>
        <w:t>）</w:t>
      </w:r>
      <w:r>
        <w:rPr>
          <w:rFonts w:ascii="宋体" w:eastAsia="宋体" w:hAnsi="宋体" w:cs="宋体" w:hint="eastAsia"/>
          <w:sz w:val="21"/>
          <w:szCs w:val="21"/>
        </w:rPr>
        <w:t>项目服务</w:t>
      </w:r>
      <w:r>
        <w:rPr>
          <w:rFonts w:ascii="宋体" w:eastAsia="宋体" w:hAnsi="宋体" w:cs="宋体" w:hint="eastAsia"/>
          <w:sz w:val="21"/>
          <w:szCs w:val="21"/>
          <w:lang w:val="en-US" w:eastAsia="zh-CN"/>
        </w:rPr>
        <w:t>整体</w:t>
      </w:r>
      <w:r>
        <w:rPr>
          <w:rFonts w:ascii="宋体" w:eastAsia="宋体" w:hAnsi="宋体" w:cs="宋体" w:hint="eastAsia"/>
          <w:sz w:val="21"/>
          <w:szCs w:val="21"/>
        </w:rPr>
        <w:t>方案</w:t>
      </w:r>
      <w:r>
        <w:rPr>
          <w:rFonts w:ascii="宋体" w:eastAsia="宋体" w:hAnsi="宋体" w:cs="宋体" w:hint="eastAsia"/>
          <w:sz w:val="21"/>
          <w:szCs w:val="21"/>
          <w:lang w:eastAsia="zh-CN"/>
        </w:rPr>
        <w:t>；</w:t>
      </w:r>
    </w:p>
    <w:p>
      <w:pPr>
        <w:ind w:left="718" w:firstLine="1418" w:leftChars="342" w:firstLineChars="675"/>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7</w:t>
      </w:r>
      <w:r>
        <w:rPr>
          <w:rFonts w:ascii="宋体" w:eastAsia="宋体" w:hAnsi="宋体" w:cs="宋体" w:hint="eastAsia"/>
          <w:sz w:val="21"/>
          <w:szCs w:val="21"/>
          <w:highlight w:val="none"/>
          <w:lang w:eastAsia="zh-CN"/>
        </w:rPr>
        <w:t>）技术支持及售后运维服务方案；</w:t>
      </w:r>
    </w:p>
    <w:p>
      <w:pPr>
        <w:ind w:left="718" w:firstLine="1418" w:leftChars="342" w:firstLineChars="675"/>
        <w:rPr>
          <w:rFonts w:ascii="宋体" w:hAnsi="宋体" w:cs="宋体" w:hint="eastAsia"/>
          <w:szCs w:val="21"/>
          <w:highlight w:val="none"/>
          <w:lang w:val="en-US" w:eastAsia="zh-CN"/>
        </w:rPr>
      </w:pP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8</w:t>
      </w:r>
      <w:r>
        <w:rPr>
          <w:rFonts w:ascii="宋体" w:eastAsia="宋体" w:hAnsi="宋体" w:cs="宋体" w:hint="eastAsia"/>
          <w:sz w:val="21"/>
          <w:szCs w:val="21"/>
          <w:highlight w:val="none"/>
          <w:lang w:eastAsia="zh-CN"/>
        </w:rPr>
        <w:t>）</w:t>
      </w:r>
      <w:r>
        <w:rPr>
          <w:rFonts w:ascii="宋体" w:hAnsi="宋体" w:cs="宋体" w:hint="eastAsia"/>
          <w:szCs w:val="21"/>
          <w:highlight w:val="none"/>
        </w:rPr>
        <w:t>拟安排项目</w:t>
      </w:r>
      <w:r>
        <w:rPr>
          <w:rFonts w:ascii="宋体" w:hAnsi="宋体" w:cs="宋体" w:hint="eastAsia"/>
          <w:szCs w:val="21"/>
          <w:highlight w:val="none"/>
          <w:lang w:val="en-US" w:eastAsia="zh-CN"/>
        </w:rPr>
        <w:t>负责人（仅限1人）；</w:t>
      </w:r>
    </w:p>
    <w:p>
      <w:pPr>
        <w:ind w:left="718" w:firstLine="1418" w:leftChars="342" w:firstLineChars="675"/>
        <w:rPr>
          <w:rFonts w:ascii="宋体" w:hAnsi="宋体" w:cs="宋体" w:hint="eastAsia"/>
          <w:szCs w:val="21"/>
          <w:highlight w:val="none"/>
          <w:lang w:eastAsia="zh-CN"/>
        </w:rPr>
      </w:pPr>
      <w:r>
        <w:rPr>
          <w:rFonts w:ascii="宋体" w:hAnsi="宋体" w:cs="宋体" w:hint="eastAsia"/>
          <w:szCs w:val="21"/>
          <w:highlight w:val="none"/>
          <w:lang w:val="en-US" w:eastAsia="zh-CN"/>
        </w:rPr>
        <w:t>（9）</w:t>
      </w:r>
      <w:r>
        <w:rPr>
          <w:rFonts w:ascii="宋体" w:hAnsi="宋体" w:cs="宋体" w:hint="eastAsia"/>
          <w:szCs w:val="21"/>
          <w:highlight w:val="none"/>
        </w:rPr>
        <w:t>拟安排项目主要团队成员</w:t>
      </w:r>
      <w:r>
        <w:rPr>
          <w:rFonts w:ascii="宋体" w:hAnsi="宋体" w:cs="宋体" w:hint="eastAsia"/>
          <w:szCs w:val="21"/>
          <w:highlight w:val="none"/>
          <w:lang w:eastAsia="zh-CN"/>
        </w:rPr>
        <w:t>（</w:t>
      </w:r>
      <w:r>
        <w:rPr>
          <w:rFonts w:ascii="宋体" w:hAnsi="宋体" w:cs="宋体" w:hint="eastAsia"/>
          <w:szCs w:val="21"/>
          <w:highlight w:val="none"/>
        </w:rPr>
        <w:t>项目</w:t>
      </w:r>
      <w:r>
        <w:rPr>
          <w:rFonts w:ascii="宋体" w:hAnsi="宋体" w:cs="宋体" w:hint="eastAsia"/>
          <w:szCs w:val="21"/>
          <w:highlight w:val="none"/>
          <w:lang w:val="en-US" w:eastAsia="zh-CN"/>
        </w:rPr>
        <w:t>负责人除外</w:t>
      </w:r>
      <w:r>
        <w:rPr>
          <w:rFonts w:ascii="宋体" w:hAnsi="宋体" w:cs="宋体" w:hint="eastAsia"/>
          <w:szCs w:val="21"/>
          <w:highlight w:val="none"/>
          <w:lang w:eastAsia="zh-CN"/>
        </w:rPr>
        <w:t>）；</w:t>
      </w:r>
    </w:p>
    <w:p>
      <w:pPr>
        <w:ind w:left="718" w:firstLine="1418" w:leftChars="342" w:firstLineChars="675"/>
        <w:rPr>
          <w:rFonts w:hint="eastAsia"/>
          <w:szCs w:val="21"/>
          <w:highlight w:val="none"/>
          <w:lang w:eastAsia="zh-CN"/>
        </w:rPr>
      </w:pPr>
      <w:r>
        <w:rPr>
          <w:rFonts w:ascii="宋体" w:hAnsi="宋体" w:cs="宋体" w:hint="eastAsia"/>
          <w:szCs w:val="21"/>
          <w:highlight w:val="none"/>
          <w:lang w:eastAsia="zh-CN"/>
        </w:rPr>
        <w:t>（</w:t>
      </w:r>
      <w:r>
        <w:rPr>
          <w:rFonts w:ascii="宋体" w:hAnsi="宋体" w:cs="宋体" w:hint="eastAsia"/>
          <w:szCs w:val="21"/>
          <w:highlight w:val="none"/>
          <w:lang w:val="en-US" w:eastAsia="zh-CN"/>
        </w:rPr>
        <w:t>10</w:t>
      </w:r>
      <w:r>
        <w:rPr>
          <w:rFonts w:ascii="宋体" w:hAnsi="宋体" w:cs="宋体" w:hint="eastAsia"/>
          <w:szCs w:val="21"/>
          <w:highlight w:val="none"/>
          <w:lang w:eastAsia="zh-CN"/>
        </w:rPr>
        <w:t>）</w:t>
      </w:r>
      <w:r>
        <w:rPr>
          <w:rFonts w:ascii="宋体" w:hAnsi="宋体" w:cs="宋体" w:hint="eastAsia"/>
          <w:szCs w:val="21"/>
          <w:highlight w:val="none"/>
        </w:rPr>
        <w:t>投标人同类项目业绩</w:t>
      </w:r>
      <w:r>
        <w:rPr>
          <w:rFonts w:hint="eastAsia"/>
          <w:szCs w:val="21"/>
          <w:highlight w:val="none"/>
          <w:lang w:eastAsia="zh-CN"/>
        </w:rPr>
        <w:t>；</w:t>
      </w:r>
    </w:p>
    <w:p>
      <w:pPr>
        <w:ind w:left="718" w:firstLine="1418" w:leftChars="342" w:firstLineChars="675"/>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11</w:t>
      </w:r>
      <w:r>
        <w:rPr>
          <w:rFonts w:hint="eastAsia"/>
          <w:szCs w:val="21"/>
          <w:highlight w:val="none"/>
          <w:lang w:eastAsia="zh-CN"/>
        </w:rPr>
        <w:t>）</w:t>
      </w:r>
      <w:r>
        <w:rPr>
          <w:rFonts w:hint="eastAsia"/>
          <w:szCs w:val="21"/>
          <w:highlight w:val="none"/>
        </w:rPr>
        <w:t>投标人认为需要加以说明的其他内容</w:t>
      </w:r>
      <w:r>
        <w:rPr>
          <w:rFonts w:hint="eastAsia"/>
          <w:szCs w:val="21"/>
          <w:highlight w:val="none"/>
          <w:lang w:eastAsia="zh-CN"/>
        </w:rPr>
        <w:t>；</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35" w:name="_Hlk73818812"/>
      <w:r>
        <w:rPr>
          <w:rFonts w:hint="eastAsia"/>
          <w:szCs w:val="21"/>
        </w:rPr>
        <w:t>1、根据已收到贵单位的项目编号为</w:t>
      </w:r>
      <w:r>
        <w:rPr>
          <w:rFonts w:hint="eastAsia"/>
          <w:szCs w:val="21"/>
          <w:u w:val="thick"/>
        </w:rPr>
        <w:t xml:space="preserve">    </w:t>
      </w:r>
      <w:r>
        <w:rPr>
          <w:rFonts w:hint="eastAsia"/>
          <w:sz w:val="21"/>
          <w:szCs w:val="21"/>
          <w:u w:val="thick"/>
          <w:lang w:eastAsia="zh-CN"/>
        </w:rPr>
        <w:t>BACG2026000027</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深圳市宝安区中医院成本核算信息化系统采购项目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6" w:name="_Hlk72263588"/>
      <w:r>
        <w:rPr>
          <w:rFonts w:hint="eastAsia"/>
          <w:szCs w:val="21"/>
        </w:rPr>
        <w:t>愿意按照招标文件要求承包上述项目并修补其任何缺陷。</w:t>
      </w:r>
      <w:bookmarkEnd w:id="36"/>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35"/>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hint="eastAsia"/>
          <w:lang w:eastAsia="zh-CN"/>
        </w:rPr>
      </w:pPr>
      <w:r>
        <w:rPr>
          <w:rFonts w:ascii="宋体" w:hAnsi="宋体" w:hint="eastAsia"/>
          <w:b w:val="0"/>
          <w:bCs/>
          <w:szCs w:val="21"/>
          <w:lang w:val="en-US" w:eastAsia="zh-CN"/>
        </w:rPr>
        <w:t>1.我单位</w:t>
      </w:r>
      <w:r>
        <w:rPr>
          <w:rFonts w:ascii="宋体" w:hAnsi="宋体" w:hint="eastAsia"/>
          <w:b w:val="0"/>
          <w:bCs/>
          <w:szCs w:val="21"/>
        </w:rPr>
        <w:t>参与本</w:t>
      </w:r>
      <w:r>
        <w:rPr>
          <w:rFonts w:ascii="宋体" w:hAnsi="宋体" w:hint="eastAsia"/>
          <w:b w:val="0"/>
          <w:bCs/>
          <w:szCs w:val="21"/>
          <w:lang w:val="en-US" w:eastAsia="zh-CN"/>
        </w:rPr>
        <w:t>项目符合资格条件关于联合体、进口产品的要求</w:t>
      </w:r>
      <w:r>
        <w:rPr>
          <w:rFonts w:hint="eastAsia"/>
          <w:lang w:eastAsia="zh-CN"/>
        </w:rPr>
        <w:t>。</w:t>
      </w:r>
    </w:p>
    <w:p>
      <w:pPr>
        <w:ind w:firstLine="420" w:firstLineChars="200"/>
        <w:rPr>
          <w:rFonts w:ascii="宋体" w:hAnsi="宋体"/>
          <w:szCs w:val="21"/>
        </w:rPr>
      </w:pPr>
      <w:r>
        <w:rPr>
          <w:rFonts w:ascii="宋体" w:hAnsi="宋体" w:hint="eastAsia"/>
          <w:szCs w:val="21"/>
          <w:lang w:val="en-US" w:eastAsia="zh-CN"/>
        </w:rPr>
        <w:t>2</w:t>
      </w:r>
      <w:r>
        <w:rPr>
          <w:rFonts w:ascii="宋体" w:hAnsi="宋体" w:hint="eastAsia"/>
          <w:szCs w:val="21"/>
        </w:rPr>
        <w:t>.我单位参与本项目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lang w:val="en-US" w:eastAsia="zh-CN"/>
        </w:rPr>
        <w:t>3</w:t>
      </w:r>
      <w:r>
        <w:rPr>
          <w:rFonts w:ascii="宋体" w:hAnsi="宋体" w:hint="eastAsia"/>
          <w:szCs w:val="21"/>
        </w:rPr>
        <w:t>.我单位参与本项目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lang w:val="en-US" w:eastAsia="zh-CN"/>
        </w:rPr>
        <w:t>4</w:t>
      </w:r>
      <w:r>
        <w:rPr>
          <w:rFonts w:ascii="宋体" w:hAnsi="宋体" w:hint="eastAsia"/>
          <w:szCs w:val="21"/>
        </w:rPr>
        <w:t>.我单位具备《中华人民共和国政府采购法》第二十二条第一款规定的六项条件。</w:t>
      </w:r>
    </w:p>
    <w:p>
      <w:pPr>
        <w:ind w:firstLine="420" w:firstLineChars="200"/>
        <w:rPr>
          <w:rFonts w:hint="eastAsia"/>
          <w:lang w:eastAsia="zh-CN"/>
        </w:rPr>
      </w:pPr>
      <w:r>
        <w:rPr>
          <w:rFonts w:ascii="宋体" w:hAnsi="宋体" w:hint="eastAsia"/>
          <w:szCs w:val="21"/>
          <w:lang w:val="en-US" w:eastAsia="zh-CN"/>
        </w:rPr>
        <w:t>5</w:t>
      </w:r>
      <w:r>
        <w:rPr>
          <w:rFonts w:ascii="宋体" w:hAnsi="宋体" w:hint="eastAsia"/>
          <w:szCs w:val="21"/>
        </w:rPr>
        <w:t>.我单位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hint="eastAsia"/>
          <w:color w:val="FF0000"/>
          <w:lang w:val="en-US" w:eastAsia="zh-CN"/>
        </w:rPr>
        <w:t>6</w:t>
      </w:r>
      <w:r>
        <w:rPr>
          <w:rFonts w:ascii="Times New Roman" w:eastAsia="宋体" w:hint="eastAsia"/>
          <w:color w:val="FF0000"/>
          <w:lang w:val="en-US" w:eastAsia="zh-CN"/>
        </w:rPr>
        <w:t>.我单位不存在《深圳市财政局政府采购供应商信用信息管理办法》（深财规〔2023〕3号）列明的严重违法失信行为。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10</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11</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2</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3</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4</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eastAsia"/>
          <w:b/>
          <w:bCs w:val="0"/>
          <w:sz w:val="21"/>
          <w:lang w:val="en-US" w:eastAsia="zh-CN"/>
        </w:rPr>
      </w:pPr>
      <w:r>
        <w:rPr>
          <w:rFonts w:ascii="宋体" w:hAnsi="宋体" w:hint="eastAsia"/>
          <w:b/>
          <w:bCs w:val="0"/>
          <w:sz w:val="21"/>
          <w:lang w:val="en-US" w:eastAsia="zh-CN"/>
        </w:rPr>
        <w:t>15.我单位清楚，如存在违反投标承诺行为情节严重的，将根据《深圳市财政局关于印发&lt;深圳市财政局政府采购供应商信用信息管理办法&gt;的通知》，依法被列入失信信息。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hint="default"/>
          <w:lang w:val="en-US" w:eastAsia="zh-CN"/>
        </w:rPr>
      </w:pPr>
      <w:r>
        <w:rPr>
          <w:rFonts w:ascii="宋体" w:hAnsi="宋体" w:hint="eastAsia"/>
          <w:lang w:val="en-US" w:eastAsia="zh-CN"/>
        </w:rPr>
        <w:t>16.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37"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37"/>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9"/>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38"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38"/>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
      <w:pPr>
        <w:pStyle w:val="BodyText"/>
        <w:ind w:firstLine="0" w:firstLineChars="0"/>
      </w:pPr>
    </w:p>
    <w:p>
      <w:pPr>
        <w:pStyle w:val="BodyText2"/>
      </w:pPr>
    </w:p>
    <w:p>
      <w:pPr>
        <w:pStyle w:val="BodyText2"/>
      </w:pPr>
    </w:p>
    <w:p>
      <w:pPr>
        <w:pStyle w:val="Heading3"/>
        <w:jc w:val="center"/>
        <w:rPr>
          <w:rFonts w:ascii="黑体" w:eastAsia="黑体"/>
          <w:b w:val="0"/>
          <w:sz w:val="24"/>
          <w:szCs w:val="24"/>
        </w:rPr>
      </w:pPr>
      <w:r>
        <w:rPr>
          <w:rFonts w:ascii="黑体" w:eastAsia="黑体" w:hAnsi="宋体" w:cs="Times New Roman" w:hint="eastAsia"/>
          <w:b w:val="0"/>
          <w:sz w:val="24"/>
          <w:szCs w:val="24"/>
          <w:lang w:val="en-US" w:eastAsia="zh-CN"/>
        </w:rPr>
        <w:t xml:space="preserve">  四、认证证书</w:t>
      </w:r>
      <w:r>
        <w:rPr>
          <w:rFonts w:ascii="黑体" w:eastAsia="黑体" w:hint="eastAsia"/>
          <w:b w:val="0"/>
          <w:sz w:val="24"/>
          <w:szCs w:val="24"/>
        </w:rPr>
        <w:t>（格式自定）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五</w:t>
      </w:r>
      <w:r>
        <w:rPr>
          <w:rFonts w:ascii="黑体" w:eastAsia="黑体" w:hint="eastAsia"/>
          <w:b w:val="0"/>
          <w:sz w:val="24"/>
          <w:szCs w:val="24"/>
        </w:rPr>
        <w:t>、软件著作权（格式自定）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、投标人认为需要加以说明的其他内容（公开）（格式自定）</w:t>
      </w:r>
    </w:p>
    <w:p>
      <w:pPr>
        <w:pStyle w:val="BodyText"/>
        <w:rPr>
          <w:b w:val="0"/>
          <w:bCs w:val="0"/>
        </w:rPr>
      </w:pPr>
      <w:r>
        <w:rPr>
          <w:rFonts w:hint="eastAsia"/>
          <w:b w:val="0"/>
          <w:bCs w:val="0"/>
        </w:rPr>
        <w:t>（特别提示：投标人须按本招标文件评标信息中这一评审因素要求，提供证明资料）</w:t>
      </w:r>
    </w:p>
    <w:p>
      <w:pPr>
        <w:ind w:firstLine="630" w:firstLineChars="300"/>
        <w:rPr>
          <w:sz w:val="24"/>
        </w:rPr>
      </w:pPr>
    </w:p>
    <w:p/>
    <w:p>
      <w:pPr>
        <w:ind w:firstLine="1260" w:firstLineChars="600"/>
        <w:rPr>
          <w:b/>
          <w:sz w:val="32"/>
          <w:szCs w:val="32"/>
        </w:rPr>
      </w:pPr>
      <w:r>
        <w:rPr>
          <w:rFonts w:hint="eastAsia"/>
          <w:b/>
          <w:color w:val="FF0000"/>
          <w:sz w:val="24"/>
        </w:rPr>
        <w:t>（信息公开部分的内容到此为止！以下为信息不公开部分。）</w:t>
      </w:r>
    </w:p>
    <w:p>
      <w:pPr>
        <w:rPr>
          <w:rFonts w:ascii="宋体" w:hAnsi="宋体"/>
          <w:b/>
          <w:color w:val="FF0000"/>
          <w:sz w:val="28"/>
          <w:szCs w:val="28"/>
        </w:rPr>
      </w:pPr>
      <w:r>
        <w:br w:type="page"/>
      </w: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39" w:name="_Hlk72092499"/>
      <w:r>
        <w:rPr>
          <w:rFonts w:ascii="黑体" w:eastAsia="黑体" w:hint="eastAsia"/>
          <w:b w:val="0"/>
          <w:sz w:val="24"/>
        </w:rPr>
        <w:t>供应商基本情况表</w:t>
      </w:r>
      <w:bookmarkEnd w:id="39"/>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0"/>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num="1" w:space="425"/>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Title"/>
        <w:snapToGrid w:val="0"/>
        <w:spacing w:before="0" w:after="0" w:line="240" w:lineRule="auto"/>
        <w:jc w:val="both"/>
        <w:outlineLvl w:val="9"/>
        <w:rPr>
          <w:rFonts w:ascii="方正小标宋简体" w:eastAsia="方正小标宋简体" w:hAnsi="方正小标宋简体" w:cs="方正小标宋简体" w:hint="eastAsia"/>
          <w:b w:val="0"/>
          <w:bCs w:val="0"/>
          <w:color w:val="auto"/>
          <w:sz w:val="44"/>
          <w:szCs w:val="44"/>
          <w:lang w:val="en-US" w:eastAsia="zh-CN"/>
        </w:rPr>
      </w:pPr>
    </w:p>
    <w:p>
      <w:pPr>
        <w:pStyle w:val="Title"/>
        <w:snapToGrid w:val="0"/>
        <w:spacing w:before="0" w:after="0" w:line="240" w:lineRule="auto"/>
        <w:outlineLvl w:val="2"/>
        <w:rPr>
          <w:rFonts w:eastAsia="宋体" w:hint="default"/>
          <w:lang w:val="en-US" w:eastAsia="zh-CN"/>
        </w:rPr>
      </w:pPr>
      <w:r>
        <w:rPr>
          <w:rFonts w:ascii="黑体" w:eastAsia="黑体" w:hAnsi="宋体" w:cs="Times New Roman" w:hint="eastAsia"/>
          <w:b w:val="0"/>
          <w:bCs/>
          <w:kern w:val="0"/>
          <w:sz w:val="24"/>
          <w:szCs w:val="24"/>
          <w:lang w:val="en-US" w:eastAsia="zh-CN" w:bidi="ar-SA"/>
        </w:rPr>
        <w:t>四、</w:t>
      </w:r>
      <w:bookmarkStart w:id="40" w:name="_Hlk72092634"/>
      <w:r>
        <w:rPr>
          <w:rFonts w:ascii="黑体" w:eastAsia="黑体" w:hint="eastAsia"/>
          <w:b w:val="0"/>
          <w:kern w:val="0"/>
          <w:sz w:val="24"/>
          <w:szCs w:val="24"/>
        </w:rPr>
        <w:t>实质性条款响应情况表</w:t>
      </w:r>
      <w:bookmarkEnd w:id="40"/>
    </w:p>
    <w:p>
      <w:pPr>
        <w:pStyle w:val="NoSpacing"/>
      </w:pP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788"/>
        <w:gridCol w:w="146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1"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bookmarkEnd w:id="41"/>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num="1" w:space="425"/>
          <w:titlePg/>
          <w:docGrid w:linePitch="462" w:charSpace="0"/>
        </w:sectPr>
      </w:pPr>
    </w:p>
    <w:p>
      <w:pPr>
        <w:ind w:firstLine="420" w:firstLineChars="200"/>
        <w:jc w:val="center"/>
      </w:pPr>
    </w:p>
    <w:p>
      <w:pPr>
        <w:jc w:val="center"/>
        <w:rPr>
          <w:rFonts w:ascii="黑体" w:eastAsia="黑体"/>
          <w:b w:val="0"/>
          <w:sz w:val="24"/>
          <w:szCs w:val="24"/>
        </w:rPr>
      </w:pPr>
      <w:r>
        <w:rPr>
          <w:rFonts w:ascii="黑体" w:eastAsia="黑体" w:hint="eastAsia"/>
          <w:b w:val="0"/>
          <w:sz w:val="24"/>
          <w:szCs w:val="24"/>
          <w:lang w:val="en-US" w:eastAsia="zh-CN"/>
        </w:rPr>
        <w:t>五</w:t>
      </w:r>
      <w:r>
        <w:rPr>
          <w:rFonts w:ascii="黑体" w:eastAsia="黑体" w:hint="eastAsia"/>
          <w:b w:val="0"/>
          <w:sz w:val="24"/>
          <w:szCs w:val="24"/>
        </w:rPr>
        <w:t>、项目详细报价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注：</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1、此表可延长，各投标人根据本项目实际涉及的所有支出项情况修改后填写。本表如有缺漏项，由投标人自行承担。</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2、中标人签订合同前将详细的《分项报价表》递交采购单位，经采购单位审核同意后方可实施。</w:t>
      </w:r>
    </w:p>
    <w:p>
      <w:pPr>
        <w:pStyle w:val="BodyText"/>
        <w:rPr>
          <w:rFonts w:asciiTheme="minorEastAsia" w:eastAsiaTheme="minorEastAsia" w:hAnsiTheme="minorEastAsia" w:cstheme="minorEastAsia" w:hint="default"/>
          <w:b w:val="0"/>
          <w:bCs w:val="0"/>
          <w:color w:val="auto"/>
          <w:kern w:val="2"/>
          <w:sz w:val="20"/>
          <w:szCs w:val="20"/>
          <w:lang w:val="en-US" w:eastAsia="zh-CN" w:bidi="ar-SA"/>
        </w:rPr>
      </w:pPr>
      <w:r>
        <w:rPr>
          <w:rFonts w:asciiTheme="minorEastAsia" w:eastAsiaTheme="minorEastAsia" w:hAnsiTheme="minorEastAsia" w:cstheme="minorEastAsia" w:hint="eastAsia"/>
          <w:b w:val="0"/>
          <w:bCs w:val="0"/>
          <w:color w:val="auto"/>
          <w:kern w:val="2"/>
          <w:sz w:val="20"/>
          <w:szCs w:val="20"/>
          <w:lang w:val="en-US" w:eastAsia="zh-CN" w:bidi="ar-SA"/>
        </w:rPr>
        <w:t>3、投标人的投标报价不得超过预算金额，否则将导致投标无效。</w:t>
      </w:r>
    </w:p>
    <w:p>
      <w:pPr>
        <w:tabs>
          <w:tab w:val="left" w:pos="720"/>
        </w:tabs>
        <w:jc w:val="center"/>
        <w:rPr>
          <w:b/>
          <w:sz w:val="24"/>
        </w:rPr>
      </w:pPr>
      <w:r>
        <w:rPr>
          <w:rFonts w:hint="eastAsia"/>
          <w:b/>
          <w:sz w:val="24"/>
        </w:rPr>
        <w:t>（二）</w:t>
      </w:r>
      <w:bookmarkStart w:id="42" w:name="_Hlk72073235"/>
      <w:r>
        <w:rPr>
          <w:rFonts w:hint="eastAsia"/>
          <w:b/>
          <w:sz w:val="24"/>
        </w:rPr>
        <w:t>投标人认为需要涉及的其他内容报价清单</w:t>
      </w:r>
      <w:bookmarkEnd w:id="42"/>
    </w:p>
    <w:p>
      <w:pPr>
        <w:rPr>
          <w:b/>
          <w:bCs/>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六</w:t>
      </w:r>
      <w:r>
        <w:rPr>
          <w:rFonts w:ascii="黑体" w:eastAsia="黑体" w:hint="eastAsia"/>
          <w:b w:val="0"/>
          <w:kern w:val="0"/>
          <w:sz w:val="24"/>
          <w:szCs w:val="24"/>
        </w:rPr>
        <w:t>、项目服务整体方案（格式自定）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、技术支持及售后运维服务方案（格式自定）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、拟安排项目负责人（仅限1人）（格式自定）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、拟安排项目主要团队成员（项目负责人除外）（格式自定）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十</w:t>
      </w:r>
      <w:r>
        <w:rPr>
          <w:rFonts w:ascii="黑体" w:eastAsia="黑体" w:hint="eastAsia"/>
          <w:b w:val="0"/>
          <w:kern w:val="0"/>
          <w:sz w:val="24"/>
          <w:szCs w:val="24"/>
        </w:rPr>
        <w:t>、投标人同类项目业绩（格式自定）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rPr>
          <w:sz w:val="24"/>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十一</w:t>
      </w:r>
      <w:r>
        <w:rPr>
          <w:rFonts w:ascii="黑体" w:eastAsia="黑体" w:hint="eastAsia"/>
          <w:b w:val="0"/>
          <w:bCs w:val="0"/>
          <w:sz w:val="24"/>
          <w:szCs w:val="20"/>
        </w:rPr>
        <w:t>、</w:t>
      </w:r>
      <w:bookmarkStart w:id="43" w:name="_Hlk72062872"/>
      <w:r>
        <w:rPr>
          <w:rFonts w:ascii="黑体" w:eastAsia="黑体" w:hint="eastAsia"/>
          <w:b w:val="0"/>
          <w:bCs w:val="0"/>
          <w:sz w:val="24"/>
          <w:szCs w:val="20"/>
        </w:rPr>
        <w:t>投标人认为需要加以说明的其他内容</w:t>
      </w:r>
      <w:bookmarkEnd w:id="43"/>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hAnsi="宋体" w:eastAsiaTheme="minorEastAsia"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w:t>
      </w:r>
      <w:r>
        <w:rPr>
          <w:rFonts w:ascii="宋体" w:hAnsi="宋体" w:hint="eastAsia"/>
          <w:szCs w:val="21"/>
          <w:lang w:eastAsia="zh-CN"/>
        </w:rPr>
        <w:t>深圳交易集团有限公司宝安分公司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1"/>
        </w:numPr>
        <w:spacing w:before="120" w:beforeLines="50" w:after="120" w:afterLines="50"/>
        <w:ind w:left="562" w:hanging="562"/>
        <w:rPr>
          <w:sz w:val="28"/>
          <w:szCs w:val="28"/>
        </w:rPr>
      </w:pPr>
      <w:bookmarkStart w:id="44" w:name="_Hlk72399513"/>
      <w:r>
        <w:rPr>
          <w:rFonts w:hint="eastAsia"/>
          <w:sz w:val="28"/>
          <w:szCs w:val="28"/>
        </w:rPr>
        <w:t>总则</w:t>
      </w:r>
      <w:bookmarkEnd w:id="44"/>
    </w:p>
    <w:p>
      <w:pPr>
        <w:rPr>
          <w:rFonts w:ascii="黑体" w:eastAsia="黑体" w:hAnsi="宋体"/>
          <w:sz w:val="24"/>
        </w:rPr>
      </w:pPr>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5" w:name="_Hlk72399729"/>
      <w:r>
        <w:rPr>
          <w:rFonts w:ascii="宋体" w:hAnsi="宋体" w:hint="eastAsia"/>
          <w:szCs w:val="21"/>
        </w:rPr>
        <w:t>如有需要，政府集中采购机构可以对通用条款的内容进行补充。</w:t>
      </w:r>
      <w:bookmarkEnd w:id="45"/>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6" w:name="_Hlk72398581"/>
      <w:r>
        <w:rPr>
          <w:rFonts w:ascii="宋体" w:hAnsi="宋体" w:hint="eastAsia"/>
          <w:szCs w:val="21"/>
        </w:rPr>
        <w:t>；</w:t>
      </w:r>
      <w:bookmarkEnd w:id="46"/>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7"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8"/>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7"/>
    </w:p>
    <w:p>
      <w:pPr>
        <w:ind w:firstLine="412" w:firstLineChars="196"/>
        <w:rPr>
          <w:rFonts w:ascii="宋体" w:hAnsi="宋体"/>
        </w:rPr>
      </w:pPr>
    </w:p>
    <w:p>
      <w:pPr>
        <w:pStyle w:val="Heading2"/>
        <w:numPr>
          <w:ilvl w:val="0"/>
          <w:numId w:val="1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9"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w:t>
      </w:r>
      <w:r>
        <w:rPr>
          <w:rFonts w:ascii="宋体" w:hAnsi="宋体" w:hint="eastAsia"/>
          <w:color w:val="FF0000"/>
          <w:szCs w:val="21"/>
          <w:lang w:val="en-US" w:eastAsia="zh-CN"/>
        </w:rPr>
        <w:t>登录</w:t>
      </w:r>
      <w:r>
        <w:rPr>
          <w:rFonts w:ascii="宋体" w:hAnsi="宋体" w:hint="eastAsia"/>
          <w:color w:val="FF0000"/>
          <w:szCs w:val="21"/>
        </w:rPr>
        <w:t>深圳政府采购智慧平台（http://zfcg.szggzy.com:8081/）</w:t>
      </w:r>
      <w:r>
        <w:rPr>
          <w:rFonts w:ascii="宋体" w:hAnsi="宋体" w:hint="eastAsia"/>
          <w:szCs w:val="21"/>
        </w:rPr>
        <w:t>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w:t>
      </w:r>
      <w:r>
        <w:rPr>
          <w:rFonts w:ascii="宋体" w:hAnsi="宋体" w:hint="eastAsia"/>
          <w:color w:val="FF0000"/>
          <w:szCs w:val="21"/>
          <w:lang w:eastAsia="zh-CN"/>
        </w:rPr>
        <w:t>，</w:t>
      </w:r>
      <w:r>
        <w:rPr>
          <w:rFonts w:ascii="宋体" w:hAnsi="宋体" w:hint="eastAsia"/>
          <w:color w:val="FF0000"/>
          <w:szCs w:val="21"/>
          <w:lang w:val="en-US" w:eastAsia="zh-CN"/>
        </w:rPr>
        <w:t>投标人应当登录</w:t>
      </w:r>
      <w:r>
        <w:rPr>
          <w:rFonts w:ascii="宋体" w:hAnsi="宋体" w:hint="eastAsia"/>
          <w:color w:val="FF0000"/>
          <w:szCs w:val="21"/>
        </w:rPr>
        <w:t>深圳政府采购智慧平台（http://zfcg.szggzy.com:8081/）下载</w:t>
      </w:r>
      <w:r>
        <w:rPr>
          <w:rFonts w:ascii="宋体" w:hAnsi="宋体" w:hint="eastAsia"/>
          <w:color w:val="FF0000"/>
          <w:szCs w:val="21"/>
          <w:lang w:val="en-US" w:eastAsia="zh-CN"/>
        </w:rPr>
        <w:t>最新的</w:t>
      </w:r>
      <w:r>
        <w:rPr>
          <w:rFonts w:ascii="宋体" w:hAnsi="宋体" w:hint="eastAsia"/>
          <w:color w:val="FF0000"/>
          <w:szCs w:val="21"/>
        </w:rPr>
        <w:t>招标文件。</w:t>
      </w:r>
      <w:r>
        <w:rPr>
          <w:rFonts w:ascii="宋体" w:hAnsi="宋体" w:hint="eastAsia"/>
          <w:szCs w:val="21"/>
        </w:rPr>
        <w:t>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9"/>
    </w:p>
    <w:p>
      <w:pPr>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0"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50"/>
    </w:p>
    <w:p>
      <w:pPr>
        <w:rPr>
          <w:rFonts w:ascii="黑体" w:eastAsia="黑体" w:hAnsi="宋体"/>
          <w:sz w:val="24"/>
        </w:rPr>
      </w:pPr>
      <w:r>
        <w:rPr>
          <w:rFonts w:ascii="黑体" w:eastAsia="黑体" w:hAnsi="宋体" w:hint="eastAsia"/>
          <w:sz w:val="24"/>
        </w:rPr>
        <w:t>15．</w:t>
      </w:r>
      <w:bookmarkStart w:id="51"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51"/>
    </w:p>
    <w:p>
      <w:pPr>
        <w:rPr>
          <w:rFonts w:ascii="黑体" w:eastAsia="黑体" w:hAnsi="宋体"/>
          <w:sz w:val="24"/>
        </w:rPr>
      </w:pPr>
      <w:r>
        <w:rPr>
          <w:rFonts w:ascii="黑体" w:eastAsia="黑体" w:hAnsi="宋体" w:hint="eastAsia"/>
          <w:sz w:val="24"/>
        </w:rPr>
        <w:t>18．</w:t>
      </w:r>
      <w:bookmarkStart w:id="52"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52"/>
    </w:p>
    <w:p>
      <w:pPr>
        <w:rPr>
          <w:rFonts w:ascii="黑体" w:eastAsia="黑体" w:hAnsi="宋体"/>
          <w:sz w:val="24"/>
        </w:rPr>
      </w:pPr>
      <w:r>
        <w:rPr>
          <w:rFonts w:ascii="黑体" w:eastAsia="黑体" w:hAnsi="宋体" w:hint="eastAsia"/>
          <w:sz w:val="24"/>
        </w:rPr>
        <w:t>19．</w:t>
      </w:r>
      <w:bookmarkStart w:id="53"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4"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54"/>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53"/>
    </w:p>
    <w:p>
      <w:pPr>
        <w:ind w:firstLine="412" w:firstLineChars="196"/>
        <w:rPr>
          <w:rFonts w:ascii="宋体" w:hAnsi="宋体"/>
          <w:szCs w:val="21"/>
        </w:rPr>
      </w:pPr>
      <w:bookmarkStart w:id="55"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55"/>
    </w:p>
    <w:p>
      <w:pPr>
        <w:rPr>
          <w:rFonts w:ascii="黑体" w:eastAsia="黑体" w:hAnsi="宋体"/>
          <w:sz w:val="24"/>
        </w:rPr>
      </w:pPr>
      <w:r>
        <w:rPr>
          <w:rFonts w:ascii="黑体" w:eastAsia="黑体" w:hAnsi="宋体" w:hint="eastAsia"/>
          <w:sz w:val="24"/>
        </w:rPr>
        <w:t>21．</w:t>
      </w:r>
      <w:bookmarkStart w:id="56"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56"/>
    </w:p>
    <w:p>
      <w:pPr>
        <w:rPr>
          <w:rFonts w:ascii="黑体" w:eastAsia="黑体" w:hAnsi="宋体"/>
          <w:sz w:val="24"/>
        </w:rPr>
      </w:pPr>
      <w:r>
        <w:rPr>
          <w:rFonts w:ascii="黑体" w:eastAsia="黑体" w:hAnsi="宋体" w:hint="eastAsia"/>
          <w:sz w:val="24"/>
        </w:rPr>
        <w:t>23．</w:t>
      </w:r>
      <w:bookmarkStart w:id="5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7"/>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58"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13"/>
                    <a:stretch>
                      <a:fillRect/>
                    </a:stretch>
                  </pic:blipFill>
                  <pic:spPr>
                    <a:xfrm>
                      <a:off x="0" y="0"/>
                      <a:ext cx="5279390" cy="2727325"/>
                    </a:xfrm>
                    <a:prstGeom prst="rect">
                      <a:avLst/>
                    </a:prstGeom>
                    <a:noFill/>
                    <a:ln>
                      <a:noFill/>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8081/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bookmarkEnd w:id="58"/>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5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9"/>
    </w:p>
    <w:p>
      <w:pPr>
        <w:pStyle w:val="Heading2"/>
        <w:numPr>
          <w:ilvl w:val="0"/>
          <w:numId w:val="11"/>
        </w:numPr>
        <w:spacing w:before="120" w:beforeLines="50" w:after="120"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6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32.4投标人投标文件出现以下情形之一的作无效处理，具体包括：</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20" w:firstLineChars="200"/>
        <w:rPr>
          <w:rFonts w:ascii="宋体" w:hAnsi="宋体" w:hint="eastAsia"/>
          <w:color w:val="auto"/>
        </w:rPr>
      </w:pPr>
      <w:r>
        <w:rPr>
          <w:rFonts w:ascii="宋体" w:hAnsi="宋体" w:hint="eastAsia"/>
          <w:color w:val="auto"/>
        </w:rPr>
        <w:t>32.4.10主管部门依照法律、法规认定的其他情形。</w:t>
      </w:r>
    </w:p>
    <w:p>
      <w:pPr>
        <w:ind w:firstLine="420" w:firstLineChars="200"/>
        <w:rPr>
          <w:rFonts w:ascii="宋体" w:eastAsia="宋体" w:hAnsi="宋体" w:hint="default"/>
          <w:color w:val="auto"/>
          <w:lang w:val="en-US" w:eastAsia="zh-CN"/>
        </w:rPr>
      </w:pPr>
      <w:r>
        <w:rPr>
          <w:rFonts w:ascii="宋体" w:hAnsi="宋体" w:hint="eastAsia"/>
          <w:color w:val="auto"/>
          <w:lang w:val="en-US" w:eastAsia="zh-CN"/>
        </w:rPr>
        <w:t>32.5</w:t>
      </w:r>
      <w:r>
        <w:rPr>
          <w:rFonts w:ascii="宋体" w:hAnsi="宋体" w:hint="eastAsia"/>
          <w:color w:val="auto"/>
        </w:rPr>
        <w:t>政府采购异常低价审查</w:t>
      </w:r>
      <w:r>
        <w:rPr>
          <w:rFonts w:ascii="宋体" w:hAnsi="宋体" w:hint="eastAsia"/>
          <w:color w:val="auto"/>
          <w:lang w:val="en-US" w:eastAsia="zh-CN"/>
        </w:rPr>
        <w:t>对的程序及要求：</w:t>
      </w:r>
    </w:p>
    <w:p>
      <w:pPr>
        <w:ind w:firstLine="420" w:firstLineChars="200"/>
        <w:rPr>
          <w:rFonts w:ascii="宋体" w:hAnsi="宋体" w:hint="eastAsia"/>
          <w:color w:val="auto"/>
        </w:rPr>
      </w:pPr>
      <w:r>
        <w:rPr>
          <w:rFonts w:ascii="宋体" w:hAnsi="宋体" w:hint="eastAsia"/>
          <w:color w:val="auto"/>
          <w:lang w:val="en-US" w:eastAsia="zh-CN"/>
        </w:rPr>
        <w:t>32.5.1政府采购评审中出现下列情形之一的，</w:t>
      </w:r>
      <w:r>
        <w:rPr>
          <w:rFonts w:ascii="宋体" w:hAnsi="宋体" w:hint="eastAsia"/>
          <w:color w:val="auto"/>
        </w:rPr>
        <w:t>评审委员会应当启动异常低价投标（响应）审查程序：</w:t>
      </w:r>
    </w:p>
    <w:p>
      <w:pPr>
        <w:ind w:firstLine="420" w:firstLineChars="200"/>
        <w:rPr>
          <w:rFonts w:ascii="宋体" w:hAnsi="宋体" w:hint="eastAsia"/>
          <w:color w:val="auto"/>
        </w:rPr>
      </w:pPr>
      <w:r>
        <w:rPr>
          <w:rFonts w:ascii="宋体" w:hAnsi="宋体" w:hint="eastAsia"/>
          <w:color w:val="auto"/>
          <w:lang w:eastAsia="zh-CN"/>
        </w:rPr>
        <w:t>（</w:t>
      </w:r>
      <w:r>
        <w:rPr>
          <w:rFonts w:ascii="宋体" w:hAnsi="宋体" w:hint="eastAsia"/>
          <w:color w:val="auto"/>
          <w:lang w:val="en-US" w:eastAsia="zh-CN"/>
        </w:rPr>
        <w:t>1</w:t>
      </w:r>
      <w:r>
        <w:rPr>
          <w:rFonts w:ascii="宋体" w:hAnsi="宋体" w:hint="eastAsia"/>
          <w:color w:val="auto"/>
          <w:lang w:eastAsia="zh-CN"/>
        </w:rPr>
        <w:t>）</w:t>
      </w:r>
      <w:r>
        <w:rPr>
          <w:rFonts w:ascii="宋体" w:hAnsi="宋体" w:hint="eastAsia"/>
          <w:color w:val="auto"/>
        </w:rPr>
        <w:t>投标（响应）报价低于全部通过符合性审查供应商投标（响应）报价平均值50%的，即投标（响应）报价&lt;全部通过符合性审查供应商投标（响应）报价平均值×50%；</w:t>
      </w:r>
    </w:p>
    <w:p>
      <w:pPr>
        <w:ind w:firstLine="420" w:firstLineChars="200"/>
        <w:rPr>
          <w:rFonts w:ascii="宋体" w:hAnsi="宋体" w:hint="eastAsia"/>
          <w:color w:val="auto"/>
        </w:rPr>
      </w:pPr>
      <w:r>
        <w:rPr>
          <w:rFonts w:ascii="宋体" w:hAnsi="宋体" w:hint="eastAsia"/>
          <w:color w:val="auto"/>
          <w:lang w:eastAsia="zh-CN"/>
        </w:rPr>
        <w:t>（</w:t>
      </w:r>
      <w:r>
        <w:rPr>
          <w:rFonts w:ascii="宋体" w:hAnsi="宋体" w:hint="eastAsia"/>
          <w:color w:val="auto"/>
          <w:lang w:val="en-US" w:eastAsia="zh-CN"/>
        </w:rPr>
        <w:t>2</w:t>
      </w:r>
      <w:r>
        <w:rPr>
          <w:rFonts w:ascii="宋体" w:hAnsi="宋体" w:hint="eastAsia"/>
          <w:color w:val="auto"/>
          <w:lang w:eastAsia="zh-CN"/>
        </w:rPr>
        <w:t>）</w:t>
      </w:r>
      <w:r>
        <w:rPr>
          <w:rFonts w:ascii="宋体" w:hAnsi="宋体" w:hint="eastAsia"/>
          <w:color w:val="auto"/>
        </w:rPr>
        <w:t>投标（响应）报价低于通过符合性审查的次低报价供应商投标（响应）报价50%的，即投标（响应）报价&lt;通过符合性审查的次低报价供应商投标（响应）报价×50%；</w:t>
      </w:r>
    </w:p>
    <w:p>
      <w:pPr>
        <w:ind w:firstLine="420" w:firstLineChars="200"/>
        <w:rPr>
          <w:rFonts w:ascii="宋体" w:hAnsi="宋体" w:hint="eastAsia"/>
          <w:color w:val="auto"/>
        </w:rPr>
      </w:pPr>
      <w:r>
        <w:rPr>
          <w:rFonts w:ascii="宋体" w:hAnsi="宋体" w:hint="eastAsia"/>
          <w:color w:val="auto"/>
          <w:lang w:eastAsia="zh-CN"/>
        </w:rPr>
        <w:t>（</w:t>
      </w:r>
      <w:r>
        <w:rPr>
          <w:rFonts w:ascii="宋体" w:hAnsi="宋体" w:hint="eastAsia"/>
          <w:color w:val="auto"/>
          <w:lang w:val="en-US" w:eastAsia="zh-CN"/>
        </w:rPr>
        <w:t>3</w:t>
      </w:r>
      <w:r>
        <w:rPr>
          <w:rFonts w:ascii="宋体" w:hAnsi="宋体" w:hint="eastAsia"/>
          <w:color w:val="auto"/>
          <w:lang w:eastAsia="zh-CN"/>
        </w:rPr>
        <w:t>）</w:t>
      </w:r>
      <w:r>
        <w:rPr>
          <w:rFonts w:ascii="宋体" w:hAnsi="宋体" w:hint="eastAsia"/>
          <w:color w:val="auto"/>
        </w:rPr>
        <w:t>投标（响应）报价低于采购项目最高限价45%的，即投标（响应）报价&lt;采购项目最高限价×45%；</w:t>
      </w:r>
    </w:p>
    <w:p>
      <w:pPr>
        <w:ind w:firstLine="420" w:firstLineChars="200"/>
        <w:rPr>
          <w:rFonts w:ascii="宋体" w:hAnsi="宋体" w:hint="eastAsia"/>
          <w:color w:val="auto"/>
        </w:rPr>
      </w:pPr>
      <w:r>
        <w:rPr>
          <w:rFonts w:ascii="宋体" w:hAnsi="宋体" w:hint="eastAsia"/>
          <w:color w:val="auto"/>
          <w:lang w:eastAsia="zh-CN"/>
        </w:rPr>
        <w:t>（</w:t>
      </w:r>
      <w:r>
        <w:rPr>
          <w:rFonts w:ascii="宋体" w:hAnsi="宋体" w:hint="eastAsia"/>
          <w:color w:val="auto"/>
          <w:lang w:val="en-US" w:eastAsia="zh-CN"/>
        </w:rPr>
        <w:t>4</w:t>
      </w:r>
      <w:r>
        <w:rPr>
          <w:rFonts w:ascii="宋体" w:hAnsi="宋体" w:hint="eastAsia"/>
          <w:color w:val="auto"/>
          <w:lang w:eastAsia="zh-CN"/>
        </w:rPr>
        <w:t>）</w:t>
      </w:r>
      <w:r>
        <w:rPr>
          <w:rFonts w:ascii="宋体" w:hAnsi="宋体" w:hint="eastAsia"/>
          <w:color w:val="auto"/>
        </w:rPr>
        <w:t>评审委员会基于专业判断，认为供应商报价过低，有可能影响产品质量或者不能诚信履约的其他情形。</w:t>
      </w:r>
    </w:p>
    <w:p>
      <w:pPr>
        <w:ind w:firstLine="420" w:firstLineChars="200"/>
        <w:rPr>
          <w:rFonts w:ascii="宋体" w:hAnsi="宋体" w:hint="eastAsia"/>
          <w:color w:val="auto"/>
        </w:rPr>
      </w:pPr>
      <w:r>
        <w:rPr>
          <w:rFonts w:ascii="宋体" w:hAnsi="宋体" w:hint="eastAsia"/>
          <w:color w:val="auto"/>
        </w:rPr>
        <w:t>采购人可以结合具体项目实际情况，提高上述第</w:t>
      </w:r>
      <w:r>
        <w:rPr>
          <w:rFonts w:ascii="宋体" w:hAnsi="宋体" w:hint="eastAsia"/>
          <w:color w:val="auto"/>
          <w:lang w:eastAsia="zh-CN"/>
        </w:rPr>
        <w:t>（</w:t>
      </w:r>
      <w:r>
        <w:rPr>
          <w:rFonts w:ascii="宋体" w:hAnsi="宋体" w:hint="eastAsia"/>
          <w:color w:val="auto"/>
          <w:lang w:val="en-US" w:eastAsia="zh-CN"/>
        </w:rPr>
        <w:t>1</w:t>
      </w:r>
      <w:r>
        <w:rPr>
          <w:rFonts w:ascii="宋体" w:hAnsi="宋体" w:hint="eastAsia"/>
          <w:color w:val="auto"/>
          <w:lang w:eastAsia="zh-CN"/>
        </w:rPr>
        <w:t>）</w:t>
      </w:r>
      <w:r>
        <w:rPr>
          <w:rFonts w:ascii="宋体" w:hAnsi="宋体" w:hint="eastAsia"/>
          <w:color w:val="auto"/>
        </w:rPr>
        <w:t>项至第</w:t>
      </w:r>
      <w:r>
        <w:rPr>
          <w:rFonts w:ascii="宋体" w:hAnsi="宋体" w:hint="eastAsia"/>
          <w:color w:val="auto"/>
          <w:lang w:eastAsia="zh-CN"/>
        </w:rPr>
        <w:t>（</w:t>
      </w:r>
      <w:r>
        <w:rPr>
          <w:rFonts w:ascii="宋体" w:hAnsi="宋体" w:hint="eastAsia"/>
          <w:color w:val="auto"/>
          <w:lang w:val="en-US" w:eastAsia="zh-CN"/>
        </w:rPr>
        <w:t>3</w:t>
      </w:r>
      <w:r>
        <w:rPr>
          <w:rFonts w:ascii="宋体" w:hAnsi="宋体" w:hint="eastAsia"/>
          <w:color w:val="auto"/>
          <w:lang w:eastAsia="zh-CN"/>
        </w:rPr>
        <w:t>）</w:t>
      </w:r>
      <w:r>
        <w:rPr>
          <w:rFonts w:ascii="宋体" w:hAnsi="宋体" w:hint="eastAsia"/>
          <w:color w:val="auto"/>
        </w:rPr>
        <w:t>项中启动异常低价投标（响应）审查的数值标准，但是最高不得超过65%</w:t>
      </w:r>
      <w:r>
        <w:rPr>
          <w:rFonts w:ascii="宋体" w:hAnsi="宋体" w:hint="eastAsia"/>
          <w:color w:val="auto"/>
          <w:lang w:eastAsia="zh-CN"/>
        </w:rPr>
        <w:t>，</w:t>
      </w:r>
      <w:r>
        <w:rPr>
          <w:rFonts w:ascii="宋体" w:hAnsi="宋体" w:hint="eastAsia"/>
          <w:color w:val="auto"/>
          <w:lang w:val="en-US" w:eastAsia="zh-CN"/>
        </w:rPr>
        <w:t>具体以采购文件</w:t>
      </w:r>
      <w:r>
        <w:rPr>
          <w:rFonts w:ascii="宋体" w:hAnsi="宋体" w:hint="eastAsia"/>
          <w:color w:val="auto"/>
        </w:rPr>
        <w:t>《符合性审查表》</w:t>
      </w:r>
      <w:r>
        <w:rPr>
          <w:rFonts w:ascii="宋体" w:hAnsi="宋体" w:hint="eastAsia"/>
          <w:color w:val="auto"/>
          <w:lang w:val="en-US" w:eastAsia="zh-CN"/>
        </w:rPr>
        <w:t>为准</w:t>
      </w:r>
      <w:r>
        <w:rPr>
          <w:rFonts w:ascii="宋体" w:hAnsi="宋体" w:hint="eastAsia"/>
          <w:color w:val="auto"/>
        </w:rPr>
        <w:t>。</w:t>
      </w:r>
    </w:p>
    <w:p>
      <w:pPr>
        <w:ind w:firstLine="420" w:firstLineChars="200"/>
        <w:rPr>
          <w:rFonts w:ascii="宋体" w:hAnsi="宋体" w:hint="eastAsia"/>
          <w:color w:val="auto"/>
        </w:rPr>
      </w:pPr>
      <w:r>
        <w:rPr>
          <w:rFonts w:ascii="宋体" w:hAnsi="宋体" w:hint="eastAsia"/>
          <w:color w:val="auto"/>
        </w:rPr>
        <w:t>相关法律法规对供应商报价有规定的，从其规定。</w:t>
      </w:r>
    </w:p>
    <w:p>
      <w:pPr>
        <w:ind w:firstLine="420" w:firstLineChars="200"/>
        <w:rPr>
          <w:rFonts w:ascii="宋体" w:hAnsi="宋体" w:hint="eastAsia"/>
          <w:color w:val="auto"/>
          <w:lang w:val="en-US" w:eastAsia="zh-CN"/>
        </w:rPr>
      </w:pPr>
      <w:r>
        <w:rPr>
          <w:rFonts w:ascii="宋体" w:hAnsi="宋体" w:hint="eastAsia"/>
          <w:color w:val="auto"/>
          <w:lang w:val="en-US" w:eastAsia="zh-CN"/>
        </w:rPr>
        <w:t>32.5.2评审委员会启动异常低价投标（响应）审查后，属于前述第</w:t>
      </w:r>
      <w:r>
        <w:rPr>
          <w:rFonts w:ascii="宋体" w:hAnsi="宋体" w:hint="eastAsia"/>
          <w:color w:val="auto"/>
          <w:lang w:eastAsia="zh-CN"/>
        </w:rPr>
        <w:t>（</w:t>
      </w:r>
      <w:r>
        <w:rPr>
          <w:rFonts w:ascii="宋体" w:hAnsi="宋体" w:hint="eastAsia"/>
          <w:color w:val="auto"/>
          <w:lang w:val="en-US" w:eastAsia="zh-CN"/>
        </w:rPr>
        <w:t>1</w:t>
      </w:r>
      <w:r>
        <w:rPr>
          <w:rFonts w:ascii="宋体" w:hAnsi="宋体" w:hint="eastAsia"/>
          <w:color w:val="auto"/>
          <w:lang w:eastAsia="zh-CN"/>
        </w:rPr>
        <w:t>）</w:t>
      </w:r>
      <w:r>
        <w:rPr>
          <w:rFonts w:ascii="宋体" w:hAnsi="宋体" w:hint="eastAsia"/>
          <w:color w:val="auto"/>
          <w:lang w:val="en-US" w:eastAsia="zh-CN"/>
        </w:rPr>
        <w:t>项至第</w:t>
      </w:r>
      <w:r>
        <w:rPr>
          <w:rFonts w:ascii="宋体" w:hAnsi="宋体" w:hint="eastAsia"/>
          <w:color w:val="auto"/>
          <w:lang w:eastAsia="zh-CN"/>
        </w:rPr>
        <w:t>（</w:t>
      </w:r>
      <w:r>
        <w:rPr>
          <w:rFonts w:ascii="宋体" w:hAnsi="宋体" w:hint="eastAsia"/>
          <w:color w:val="auto"/>
          <w:lang w:val="en-US" w:eastAsia="zh-CN"/>
        </w:rPr>
        <w:t>4</w:t>
      </w:r>
      <w:r>
        <w:rPr>
          <w:rFonts w:ascii="宋体" w:hAnsi="宋体" w:hint="eastAsia"/>
          <w:color w:val="auto"/>
          <w:lang w:eastAsia="zh-CN"/>
        </w:rPr>
        <w:t>）</w:t>
      </w:r>
      <w:r>
        <w:rPr>
          <w:rFonts w:ascii="宋体" w:hAnsi="宋体" w:hint="eastAsia"/>
          <w:color w:val="auto"/>
          <w:lang w:val="en-US" w:eastAsia="zh-CN"/>
        </w:rPr>
        <w:t>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w:t>
      </w:r>
      <w:r>
        <w:rPr>
          <w:rFonts w:ascii="宋体" w:hAnsi="宋体" w:hint="eastAsia"/>
          <w:color w:val="auto"/>
          <w:lang w:eastAsia="zh-CN"/>
        </w:rPr>
        <w:t>（</w:t>
      </w:r>
      <w:r>
        <w:rPr>
          <w:rFonts w:ascii="宋体" w:hAnsi="宋体" w:hint="eastAsia"/>
          <w:color w:val="auto"/>
          <w:lang w:val="en-US" w:eastAsia="zh-CN"/>
        </w:rPr>
        <w:t>3</w:t>
      </w:r>
      <w:r>
        <w:rPr>
          <w:rFonts w:ascii="宋体" w:hAnsi="宋体" w:hint="eastAsia"/>
          <w:color w:val="auto"/>
          <w:lang w:eastAsia="zh-CN"/>
        </w:rPr>
        <w:t>）</w:t>
      </w:r>
      <w:r>
        <w:rPr>
          <w:rFonts w:ascii="宋体" w:hAnsi="宋体" w:hint="eastAsia"/>
          <w:color w:val="auto"/>
          <w:lang w:val="en-US" w:eastAsia="zh-CN"/>
        </w:rPr>
        <w:t>项情形，供应商已随投标（响应）文件一并提交相关书面说明及必要的证明材料的，在评审现场可不再重复提交。</w:t>
      </w:r>
    </w:p>
    <w:p>
      <w:pPr>
        <w:pStyle w:val="NoSpacing"/>
        <w:ind w:firstLine="420" w:firstLineChars="200"/>
        <w:rPr>
          <w:rFonts w:ascii="宋体" w:hAnsi="宋体" w:hint="eastAsia"/>
          <w:color w:val="auto"/>
        </w:rPr>
      </w:pPr>
      <w:r>
        <w:rPr>
          <w:rFonts w:ascii="宋体" w:hAnsi="宋体" w:hint="eastAsia"/>
          <w:color w:val="auto"/>
          <w:lang w:val="en-US" w:eastAsia="zh-CN"/>
        </w:rPr>
        <w:t>32.5.3</w:t>
      </w:r>
      <w:r>
        <w:rPr>
          <w:rFonts w:ascii="宋体" w:hAnsi="宋体" w:hint="eastAsia"/>
          <w:color w:val="auto"/>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pPr>
        <w:pStyle w:val="NoSpacing"/>
        <w:ind w:firstLine="420" w:firstLineChars="200"/>
        <w:rPr>
          <w:rFonts w:ascii="宋体" w:hAnsi="宋体" w:hint="eastAsia"/>
          <w:color w:val="auto"/>
          <w:lang w:val="en-US" w:eastAsia="zh-CN"/>
        </w:rPr>
      </w:pPr>
      <w:r>
        <w:rPr>
          <w:rFonts w:ascii="宋体" w:hAnsi="宋体" w:hint="eastAsia"/>
          <w:color w:val="auto"/>
          <w:lang w:val="en-US" w:eastAsia="zh-CN"/>
        </w:rPr>
        <w:t>32.5.4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w:t>
      </w:r>
    </w:p>
    <w:p>
      <w:pPr>
        <w:pStyle w:val="NoSpacing"/>
        <w:ind w:firstLine="420" w:firstLineChars="200"/>
        <w:rPr>
          <w:rFonts w:ascii="宋体" w:hAnsi="宋体" w:hint="default"/>
          <w:color w:val="auto"/>
          <w:lang w:val="en-US" w:eastAsia="zh-CN"/>
        </w:rPr>
      </w:pPr>
      <w:r>
        <w:rPr>
          <w:rFonts w:ascii="宋体" w:hAnsi="宋体" w:hint="eastAsia"/>
          <w:color w:val="auto"/>
          <w:lang w:val="en-US" w:eastAsia="zh-CN"/>
        </w:rPr>
        <w:t>32.5.5异常低价投标（响应）审查的启动原因、审查意见和审查结果应当在评审报告中记录，并随供应商提供的相关书面说明及证明材料，以及评审委员会有关互联网浏览、查询历史一并归档。</w:t>
      </w:r>
    </w:p>
    <w:p>
      <w:pPr>
        <w:ind w:firstLine="412" w:firstLineChars="196"/>
        <w:rPr>
          <w:rFonts w:ascii="宋体" w:hAnsi="宋体"/>
        </w:rPr>
      </w:pPr>
      <w:r>
        <w:rPr>
          <w:rFonts w:ascii="宋体" w:hAnsi="宋体" w:hint="eastAsia"/>
        </w:rPr>
        <w:t>32.</w:t>
      </w:r>
      <w:r>
        <w:rPr>
          <w:rFonts w:ascii="宋体" w:hAnsi="宋体" w:hint="eastAsia"/>
          <w:lang w:val="en-US" w:eastAsia="zh-CN"/>
        </w:rPr>
        <w:t>6</w:t>
      </w:r>
      <w:r>
        <w:rPr>
          <w:rFonts w:ascii="宋体" w:hAnsi="宋体" w:hint="eastAsia"/>
        </w:rPr>
        <w:t>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1"/>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2" w:name="_Toc100052400"/>
      <w:bookmarkStart w:id="63" w:name="_Toc73518151"/>
      <w:bookmarkStart w:id="64" w:name="_Toc73521581"/>
      <w:bookmarkStart w:id="65" w:name="_Toc73517673"/>
      <w:bookmarkStart w:id="66" w:name="_Toc73521669"/>
      <w:r>
        <w:rPr>
          <w:rFonts w:ascii="黑体" w:eastAsia="黑体" w:hAnsi="宋体" w:hint="eastAsia"/>
          <w:sz w:val="24"/>
        </w:rPr>
        <w:t>34．错误的修正</w:t>
      </w:r>
      <w:bookmarkEnd w:id="62"/>
      <w:bookmarkEnd w:id="63"/>
      <w:bookmarkEnd w:id="64"/>
      <w:bookmarkEnd w:id="65"/>
      <w:bookmarkEnd w:id="66"/>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7"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7"/>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8"/>
      <w:bookmarkEnd w:id="6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0"/>
      <w:bookmarkStart w:id="71"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w:t>
      </w:r>
      <w:r>
        <w:rPr>
          <w:rFonts w:ascii="宋体" w:hAnsi="宋体" w:hint="eastAsia"/>
          <w:szCs w:val="21"/>
          <w:lang w:val="en-US" w:eastAsia="zh-CN"/>
        </w:rPr>
        <w:t>27758331</w:t>
      </w:r>
      <w:r>
        <w:rPr>
          <w:rFonts w:ascii="宋体" w:hAnsi="宋体"/>
          <w:szCs w:val="21"/>
        </w:rPr>
        <w:t>。</w:t>
      </w:r>
      <w:r>
        <w:rPr>
          <w:rFonts w:ascii="宋体" w:hAnsi="宋体" w:hint="eastAsia"/>
          <w:szCs w:val="21"/>
        </w:rPr>
        <w:t>若在公示期内未提出质疑，则视为认同该评审结果。</w:t>
      </w:r>
      <w:bookmarkEnd w:id="71"/>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“深圳政府采购智慧平台（http://zfcg.szggzy.com:8081/）”</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2"/>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3" w:name="_Hlk71407340"/>
      <w:r>
        <w:rPr>
          <w:rFonts w:ascii="宋体" w:hAnsi="宋体" w:hint="eastAsia"/>
          <w:szCs w:val="21"/>
        </w:rPr>
        <w:t>41.3因质疑投诉或其它原因导致项目结果变更或采购终止的，政府集中采购机构有权吊销中标通知书。</w:t>
      </w:r>
      <w:bookmarkEnd w:id="73"/>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1"/>
        </w:numPr>
        <w:spacing w:before="120" w:beforeLines="50" w:after="120" w:afterLines="50"/>
        <w:ind w:left="562" w:hanging="562"/>
        <w:rPr>
          <w:sz w:val="28"/>
          <w:szCs w:val="28"/>
        </w:rPr>
      </w:pPr>
      <w:bookmarkStart w:id="74" w:name="_Hlk72439043"/>
      <w:r>
        <w:rPr>
          <w:rFonts w:hint="eastAsia"/>
          <w:sz w:val="28"/>
          <w:szCs w:val="28"/>
        </w:rPr>
        <w:t>合同的授予与备案</w:t>
      </w:r>
      <w:bookmarkEnd w:id="74"/>
    </w:p>
    <w:p>
      <w:pPr>
        <w:rPr>
          <w:rFonts w:ascii="黑体" w:eastAsia="黑体" w:hAnsi="宋体"/>
          <w:sz w:val="24"/>
        </w:rPr>
      </w:pPr>
      <w:bookmarkStart w:id="75" w:name="_Toc73521674"/>
      <w:bookmarkStart w:id="76" w:name="_Toc73517679"/>
      <w:bookmarkStart w:id="77" w:name="_Toc100052408"/>
      <w:bookmarkStart w:id="78" w:name="_Toc73521586"/>
      <w:bookmarkStart w:id="79" w:name="_Toc73518157"/>
      <w:bookmarkStart w:id="80" w:name="_Hlk72439088"/>
      <w:r>
        <w:rPr>
          <w:rFonts w:ascii="黑体" w:eastAsia="黑体" w:hAnsi="宋体" w:hint="eastAsia"/>
          <w:sz w:val="24"/>
        </w:rPr>
        <w:t>43．合同授予标准</w:t>
      </w:r>
      <w:bookmarkEnd w:id="75"/>
      <w:bookmarkEnd w:id="76"/>
      <w:bookmarkEnd w:id="77"/>
      <w:bookmarkEnd w:id="78"/>
      <w:bookmarkEnd w:id="7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1" w:name="_Toc73518158"/>
      <w:bookmarkStart w:id="82" w:name="_Toc73521587"/>
      <w:bookmarkStart w:id="83" w:name="_Toc73517680"/>
      <w:bookmarkStart w:id="84" w:name="_Toc73521675"/>
      <w:bookmarkStart w:id="85" w:name="_Toc100052409"/>
      <w:r>
        <w:rPr>
          <w:rFonts w:ascii="黑体" w:eastAsia="黑体" w:hAnsi="宋体" w:hint="eastAsia"/>
          <w:sz w:val="24"/>
        </w:rPr>
        <w:t>44．</w:t>
      </w:r>
      <w:bookmarkEnd w:id="81"/>
      <w:bookmarkEnd w:id="82"/>
      <w:bookmarkEnd w:id="83"/>
      <w:bookmarkEnd w:id="84"/>
      <w:bookmarkEnd w:id="8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6" w:name="_Toc73517682"/>
      <w:bookmarkStart w:id="87" w:name="_Toc73521589"/>
      <w:bookmarkStart w:id="88" w:name="_Toc73518160"/>
      <w:bookmarkStart w:id="89" w:name="_Toc100052410"/>
      <w:bookmarkStart w:id="90" w:name="_Toc73521677"/>
      <w:r>
        <w:rPr>
          <w:rFonts w:ascii="黑体" w:eastAsia="黑体" w:hAnsi="宋体" w:hint="eastAsia"/>
          <w:sz w:val="24"/>
        </w:rPr>
        <w:t>45．合同的签订</w:t>
      </w:r>
      <w:bookmarkEnd w:id="86"/>
      <w:bookmarkEnd w:id="87"/>
      <w:bookmarkEnd w:id="88"/>
      <w:bookmarkEnd w:id="89"/>
      <w:bookmarkEnd w:id="9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1" w:name="_Toc73521590"/>
      <w:bookmarkStart w:id="92" w:name="_Toc100052411"/>
      <w:bookmarkStart w:id="93" w:name="_Toc73517683"/>
      <w:bookmarkStart w:id="94" w:name="_Toc73518161"/>
      <w:bookmarkStart w:id="95" w:name="_Toc73521678"/>
      <w:r>
        <w:rPr>
          <w:rFonts w:ascii="黑体" w:eastAsia="黑体" w:hAnsi="宋体" w:hint="eastAsia"/>
          <w:sz w:val="24"/>
        </w:rPr>
        <w:t>46．履约担保</w:t>
      </w:r>
      <w:bookmarkEnd w:id="91"/>
      <w:bookmarkEnd w:id="92"/>
      <w:bookmarkEnd w:id="93"/>
      <w:bookmarkEnd w:id="94"/>
      <w:bookmarkEnd w:id="9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6" w:name="_Hlk72440769"/>
      <w:r>
        <w:rPr>
          <w:rFonts w:ascii="宋体" w:hAnsi="宋体" w:hint="eastAsia"/>
          <w:szCs w:val="21"/>
        </w:rPr>
        <w:t>政府集中采购机构或采购人不予退还其交纳的谈判保证金，情节严重的，并由主管部门</w:t>
      </w:r>
      <w:bookmarkEnd w:id="96"/>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80"/>
    </w:p>
    <w:p>
      <w:pPr>
        <w:pStyle w:val="Heading2"/>
        <w:numPr>
          <w:ilvl w:val="0"/>
          <w:numId w:val="11"/>
        </w:numPr>
        <w:spacing w:before="120" w:beforeLines="50" w:after="120" w:afterLines="50"/>
        <w:ind w:left="562" w:hanging="562"/>
        <w:rPr>
          <w:sz w:val="28"/>
          <w:szCs w:val="28"/>
        </w:rPr>
      </w:pPr>
      <w:r>
        <w:rPr>
          <w:rFonts w:hint="eastAsia"/>
          <w:sz w:val="28"/>
          <w:szCs w:val="28"/>
        </w:rPr>
        <w:t>质疑处理</w:t>
      </w:r>
    </w:p>
    <w:p>
      <w:pPr>
        <w:rPr>
          <w:rFonts w:ascii="黑体" w:eastAsia="黑体" w:hAnsi="宋体"/>
          <w:sz w:val="24"/>
        </w:rPr>
      </w:pPr>
      <w:bookmarkStart w:id="9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97"/>
    </w:p>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003F01FF" w:csb1="00000000"/>
  </w:font>
  <w:font w:name="隶书">
    <w:panose1 w:val="02010509060101010101"/>
    <w:charset w:val="86"/>
    <w:family w:val="auto"/>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fldChar w:fldCharType="begin"/>
    </w:r>
    <w:r>
      <w:instrText>PAGE</w:instrText>
    </w:r>
    <w:r>
      <w:fldChar w:fldCharType="separate"/>
    </w:r>
    <w:r>
      <w:t>XXX</w:t>
    </w:r>
    <w: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239341B"/>
    <w:multiLevelType w:val="singleLevel"/>
    <w:tmpl w:val="9239341B"/>
    <w:lvl w:ilvl="0">
      <w:start w:val="2"/>
      <w:numFmt w:val="decimal"/>
      <w:suff w:val="nothing"/>
      <w:lvlText w:val="%1、"/>
      <w:lvlJc w:val="left"/>
    </w:lvl>
  </w:abstractNum>
  <w:abstractNum w:abstractNumId="1">
    <w:nsid w:val="B5E306ED"/>
    <w:multiLevelType w:val="multilevel"/>
    <w:tmpl w:val="B5E306ED"/>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BF205925"/>
    <w:multiLevelType w:val="multilevel"/>
    <w:tmpl w:val="BF205925"/>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nsid w:val="CBFEC1AA"/>
    <w:multiLevelType w:val="singleLevel"/>
    <w:tmpl w:val="CBFEC1AA"/>
    <w:lvl w:ilvl="0">
      <w:start w:val="1"/>
      <w:numFmt w:val="decimal"/>
      <w:suff w:val="nothing"/>
      <w:lvlText w:val="%1、"/>
      <w:lvlJc w:val="left"/>
    </w:lvl>
  </w:abstractNum>
  <w:abstractNum w:abstractNumId="4">
    <w:nsid w:val="CF092B84"/>
    <w:multiLevelType w:val="singleLevel"/>
    <w:tmpl w:val="CF092B84"/>
    <w:lvl w:ilvl="0">
      <w:start w:val="1"/>
      <w:numFmt w:val="decimal"/>
      <w:pStyle w:val="41"/>
      <w:lvlText w:val="%1."/>
      <w:lvlJc w:val="left"/>
      <w:pPr>
        <w:tabs>
          <w:tab w:val="left" w:pos="2040"/>
        </w:tabs>
        <w:ind w:left="2040" w:hanging="360" w:leftChars="800" w:hangingChars="200"/>
      </w:pPr>
    </w:lvl>
  </w:abstractNum>
  <w:abstractNum w:abstractNumId="5">
    <w:nsid w:val="0053208E"/>
    <w:multiLevelType w:val="singleLevel"/>
    <w:tmpl w:val="0053208E"/>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6">
    <w:nsid w:val="0248C179"/>
    <w:multiLevelType w:val="singleLevel"/>
    <w:tmpl w:val="0248C179"/>
    <w:lvl w:ilvl="0">
      <w:start w:val="1"/>
      <w:numFmt w:val="decimal"/>
      <w:suff w:val="nothing"/>
      <w:lvlText w:val="%1、"/>
      <w:lvlJc w:val="left"/>
    </w:lvl>
  </w:abstractNum>
  <w:abstractNum w:abstractNumId="7">
    <w:nsid w:val="03D62ECE"/>
    <w:multiLevelType w:val="multilevel"/>
    <w:tmpl w:val="03D62ECE"/>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nsid w:val="2A8F537B"/>
    <w:multiLevelType w:val="multilevel"/>
    <w:tmpl w:val="2A8F537B"/>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38ED0F12"/>
    <w:multiLevelType w:val="singleLevel"/>
    <w:tmpl w:val="38ED0F12"/>
    <w:lvl w:ilvl="0">
      <w:start w:val="1"/>
      <w:numFmt w:val="decimal"/>
      <w:suff w:val="nothing"/>
      <w:lvlText w:val="（%1）"/>
      <w:lvlJc w:val="left"/>
    </w:lvl>
  </w:abstractNum>
  <w:abstractNum w:abstractNumId="10">
    <w:nsid w:val="59ADCABA"/>
    <w:multiLevelType w:val="multilevel"/>
    <w:tmpl w:val="59ADCABA"/>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3"/>
  </w:num>
  <w:num w:numId="8">
    <w:abstractNumId w:val="9"/>
  </w:num>
  <w:num w:numId="9">
    <w:abstractNumId w:val="6"/>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aveSubsetFonts/>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s>
  <m:mathPr>
    <m:mathFont m:val="Cambria Math"/>
    <m:smallFrac/>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link w:val="1Char"/>
    <w:qFormat/>
    <w:pPr>
      <w:spacing w:before="340" w:after="330" w:line="360" w:lineRule="auto"/>
      <w:jc w:val="center"/>
      <w:outlineLvl w:val="0"/>
    </w:pPr>
    <w:rPr>
      <w:rFonts w:eastAsia="黑体"/>
      <w:kern w:val="44"/>
      <w:szCs w:val="44"/>
    </w:rPr>
  </w:style>
  <w:style w:type="paragraph" w:styleId="Heading2">
    <w:name w:val="heading 2"/>
    <w:next w:val="Heading4"/>
    <w:link w:val="2Char"/>
    <w:qFormat/>
    <w:pPr>
      <w:adjustRightInd w:val="0"/>
      <w:jc w:val="center"/>
      <w:textAlignment w:val="baseline"/>
      <w:outlineLvl w:val="1"/>
    </w:pPr>
    <w:rPr>
      <w:rFonts w:ascii="Times New Roman" w:eastAsia="宋体" w:hAnsi="Times New Roman" w:cs="Times New Roman"/>
      <w:kern w:val="0"/>
      <w:sz w:val="24"/>
      <w:szCs w:val="20"/>
    </w:rPr>
  </w:style>
  <w:style w:type="paragraph" w:styleId="Heading3">
    <w:name w:val="heading 3"/>
    <w:next w:val="Normal"/>
    <w:link w:val="3Char1"/>
    <w:uiPriority w:val="9"/>
    <w:qFormat/>
    <w:pPr>
      <w:spacing w:before="260" w:after="260" w:line="240" w:lineRule="auto"/>
      <w:outlineLvl w:val="2"/>
    </w:pPr>
    <w:rPr>
      <w:rFonts w:ascii="宋体" w:eastAsia="宋体" w:hAnsi="宋体" w:cs="Times New Roman"/>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TOC8"/>
    <w:link w:val="5Char"/>
    <w:qFormat/>
    <w:pPr>
      <w:keepNext/>
      <w:keepLines/>
      <w:spacing w:before="280" w:after="290" w:line="376" w:lineRule="auto"/>
      <w:outlineLvl w:val="4"/>
    </w:pPr>
    <w:rPr>
      <w:b/>
      <w:sz w:val="28"/>
      <w:szCs w:val="20"/>
    </w:rPr>
  </w:style>
  <w:style w:type="paragraph" w:styleId="Heading6">
    <w:name w:val="heading 6"/>
    <w:basedOn w:val="Normal"/>
    <w:next w:val="TOC8"/>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TOC8"/>
    <w:link w:val="7Char"/>
    <w:qFormat/>
    <w:pPr>
      <w:keepNext/>
      <w:keepLines/>
      <w:spacing w:before="240" w:after="64" w:line="320" w:lineRule="auto"/>
      <w:outlineLvl w:val="6"/>
    </w:pPr>
    <w:rPr>
      <w:b/>
      <w:sz w:val="24"/>
      <w:szCs w:val="20"/>
    </w:rPr>
  </w:style>
  <w:style w:type="paragraph" w:styleId="Heading8">
    <w:name w:val="heading 8"/>
    <w:basedOn w:val="Normal"/>
    <w:next w:val="TOC8"/>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TOC8"/>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qFormat/>
    <w:pPr>
      <w:spacing w:line="360" w:lineRule="auto"/>
    </w:pPr>
    <w:rPr>
      <w:b/>
      <w:bCs/>
      <w:sz w:val="24"/>
    </w:rPr>
  </w:style>
  <w:style w:type="paragraph" w:styleId="BodyText2">
    <w:name w:val="Body Text 2"/>
    <w:basedOn w:val="Normal"/>
    <w:qFormat/>
    <w:pPr>
      <w:spacing w:line="360" w:lineRule="auto"/>
    </w:pPr>
    <w:rPr>
      <w:sz w:val="24"/>
    </w:rPr>
  </w:style>
  <w:style w:type="paragraph" w:styleId="TOC8">
    <w:name w:val="toc 8"/>
    <w:basedOn w:val="Normal"/>
    <w:next w:val="Normal"/>
    <w:link w:val="Char0"/>
    <w:semiHidden/>
    <w:qFormat/>
    <w:pPr>
      <w:ind w:left="1470"/>
      <w:jc w:val="left"/>
    </w:pPr>
    <w:rPr>
      <w:szCs w:val="21"/>
    </w:rPr>
  </w:style>
  <w:style w:type="paragraph" w:styleId="TOC7">
    <w:name w:val="toc 7"/>
    <w:basedOn w:val="Normal"/>
    <w:next w:val="Normal"/>
    <w:semiHidden/>
    <w:qFormat/>
    <w:pPr>
      <w:ind w:left="1260"/>
      <w:jc w:val="left"/>
    </w:pPr>
    <w:rPr>
      <w:szCs w:val="21"/>
    </w:rPr>
  </w:style>
  <w:style w:type="paragraph" w:styleId="NormalIndent">
    <w:name w:val="Normal Indent"/>
    <w:basedOn w:val="Normal"/>
    <w:next w:val="a"/>
    <w:qFormat/>
    <w:pPr>
      <w:ind w:firstLine="420"/>
    </w:pPr>
    <w:rPr>
      <w:szCs w:val="20"/>
    </w:rPr>
  </w:style>
  <w:style w:type="paragraph" w:customStyle="1" w:styleId="a">
    <w:name w:val="自定义正文"/>
    <w:basedOn w:val="Normal"/>
    <w:link w:val="Char7"/>
    <w:qFormat/>
    <w:pPr>
      <w:spacing w:afterLines="50"/>
      <w:ind w:left="600" w:leftChars="600"/>
    </w:p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qFormat/>
    <w:rPr>
      <w:rFonts w:ascii="宋体" w:hAnsi="Courier New"/>
      <w:szCs w:val="20"/>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8"/>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uiPriority w:val="99"/>
    <w:semiHidden/>
    <w:unhideWhenUsed/>
    <w:qFormat/>
    <w:rPr>
      <w:rFonts w:ascii="monospace" w:eastAsia="monospace" w:hAnsi="monospace" w:cs="monospace" w:hint="default"/>
      <w:vanish/>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TOC8"/>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link w:val="Char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CharCharCharCharChar">
    <w:name w:val="Char Char Char Char Char"/>
    <w:basedOn w:val="Normal"/>
    <w:link w:val="Char1"/>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link w:val="Char4"/>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link w:val="Char1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CharCharCharCharChar"/>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CharCharCharChar"/>
    <w:qFormat/>
    <w:rPr>
      <w:rFonts w:ascii="Arial" w:eastAsia="隶书" w:hAnsi="Arial" w:cs="Arial"/>
      <w:b/>
      <w:bCs/>
      <w:kern w:val="2"/>
      <w:sz w:val="32"/>
      <w:szCs w:val="32"/>
      <w:lang w:val="en-US" w:eastAsia="zh-CN" w:bidi="ar-SA"/>
    </w:rPr>
  </w:style>
  <w:style w:type="character" w:customStyle="1" w:styleId="Char4">
    <w:name w:val="日期 Char"/>
    <w:link w:val="a3"/>
    <w:qFormat/>
    <w:rPr>
      <w:rFonts w:ascii="宋体" w:eastAsia="宋体" w:hAnsi="Courier New"/>
      <w:kern w:val="2"/>
      <w:sz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5">
    <w:name w:val="纯文本 Char"/>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a"/>
    <w:qFormat/>
    <w:rPr>
      <w:rFonts w:eastAsia="宋体"/>
      <w:b/>
      <w:bCs/>
      <w:kern w:val="2"/>
      <w:sz w:val="24"/>
      <w:szCs w:val="24"/>
      <w:lang w:val="en-US" w:eastAsia="zh-CN" w:bidi="ar-SA"/>
    </w:rPr>
  </w:style>
  <w:style w:type="character" w:customStyle="1" w:styleId="2Char0">
    <w:name w:val="正文文本缩进 2 Char"/>
    <w:qFormat/>
    <w:rPr>
      <w:rFonts w:ascii="宋体" w:eastAsia="宋体" w:hAnsi="宋体"/>
      <w:kern w:val="2"/>
      <w:sz w:val="21"/>
      <w:szCs w:val="24"/>
      <w:lang w:val="en-US" w:eastAsia="zh-CN" w:bidi="ar-SA"/>
    </w:rPr>
  </w:style>
  <w:style w:type="character" w:customStyle="1" w:styleId="Char8">
    <w:name w:val="页眉 Char"/>
    <w:link w:val="BalloonText"/>
    <w:uiPriority w:val="99"/>
    <w:qFormat/>
    <w:rPr>
      <w:rFonts w:eastAsia="宋体"/>
      <w:kern w:val="2"/>
      <w:sz w:val="18"/>
      <w:szCs w:val="18"/>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1">
    <w:name w:val="正文文本 2 Char"/>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qFormat/>
    <w:rPr>
      <w:rFonts w:eastAsia="宋体"/>
      <w:kern w:val="2"/>
      <w:sz w:val="16"/>
      <w:szCs w:val="16"/>
      <w:lang w:val="en-US" w:eastAsia="zh-CN" w:bidi="ar-SA"/>
    </w:rPr>
  </w:style>
  <w:style w:type="character" w:customStyle="1" w:styleId="Char10">
    <w:name w:val="批注框文本 Char"/>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21313"/>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TOC8"/>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CharCharCharCharChar"/>
    <w:qFormat/>
    <w:pPr>
      <w:spacing w:after="120"/>
      <w:ind w:left="420" w:leftChars="200"/>
    </w:pPr>
  </w:style>
  <w:style w:type="paragraph" w:customStyle="1" w:styleId="7">
    <w:name w:val="7"/>
    <w:basedOn w:val="Heading3"/>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Heading4"/>
    <w:qFormat/>
    <w:pPr>
      <w:autoSpaceDE w:val="0"/>
      <w:autoSpaceDN w:val="0"/>
      <w:adjustRightInd w:val="0"/>
      <w:jc w:val="left"/>
    </w:pPr>
    <w:rPr>
      <w:rFonts w:ascii="宋体"/>
      <w:kern w:val="0"/>
      <w:sz w:val="18"/>
      <w:szCs w:val="18"/>
    </w:rPr>
  </w:style>
  <w:style w:type="paragraph" w:customStyle="1" w:styleId="6">
    <w:name w:val="6"/>
    <w:basedOn w:val="Heading3"/>
    <w:qFormat/>
    <w:pPr>
      <w:spacing w:line="270" w:lineRule="atLeast"/>
      <w:jc w:val="both"/>
    </w:p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qFormat/>
    <w:pPr>
      <w:ind w:firstLine="560" w:firstLineChars="200"/>
    </w:pPr>
    <w:rPr>
      <w:rFonts w:eastAsia="仿宋_GB2312" w:cs="宋体"/>
      <w:sz w:val="28"/>
      <w:szCs w:val="20"/>
    </w:rPr>
  </w:style>
  <w:style w:type="character" w:customStyle="1" w:styleId="Char15">
    <w:name w:val="缩进正文 Char"/>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uiPriority w:val="99"/>
    <w:qFormat/>
    <w:rPr>
      <w:rFonts w:ascii="宋体"/>
      <w:sz w:val="34"/>
    </w:rPr>
  </w:style>
  <w:style w:type="character" w:customStyle="1" w:styleId="Char17">
    <w:name w:val="批注主题 Char"/>
    <w:basedOn w:val="Char16"/>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style>
  <w:style w:type="character" w:customStyle="1" w:styleId="hover1">
    <w:name w:val="hover1"/>
    <w:basedOn w:val="DefaultParagraphFont"/>
    <w:qFormat/>
    <w:rPr>
      <w:color w:val="2590EB"/>
    </w:rPr>
  </w:style>
  <w:style w:type="character" w:customStyle="1" w:styleId="hover2">
    <w:name w:val="hover2"/>
    <w:basedOn w:val="DefaultParagraphFont"/>
    <w:rPr>
      <w:color w:val="2590EB"/>
    </w:rPr>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2021-04-19T08:29:00Z</dcterms:created>
  <dc:creator>thsware</dc:creator>
  <cp:lastModifiedBy>提示</cp:lastModifiedBy>
  <cp:lastPrinted>2021-05-09T08:02:00Z</cp:lastPrinted>
  <dcterms:modified xsi:type="dcterms:W3CDTF">2026-02-04T06:47:16Z</dcterms:modified>
  <dc:title>招  标　文　件</dc:title>
  <cp:revision>83</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55</Pages>
  <Words>12467</Words>
  <Characters>13221</Characters>
  <Lines>332</Lines>
  <Paragraphs>93</Paragraphs>
  <TotalTime>0</TotalTime>
  <ScaleCrop>false</ScaleCrop>
  <LinksUpToDate>false</LinksUpToDate>
  <CharactersWithSpaces>13326</CharactersWithSpaces>
  <Application>WPS Office_12.1.0.25225_F1E327BC-269C-435d-A152-05C5408002CA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E02E4A84004D439BB67CD24E2A1F91DC_13</vt:lpwstr>
  </property>
  <property fmtid="{D5CDD505-2E9C-101B-9397-08002B2CF9AE}" pid="4" name="KSOTemplateDocerSaveRecord">
    <vt:lpwstr>eyJoZGlkIjoiNjFiOTMzM2Q2MjdjOWYyOTE0NDJiOTU0OGU0ZmEzZTAiLCJ1c2VySWQiOiIyMjQxNTg5MDcifQ==</vt:lpwstr>
  </property>
</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68dcf7-a568-4a5d-8864-9e95c2222575}">
  <ds:schemaRefs/>
</ds:datastoreItem>
</file>

<file path=customXml/itemProps2.xml><?xml version="1.0" encoding="utf-8"?>
<ds:datastoreItem xmlns:ds="http://schemas.openxmlformats.org/officeDocument/2006/customXml" ds:itemID="{bd516e12-4c6f-4736-9fe0-54506beaae38}">
  <ds:schemaRefs/>
</ds:datastoreItem>
</file>

<file path=customXml/itemProps3.xml><?xml version="1.0" encoding="utf-8"?>
<ds:datastoreItem xmlns:ds="http://schemas.openxmlformats.org/officeDocument/2006/customXml" ds:itemID="{5dcbb039-4586-45fe-b413-af371ae771c0}">
  <ds:schemaRefs/>
</ds:datastoreItem>
</file>

<file path=customXml/itemProps4.xml><?xml version="1.0" encoding="utf-8"?>
<ds:datastoreItem xmlns:ds="http://schemas.openxmlformats.org/officeDocument/2006/customXml" ds:itemID="{F18F8195-465B-44FE-B08A-3EF6B09C327F}">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49</Pages>
  <Words>22180</Words>
  <Characters>23208</Characters>
  <Application>Microsoft Office Word</Application>
  <DocSecurity>0</DocSecurity>
  <Lines>332</Lines>
  <Paragraphs>93</Paragraphs>
  <ScaleCrop>false</ScaleCrop>
  <Company>Microsoft</Company>
  <LinksUpToDate>false</LinksUpToDate>
  <CharactersWithSpaces>23290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标_x3000_文_x3000_件</dc:title>
  <dc:creator>thsware</dc:creator>
  <cp:lastModifiedBy>姜江</cp:lastModifiedBy>
  <cp:revision>83</cp:revision>
  <cp:lastPrinted>2021-05-09T08:02:00Z</cp:lastPrinted>
  <dcterms:created xsi:type="dcterms:W3CDTF">2021-04-19T08:29:00Z</dcterms:created>
  <dcterms:modified xsi:type="dcterms:W3CDTF">2026-02-10T07:20:23Z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B666765137214B6AAC4D6BE73FE8F3E9_13</vt:lpwstr>
  </property>
  <property fmtid="{D5CDD505-2E9C-101B-9397-08002B2CF9AE}" pid="3" name="KSOProductBuildVer">
    <vt:lpwstr>2052-12.1.0.24657</vt:lpwstr>
  </property>
  <property fmtid="{D5CDD505-2E9C-101B-9397-08002B2CF9AE}" pid="4" name="KSOTemplateDocerSaveRecord">
    <vt:lpwstr>eyJoZGlkIjoiN2ZjZDM1NWQzZTMwMDM0ZDdiNDUxOTljMzBkNTAzMGIiLCJ1c2VySWQiOiI5OTY3OTYxNTcifQ==</vt:lpwstr>
  </property>
</Properties>
</file>