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9.0.0 -->
  <w:body>
    <w:p>
      <w:pPr>
        <w:keepNext w:val="0"/>
        <w:keepLines w:val="0"/>
        <w:pageBreakBefore w:val="0"/>
        <w:widowControl/>
        <w:kinsoku/>
        <w:wordWrap/>
        <w:overflowPunct/>
        <w:topLinePunct w:val="0"/>
        <w:autoSpaceDE/>
        <w:autoSpaceDN/>
        <w:bidi w:val="0"/>
        <w:adjustRightInd/>
        <w:snapToGrid/>
        <w:spacing w:beforeAutospacing="0" w:afterAutospacing="0"/>
        <w:jc w:val="center"/>
        <w:textAlignment w:val="auto"/>
        <w:outlineLvl w:val="1"/>
        <w:rPr>
          <w:rFonts w:ascii="黑体" w:eastAsia="黑体" w:hAnsi="宋体" w:cs="黑体" w:hint="eastAsia"/>
          <w:kern w:val="0"/>
          <w:sz w:val="40"/>
          <w:szCs w:val="40"/>
        </w:rPr>
      </w:pPr>
      <w:bookmarkStart w:id="0" w:name="_GoBack"/>
      <w:bookmarkEnd w:id="0"/>
      <w:r>
        <w:rPr>
          <w:rFonts w:ascii="黑体" w:eastAsia="黑体" w:hAnsi="宋体" w:cs="黑体" w:hint="eastAsia"/>
          <w:kern w:val="0"/>
          <w:sz w:val="40"/>
          <w:szCs w:val="40"/>
        </w:rPr>
        <w:t>大鹏新区坝光片区城市风貌与建筑空间</w:t>
      </w:r>
    </w:p>
    <w:p>
      <w:pPr>
        <w:keepNext w:val="0"/>
        <w:keepLines w:val="0"/>
        <w:pageBreakBefore w:val="0"/>
        <w:widowControl/>
        <w:kinsoku/>
        <w:wordWrap/>
        <w:overflowPunct/>
        <w:topLinePunct w:val="0"/>
        <w:autoSpaceDE/>
        <w:autoSpaceDN/>
        <w:bidi w:val="0"/>
        <w:adjustRightInd/>
        <w:snapToGrid/>
        <w:spacing w:beforeAutospacing="0" w:afterAutospacing="0"/>
        <w:jc w:val="center"/>
        <w:textAlignment w:val="auto"/>
        <w:outlineLvl w:val="1"/>
        <w:rPr>
          <w:rFonts w:ascii="黑体" w:eastAsia="黑体" w:hAnsi="宋体" w:cs="黑体" w:hint="eastAsia"/>
          <w:kern w:val="0"/>
          <w:sz w:val="40"/>
          <w:szCs w:val="40"/>
        </w:rPr>
      </w:pPr>
      <w:r>
        <w:rPr>
          <w:rFonts w:ascii="黑体" w:eastAsia="黑体" w:hAnsi="宋体" w:cs="黑体" w:hint="eastAsia"/>
          <w:kern w:val="0"/>
          <w:sz w:val="40"/>
          <w:szCs w:val="40"/>
        </w:rPr>
        <w:t>咨询服务项目</w:t>
      </w:r>
    </w:p>
    <w:p>
      <w:pPr>
        <w:widowControl/>
        <w:spacing w:beforeAutospacing="1" w:afterAutospacing="1"/>
        <w:jc w:val="center"/>
        <w:outlineLvl w:val="1"/>
        <w:rPr>
          <w:rFonts w:ascii="黑体" w:eastAsia="黑体" w:hAnsi="宋体" w:cs="黑体"/>
          <w:kern w:val="0"/>
          <w:sz w:val="40"/>
          <w:szCs w:val="40"/>
        </w:rPr>
      </w:pPr>
      <w:r>
        <w:rPr>
          <w:rFonts w:ascii="黑体" w:eastAsia="黑体" w:hAnsi="宋体" w:cs="黑体" w:hint="eastAsia"/>
          <w:kern w:val="0"/>
          <w:sz w:val="40"/>
          <w:szCs w:val="40"/>
        </w:rPr>
        <w:t>招标文件信息</w:t>
      </w:r>
    </w:p>
    <w:tbl>
      <w:tblPr>
        <w:tblStyle w:val="TableNormal"/>
        <w:tblW w:w="7943" w:type="dxa"/>
        <w:jc w:val="center"/>
        <w:tblCellSpacing w:w="0" w:type="dxa"/>
        <w:tblLayout w:type="fixed"/>
        <w:tblCellMar>
          <w:top w:w="45" w:type="dxa"/>
          <w:left w:w="45" w:type="dxa"/>
          <w:bottom w:w="45" w:type="dxa"/>
          <w:right w:w="45" w:type="dxa"/>
        </w:tblCellMar>
      </w:tblPr>
      <w:tblGrid>
        <w:gridCol w:w="2723"/>
        <w:gridCol w:w="5220"/>
      </w:tblGrid>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项目编号：</w:t>
            </w:r>
          </w:p>
        </w:tc>
        <w:tc>
          <w:tcPr>
            <w:tcW w:w="5220" w:type="dxa"/>
            <w:shd w:val="clear" w:color="auto" w:fill="auto"/>
            <w:vAlign w:val="center"/>
          </w:tcPr>
          <w:p>
            <w:pPr>
              <w:widowControl/>
              <w:jc w:val="left"/>
              <w:rPr>
                <w:sz w:val="30"/>
                <w:szCs w:val="30"/>
              </w:rPr>
            </w:pPr>
            <w:r>
              <w:rPr>
                <w:rFonts w:hint="eastAsia"/>
                <w:sz w:val="30"/>
                <w:szCs w:val="30"/>
              </w:rPr>
              <w:t>DPCG2023000134</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项目名称：</w:t>
            </w:r>
          </w:p>
        </w:tc>
        <w:tc>
          <w:tcPr>
            <w:tcW w:w="5220" w:type="dxa"/>
            <w:shd w:val="clear" w:color="auto" w:fill="auto"/>
            <w:vAlign w:val="center"/>
          </w:tcPr>
          <w:p>
            <w:pPr>
              <w:widowControl/>
              <w:jc w:val="left"/>
              <w:rPr>
                <w:sz w:val="30"/>
                <w:szCs w:val="30"/>
              </w:rPr>
            </w:pPr>
            <w:r>
              <w:rPr>
                <w:rFonts w:hint="eastAsia"/>
                <w:sz w:val="30"/>
                <w:szCs w:val="30"/>
              </w:rPr>
              <w:t>大鹏新区坝光片区城市风貌与建筑空间咨询服务项目</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包 号：</w:t>
            </w:r>
          </w:p>
        </w:tc>
        <w:tc>
          <w:tcPr>
            <w:tcW w:w="5220" w:type="dxa"/>
            <w:shd w:val="clear" w:color="auto" w:fill="auto"/>
            <w:vAlign w:val="center"/>
          </w:tcPr>
          <w:p>
            <w:pPr>
              <w:widowControl/>
              <w:jc w:val="left"/>
              <w:rPr>
                <w:sz w:val="30"/>
                <w:szCs w:val="30"/>
              </w:rPr>
            </w:pPr>
            <w:r>
              <w:rPr>
                <w:rFonts w:ascii="宋体" w:hAnsi="宋体" w:cs="宋体"/>
                <w:kern w:val="0"/>
                <w:sz w:val="30"/>
                <w:szCs w:val="30"/>
              </w:rPr>
              <w:t>A</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项目类型：</w:t>
            </w:r>
          </w:p>
        </w:tc>
        <w:tc>
          <w:tcPr>
            <w:tcW w:w="5220" w:type="dxa"/>
            <w:shd w:val="clear" w:color="auto" w:fill="auto"/>
            <w:vAlign w:val="center"/>
          </w:tcPr>
          <w:p>
            <w:pPr>
              <w:widowControl/>
              <w:jc w:val="left"/>
              <w:rPr>
                <w:sz w:val="30"/>
                <w:szCs w:val="30"/>
              </w:rPr>
            </w:pPr>
            <w:r>
              <w:rPr>
                <w:rFonts w:ascii="宋体" w:hAnsi="宋体" w:cs="宋体" w:hint="eastAsia"/>
                <w:kern w:val="0"/>
                <w:sz w:val="30"/>
                <w:szCs w:val="30"/>
              </w:rPr>
              <w:t>服务</w:t>
            </w:r>
            <w:r>
              <w:rPr>
                <w:rFonts w:ascii="宋体" w:hAnsi="宋体" w:cs="宋体"/>
                <w:kern w:val="0"/>
                <w:sz w:val="30"/>
                <w:szCs w:val="30"/>
              </w:rPr>
              <w:t>类</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采购方式：</w:t>
            </w:r>
          </w:p>
        </w:tc>
        <w:tc>
          <w:tcPr>
            <w:tcW w:w="5220" w:type="dxa"/>
            <w:shd w:val="clear" w:color="auto" w:fill="auto"/>
            <w:vAlign w:val="center"/>
          </w:tcPr>
          <w:p>
            <w:pPr>
              <w:widowControl/>
              <w:jc w:val="left"/>
              <w:rPr>
                <w:sz w:val="30"/>
                <w:szCs w:val="30"/>
              </w:rPr>
            </w:pPr>
            <w:r>
              <w:rPr>
                <w:rFonts w:ascii="宋体" w:hAnsi="宋体" w:cs="宋体"/>
                <w:kern w:val="0"/>
                <w:sz w:val="30"/>
                <w:szCs w:val="30"/>
              </w:rPr>
              <w:t>公开招标</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货币类型：</w:t>
            </w:r>
          </w:p>
        </w:tc>
        <w:tc>
          <w:tcPr>
            <w:tcW w:w="5220" w:type="dxa"/>
            <w:shd w:val="clear" w:color="auto" w:fill="auto"/>
            <w:vAlign w:val="center"/>
          </w:tcPr>
          <w:p>
            <w:pPr>
              <w:widowControl/>
              <w:jc w:val="left"/>
              <w:rPr>
                <w:sz w:val="30"/>
                <w:szCs w:val="30"/>
              </w:rPr>
            </w:pPr>
            <w:r>
              <w:rPr>
                <w:rFonts w:ascii="宋体" w:hAnsi="宋体" w:cs="宋体"/>
                <w:kern w:val="0"/>
                <w:sz w:val="30"/>
                <w:szCs w:val="30"/>
              </w:rPr>
              <w:t>人民币</w:t>
            </w:r>
          </w:p>
        </w:tc>
      </w:tr>
      <w:tr>
        <w:tblPrEx>
          <w:tblW w:w="7943" w:type="dxa"/>
          <w:jc w:val="center"/>
          <w:tblCellSpacing w:w="0" w:type="dxa"/>
          <w:tblLayout w:type="fixed"/>
          <w:tblCellMar>
            <w:top w:w="45" w:type="dxa"/>
            <w:left w:w="45" w:type="dxa"/>
            <w:bottom w:w="45" w:type="dxa"/>
            <w:right w:w="45" w:type="dxa"/>
          </w:tblCellMar>
        </w:tblPrEx>
        <w:trPr>
          <w:trHeight w:val="738"/>
          <w:tblCellSpacing w:w="0" w:type="dxa"/>
          <w:jc w:val="center"/>
        </w:trPr>
        <w:tc>
          <w:tcPr>
            <w:tcW w:w="2723" w:type="dxa"/>
            <w:shd w:val="clear" w:color="auto" w:fill="auto"/>
            <w:vAlign w:val="center"/>
          </w:tcPr>
          <w:p>
            <w:pPr>
              <w:widowControl/>
              <w:jc w:val="right"/>
              <w:rPr>
                <w:sz w:val="30"/>
                <w:szCs w:val="30"/>
              </w:rPr>
            </w:pPr>
            <w:r>
              <w:rPr>
                <w:rFonts w:ascii="宋体" w:hAnsi="宋体" w:cs="宋体"/>
                <w:kern w:val="0"/>
                <w:sz w:val="30"/>
                <w:szCs w:val="30"/>
              </w:rPr>
              <w:t>评标方法：</w:t>
            </w:r>
          </w:p>
        </w:tc>
        <w:tc>
          <w:tcPr>
            <w:tcW w:w="5220" w:type="dxa"/>
            <w:shd w:val="clear" w:color="auto" w:fill="auto"/>
            <w:vAlign w:val="center"/>
          </w:tcPr>
          <w:p>
            <w:pPr>
              <w:widowControl/>
              <w:jc w:val="left"/>
              <w:rPr>
                <w:sz w:val="30"/>
                <w:szCs w:val="30"/>
              </w:rPr>
            </w:pPr>
            <w:r>
              <w:rPr>
                <w:rFonts w:ascii="宋体" w:hAnsi="宋体" w:cs="宋体"/>
                <w:kern w:val="0"/>
                <w:sz w:val="30"/>
                <w:szCs w:val="30"/>
              </w:rPr>
              <w:t>综合评分法（新价格分算法）</w:t>
            </w:r>
          </w:p>
        </w:tc>
      </w:tr>
    </w:tbl>
    <w:p>
      <w:pPr>
        <w:jc w:val="center"/>
        <w:outlineLvl w:val="1"/>
        <w:rPr>
          <w:rFonts w:ascii="黑体" w:eastAsia="黑体" w:hAnsi="黑体" w:hint="eastAsia"/>
          <w:sz w:val="40"/>
          <w:szCs w:val="40"/>
        </w:rPr>
      </w:pPr>
      <w:r>
        <w:rPr>
          <w:rFonts w:ascii="黑体" w:eastAsia="黑体" w:hAnsi="黑体" w:hint="eastAsia"/>
          <w:sz w:val="40"/>
          <w:szCs w:val="40"/>
        </w:rPr>
        <w:br w:type="page"/>
      </w:r>
    </w:p>
    <w:p>
      <w:pPr>
        <w:pStyle w:val="NormalWeb"/>
        <w:jc w:val="center"/>
        <w:outlineLvl w:val="1"/>
        <w:rPr>
          <w:rFonts w:ascii="黑体" w:eastAsia="黑体" w:hAnsi="黑体"/>
          <w:sz w:val="40"/>
          <w:szCs w:val="40"/>
        </w:rPr>
      </w:pPr>
      <w:r>
        <w:rPr>
          <w:rFonts w:ascii="黑体" w:eastAsia="黑体" w:hAnsi="黑体" w:hint="eastAsia"/>
          <w:sz w:val="40"/>
          <w:szCs w:val="40"/>
        </w:rPr>
        <w:t>资格性审查表</w:t>
      </w:r>
    </w:p>
    <w:tbl>
      <w:tblPr>
        <w:tblStyle w:val="TableNormal"/>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812"/>
        <w:gridCol w:w="8475"/>
      </w:tblGrid>
      <w:tr>
        <w:tblPrEx>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4562"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ascii="宋体" w:hAnsi="宋体" w:cs="宋体"/>
                <w:kern w:val="0"/>
                <w:szCs w:val="21"/>
              </w:rPr>
              <w:t>投标人不</w:t>
            </w:r>
            <w:r>
              <w:rPr>
                <w:rFonts w:ascii="宋体" w:hAnsi="宋体" w:cs="宋体" w:hint="eastAsia"/>
                <w:kern w:val="0"/>
                <w:szCs w:val="21"/>
              </w:rPr>
              <w:t>符合</w:t>
            </w:r>
            <w:r>
              <w:rPr>
                <w:rFonts w:ascii="宋体" w:hAnsi="宋体" w:cs="宋体"/>
                <w:kern w:val="0"/>
                <w:szCs w:val="21"/>
              </w:rPr>
              <w:t>资格要求，或未提交相应的资格证明资料（详见招标公告</w:t>
            </w:r>
            <w:r>
              <w:rPr>
                <w:rFonts w:ascii="宋体" w:hAnsi="宋体" w:hint="eastAsia"/>
                <w:szCs w:val="21"/>
              </w:rPr>
              <w:t>投标人资格要求，即申请人的资格要求</w:t>
            </w:r>
            <w:r>
              <w:rPr>
                <w:rFonts w:ascii="宋体" w:hAnsi="宋体" w:cs="宋体"/>
                <w:kern w:val="0"/>
                <w:szCs w:val="21"/>
              </w:rPr>
              <w:t>）</w:t>
            </w:r>
          </w:p>
        </w:tc>
      </w:tr>
    </w:tbl>
    <w:p>
      <w:pPr>
        <w:pStyle w:val="NormalWeb"/>
        <w:spacing w:before="280"/>
        <w:jc w:val="center"/>
        <w:outlineLvl w:val="1"/>
        <w:rPr>
          <w:rFonts w:ascii="黑体" w:eastAsia="黑体" w:hAnsi="黑体"/>
          <w:sz w:val="40"/>
          <w:szCs w:val="40"/>
        </w:rPr>
      </w:pPr>
      <w:r>
        <w:rPr>
          <w:rFonts w:ascii="黑体" w:eastAsia="黑体" w:hAnsi="黑体" w:hint="eastAsia"/>
          <w:sz w:val="40"/>
          <w:szCs w:val="40"/>
        </w:rPr>
        <w:t>符合性审查表</w:t>
      </w:r>
    </w:p>
    <w:tbl>
      <w:tblPr>
        <w:tblStyle w:val="TableNormal"/>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812"/>
        <w:gridCol w:w="8475"/>
      </w:tblGrid>
      <w:tr>
        <w:tblPrEx>
          <w:tblW w:w="499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序号</w:t>
            </w:r>
          </w:p>
        </w:tc>
        <w:tc>
          <w:tcPr>
            <w:tcW w:w="4562" w:type="pct"/>
            <w:tcBorders>
              <w:top w:val="single" w:sz="8" w:space="0" w:color="000000"/>
              <w:left w:val="single" w:sz="8" w:space="0" w:color="000000"/>
              <w:bottom w:val="single" w:sz="8" w:space="0" w:color="000000"/>
              <w:right w:val="single" w:sz="8" w:space="0" w:color="000000"/>
            </w:tcBorders>
            <w:shd w:val="clear" w:color="auto" w:fill="E6EFFA"/>
            <w:vAlign w:val="center"/>
          </w:tcPr>
          <w:p>
            <w:pPr>
              <w:jc w:val="center"/>
              <w:rPr>
                <w:rFonts w:ascii="宋体" w:hAnsi="宋体" w:cs="宋体"/>
                <w:sz w:val="28"/>
                <w:szCs w:val="28"/>
              </w:rPr>
            </w:pPr>
            <w:r>
              <w:rPr>
                <w:sz w:val="28"/>
                <w:szCs w:val="28"/>
              </w:rPr>
              <w:t>内容</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lang w:val="en-US" w:eastAsia="zh-CN"/>
              </w:rPr>
              <w:t>不得</w:t>
            </w:r>
            <w:r>
              <w:rPr>
                <w:rFonts w:hint="eastAsia"/>
              </w:rPr>
              <w:t>将一个包的内容拆开投标；</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2</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3</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分项报价或投标总价</w:t>
            </w:r>
            <w:r>
              <w:rPr>
                <w:rFonts w:hint="eastAsia"/>
                <w:lang w:val="en-US" w:eastAsia="zh-CN"/>
              </w:rPr>
              <w:t>不得</w:t>
            </w:r>
            <w:r>
              <w:rPr>
                <w:rFonts w:hint="eastAsia"/>
              </w:rPr>
              <w:t>高于相应预算金额（或设定的预算金额下的最高限价）；</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4</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5</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6</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7</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投标报价有缺漏项目</w:t>
            </w:r>
            <w:r>
              <w:rPr>
                <w:rFonts w:hint="eastAsia"/>
                <w:lang w:eastAsia="zh-CN"/>
              </w:rPr>
              <w:t>，</w:t>
            </w:r>
            <w:r>
              <w:rPr>
                <w:rFonts w:hint="eastAsia"/>
              </w:rPr>
              <w:t>或者对招标文件规定的项目需求内容或者需求数量进行修改，评审委员会判定投标响应不满足采购需求；</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8</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投标文件存在列放位置错误，导致属于信息公开情形的没有被公开；</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9</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投标文件电子文档带病毒；</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hAnsi="宋体" w:cs="宋体"/>
                <w:szCs w:val="21"/>
              </w:rPr>
            </w:pPr>
            <w:r>
              <w:rPr>
                <w:szCs w:val="21"/>
              </w:rPr>
              <w:t>10</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投标文件用不属于本公司的电子密钥或电子营业执照进行加密的；</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11</w:t>
            </w:r>
          </w:p>
        </w:tc>
        <w:tc>
          <w:tcPr>
            <w:tcW w:w="4562" w:type="pct"/>
            <w:tcBorders>
              <w:top w:val="single" w:sz="8" w:space="0" w:color="000000"/>
              <w:left w:val="single" w:sz="8" w:space="0" w:color="000000"/>
              <w:bottom w:val="single" w:sz="8" w:space="0" w:color="000000"/>
              <w:right w:val="single" w:sz="8" w:space="0" w:color="000000"/>
            </w:tcBorders>
            <w:vAlign w:val="top"/>
          </w:tcPr>
          <w:p>
            <w:pPr>
              <w:widowControl/>
              <w:jc w:val="left"/>
              <w:textAlignment w:val="top"/>
            </w:pPr>
            <w:r>
              <w:rPr>
                <w:rFonts w:ascii="Times New Roman" w:eastAsia="宋体" w:hAnsi="Times New Roman" w:cs="Times New Roman" w:hint="eastAsia"/>
                <w:sz w:val="21"/>
                <w:szCs w:val="24"/>
              </w:rPr>
              <w:t>不同投标供应商投标文件“文件制作机器码”一致</w:t>
            </w:r>
            <w:r>
              <w:rPr>
                <w:rFonts w:ascii="Times New Roman" w:eastAsia="宋体" w:hAnsi="Times New Roman" w:cs="Times New Roman" w:hint="eastAsia"/>
                <w:sz w:val="21"/>
                <w:szCs w:val="24"/>
                <w:lang w:eastAsia="zh-CN"/>
              </w:rPr>
              <w:t>；</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vAlign w:val="top"/>
          </w:tcPr>
          <w:p>
            <w:pPr>
              <w:widowControl/>
              <w:jc w:val="center"/>
              <w:textAlignment w:val="top"/>
              <w:rPr>
                <w:rFonts w:ascii="宋体" w:hAnsi="宋体" w:cs="宋体"/>
                <w:szCs w:val="21"/>
              </w:rPr>
            </w:pPr>
            <w:r>
              <w:rPr>
                <w:rFonts w:hint="eastAsia"/>
                <w:szCs w:val="24"/>
                <w:lang w:val="en-US" w:eastAsia="zh-CN"/>
              </w:rPr>
              <w:t>12</w:t>
            </w:r>
          </w:p>
        </w:tc>
        <w:tc>
          <w:tcPr>
            <w:tcW w:w="4562" w:type="pct"/>
            <w:tcBorders>
              <w:top w:val="single" w:sz="8" w:space="0" w:color="000000"/>
              <w:left w:val="single" w:sz="8" w:space="0" w:color="000000"/>
              <w:bottom w:val="single" w:sz="8" w:space="0" w:color="000000"/>
              <w:right w:val="single" w:sz="8" w:space="0" w:color="000000"/>
            </w:tcBorders>
            <w:vAlign w:val="top"/>
          </w:tcPr>
          <w:p>
            <w:pPr>
              <w:widowControl/>
              <w:jc w:val="left"/>
              <w:textAlignment w:val="top"/>
            </w:pPr>
            <w:r>
              <w:rPr>
                <w:rFonts w:ascii="Times New Roman" w:eastAsia="宋体" w:hAnsi="Times New Roman" w:cs="Times New Roman" w:hint="eastAsia"/>
                <w:sz w:val="21"/>
                <w:szCs w:val="24"/>
              </w:rPr>
              <w:t>不同投标供应商投标文件“文件创建标识码”一致</w:t>
            </w:r>
            <w:r>
              <w:rPr>
                <w:rFonts w:ascii="Times New Roman" w:eastAsia="宋体" w:hAnsi="Times New Roman" w:cs="Times New Roman" w:hint="eastAsia"/>
                <w:sz w:val="21"/>
                <w:szCs w:val="24"/>
                <w:lang w:eastAsia="zh-CN"/>
              </w:rPr>
              <w:t>；</w:t>
            </w:r>
          </w:p>
        </w:tc>
      </w:tr>
      <w:tr>
        <w:tblPrEx>
          <w:tblW w:w="4999" w:type="pct"/>
          <w:jc w:val="center"/>
          <w:tblCellMar>
            <w:top w:w="20" w:type="dxa"/>
            <w:left w:w="108" w:type="dxa"/>
            <w:bottom w:w="20" w:type="dxa"/>
            <w:right w:w="108" w:type="dxa"/>
          </w:tblCellMar>
        </w:tblPrEx>
        <w:trPr>
          <w:jc w:val="center"/>
        </w:trPr>
        <w:tc>
          <w:tcPr>
            <w:tcW w:w="437" w:type="pct"/>
            <w:tcBorders>
              <w:top w:val="single" w:sz="8" w:space="0" w:color="000000"/>
              <w:left w:val="single" w:sz="8" w:space="0" w:color="000000"/>
              <w:bottom w:val="single" w:sz="8" w:space="0" w:color="000000"/>
              <w:right w:val="single" w:sz="8" w:space="0" w:color="000000"/>
            </w:tcBorders>
          </w:tcPr>
          <w:p>
            <w:pPr>
              <w:jc w:val="center"/>
              <w:rPr>
                <w:rFonts w:ascii="宋体" w:eastAsia="宋体" w:hAnsi="宋体" w:cs="宋体" w:hint="eastAsia"/>
                <w:szCs w:val="21"/>
                <w:lang w:eastAsia="zh-CN"/>
              </w:rPr>
            </w:pPr>
            <w:r>
              <w:rPr>
                <w:szCs w:val="21"/>
              </w:rPr>
              <w:t>1</w:t>
            </w:r>
            <w:r>
              <w:rPr>
                <w:rFonts w:hint="eastAsia"/>
                <w:szCs w:val="21"/>
                <w:lang w:val="en-US" w:eastAsia="zh-CN"/>
              </w:rPr>
              <w:t>3</w:t>
            </w:r>
          </w:p>
        </w:tc>
        <w:tc>
          <w:tcPr>
            <w:tcW w:w="4562" w:type="pct"/>
            <w:tcBorders>
              <w:top w:val="single" w:sz="8" w:space="0" w:color="000000"/>
              <w:left w:val="single" w:sz="8" w:space="0" w:color="000000"/>
              <w:bottom w:val="single" w:sz="8" w:space="0" w:color="000000"/>
              <w:right w:val="single" w:sz="8" w:space="0" w:color="000000"/>
            </w:tcBorders>
          </w:tcPr>
          <w:p>
            <w:pPr>
              <w:rPr>
                <w:rFonts w:ascii="宋体" w:hAnsi="宋体" w:cs="宋体"/>
                <w:szCs w:val="21"/>
              </w:rPr>
            </w:pPr>
            <w:r>
              <w:rPr>
                <w:rFonts w:hint="eastAsia"/>
              </w:rPr>
              <w:t>法律、法规、规章、规范性文件规定的其他情形。</w:t>
            </w:r>
          </w:p>
        </w:tc>
      </w:tr>
    </w:tbl>
    <w:p>
      <w:pPr>
        <w:rPr>
          <w:rFonts w:ascii="黑体" w:eastAsia="黑体" w:hAnsi="黑体" w:hint="eastAsia"/>
          <w:sz w:val="40"/>
          <w:szCs w:val="40"/>
        </w:rPr>
      </w:pPr>
      <w:r>
        <w:rPr>
          <w:rFonts w:ascii="黑体" w:eastAsia="黑体" w:hAnsi="黑体" w:hint="eastAsia"/>
          <w:sz w:val="40"/>
          <w:szCs w:val="40"/>
        </w:rPr>
        <w:br w:type="page"/>
      </w:r>
    </w:p>
    <w:p>
      <w:pPr>
        <w:pStyle w:val="NormalWeb"/>
        <w:jc w:val="center"/>
        <w:outlineLvl w:val="1"/>
        <w:rPr>
          <w:rFonts w:ascii="黑体" w:eastAsia="黑体" w:hAnsi="黑体"/>
          <w:sz w:val="40"/>
          <w:szCs w:val="40"/>
        </w:rPr>
      </w:pPr>
      <w:r>
        <w:rPr>
          <w:rFonts w:ascii="黑体" w:eastAsia="黑体" w:hAnsi="黑体" w:hint="eastAsia"/>
          <w:sz w:val="40"/>
          <w:szCs w:val="40"/>
        </w:rPr>
        <w:t>评标信息</w:t>
      </w:r>
    </w:p>
    <w:tbl>
      <w:tblPr>
        <w:tblStyle w:val="TableNormal"/>
        <w:tblW w:w="4999" w:type="pct"/>
        <w:jc w:val="center"/>
        <w:tblCellSpacing w:w="0" w:type="dxa"/>
        <w:tblCellMar>
          <w:top w:w="45" w:type="dxa"/>
          <w:left w:w="45" w:type="dxa"/>
          <w:bottom w:w="45" w:type="dxa"/>
          <w:right w:w="45" w:type="dxa"/>
        </w:tblCellMar>
      </w:tblPr>
      <w:tblGrid>
        <w:gridCol w:w="8954"/>
        <w:gridCol w:w="207"/>
      </w:tblGrid>
      <w:tr>
        <w:tblPrEx>
          <w:tblW w:w="4999" w:type="pct"/>
          <w:jc w:val="center"/>
          <w:tblCellSpacing w:w="0" w:type="dxa"/>
          <w:tblCellMar>
            <w:top w:w="45" w:type="dxa"/>
            <w:left w:w="45" w:type="dxa"/>
            <w:bottom w:w="45" w:type="dxa"/>
            <w:right w:w="45" w:type="dxa"/>
          </w:tblCellMar>
        </w:tblPrEx>
        <w:trPr>
          <w:tblCellSpacing w:w="0" w:type="dxa"/>
          <w:jc w:val="center"/>
        </w:trPr>
        <w:tc>
          <w:tcPr>
            <w:tcW w:w="4887" w:type="pct"/>
            <w:tcBorders>
              <w:top w:val="nil"/>
              <w:left w:val="nil"/>
              <w:bottom w:val="nil"/>
              <w:right w:val="nil"/>
            </w:tcBorders>
            <w:vAlign w:val="center"/>
          </w:tcPr>
          <w:p>
            <w:pPr>
              <w:rPr>
                <w:rFonts w:ascii="宋体" w:hAnsi="宋体" w:cs="宋体"/>
                <w:b/>
                <w:bCs/>
                <w:sz w:val="24"/>
              </w:rPr>
            </w:pPr>
            <w:r>
              <w:rPr>
                <w:b/>
                <w:bCs/>
              </w:rPr>
              <w:t>评标方法：综合评分法（新价格分算法）</w:t>
            </w:r>
          </w:p>
        </w:tc>
        <w:tc>
          <w:tcPr>
            <w:tcW w:w="112" w:type="pct"/>
            <w:tcBorders>
              <w:top w:val="nil"/>
              <w:left w:val="nil"/>
              <w:bottom w:val="nil"/>
              <w:right w:val="nil"/>
            </w:tcBorders>
            <w:vAlign w:val="center"/>
          </w:tcPr>
          <w:p>
            <w:pPr>
              <w:jc w:val="right"/>
              <w:rPr>
                <w:rFonts w:ascii="宋体" w:hAnsi="宋体" w:cs="宋体"/>
                <w:b/>
                <w:bCs/>
                <w:sz w:val="24"/>
              </w:rPr>
            </w:pPr>
          </w:p>
        </w:tc>
      </w:tr>
      <w:tr>
        <w:tblPrEx>
          <w:tblW w:w="4999" w:type="pct"/>
          <w:jc w:val="center"/>
          <w:tblCellSpacing w:w="0" w:type="dxa"/>
          <w:tblCellMar>
            <w:top w:w="45" w:type="dxa"/>
            <w:left w:w="45" w:type="dxa"/>
            <w:bottom w:w="45" w:type="dxa"/>
            <w:right w:w="45" w:type="dxa"/>
          </w:tblCellMar>
        </w:tblPrEx>
        <w:trPr>
          <w:tblCellSpacing w:w="0" w:type="dxa"/>
          <w:jc w:val="center"/>
        </w:trPr>
        <w:tc>
          <w:tcPr>
            <w:tcW w:w="5000" w:type="pct"/>
            <w:gridSpan w:val="2"/>
            <w:tcBorders>
              <w:top w:val="nil"/>
              <w:left w:val="nil"/>
              <w:bottom w:val="nil"/>
              <w:right w:val="nil"/>
            </w:tcBorders>
            <w:vAlign w:val="center"/>
          </w:tcPr>
          <w:p>
            <w:pPr>
              <w:pStyle w:val="NormalWeb"/>
              <w:spacing w:line="324" w:lineRule="auto"/>
              <w:ind w:firstLine="420"/>
              <w:rPr>
                <w:sz w:val="21"/>
                <w:szCs w:val="21"/>
              </w:rPr>
            </w:pPr>
            <w:r>
              <w:rPr>
                <w:sz w:val="21"/>
                <w:szCs w:val="21"/>
              </w:rPr>
              <w:t xml:space="preserve">综合评分法，是指投标文件满足招标文件全部实质性要求，且按照评审因素的量化指标评审得分最高的投标人为中标候选人的评标方法。 </w:t>
            </w:r>
          </w:p>
          <w:p>
            <w:pPr>
              <w:pStyle w:val="NormalWeb"/>
              <w:ind w:firstLine="420"/>
              <w:rPr>
                <w:sz w:val="21"/>
                <w:szCs w:val="21"/>
              </w:rPr>
            </w:pPr>
            <w:r>
              <w:rPr>
                <w:sz w:val="21"/>
                <w:szCs w:val="21"/>
              </w:rPr>
              <w:t>价格分计算方法：</w:t>
            </w:r>
          </w:p>
          <w:p>
            <w:pPr>
              <w:pStyle w:val="NormalWeb"/>
              <w:spacing w:line="324" w:lineRule="auto"/>
              <w:ind w:left="420"/>
              <w:rPr>
                <w:sz w:val="21"/>
                <w:szCs w:val="21"/>
              </w:rPr>
            </w:pPr>
            <w:r>
              <w:rPr>
                <w:sz w:val="21"/>
                <w:szCs w:val="21"/>
              </w:rPr>
              <w:t xml:space="preserve">采用低价优先法计算，即满足招标文件要求且投标价格最低的投标报价为评标基准价，其价格分为满分。其他投标人的价格分统一按照下列公式计算： </w:t>
            </w:r>
            <w:r>
              <w:rPr>
                <w:sz w:val="21"/>
                <w:szCs w:val="21"/>
              </w:rPr>
              <w:br/>
            </w:r>
            <w:r>
              <w:rPr>
                <w:sz w:val="21"/>
                <w:szCs w:val="21"/>
              </w:rPr>
              <w:t xml:space="preserve">投标报价得分=(评标基准价／投标报价)×100 </w:t>
            </w:r>
            <w:r>
              <w:rPr>
                <w:sz w:val="21"/>
                <w:szCs w:val="21"/>
              </w:rPr>
              <w:br/>
            </w:r>
            <w:r>
              <w:rPr>
                <w:sz w:val="21"/>
                <w:szCs w:val="21"/>
              </w:rPr>
              <w:t xml:space="preserve">评标总得分＝F1×A1＋F2×A2＋……＋Fn×An </w:t>
            </w:r>
            <w:r>
              <w:rPr>
                <w:sz w:val="21"/>
                <w:szCs w:val="21"/>
              </w:rPr>
              <w:br/>
            </w:r>
            <w:r>
              <w:rPr>
                <w:sz w:val="21"/>
                <w:szCs w:val="21"/>
              </w:rPr>
              <w:t xml:space="preserve">F1、F2……Fn分别为各项评审因素的得分； </w:t>
            </w:r>
            <w:r>
              <w:rPr>
                <w:sz w:val="21"/>
                <w:szCs w:val="21"/>
              </w:rPr>
              <w:br/>
            </w:r>
            <w:r>
              <w:rPr>
                <w:sz w:val="21"/>
                <w:szCs w:val="21"/>
              </w:rPr>
              <w:t xml:space="preserve">A1、A2、……An 分别为各项评审因素所占的权重(A1＋A2＋……＋An＝1)。 </w:t>
            </w:r>
            <w:r>
              <w:rPr>
                <w:sz w:val="21"/>
                <w:szCs w:val="21"/>
              </w:rPr>
              <w:br/>
            </w:r>
            <w:r>
              <w:rPr>
                <w:sz w:val="21"/>
                <w:szCs w:val="21"/>
              </w:rPr>
              <w:t xml:space="preserve">评标过程中，不得去掉报价中的最高报价和最低报价。 </w:t>
            </w:r>
            <w:r>
              <w:rPr>
                <w:sz w:val="21"/>
                <w:szCs w:val="21"/>
              </w:rPr>
              <w:br/>
            </w:r>
            <w:r>
              <w:rPr>
                <w:sz w:val="21"/>
                <w:szCs w:val="21"/>
              </w:rPr>
              <w:t xml:space="preserve">此方法适用于货物类、服务类、工程类项目。 </w:t>
            </w:r>
          </w:p>
        </w:tc>
      </w:tr>
    </w:tbl>
    <w:p>
      <w:pPr>
        <w:rPr>
          <w:vanish/>
        </w:rPr>
      </w:pPr>
    </w:p>
    <w:tbl>
      <w:tblPr>
        <w:tblStyle w:val="TableNormal"/>
        <w:tblW w:w="4996"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
      <w:tblGrid>
        <w:gridCol w:w="688"/>
        <w:gridCol w:w="693"/>
        <w:gridCol w:w="1957"/>
        <w:gridCol w:w="971"/>
        <w:gridCol w:w="4973"/>
      </w:tblGrid>
      <w:tr>
        <w:tblPrEx>
          <w:tblW w:w="4996"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20" w:type="dxa"/>
            <w:left w:w="108" w:type="dxa"/>
            <w:bottom w:w="20" w:type="dxa"/>
            <w:right w:w="108" w:type="dxa"/>
          </w:tblCellMar>
        </w:tblPrEx>
        <w:trPr>
          <w:jc w:val="center"/>
        </w:trPr>
        <w:tc>
          <w:tcPr>
            <w:tcW w:w="371" w:type="pct"/>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b/>
                <w:bCs/>
                <w:sz w:val="24"/>
              </w:rPr>
            </w:pPr>
            <w:r>
              <w:rPr>
                <w:b/>
                <w:bCs/>
              </w:rPr>
              <w:t>序号</w:t>
            </w:r>
          </w:p>
        </w:tc>
        <w:tc>
          <w:tcPr>
            <w:tcW w:w="1950" w:type="pct"/>
            <w:gridSpan w:val="3"/>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b/>
                <w:bCs/>
                <w:sz w:val="24"/>
              </w:rPr>
            </w:pPr>
            <w:r>
              <w:rPr>
                <w:b/>
                <w:bCs/>
              </w:rPr>
              <w:t>评分项</w:t>
            </w:r>
          </w:p>
        </w:tc>
        <w:tc>
          <w:tcPr>
            <w:tcW w:w="2678" w:type="pct"/>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b/>
                <w:bCs/>
                <w:sz w:val="24"/>
              </w:rPr>
            </w:pPr>
            <w:r>
              <w:rPr>
                <w:b/>
                <w:bCs/>
              </w:rPr>
              <w:t>权重(%)</w:t>
            </w:r>
          </w:p>
        </w:tc>
      </w:tr>
      <w:tr>
        <w:tblPrEx>
          <w:tblW w:w="4996" w:type="pct"/>
          <w:jc w:val="center"/>
          <w:tblCellMar>
            <w:top w:w="20" w:type="dxa"/>
            <w:left w:w="108" w:type="dxa"/>
            <w:bottom w:w="20" w:type="dxa"/>
            <w:right w:w="108" w:type="dxa"/>
          </w:tblCellMar>
        </w:tblPrEx>
        <w:trPr>
          <w:jc w:val="center"/>
        </w:trPr>
        <w:tc>
          <w:tcPr>
            <w:tcW w:w="371" w:type="pct"/>
            <w:tcBorders>
              <w:top w:val="single" w:sz="8" w:space="0" w:color="000000"/>
              <w:left w:val="single" w:sz="8" w:space="0" w:color="000000"/>
              <w:bottom w:val="single" w:sz="8" w:space="0" w:color="000000"/>
              <w:right w:val="single" w:sz="8" w:space="0" w:color="000000"/>
            </w:tcBorders>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b/>
                <w:bCs/>
                <w:color w:val="0000FF"/>
                <w:sz w:val="24"/>
              </w:rPr>
            </w:pPr>
            <w:r>
              <w:rPr>
                <w:b/>
                <w:bCs/>
                <w:color w:val="0000FF"/>
              </w:rPr>
              <w:t>1</w:t>
            </w:r>
          </w:p>
        </w:tc>
        <w:tc>
          <w:tcPr>
            <w:tcW w:w="1950" w:type="pct"/>
            <w:gridSpan w:val="3"/>
            <w:tcBorders>
              <w:top w:val="single" w:sz="8" w:space="0" w:color="000000"/>
              <w:left w:val="single" w:sz="8" w:space="0" w:color="000000"/>
              <w:bottom w:val="single" w:sz="8" w:space="0" w:color="000000"/>
              <w:right w:val="single" w:sz="8" w:space="0" w:color="000000"/>
            </w:tcBorders>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b/>
                <w:bCs/>
                <w:color w:val="0000FF"/>
                <w:sz w:val="24"/>
              </w:rPr>
            </w:pPr>
            <w:r>
              <w:rPr>
                <w:b/>
                <w:bCs/>
                <w:color w:val="0000FF"/>
              </w:rPr>
              <w:t>价格</w:t>
            </w:r>
          </w:p>
        </w:tc>
        <w:tc>
          <w:tcPr>
            <w:tcW w:w="2678" w:type="pct"/>
            <w:tcBorders>
              <w:top w:val="single" w:sz="8" w:space="0" w:color="000000"/>
              <w:left w:val="single" w:sz="8" w:space="0" w:color="000000"/>
              <w:bottom w:val="single" w:sz="8" w:space="0" w:color="000000"/>
              <w:right w:val="single" w:sz="8" w:space="0" w:color="000000"/>
            </w:tcBorders>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b/>
                <w:bCs/>
                <w:color w:val="0000FF"/>
                <w:sz w:val="24"/>
              </w:rPr>
            </w:pPr>
            <w:r>
              <w:rPr>
                <w:rFonts w:hint="eastAsia"/>
                <w:b/>
                <w:bCs/>
                <w:color w:val="0000FF"/>
              </w:rPr>
              <w:t>1</w:t>
            </w:r>
            <w:r>
              <w:rPr>
                <w:b/>
                <w:bCs/>
                <w:color w:val="0000FF"/>
              </w:rPr>
              <w:t>0</w:t>
            </w:r>
          </w:p>
        </w:tc>
      </w:tr>
      <w:tr>
        <w:tblPrEx>
          <w:tblW w:w="4996" w:type="pct"/>
          <w:jc w:val="center"/>
          <w:tblCellMar>
            <w:top w:w="20" w:type="dxa"/>
            <w:left w:w="108" w:type="dxa"/>
            <w:bottom w:w="20" w:type="dxa"/>
            <w:right w:w="108" w:type="dxa"/>
          </w:tblCellMar>
        </w:tblPrEx>
        <w:trPr>
          <w:jc w:val="center"/>
        </w:trPr>
        <w:tc>
          <w:tcPr>
            <w:tcW w:w="371" w:type="pct"/>
            <w:vMerge w:val="restart"/>
            <w:tcBorders>
              <w:top w:val="single" w:sz="8" w:space="0" w:color="000000"/>
              <w:left w:val="single" w:sz="8" w:space="0" w:color="000000"/>
              <w:bottom w:val="single" w:sz="8" w:space="0" w:color="000000"/>
              <w:right w:val="single" w:sz="8" w:space="0" w:color="000000"/>
            </w:tcBorders>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b/>
                <w:bCs/>
                <w:color w:val="0000FF"/>
                <w:sz w:val="24"/>
              </w:rPr>
            </w:pPr>
            <w:r>
              <w:rPr>
                <w:b/>
                <w:bCs/>
                <w:color w:val="0000FF"/>
              </w:rPr>
              <w:t>2</w:t>
            </w:r>
          </w:p>
        </w:tc>
        <w:tc>
          <w:tcPr>
            <w:tcW w:w="1950" w:type="pct"/>
            <w:gridSpan w:val="3"/>
            <w:tcBorders>
              <w:top w:val="single" w:sz="8" w:space="0" w:color="000000"/>
              <w:left w:val="single" w:sz="8" w:space="0" w:color="000000"/>
              <w:bottom w:val="single" w:sz="8" w:space="0" w:color="000000"/>
              <w:right w:val="single" w:sz="8" w:space="0" w:color="000000"/>
            </w:tcBorders>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b/>
                <w:bCs/>
                <w:color w:val="0000FF"/>
                <w:sz w:val="24"/>
              </w:rPr>
            </w:pPr>
            <w:r>
              <w:rPr>
                <w:b/>
                <w:bCs/>
                <w:color w:val="0000FF"/>
              </w:rPr>
              <w:t>技术</w:t>
            </w:r>
            <w:r>
              <w:rPr>
                <w:rFonts w:hint="eastAsia"/>
                <w:b/>
                <w:bCs/>
                <w:color w:val="0000FF"/>
              </w:rPr>
              <w:t>部分</w:t>
            </w:r>
          </w:p>
        </w:tc>
        <w:tc>
          <w:tcPr>
            <w:tcW w:w="2678" w:type="pct"/>
            <w:tcBorders>
              <w:top w:val="single" w:sz="8" w:space="0" w:color="000000"/>
              <w:left w:val="single" w:sz="8" w:space="0" w:color="000000"/>
              <w:bottom w:val="single" w:sz="8" w:space="0" w:color="000000"/>
              <w:right w:val="single" w:sz="8" w:space="0" w:color="000000"/>
            </w:tcBorders>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eastAsia="宋体" w:hAnsi="宋体" w:cs="宋体" w:hint="default"/>
                <w:b/>
                <w:bCs/>
                <w:color w:val="0000FF"/>
                <w:sz w:val="24"/>
                <w:lang w:val="en-US" w:eastAsia="zh-CN"/>
              </w:rPr>
            </w:pPr>
            <w:r>
              <w:rPr>
                <w:rFonts w:hint="eastAsia"/>
                <w:b/>
                <w:bCs/>
                <w:color w:val="0000FF"/>
                <w:lang w:val="en-US" w:eastAsia="zh-CN"/>
              </w:rPr>
              <w:t>50</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widowControl w:val="0"/>
              <w:kinsoku/>
              <w:overflowPunct/>
              <w:topLinePunct w:val="0"/>
              <w:autoSpaceDE/>
              <w:autoSpaceDN/>
              <w:bidi w:val="0"/>
              <w:adjustRightInd/>
              <w:snapToGrid/>
              <w:spacing w:line="240" w:lineRule="auto"/>
              <w:textAlignment w:val="auto"/>
              <w:rPr>
                <w:rFonts w:ascii="宋体" w:hAnsi="宋体" w:cs="宋体"/>
                <w:b/>
                <w:bCs/>
                <w:color w:val="0000FF"/>
                <w:sz w:val="24"/>
              </w:rPr>
            </w:pPr>
          </w:p>
        </w:tc>
        <w:tc>
          <w:tcPr>
            <w:tcW w:w="373" w:type="pct"/>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szCs w:val="21"/>
              </w:rPr>
            </w:pPr>
            <w:r>
              <w:rPr>
                <w:szCs w:val="21"/>
              </w:rPr>
              <w:t>序号</w:t>
            </w:r>
          </w:p>
        </w:tc>
        <w:tc>
          <w:tcPr>
            <w:tcW w:w="1054" w:type="pct"/>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szCs w:val="21"/>
              </w:rPr>
            </w:pPr>
            <w:r>
              <w:rPr>
                <w:szCs w:val="21"/>
              </w:rPr>
              <w:t>评分因素</w:t>
            </w:r>
          </w:p>
        </w:tc>
        <w:tc>
          <w:tcPr>
            <w:tcW w:w="522" w:type="pct"/>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szCs w:val="21"/>
              </w:rPr>
            </w:pPr>
            <w:r>
              <w:rPr>
                <w:szCs w:val="21"/>
              </w:rPr>
              <w:t>权重(%)</w:t>
            </w:r>
          </w:p>
        </w:tc>
        <w:tc>
          <w:tcPr>
            <w:tcW w:w="2678" w:type="pct"/>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szCs w:val="21"/>
              </w:rPr>
            </w:pPr>
            <w:r>
              <w:rPr>
                <w:szCs w:val="21"/>
              </w:rPr>
              <w:t>评分准则</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textAlignment w:val="auto"/>
              <w:rPr>
                <w:rFonts w:ascii="宋体" w:hAnsi="宋体" w:cs="宋体"/>
                <w:b/>
                <w:bCs/>
                <w:color w:val="0000FF"/>
                <w:sz w:val="24"/>
              </w:rPr>
            </w:pPr>
          </w:p>
        </w:tc>
        <w:tc>
          <w:tcPr>
            <w:tcW w:w="373"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eastAsia="宋体" w:hAnsi="宋体" w:cs="宋体" w:hint="eastAsia"/>
                <w:szCs w:val="21"/>
                <w:lang w:val="en-US" w:eastAsia="zh-CN"/>
              </w:rPr>
            </w:pPr>
            <w:r>
              <w:rPr>
                <w:rFonts w:ascii="宋体" w:hAnsi="宋体" w:cs="宋体" w:hint="eastAsia"/>
                <w:szCs w:val="21"/>
                <w:lang w:val="en-US" w:eastAsia="zh-CN"/>
              </w:rPr>
              <w:t>1</w:t>
            </w:r>
          </w:p>
        </w:tc>
        <w:tc>
          <w:tcPr>
            <w:tcW w:w="1054"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center"/>
              <w:textAlignment w:val="auto"/>
              <w:rPr>
                <w:rFonts w:ascii="宋体" w:hAnsi="宋体" w:cs="宋体"/>
                <w:szCs w:val="21"/>
              </w:rPr>
            </w:pPr>
            <w:r>
              <w:rPr>
                <w:rFonts w:ascii="宋体" w:eastAsia="宋体" w:hAnsi="宋体" w:cs="宋体" w:hint="eastAsia"/>
                <w:color w:val="auto"/>
                <w:sz w:val="21"/>
                <w:szCs w:val="21"/>
                <w:highlight w:val="none"/>
              </w:rPr>
              <w:t>项目服务方案</w:t>
            </w:r>
          </w:p>
        </w:tc>
        <w:tc>
          <w:tcPr>
            <w:tcW w:w="522"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center"/>
              <w:textAlignment w:val="auto"/>
              <w:rPr>
                <w:rFonts w:ascii="宋体" w:hAnsi="宋体" w:cs="宋体"/>
                <w:szCs w:val="21"/>
              </w:rPr>
            </w:pPr>
            <w:r>
              <w:rPr>
                <w:rFonts w:ascii="宋体" w:eastAsia="宋体" w:hAnsi="宋体" w:cs="宋体" w:hint="eastAsia"/>
                <w:color w:val="auto"/>
                <w:sz w:val="21"/>
                <w:szCs w:val="21"/>
                <w:highlight w:val="none"/>
              </w:rPr>
              <w:t>15</w:t>
            </w:r>
          </w:p>
        </w:tc>
        <w:tc>
          <w:tcPr>
            <w:tcW w:w="2678"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（一）评分内容：</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把握服务项目背景、必要性，对工作任务和目标理解的准确性；</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对服务项目相关规划解读的完整性，准确性；</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3</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熟识服务项目现状建设情况，准确判断现状发展面临的问题；</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4</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对</w:t>
            </w:r>
            <w:r>
              <w:rPr>
                <w:rFonts w:asciiTheme="minorEastAsia" w:eastAsiaTheme="minorEastAsia" w:hAnsiTheme="minorEastAsia" w:cstheme="minorEastAsia" w:hint="eastAsia"/>
                <w:b w:val="0"/>
                <w:bCs/>
                <w:sz w:val="21"/>
                <w:szCs w:val="21"/>
              </w:rPr>
              <w:t>搭建专家智库平台</w:t>
            </w:r>
            <w:r>
              <w:rPr>
                <w:rFonts w:asciiTheme="minorEastAsia" w:eastAsiaTheme="minorEastAsia" w:hAnsiTheme="minorEastAsia" w:cstheme="minorEastAsia" w:hint="default"/>
                <w:b w:val="0"/>
                <w:bCs/>
                <w:sz w:val="21"/>
                <w:szCs w:val="21"/>
              </w:rPr>
              <w:t>、</w:t>
            </w:r>
            <w:r>
              <w:rPr>
                <w:rFonts w:ascii="宋体" w:eastAsia="宋体" w:hAnsi="宋体" w:cs="宋体" w:hint="eastAsia"/>
                <w:color w:val="auto"/>
                <w:sz w:val="21"/>
                <w:szCs w:val="21"/>
                <w:highlight w:val="none"/>
              </w:rPr>
              <w:t>各类型咨询服务安排人员及服务时间理解准确性及合理性。</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w:t>
            </w:r>
            <w:r>
              <w:rPr>
                <w:rFonts w:ascii="宋体" w:hAnsi="宋体" w:cs="宋体" w:hint="eastAsia"/>
                <w:b/>
                <w:bCs/>
                <w:color w:val="auto"/>
                <w:sz w:val="21"/>
                <w:szCs w:val="21"/>
                <w:highlight w:val="none"/>
                <w:lang w:val="en-US" w:eastAsia="zh-CN"/>
              </w:rPr>
              <w:t>二</w:t>
            </w:r>
            <w:r>
              <w:rPr>
                <w:rFonts w:ascii="宋体" w:eastAsia="宋体" w:hAnsi="宋体" w:cs="宋体" w:hint="eastAsia"/>
                <w:b/>
                <w:bCs/>
                <w:color w:val="auto"/>
                <w:sz w:val="21"/>
                <w:szCs w:val="21"/>
                <w:highlight w:val="none"/>
              </w:rPr>
              <w:t>）评分</w:t>
            </w:r>
            <w:r>
              <w:rPr>
                <w:rFonts w:ascii="宋体" w:hAnsi="宋体" w:cs="宋体" w:hint="eastAsia"/>
                <w:b/>
                <w:bCs/>
                <w:color w:val="auto"/>
                <w:sz w:val="21"/>
                <w:szCs w:val="21"/>
                <w:highlight w:val="none"/>
                <w:lang w:val="en-US" w:eastAsia="zh-CN"/>
              </w:rPr>
              <w:t>依据</w:t>
            </w:r>
            <w:r>
              <w:rPr>
                <w:rFonts w:ascii="宋体" w:eastAsia="宋体" w:hAnsi="宋体" w:cs="宋体" w:hint="eastAsia"/>
                <w:b/>
                <w:bCs/>
                <w:color w:val="auto"/>
                <w:sz w:val="21"/>
                <w:szCs w:val="21"/>
                <w:highlight w:val="none"/>
              </w:rPr>
              <w:t>：</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每提供上述任意一项内容得10分，本小项累计最高得40分；</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在此基础上，专家根据各供应商的具体响应内容按照量化的评审因素指标进一步评审：</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（1）方案整体科学合理、针对性强、可操作性强，评审为优的，加60分；</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（2）方案较合理、有一定针对性、一定可操作性，评审为良的，加30分；</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（3）方案不尽合理、针对性一般、可操作性一般，评审为中的，加10分；</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hAnsi="宋体" w:cs="宋体"/>
                <w:szCs w:val="21"/>
              </w:rPr>
            </w:pPr>
            <w:r>
              <w:rPr>
                <w:rFonts w:ascii="宋体" w:eastAsia="宋体" w:hAnsi="宋体" w:cs="宋体" w:hint="eastAsia"/>
                <w:color w:val="auto"/>
                <w:sz w:val="21"/>
                <w:szCs w:val="21"/>
                <w:highlight w:val="none"/>
              </w:rPr>
              <w:t>（4）方案不合理、无针对性、无可操作性，评审为差的，加0分。</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textAlignment w:val="auto"/>
              <w:rPr>
                <w:rFonts w:ascii="宋体" w:hAnsi="宋体" w:cs="宋体"/>
                <w:b/>
                <w:bCs/>
                <w:color w:val="0000FF"/>
                <w:sz w:val="24"/>
              </w:rPr>
            </w:pPr>
          </w:p>
        </w:tc>
        <w:tc>
          <w:tcPr>
            <w:tcW w:w="373"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eastAsia="宋体" w:hAnsi="宋体" w:cs="宋体" w:hint="eastAsia"/>
                <w:szCs w:val="21"/>
                <w:lang w:val="en-US" w:eastAsia="zh-CN"/>
              </w:rPr>
            </w:pPr>
            <w:r>
              <w:rPr>
                <w:rFonts w:ascii="宋体" w:hAnsi="宋体" w:cs="宋体" w:hint="eastAsia"/>
                <w:szCs w:val="21"/>
                <w:lang w:val="en-US" w:eastAsia="zh-CN"/>
              </w:rPr>
              <w:t>2</w:t>
            </w:r>
          </w:p>
        </w:tc>
        <w:tc>
          <w:tcPr>
            <w:tcW w:w="1054"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center"/>
              <w:textAlignment w:val="auto"/>
              <w:rPr>
                <w:rFonts w:ascii="宋体" w:hAnsi="宋体" w:cs="宋体"/>
                <w:szCs w:val="21"/>
              </w:rPr>
            </w:pPr>
            <w:r>
              <w:rPr>
                <w:rFonts w:ascii="宋体" w:eastAsia="宋体" w:hAnsi="宋体" w:cs="宋体" w:hint="eastAsia"/>
                <w:color w:val="auto"/>
                <w:sz w:val="21"/>
                <w:szCs w:val="21"/>
                <w:highlight w:val="none"/>
              </w:rPr>
              <w:t>项目重点难点分析、应对措施及相关的合理化建议</w:t>
            </w:r>
          </w:p>
        </w:tc>
        <w:tc>
          <w:tcPr>
            <w:tcW w:w="522"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center"/>
              <w:textAlignment w:val="auto"/>
              <w:rPr>
                <w:rFonts w:ascii="宋体" w:hAnsi="宋体" w:cs="宋体"/>
                <w:szCs w:val="21"/>
              </w:rPr>
            </w:pPr>
            <w:r>
              <w:rPr>
                <w:rFonts w:ascii="宋体" w:eastAsia="宋体" w:hAnsi="宋体" w:cs="宋体" w:hint="eastAsia"/>
                <w:color w:val="auto"/>
                <w:sz w:val="21"/>
                <w:szCs w:val="21"/>
                <w:highlight w:val="none"/>
              </w:rPr>
              <w:t>10</w:t>
            </w:r>
          </w:p>
        </w:tc>
        <w:tc>
          <w:tcPr>
            <w:tcW w:w="2678"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（一）评分内容：</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投标人提供的项目重点难点分析、应对措施及相关的合理化建议须包含以下内容：</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hAnsi="宋体" w:cs="宋体" w:hint="eastAsia"/>
                <w:color w:val="auto"/>
                <w:sz w:val="21"/>
                <w:szCs w:val="21"/>
                <w:highlight w:val="none"/>
                <w:lang w:val="en-US" w:eastAsia="zh-CN"/>
              </w:rPr>
              <w:t>1.</w:t>
            </w:r>
            <w:r>
              <w:rPr>
                <w:rFonts w:ascii="宋体" w:eastAsia="宋体" w:hAnsi="宋体" w:cs="宋体" w:hint="eastAsia"/>
                <w:color w:val="auto"/>
                <w:sz w:val="21"/>
                <w:szCs w:val="21"/>
                <w:highlight w:val="none"/>
              </w:rPr>
              <w:t>坝光片区规划建设整体统筹工作；</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hAnsi="宋体" w:cs="宋体" w:hint="eastAsia"/>
                <w:color w:val="auto"/>
                <w:sz w:val="21"/>
                <w:szCs w:val="21"/>
                <w:highlight w:val="none"/>
                <w:lang w:val="en-US" w:eastAsia="zh-CN"/>
              </w:rPr>
              <w:t>2.</w:t>
            </w:r>
            <w:r>
              <w:rPr>
                <w:rFonts w:ascii="宋体" w:eastAsia="宋体" w:hAnsi="宋体" w:cs="宋体" w:hint="eastAsia"/>
                <w:color w:val="auto"/>
                <w:sz w:val="21"/>
                <w:szCs w:val="21"/>
                <w:highlight w:val="none"/>
              </w:rPr>
              <w:t>坝光片区项目开发建设品质把控。</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w:t>
            </w:r>
            <w:r>
              <w:rPr>
                <w:rFonts w:ascii="宋体" w:hAnsi="宋体" w:cs="宋体" w:hint="eastAsia"/>
                <w:b/>
                <w:bCs/>
                <w:color w:val="auto"/>
                <w:sz w:val="21"/>
                <w:szCs w:val="21"/>
                <w:highlight w:val="none"/>
                <w:lang w:val="en-US" w:eastAsia="zh-CN"/>
              </w:rPr>
              <w:t>二</w:t>
            </w:r>
            <w:r>
              <w:rPr>
                <w:rFonts w:ascii="宋体" w:eastAsia="宋体" w:hAnsi="宋体" w:cs="宋体" w:hint="eastAsia"/>
                <w:b/>
                <w:bCs/>
                <w:color w:val="auto"/>
                <w:sz w:val="21"/>
                <w:szCs w:val="21"/>
                <w:highlight w:val="none"/>
              </w:rPr>
              <w:t>）评分</w:t>
            </w:r>
            <w:r>
              <w:rPr>
                <w:rFonts w:ascii="宋体" w:hAnsi="宋体" w:cs="宋体" w:hint="eastAsia"/>
                <w:b/>
                <w:bCs/>
                <w:color w:val="auto"/>
                <w:sz w:val="21"/>
                <w:szCs w:val="21"/>
                <w:highlight w:val="none"/>
                <w:lang w:val="en-US" w:eastAsia="zh-CN"/>
              </w:rPr>
              <w:t>依据</w:t>
            </w:r>
            <w:r>
              <w:rPr>
                <w:rFonts w:ascii="宋体" w:eastAsia="宋体" w:hAnsi="宋体" w:cs="宋体" w:hint="eastAsia"/>
                <w:b/>
                <w:bCs/>
                <w:color w:val="auto"/>
                <w:sz w:val="21"/>
                <w:szCs w:val="21"/>
                <w:highlight w:val="none"/>
              </w:rPr>
              <w:t>：</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每提供上述任意一项内容得20分，本小项累计最高得40分；</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在此基础上，专家根据各供应商的具体响应内容按照量化的评审因素指标进一步评审：</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（1）方案整体科学合理、针对性强、可操作性强，评审为优的，加60分；</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（2）方案较合理、有一定针对性、一定可操作性，评审为良的，加30分；</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（3）方案不尽合理、针对性一般、可操作性一般，评审为中的，加10分；</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hAnsi="宋体" w:cs="宋体"/>
                <w:szCs w:val="21"/>
              </w:rPr>
            </w:pPr>
            <w:r>
              <w:rPr>
                <w:rFonts w:ascii="宋体" w:eastAsia="宋体" w:hAnsi="宋体" w:cs="宋体" w:hint="eastAsia"/>
                <w:color w:val="auto"/>
                <w:sz w:val="21"/>
                <w:szCs w:val="21"/>
                <w:highlight w:val="none"/>
              </w:rPr>
              <w:t>（4）方案不合理、无针对性、无可操作性，评审为差的，加0分。</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textAlignment w:val="auto"/>
              <w:rPr>
                <w:rFonts w:ascii="宋体" w:hAnsi="宋体" w:cs="宋体"/>
                <w:b/>
                <w:bCs/>
                <w:color w:val="0000FF"/>
                <w:sz w:val="24"/>
              </w:rPr>
            </w:pPr>
          </w:p>
        </w:tc>
        <w:tc>
          <w:tcPr>
            <w:tcW w:w="373"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eastAsia="宋体" w:hAnsi="宋体" w:cs="宋体" w:hint="eastAsia"/>
                <w:szCs w:val="21"/>
                <w:lang w:val="en-US" w:eastAsia="zh-CN"/>
              </w:rPr>
            </w:pPr>
            <w:r>
              <w:rPr>
                <w:rFonts w:ascii="宋体" w:hAnsi="宋体" w:cs="宋体" w:hint="eastAsia"/>
                <w:szCs w:val="21"/>
                <w:lang w:val="en-US" w:eastAsia="zh-CN"/>
              </w:rPr>
              <w:t>3</w:t>
            </w:r>
          </w:p>
        </w:tc>
        <w:tc>
          <w:tcPr>
            <w:tcW w:w="1054"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center"/>
              <w:textAlignment w:val="auto"/>
              <w:rPr>
                <w:rFonts w:ascii="宋体" w:hAnsi="宋体" w:cs="宋体"/>
                <w:szCs w:val="21"/>
              </w:rPr>
            </w:pPr>
            <w:r>
              <w:rPr>
                <w:rFonts w:ascii="宋体" w:eastAsia="宋体" w:hAnsi="宋体" w:cs="宋体" w:hint="eastAsia"/>
                <w:color w:val="auto"/>
                <w:sz w:val="21"/>
                <w:szCs w:val="21"/>
                <w:highlight w:val="none"/>
              </w:rPr>
              <w:t>质量保障措施</w:t>
            </w:r>
          </w:p>
        </w:tc>
        <w:tc>
          <w:tcPr>
            <w:tcW w:w="522"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center"/>
              <w:textAlignment w:val="auto"/>
              <w:rPr>
                <w:rFonts w:ascii="宋体" w:hAnsi="宋体" w:cs="宋体"/>
                <w:szCs w:val="21"/>
              </w:rPr>
            </w:pPr>
            <w:r>
              <w:rPr>
                <w:rFonts w:ascii="宋体" w:eastAsia="宋体" w:hAnsi="宋体" w:cs="宋体" w:hint="eastAsia"/>
                <w:color w:val="auto"/>
                <w:sz w:val="21"/>
                <w:szCs w:val="21"/>
                <w:highlight w:val="none"/>
              </w:rPr>
              <w:t>5</w:t>
            </w:r>
          </w:p>
        </w:tc>
        <w:tc>
          <w:tcPr>
            <w:tcW w:w="2678"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（一）评分内容：</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投标人提供的质量保障措施内容须包括：</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hAnsi="宋体" w:cs="宋体" w:hint="eastAsia"/>
                <w:color w:val="auto"/>
                <w:sz w:val="21"/>
                <w:szCs w:val="21"/>
                <w:highlight w:val="none"/>
                <w:lang w:val="en-US" w:eastAsia="zh-CN"/>
              </w:rPr>
              <w:t>1.</w:t>
            </w:r>
            <w:r>
              <w:rPr>
                <w:rFonts w:ascii="宋体" w:eastAsia="宋体" w:hAnsi="宋体" w:cs="宋体" w:hint="eastAsia"/>
                <w:color w:val="auto"/>
                <w:sz w:val="21"/>
                <w:szCs w:val="21"/>
                <w:highlight w:val="none"/>
              </w:rPr>
              <w:t>提供项目质量、技术、时间保障方案及详细的保证措施说明；</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lang w:eastAsia="zh-CN"/>
              </w:rPr>
            </w:pPr>
            <w:r>
              <w:rPr>
                <w:rFonts w:ascii="宋体" w:hAnsi="宋体" w:cs="宋体" w:hint="eastAsia"/>
                <w:color w:val="auto"/>
                <w:sz w:val="21"/>
                <w:szCs w:val="21"/>
                <w:highlight w:val="none"/>
                <w:lang w:val="en-US" w:eastAsia="zh-CN"/>
              </w:rPr>
              <w:t>2.</w:t>
            </w:r>
            <w:r>
              <w:rPr>
                <w:rFonts w:ascii="宋体" w:eastAsia="宋体" w:hAnsi="宋体" w:cs="宋体" w:hint="eastAsia"/>
                <w:color w:val="auto"/>
                <w:sz w:val="21"/>
                <w:szCs w:val="21"/>
                <w:highlight w:val="none"/>
              </w:rPr>
              <w:t>对质量、技术、时间保障是否全面、是否具备操作性及可控性</w:t>
            </w:r>
            <w:r>
              <w:rPr>
                <w:rFonts w:ascii="宋体" w:hAnsi="宋体" w:cs="宋体" w:hint="eastAsia"/>
                <w:color w:val="auto"/>
                <w:sz w:val="21"/>
                <w:szCs w:val="21"/>
                <w:highlight w:val="none"/>
                <w:lang w:eastAsia="zh-CN"/>
              </w:rPr>
              <w:t>。</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w:t>
            </w:r>
            <w:r>
              <w:rPr>
                <w:rFonts w:ascii="宋体" w:hAnsi="宋体" w:cs="宋体" w:hint="eastAsia"/>
                <w:b/>
                <w:bCs/>
                <w:color w:val="auto"/>
                <w:sz w:val="21"/>
                <w:szCs w:val="21"/>
                <w:highlight w:val="none"/>
                <w:lang w:val="en-US" w:eastAsia="zh-CN"/>
              </w:rPr>
              <w:t>二</w:t>
            </w:r>
            <w:r>
              <w:rPr>
                <w:rFonts w:ascii="宋体" w:eastAsia="宋体" w:hAnsi="宋体" w:cs="宋体" w:hint="eastAsia"/>
                <w:b/>
                <w:bCs/>
                <w:color w:val="auto"/>
                <w:sz w:val="21"/>
                <w:szCs w:val="21"/>
                <w:highlight w:val="none"/>
              </w:rPr>
              <w:t>）评分</w:t>
            </w:r>
            <w:r>
              <w:rPr>
                <w:rFonts w:ascii="宋体" w:hAnsi="宋体" w:cs="宋体" w:hint="eastAsia"/>
                <w:b/>
                <w:bCs/>
                <w:color w:val="auto"/>
                <w:sz w:val="21"/>
                <w:szCs w:val="21"/>
                <w:highlight w:val="none"/>
                <w:lang w:val="en-US" w:eastAsia="zh-CN"/>
              </w:rPr>
              <w:t>依据</w:t>
            </w:r>
            <w:r>
              <w:rPr>
                <w:rFonts w:ascii="宋体" w:eastAsia="宋体" w:hAnsi="宋体" w:cs="宋体" w:hint="eastAsia"/>
                <w:b/>
                <w:bCs/>
                <w:color w:val="auto"/>
                <w:sz w:val="21"/>
                <w:szCs w:val="21"/>
                <w:highlight w:val="none"/>
              </w:rPr>
              <w:t>：</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每提供上述任意一项内容得20分，本小项累计最高得40分；</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在此基础上，专家根据各供应商的具体响应内容按照量化的评审因素指标进一步评审：</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（1）方案整体科学合理、针对性强、可操作性强，评审为优的，加60分；</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（2）方案较合理、有一定针对性、一定可操作性，评审为良的，加30分；</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（3）方案不尽合理、针对性一般、可操作性一般，评审为中的，加10分；</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hAnsi="宋体" w:cs="宋体"/>
                <w:szCs w:val="21"/>
              </w:rPr>
            </w:pPr>
            <w:r>
              <w:rPr>
                <w:rFonts w:ascii="宋体" w:eastAsia="宋体" w:hAnsi="宋体" w:cs="宋体" w:hint="eastAsia"/>
                <w:color w:val="auto"/>
                <w:sz w:val="21"/>
                <w:szCs w:val="21"/>
                <w:highlight w:val="none"/>
              </w:rPr>
              <w:t>（4）方案不合理、无针对性、无可操作性，评审为差的，加0分。</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textAlignment w:val="auto"/>
              <w:rPr>
                <w:rFonts w:ascii="宋体" w:hAnsi="宋体" w:cs="宋体"/>
                <w:b/>
                <w:bCs/>
                <w:color w:val="0000FF"/>
                <w:sz w:val="24"/>
              </w:rPr>
            </w:pPr>
          </w:p>
        </w:tc>
        <w:tc>
          <w:tcPr>
            <w:tcW w:w="373"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eastAsia="宋体" w:hAnsi="宋体" w:cs="宋体" w:hint="eastAsia"/>
                <w:szCs w:val="21"/>
                <w:lang w:val="en-US" w:eastAsia="zh-CN"/>
              </w:rPr>
            </w:pPr>
            <w:r>
              <w:rPr>
                <w:rFonts w:ascii="宋体" w:hAnsi="宋体" w:cs="宋体" w:hint="eastAsia"/>
                <w:szCs w:val="21"/>
                <w:lang w:val="en-US" w:eastAsia="zh-CN"/>
              </w:rPr>
              <w:t>4</w:t>
            </w:r>
          </w:p>
        </w:tc>
        <w:tc>
          <w:tcPr>
            <w:tcW w:w="1054"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center"/>
              <w:textAlignment w:val="auto"/>
              <w:rPr>
                <w:rFonts w:ascii="宋体" w:hAnsi="宋体" w:cs="宋体"/>
                <w:szCs w:val="21"/>
              </w:rPr>
            </w:pPr>
            <w:r>
              <w:rPr>
                <w:rFonts w:ascii="宋体" w:eastAsia="宋体" w:hAnsi="宋体" w:cs="宋体" w:hint="eastAsia"/>
                <w:color w:val="auto"/>
                <w:sz w:val="21"/>
                <w:szCs w:val="21"/>
                <w:highlight w:val="none"/>
              </w:rPr>
              <w:t>拟安排的项目负责人情况</w:t>
            </w:r>
          </w:p>
        </w:tc>
        <w:tc>
          <w:tcPr>
            <w:tcW w:w="522"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center"/>
              <w:textAlignment w:val="auto"/>
              <w:rPr>
                <w:rFonts w:ascii="宋体" w:hAnsi="宋体" w:cs="宋体"/>
                <w:szCs w:val="21"/>
              </w:rPr>
            </w:pPr>
            <w:r>
              <w:rPr>
                <w:rFonts w:ascii="宋体" w:eastAsia="宋体" w:hAnsi="宋体" w:cs="宋体" w:hint="eastAsia"/>
                <w:color w:val="auto"/>
                <w:sz w:val="21"/>
                <w:szCs w:val="21"/>
                <w:highlight w:val="none"/>
              </w:rPr>
              <w:t>10</w:t>
            </w:r>
          </w:p>
        </w:tc>
        <w:tc>
          <w:tcPr>
            <w:tcW w:w="2678"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（一）评分内容：</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拟安排本项目负责人须为投标人自有员工（以社保证明文件为准），</w:t>
            </w:r>
            <w:r>
              <w:rPr>
                <w:rFonts w:ascii="宋体" w:hAnsi="宋体" w:cs="宋体" w:hint="eastAsia"/>
                <w:color w:val="auto"/>
                <w:sz w:val="21"/>
                <w:szCs w:val="21"/>
                <w:highlight w:val="none"/>
                <w:lang w:val="en-US" w:eastAsia="zh-CN"/>
              </w:rPr>
              <w:t>否则</w:t>
            </w:r>
            <w:r>
              <w:rPr>
                <w:rFonts w:ascii="宋体" w:eastAsia="宋体" w:hAnsi="宋体" w:cs="宋体" w:hint="eastAsia"/>
                <w:color w:val="auto"/>
                <w:sz w:val="21"/>
                <w:szCs w:val="21"/>
                <w:highlight w:val="none"/>
              </w:rPr>
              <w:t>本项不得分</w:t>
            </w:r>
            <w:r>
              <w:rPr>
                <w:rFonts w:ascii="宋体" w:hAnsi="宋体" w:cs="宋体" w:hint="eastAsia"/>
                <w:color w:val="auto"/>
                <w:sz w:val="21"/>
                <w:szCs w:val="21"/>
                <w:highlight w:val="none"/>
                <w:lang w:eastAsia="zh-CN"/>
              </w:rPr>
              <w:t>，</w:t>
            </w:r>
            <w:r>
              <w:rPr>
                <w:rFonts w:ascii="宋体" w:hAnsi="宋体" w:cs="宋体" w:hint="eastAsia"/>
                <w:color w:val="auto"/>
                <w:sz w:val="21"/>
                <w:szCs w:val="21"/>
                <w:highlight w:val="none"/>
                <w:lang w:val="en-US" w:eastAsia="zh-CN"/>
              </w:rPr>
              <w:t>在此基础上：</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具有国家一级注册建筑师或注册城乡规划师</w:t>
            </w:r>
            <w:r>
              <w:rPr>
                <w:rFonts w:ascii="宋体" w:hAnsi="宋体" w:cs="宋体" w:hint="eastAsia"/>
                <w:color w:val="auto"/>
                <w:sz w:val="21"/>
                <w:szCs w:val="21"/>
                <w:highlight w:val="none"/>
                <w:lang w:val="en-US" w:eastAsia="zh-CN"/>
              </w:rPr>
              <w:t>证书</w:t>
            </w:r>
            <w:r>
              <w:rPr>
                <w:rFonts w:ascii="宋体" w:eastAsia="宋体" w:hAnsi="宋体" w:cs="宋体" w:hint="eastAsia"/>
                <w:color w:val="auto"/>
                <w:sz w:val="21"/>
                <w:szCs w:val="21"/>
                <w:highlight w:val="none"/>
              </w:rPr>
              <w:t>的，得10分</w:t>
            </w:r>
            <w:r>
              <w:rPr>
                <w:rFonts w:ascii="宋体" w:hAnsi="宋体" w:cs="宋体" w:hint="eastAsia"/>
                <w:color w:val="auto"/>
                <w:sz w:val="21"/>
                <w:szCs w:val="21"/>
                <w:highlight w:val="none"/>
                <w:lang w:eastAsia="zh-CN"/>
              </w:rPr>
              <w:t>，</w:t>
            </w:r>
            <w:r>
              <w:rPr>
                <w:rFonts w:ascii="宋体" w:hAnsi="宋体" w:cs="宋体" w:hint="eastAsia"/>
                <w:color w:val="auto"/>
                <w:sz w:val="21"/>
                <w:szCs w:val="21"/>
                <w:highlight w:val="none"/>
                <w:lang w:val="en-US" w:eastAsia="zh-CN"/>
              </w:rPr>
              <w:t>本小项最高得10分</w:t>
            </w:r>
            <w:r>
              <w:rPr>
                <w:rFonts w:ascii="宋体" w:eastAsia="宋体" w:hAnsi="宋体" w:cs="宋体" w:hint="eastAsia"/>
                <w:color w:val="auto"/>
                <w:sz w:val="21"/>
                <w:szCs w:val="21"/>
                <w:highlight w:val="none"/>
              </w:rPr>
              <w:t>；</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具有高级工程师职称的，得10分</w:t>
            </w:r>
            <w:r>
              <w:rPr>
                <w:rFonts w:ascii="宋体" w:hAnsi="宋体" w:cs="宋体" w:hint="eastAsia"/>
                <w:color w:val="auto"/>
                <w:sz w:val="21"/>
                <w:szCs w:val="21"/>
                <w:highlight w:val="none"/>
                <w:lang w:eastAsia="zh-CN"/>
              </w:rPr>
              <w:t>，</w:t>
            </w:r>
            <w:r>
              <w:rPr>
                <w:rFonts w:ascii="宋体" w:hAnsi="宋体" w:cs="宋体" w:hint="eastAsia"/>
                <w:color w:val="auto"/>
                <w:sz w:val="21"/>
                <w:szCs w:val="21"/>
                <w:highlight w:val="none"/>
                <w:lang w:val="en-US" w:eastAsia="zh-CN"/>
              </w:rPr>
              <w:t>本小项最高得10分</w:t>
            </w:r>
            <w:r>
              <w:rPr>
                <w:rFonts w:ascii="宋体" w:eastAsia="宋体" w:hAnsi="宋体" w:cs="宋体" w:hint="eastAsia"/>
                <w:color w:val="auto"/>
                <w:sz w:val="21"/>
                <w:szCs w:val="21"/>
                <w:highlight w:val="none"/>
              </w:rPr>
              <w:t>；</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3</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具有</w:t>
            </w:r>
            <w:r>
              <w:rPr>
                <w:rFonts w:ascii="宋体" w:hAnsi="宋体" w:cs="宋体" w:hint="eastAsia"/>
                <w:color w:val="auto"/>
                <w:sz w:val="21"/>
                <w:szCs w:val="21"/>
                <w:highlight w:val="none"/>
                <w:lang w:val="en-US" w:eastAsia="zh-CN"/>
              </w:rPr>
              <w:t>专业为</w:t>
            </w:r>
            <w:r>
              <w:rPr>
                <w:rFonts w:ascii="宋体" w:eastAsia="宋体" w:hAnsi="宋体" w:cs="宋体" w:hint="eastAsia"/>
                <w:color w:val="auto"/>
                <w:sz w:val="21"/>
                <w:szCs w:val="21"/>
                <w:highlight w:val="none"/>
              </w:rPr>
              <w:t>建筑工程类或城市（城乡）规划类本科</w:t>
            </w:r>
            <w:r>
              <w:rPr>
                <w:rFonts w:ascii="宋体" w:hAnsi="宋体" w:cs="宋体" w:hint="eastAsia"/>
                <w:color w:val="auto"/>
                <w:sz w:val="21"/>
                <w:szCs w:val="21"/>
                <w:highlight w:val="none"/>
                <w:lang w:eastAsia="zh-CN"/>
              </w:rPr>
              <w:t>（</w:t>
            </w:r>
            <w:r>
              <w:rPr>
                <w:rFonts w:ascii="宋体" w:hAnsi="宋体" w:cs="宋体" w:hint="eastAsia"/>
                <w:color w:val="auto"/>
                <w:sz w:val="21"/>
                <w:szCs w:val="21"/>
                <w:highlight w:val="none"/>
                <w:lang w:val="en-US" w:eastAsia="zh-CN"/>
              </w:rPr>
              <w:t>或</w:t>
            </w:r>
            <w:r>
              <w:rPr>
                <w:rFonts w:ascii="宋体" w:eastAsia="宋体" w:hAnsi="宋体" w:cs="宋体" w:hint="eastAsia"/>
                <w:color w:val="auto"/>
                <w:sz w:val="21"/>
                <w:szCs w:val="21"/>
                <w:highlight w:val="none"/>
              </w:rPr>
              <w:t>以上</w:t>
            </w:r>
            <w:r>
              <w:rPr>
                <w:rFonts w:ascii="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学历的，得10分</w:t>
            </w:r>
            <w:r>
              <w:rPr>
                <w:rFonts w:ascii="宋体" w:hAnsi="宋体" w:cs="宋体" w:hint="eastAsia"/>
                <w:color w:val="auto"/>
                <w:sz w:val="21"/>
                <w:szCs w:val="21"/>
                <w:highlight w:val="none"/>
                <w:lang w:eastAsia="zh-CN"/>
              </w:rPr>
              <w:t>，</w:t>
            </w:r>
            <w:r>
              <w:rPr>
                <w:rFonts w:ascii="宋体" w:hAnsi="宋体" w:cs="宋体" w:hint="eastAsia"/>
                <w:color w:val="auto"/>
                <w:sz w:val="21"/>
                <w:szCs w:val="21"/>
                <w:highlight w:val="none"/>
                <w:lang w:val="en-US" w:eastAsia="zh-CN"/>
              </w:rPr>
              <w:t>本小项最高得10分</w:t>
            </w:r>
            <w:r>
              <w:rPr>
                <w:rFonts w:ascii="宋体" w:eastAsia="宋体" w:hAnsi="宋体" w:cs="宋体" w:hint="eastAsia"/>
                <w:color w:val="auto"/>
                <w:sz w:val="21"/>
                <w:szCs w:val="21"/>
                <w:highlight w:val="none"/>
              </w:rPr>
              <w:t>；</w:t>
            </w:r>
          </w:p>
          <w:p>
            <w:pPr>
              <w:pStyle w:val="BodyText"/>
              <w:keepNext w:val="0"/>
              <w:keepLines w:val="0"/>
              <w:pageBreakBefore w:val="0"/>
              <w:widowControl w:val="0"/>
              <w:kinsoku/>
              <w:overflowPunct/>
              <w:topLinePunct w:val="0"/>
              <w:autoSpaceDE/>
              <w:autoSpaceDN/>
              <w:bidi w:val="0"/>
              <w:adjustRightInd/>
              <w:snapToGrid/>
              <w:spacing w:line="240" w:lineRule="auto"/>
              <w:ind w:left="0"/>
              <w:textAlignment w:val="auto"/>
              <w:rPr>
                <w:rFonts w:ascii="宋体" w:eastAsia="宋体" w:hAnsi="宋体" w:cs="宋体" w:hint="eastAsia"/>
                <w:b w:val="0"/>
                <w:bCs w:val="0"/>
                <w:color w:val="auto"/>
                <w:kern w:val="2"/>
                <w:sz w:val="21"/>
                <w:szCs w:val="21"/>
                <w:highlight w:val="none"/>
                <w:lang w:eastAsia="zh-CN"/>
              </w:rPr>
            </w:pPr>
            <w:r>
              <w:rPr>
                <w:rFonts w:ascii="宋体" w:eastAsia="宋体" w:hAnsi="宋体" w:cs="宋体" w:hint="eastAsia"/>
                <w:b w:val="0"/>
                <w:bCs w:val="0"/>
                <w:color w:val="auto"/>
                <w:kern w:val="2"/>
                <w:sz w:val="21"/>
                <w:szCs w:val="21"/>
                <w:highlight w:val="none"/>
                <w:lang w:eastAsia="zh-CN"/>
              </w:rPr>
              <w:t>4</w:t>
            </w:r>
            <w:r>
              <w:rPr>
                <w:rFonts w:ascii="宋体" w:hAnsi="宋体" w:cs="宋体" w:hint="eastAsia"/>
                <w:b w:val="0"/>
                <w:bCs w:val="0"/>
                <w:color w:val="auto"/>
                <w:kern w:val="2"/>
                <w:sz w:val="21"/>
                <w:szCs w:val="21"/>
                <w:highlight w:val="none"/>
                <w:lang w:val="en-US" w:eastAsia="zh-CN"/>
              </w:rPr>
              <w:t>.</w:t>
            </w:r>
            <w:r>
              <w:rPr>
                <w:rFonts w:ascii="宋体" w:eastAsia="宋体" w:hAnsi="宋体" w:cs="宋体" w:hint="eastAsia"/>
                <w:b w:val="0"/>
                <w:bCs w:val="0"/>
                <w:color w:val="auto"/>
                <w:kern w:val="2"/>
                <w:sz w:val="21"/>
                <w:szCs w:val="21"/>
                <w:highlight w:val="none"/>
                <w:lang w:eastAsia="zh-CN"/>
              </w:rPr>
              <w:t>具有</w:t>
            </w:r>
            <w:r>
              <w:rPr>
                <w:rFonts w:ascii="宋体" w:hAnsi="宋体" w:cs="宋体" w:hint="default"/>
                <w:b w:val="0"/>
                <w:bCs w:val="0"/>
                <w:color w:val="auto"/>
                <w:kern w:val="2"/>
                <w:sz w:val="21"/>
                <w:szCs w:val="21"/>
                <w:highlight w:val="none"/>
                <w:lang w:eastAsia="zh-CN"/>
              </w:rPr>
              <w:t>省</w:t>
            </w:r>
            <w:r>
              <w:rPr>
                <w:rFonts w:ascii="宋体" w:eastAsia="宋体" w:hAnsi="宋体" w:cs="宋体" w:hint="eastAsia"/>
                <w:b w:val="0"/>
                <w:bCs w:val="0"/>
                <w:color w:val="auto"/>
                <w:kern w:val="2"/>
                <w:sz w:val="21"/>
                <w:szCs w:val="21"/>
                <w:highlight w:val="none"/>
                <w:lang w:eastAsia="zh-CN"/>
              </w:rPr>
              <w:t>级</w:t>
            </w:r>
            <w:r>
              <w:rPr>
                <w:rFonts w:ascii="宋体" w:hAnsi="宋体" w:cs="宋体" w:hint="eastAsia"/>
                <w:b w:val="0"/>
                <w:bCs w:val="0"/>
                <w:color w:val="auto"/>
                <w:kern w:val="2"/>
                <w:sz w:val="21"/>
                <w:szCs w:val="21"/>
                <w:highlight w:val="none"/>
                <w:lang w:eastAsia="zh-CN"/>
              </w:rPr>
              <w:t>（</w:t>
            </w:r>
            <w:r>
              <w:rPr>
                <w:rFonts w:ascii="宋体" w:hAnsi="宋体" w:cs="宋体" w:hint="eastAsia"/>
                <w:b w:val="0"/>
                <w:bCs w:val="0"/>
                <w:color w:val="auto"/>
                <w:kern w:val="2"/>
                <w:sz w:val="21"/>
                <w:szCs w:val="21"/>
                <w:highlight w:val="none"/>
                <w:lang w:val="en-US" w:eastAsia="zh-CN"/>
              </w:rPr>
              <w:t>或以上</w:t>
            </w:r>
            <w:r>
              <w:rPr>
                <w:rFonts w:ascii="宋体" w:hAnsi="宋体" w:cs="宋体" w:hint="eastAsia"/>
                <w:b w:val="0"/>
                <w:bCs w:val="0"/>
                <w:color w:val="auto"/>
                <w:kern w:val="2"/>
                <w:sz w:val="21"/>
                <w:szCs w:val="21"/>
                <w:highlight w:val="none"/>
                <w:lang w:eastAsia="zh-CN"/>
              </w:rPr>
              <w:t>）</w:t>
            </w:r>
            <w:r>
              <w:rPr>
                <w:rFonts w:ascii="宋体" w:hAnsi="宋体" w:cs="宋体" w:hint="eastAsia"/>
                <w:b w:val="0"/>
                <w:bCs w:val="0"/>
                <w:color w:val="auto"/>
                <w:kern w:val="2"/>
                <w:sz w:val="21"/>
                <w:szCs w:val="21"/>
                <w:highlight w:val="none"/>
                <w:lang w:val="en-US" w:eastAsia="zh-CN"/>
              </w:rPr>
              <w:t>政府部门或事业单位或注册地为省级</w:t>
            </w:r>
            <w:r>
              <w:rPr>
                <w:rFonts w:ascii="宋体" w:hAnsi="宋体" w:cs="宋体" w:hint="eastAsia"/>
                <w:b w:val="0"/>
                <w:bCs w:val="0"/>
                <w:color w:val="auto"/>
                <w:kern w:val="2"/>
                <w:sz w:val="21"/>
                <w:szCs w:val="21"/>
                <w:highlight w:val="none"/>
                <w:lang w:eastAsia="zh-CN"/>
              </w:rPr>
              <w:t>（</w:t>
            </w:r>
            <w:r>
              <w:rPr>
                <w:rFonts w:ascii="宋体" w:hAnsi="宋体" w:cs="宋体" w:hint="eastAsia"/>
                <w:b w:val="0"/>
                <w:bCs w:val="0"/>
                <w:color w:val="auto"/>
                <w:kern w:val="2"/>
                <w:sz w:val="21"/>
                <w:szCs w:val="21"/>
                <w:highlight w:val="none"/>
                <w:lang w:val="en-US" w:eastAsia="zh-CN"/>
              </w:rPr>
              <w:t>或以上</w:t>
            </w:r>
            <w:r>
              <w:rPr>
                <w:rFonts w:ascii="宋体" w:hAnsi="宋体" w:cs="宋体" w:hint="eastAsia"/>
                <w:b w:val="0"/>
                <w:bCs w:val="0"/>
                <w:color w:val="auto"/>
                <w:kern w:val="2"/>
                <w:sz w:val="21"/>
                <w:szCs w:val="21"/>
                <w:highlight w:val="none"/>
                <w:lang w:eastAsia="zh-CN"/>
              </w:rPr>
              <w:t>）</w:t>
            </w:r>
            <w:r>
              <w:rPr>
                <w:rFonts w:ascii="宋体" w:hAnsi="宋体" w:cs="宋体" w:hint="eastAsia"/>
                <w:b w:val="0"/>
                <w:bCs w:val="0"/>
                <w:color w:val="auto"/>
                <w:kern w:val="2"/>
                <w:sz w:val="21"/>
                <w:szCs w:val="21"/>
                <w:highlight w:val="none"/>
                <w:lang w:val="en-US" w:eastAsia="zh-CN"/>
              </w:rPr>
              <w:t>民政部门的地方性行业协会（学会）</w:t>
            </w:r>
            <w:r>
              <w:rPr>
                <w:rFonts w:ascii="宋体" w:eastAsia="宋体" w:hAnsi="宋体" w:cs="宋体" w:hint="eastAsia"/>
                <w:b w:val="0"/>
                <w:bCs w:val="0"/>
                <w:color w:val="auto"/>
                <w:kern w:val="2"/>
                <w:sz w:val="21"/>
                <w:szCs w:val="21"/>
                <w:highlight w:val="none"/>
                <w:lang w:eastAsia="zh-CN"/>
              </w:rPr>
              <w:t>颁发的工程勘察设计（或工程设计）大师证书的，得20分，本小项最高得</w:t>
            </w:r>
            <w:r>
              <w:rPr>
                <w:rFonts w:ascii="宋体" w:hAnsi="宋体" w:cs="宋体" w:hint="eastAsia"/>
                <w:b w:val="0"/>
                <w:bCs w:val="0"/>
                <w:color w:val="auto"/>
                <w:kern w:val="2"/>
                <w:sz w:val="21"/>
                <w:szCs w:val="21"/>
                <w:highlight w:val="none"/>
                <w:lang w:val="en-US" w:eastAsia="zh-CN"/>
              </w:rPr>
              <w:t>2</w:t>
            </w:r>
            <w:r>
              <w:rPr>
                <w:rFonts w:ascii="宋体" w:eastAsia="宋体" w:hAnsi="宋体" w:cs="宋体" w:hint="eastAsia"/>
                <w:b w:val="0"/>
                <w:bCs w:val="0"/>
                <w:color w:val="auto"/>
                <w:kern w:val="2"/>
                <w:sz w:val="21"/>
                <w:szCs w:val="21"/>
                <w:highlight w:val="none"/>
                <w:lang w:eastAsia="zh-CN"/>
              </w:rPr>
              <w:t>0分；</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5</w:t>
            </w:r>
            <w:r>
              <w:rPr>
                <w:rFonts w:ascii="宋体" w:hAnsi="宋体" w:cs="宋体" w:hint="eastAsia"/>
                <w:color w:val="auto"/>
                <w:sz w:val="21"/>
                <w:szCs w:val="21"/>
                <w:highlight w:val="none"/>
                <w:lang w:val="en-US" w:eastAsia="zh-CN"/>
              </w:rPr>
              <w:t>.自</w:t>
            </w:r>
            <w:r>
              <w:rPr>
                <w:rFonts w:ascii="宋体" w:eastAsia="宋体" w:hAnsi="宋体" w:cs="宋体" w:hint="eastAsia"/>
                <w:color w:val="auto"/>
                <w:sz w:val="21"/>
                <w:szCs w:val="21"/>
                <w:highlight w:val="none"/>
              </w:rPr>
              <w:t>2013年1月1日起至本项目投标截止之日（以合同签订时间为准）</w:t>
            </w:r>
            <w:r>
              <w:rPr>
                <w:rFonts w:ascii="宋体" w:hAnsi="宋体" w:cs="宋体" w:hint="eastAsia"/>
                <w:color w:val="auto"/>
                <w:sz w:val="21"/>
                <w:szCs w:val="21"/>
                <w:highlight w:val="none"/>
                <w:lang w:eastAsia="zh-CN"/>
              </w:rPr>
              <w:t>，</w:t>
            </w:r>
            <w:r>
              <w:rPr>
                <w:rFonts w:ascii="宋体" w:hAnsi="宋体" w:cs="宋体" w:hint="eastAsia"/>
                <w:color w:val="auto"/>
                <w:sz w:val="21"/>
                <w:szCs w:val="21"/>
                <w:highlight w:val="none"/>
                <w:lang w:val="en-US" w:eastAsia="zh-CN"/>
              </w:rPr>
              <w:t>具有</w:t>
            </w:r>
            <w:r>
              <w:rPr>
                <w:rFonts w:ascii="宋体" w:eastAsia="宋体" w:hAnsi="宋体" w:cs="宋体" w:hint="eastAsia"/>
                <w:color w:val="auto"/>
                <w:sz w:val="21"/>
                <w:szCs w:val="21"/>
                <w:highlight w:val="none"/>
              </w:rPr>
              <w:t>以下同类型项目的项目负责人</w:t>
            </w:r>
            <w:r>
              <w:rPr>
                <w:rFonts w:ascii="宋体" w:hAnsi="宋体" w:cs="宋体" w:hint="eastAsia"/>
                <w:color w:val="auto"/>
                <w:sz w:val="21"/>
                <w:szCs w:val="21"/>
                <w:highlight w:val="none"/>
                <w:lang w:val="en-US" w:eastAsia="zh-CN"/>
              </w:rPr>
              <w:t>经验</w:t>
            </w:r>
            <w:r>
              <w:rPr>
                <w:rFonts w:ascii="宋体" w:eastAsia="宋体" w:hAnsi="宋体" w:cs="宋体" w:hint="eastAsia"/>
                <w:color w:val="auto"/>
                <w:sz w:val="21"/>
                <w:szCs w:val="21"/>
                <w:highlight w:val="none"/>
              </w:rPr>
              <w:t>（签订合同即视为有效业绩）：</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eastAsia="宋体" w:hAnsi="宋体" w:cs="宋体" w:hint="eastAsia"/>
                <w:color w:val="auto"/>
                <w:sz w:val="21"/>
                <w:szCs w:val="21"/>
                <w:highlight w:val="none"/>
              </w:rPr>
            </w:pPr>
            <w:r>
              <w:rPr>
                <w:rFonts w:ascii="宋体" w:hAnsi="宋体" w:cs="宋体" w:hint="eastAsia"/>
                <w:color w:val="auto"/>
                <w:sz w:val="21"/>
                <w:szCs w:val="21"/>
                <w:highlight w:val="none"/>
                <w:lang w:val="en-US" w:eastAsia="zh-CN"/>
              </w:rPr>
              <w:t>①</w:t>
            </w:r>
            <w:r>
              <w:rPr>
                <w:rFonts w:ascii="宋体" w:eastAsia="宋体" w:hAnsi="宋体" w:cs="宋体" w:hint="eastAsia"/>
                <w:color w:val="auto"/>
                <w:sz w:val="21"/>
                <w:szCs w:val="21"/>
                <w:highlight w:val="none"/>
              </w:rPr>
              <w:t>非生物产业或海洋产业或食品产业</w:t>
            </w:r>
            <w:r>
              <w:rPr>
                <w:rFonts w:ascii="宋体" w:hAnsi="宋体" w:cs="宋体" w:hint="default"/>
                <w:color w:val="auto"/>
                <w:sz w:val="21"/>
                <w:szCs w:val="21"/>
                <w:highlight w:val="none"/>
              </w:rPr>
              <w:t>类别</w:t>
            </w:r>
            <w:r>
              <w:rPr>
                <w:rFonts w:ascii="宋体" w:eastAsia="宋体" w:hAnsi="宋体" w:cs="宋体" w:hint="eastAsia"/>
                <w:color w:val="auto"/>
                <w:sz w:val="21"/>
                <w:szCs w:val="21"/>
                <w:highlight w:val="none"/>
              </w:rPr>
              <w:t>产业园（或工业园）规划设计或城市设计或建筑设计业绩，每提供1个有效业绩</w:t>
            </w:r>
            <w:r>
              <w:rPr>
                <w:rFonts w:ascii="宋体" w:hAnsi="宋体" w:cs="宋体" w:hint="eastAsia"/>
                <w:color w:val="auto"/>
                <w:sz w:val="21"/>
                <w:szCs w:val="21"/>
                <w:highlight w:val="none"/>
                <w:lang w:val="en-US" w:eastAsia="zh-CN"/>
              </w:rPr>
              <w:t>经验</w:t>
            </w:r>
            <w:r>
              <w:rPr>
                <w:rFonts w:ascii="宋体" w:eastAsia="宋体" w:hAnsi="宋体" w:cs="宋体" w:hint="eastAsia"/>
                <w:color w:val="auto"/>
                <w:sz w:val="21"/>
                <w:szCs w:val="21"/>
                <w:highlight w:val="none"/>
              </w:rPr>
              <w:t>得20分，本小项最高得20分；</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eastAsia="宋体" w:hAnsi="宋体" w:cs="宋体" w:hint="eastAsia"/>
                <w:color w:val="auto"/>
                <w:sz w:val="21"/>
                <w:szCs w:val="21"/>
                <w:highlight w:val="none"/>
              </w:rPr>
            </w:pPr>
            <w:r>
              <w:rPr>
                <w:rFonts w:ascii="宋体" w:hAnsi="宋体" w:cs="宋体" w:hint="eastAsia"/>
                <w:color w:val="auto"/>
                <w:sz w:val="21"/>
                <w:szCs w:val="21"/>
                <w:highlight w:val="none"/>
                <w:lang w:val="en-US" w:eastAsia="zh-CN"/>
              </w:rPr>
              <w:t>②</w:t>
            </w:r>
            <w:r>
              <w:rPr>
                <w:rFonts w:ascii="宋体" w:eastAsia="宋体" w:hAnsi="宋体" w:cs="宋体" w:hint="eastAsia"/>
                <w:color w:val="auto"/>
                <w:sz w:val="21"/>
                <w:szCs w:val="21"/>
                <w:highlight w:val="none"/>
              </w:rPr>
              <w:t>生物产业或海洋产业或食品产业类别产业园（或工业园）规划设计或城市设计或建筑设计业绩，每提供1个有效业绩</w:t>
            </w:r>
            <w:r>
              <w:rPr>
                <w:rFonts w:ascii="宋体" w:hAnsi="宋体" w:cs="宋体" w:hint="eastAsia"/>
                <w:color w:val="auto"/>
                <w:sz w:val="21"/>
                <w:szCs w:val="21"/>
                <w:highlight w:val="none"/>
                <w:lang w:val="en-US" w:eastAsia="zh-CN"/>
              </w:rPr>
              <w:t>经验</w:t>
            </w:r>
            <w:r>
              <w:rPr>
                <w:rFonts w:ascii="宋体" w:eastAsia="宋体" w:hAnsi="宋体" w:cs="宋体" w:hint="eastAsia"/>
                <w:color w:val="auto"/>
                <w:sz w:val="21"/>
                <w:szCs w:val="21"/>
                <w:highlight w:val="none"/>
              </w:rPr>
              <w:t>得30分，本小项最高得30分；</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以上五项累计得分，满分100分。</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w:t>
            </w:r>
            <w:r>
              <w:rPr>
                <w:rFonts w:ascii="宋体" w:hAnsi="宋体" w:cs="宋体" w:hint="eastAsia"/>
                <w:b/>
                <w:bCs/>
                <w:color w:val="auto"/>
                <w:sz w:val="21"/>
                <w:szCs w:val="21"/>
                <w:highlight w:val="none"/>
                <w:lang w:val="en-US" w:eastAsia="zh-CN"/>
              </w:rPr>
              <w:t>二</w:t>
            </w:r>
            <w:r>
              <w:rPr>
                <w:rFonts w:ascii="宋体" w:eastAsia="宋体" w:hAnsi="宋体" w:cs="宋体" w:hint="eastAsia"/>
                <w:b/>
                <w:bCs/>
                <w:color w:val="auto"/>
                <w:sz w:val="21"/>
                <w:szCs w:val="21"/>
                <w:highlight w:val="none"/>
              </w:rPr>
              <w:t>）评分</w:t>
            </w:r>
            <w:r>
              <w:rPr>
                <w:rFonts w:ascii="宋体" w:hAnsi="宋体" w:cs="宋体" w:hint="eastAsia"/>
                <w:b/>
                <w:bCs/>
                <w:color w:val="auto"/>
                <w:sz w:val="21"/>
                <w:szCs w:val="21"/>
                <w:highlight w:val="none"/>
                <w:lang w:val="en-US" w:eastAsia="zh-CN"/>
              </w:rPr>
              <w:t>依据</w:t>
            </w:r>
            <w:r>
              <w:rPr>
                <w:rFonts w:ascii="宋体" w:eastAsia="宋体" w:hAnsi="宋体" w:cs="宋体" w:hint="eastAsia"/>
                <w:b/>
                <w:bCs/>
                <w:color w:val="auto"/>
                <w:sz w:val="21"/>
                <w:szCs w:val="21"/>
                <w:highlight w:val="none"/>
              </w:rPr>
              <w:t>：</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①提供证书扫描件作为得分依据；</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②学历证书还需提供学信网查询记录，对于较早颁发的学历学位证书，学信网无法查询的，除提供证书扫描件、注明原件备查外，可提供其他佐证材料（如毕业院校、人社部门等颁发机构或监管机构等单位出具的证明）作为得分依据；留学归国人员如无法提供学信网查询记录截图，提供国（境）外学历证书扫描件（以及中文翻译件）和教育部留学服务中心出具的国外学历学位认证书扫描件【或教育部留学服务中心网站（http://zwfw.cscse.edu.cn/）在线查询截图】也予以认可；</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③项目经验证明材料需提供设计合同关键页（至少包含以下内容：合同</w:t>
            </w:r>
            <w:r>
              <w:rPr>
                <w:rFonts w:ascii="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项目</w:t>
            </w:r>
            <w:r>
              <w:rPr>
                <w:rFonts w:ascii="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名称、合同签订时间、合同签章页、建设规模及内容、设计阶段等关键信息），如合同中无法体现人员信息的，可同时提供合同甲方出具的证明文件进行佐证；或者提供有出图章的图纸（至少包含以下内容：项目名称、图纸名称、设计阶段、出图章、</w:t>
            </w:r>
            <w:r>
              <w:rPr>
                <w:rFonts w:ascii="宋体" w:eastAsia="宋体" w:hAnsi="宋体" w:cs="宋体" w:hint="default"/>
                <w:color w:val="auto"/>
                <w:sz w:val="21"/>
                <w:szCs w:val="21"/>
                <w:highlight w:val="none"/>
                <w:lang w:val="en-US"/>
              </w:rPr>
              <w:t>拟派人</w:t>
            </w:r>
            <w:r>
              <w:rPr>
                <w:rFonts w:ascii="宋体" w:eastAsia="宋体" w:hAnsi="宋体" w:cs="宋体" w:hint="eastAsia"/>
                <w:color w:val="auto"/>
                <w:sz w:val="21"/>
                <w:szCs w:val="21"/>
                <w:highlight w:val="none"/>
              </w:rPr>
              <w:t>姓名、职务名称等关键信息）。</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同时提供投标截止日前投标人缴纳的近3个月（由于社保部门原因最近一个月的社保证明无法提供的可往前顺延一个月）的社保证明作为自有员工的证明依据；如供应商为新成立企业且成立时间不足三个月可提供情况说明或证明材料亦视为符合；</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hAnsi="宋体" w:cs="宋体"/>
                <w:szCs w:val="21"/>
              </w:rPr>
            </w:pPr>
            <w:r>
              <w:rPr>
                <w:rFonts w:ascii="宋体" w:eastAsia="宋体" w:hAnsi="宋体" w:cs="宋体" w:hint="eastAsia"/>
                <w:color w:val="auto"/>
                <w:sz w:val="21"/>
                <w:szCs w:val="21"/>
                <w:highlight w:val="none"/>
              </w:rPr>
              <w:t>3</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以上资料原件备查，评分中出现无证明资料或者专家无法凭所提供资料判断是否得分的情况，一律做不得分处理。</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textAlignment w:val="auto"/>
              <w:rPr>
                <w:rFonts w:ascii="宋体" w:hAnsi="宋体" w:cs="宋体"/>
                <w:b/>
                <w:bCs/>
                <w:color w:val="0000FF"/>
                <w:sz w:val="24"/>
              </w:rPr>
            </w:pPr>
          </w:p>
        </w:tc>
        <w:tc>
          <w:tcPr>
            <w:tcW w:w="373"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eastAsia="宋体" w:hAnsi="宋体" w:cs="宋体" w:hint="eastAsia"/>
                <w:szCs w:val="21"/>
                <w:lang w:val="en-US" w:eastAsia="zh-CN"/>
              </w:rPr>
            </w:pPr>
            <w:r>
              <w:rPr>
                <w:rFonts w:ascii="宋体" w:hAnsi="宋体" w:cs="宋体" w:hint="eastAsia"/>
                <w:szCs w:val="21"/>
                <w:lang w:val="en-US" w:eastAsia="zh-CN"/>
              </w:rPr>
              <w:t>5</w:t>
            </w:r>
          </w:p>
        </w:tc>
        <w:tc>
          <w:tcPr>
            <w:tcW w:w="1054"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center"/>
              <w:textAlignment w:val="auto"/>
              <w:rPr>
                <w:rFonts w:ascii="宋体" w:hAnsi="宋体" w:cs="宋体"/>
                <w:szCs w:val="21"/>
              </w:rPr>
            </w:pPr>
            <w:r>
              <w:rPr>
                <w:rFonts w:ascii="宋体" w:eastAsia="宋体" w:hAnsi="宋体" w:cs="宋体" w:hint="eastAsia"/>
                <w:color w:val="auto"/>
                <w:sz w:val="21"/>
                <w:szCs w:val="21"/>
                <w:highlight w:val="none"/>
              </w:rPr>
              <w:t>拟安排的项目团队成员情况（项目负责人除外）</w:t>
            </w:r>
          </w:p>
        </w:tc>
        <w:tc>
          <w:tcPr>
            <w:tcW w:w="522"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center"/>
              <w:textAlignment w:val="auto"/>
              <w:rPr>
                <w:rFonts w:ascii="宋体" w:hAnsi="宋体" w:cs="宋体"/>
                <w:szCs w:val="21"/>
              </w:rPr>
            </w:pPr>
            <w:r>
              <w:rPr>
                <w:rFonts w:ascii="宋体" w:eastAsia="宋体" w:hAnsi="宋体" w:cs="宋体" w:hint="eastAsia"/>
                <w:color w:val="auto"/>
                <w:sz w:val="21"/>
                <w:szCs w:val="21"/>
                <w:highlight w:val="none"/>
              </w:rPr>
              <w:t>10</w:t>
            </w:r>
          </w:p>
        </w:tc>
        <w:tc>
          <w:tcPr>
            <w:tcW w:w="2678"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（一）评分内容：</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拟安排项目团队成员（项目负责人除外）须为投标人自有员工（以社保证明文件为准），否则本项不得分，在此基础上：</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具有国家一级注册建筑师或注册城乡规划师</w:t>
            </w:r>
            <w:r>
              <w:rPr>
                <w:rFonts w:ascii="宋体" w:hAnsi="宋体" w:cs="宋体" w:hint="eastAsia"/>
                <w:color w:val="auto"/>
                <w:sz w:val="21"/>
                <w:szCs w:val="21"/>
                <w:highlight w:val="none"/>
                <w:lang w:val="en-US" w:eastAsia="zh-CN"/>
              </w:rPr>
              <w:t>证书</w:t>
            </w:r>
            <w:r>
              <w:rPr>
                <w:rFonts w:ascii="宋体" w:eastAsia="宋体" w:hAnsi="宋体" w:cs="宋体" w:hint="eastAsia"/>
                <w:color w:val="auto"/>
                <w:sz w:val="21"/>
                <w:szCs w:val="21"/>
                <w:highlight w:val="none"/>
              </w:rPr>
              <w:t>的，每提供一人得20分，本</w:t>
            </w:r>
            <w:r>
              <w:rPr>
                <w:rFonts w:ascii="宋体" w:hAnsi="宋体" w:cs="宋体" w:hint="eastAsia"/>
                <w:color w:val="auto"/>
                <w:sz w:val="21"/>
                <w:szCs w:val="21"/>
                <w:highlight w:val="none"/>
                <w:lang w:val="en-US" w:eastAsia="zh-CN"/>
              </w:rPr>
              <w:t>小</w:t>
            </w:r>
            <w:r>
              <w:rPr>
                <w:rFonts w:ascii="宋体" w:eastAsia="宋体" w:hAnsi="宋体" w:cs="宋体" w:hint="eastAsia"/>
                <w:color w:val="auto"/>
                <w:sz w:val="21"/>
                <w:szCs w:val="21"/>
                <w:highlight w:val="none"/>
              </w:rPr>
              <w:t>项最高得80分</w:t>
            </w:r>
            <w:r>
              <w:rPr>
                <w:rFonts w:ascii="宋体" w:hAnsi="宋体" w:cs="宋体" w:hint="eastAsia"/>
                <w:color w:val="auto"/>
                <w:sz w:val="21"/>
                <w:szCs w:val="21"/>
                <w:highlight w:val="none"/>
                <w:lang w:eastAsia="zh-CN"/>
              </w:rPr>
              <w:t>，</w:t>
            </w:r>
            <w:r>
              <w:rPr>
                <w:rFonts w:ascii="宋体" w:hAnsi="宋体" w:cs="宋体" w:hint="eastAsia"/>
                <w:color w:val="auto"/>
                <w:sz w:val="21"/>
                <w:szCs w:val="21"/>
                <w:highlight w:val="none"/>
                <w:lang w:val="en-US" w:eastAsia="zh-CN"/>
              </w:rPr>
              <w:t>同一人具有多项证书不能累计得分</w:t>
            </w:r>
            <w:r>
              <w:rPr>
                <w:rFonts w:ascii="宋体" w:eastAsia="宋体" w:hAnsi="宋体" w:cs="宋体" w:hint="eastAsia"/>
                <w:color w:val="auto"/>
                <w:sz w:val="21"/>
                <w:szCs w:val="21"/>
                <w:highlight w:val="none"/>
              </w:rPr>
              <w:t>；</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2</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具有</w:t>
            </w:r>
            <w:r>
              <w:rPr>
                <w:rFonts w:ascii="宋体" w:eastAsia="宋体" w:hAnsi="宋体" w:cs="宋体" w:hint="eastAsia"/>
                <w:b w:val="0"/>
                <w:bCs w:val="0"/>
                <w:color w:val="auto"/>
                <w:kern w:val="2"/>
                <w:sz w:val="21"/>
                <w:szCs w:val="21"/>
                <w:highlight w:val="none"/>
                <w:lang w:eastAsia="zh-CN"/>
              </w:rPr>
              <w:t>市级</w:t>
            </w:r>
            <w:r>
              <w:rPr>
                <w:rFonts w:ascii="宋体" w:hAnsi="宋体" w:cs="宋体" w:hint="eastAsia"/>
                <w:b w:val="0"/>
                <w:bCs w:val="0"/>
                <w:color w:val="auto"/>
                <w:kern w:val="2"/>
                <w:sz w:val="21"/>
                <w:szCs w:val="21"/>
                <w:highlight w:val="none"/>
                <w:lang w:eastAsia="zh-CN"/>
              </w:rPr>
              <w:t>（</w:t>
            </w:r>
            <w:r>
              <w:rPr>
                <w:rFonts w:ascii="宋体" w:hAnsi="宋体" w:cs="宋体" w:hint="eastAsia"/>
                <w:b w:val="0"/>
                <w:bCs w:val="0"/>
                <w:color w:val="auto"/>
                <w:kern w:val="2"/>
                <w:sz w:val="21"/>
                <w:szCs w:val="21"/>
                <w:highlight w:val="none"/>
                <w:lang w:val="en-US" w:eastAsia="zh-CN"/>
              </w:rPr>
              <w:t>或以上</w:t>
            </w:r>
            <w:r>
              <w:rPr>
                <w:rFonts w:ascii="宋体" w:hAnsi="宋体" w:cs="宋体" w:hint="eastAsia"/>
                <w:b w:val="0"/>
                <w:bCs w:val="0"/>
                <w:color w:val="auto"/>
                <w:kern w:val="2"/>
                <w:sz w:val="21"/>
                <w:szCs w:val="21"/>
                <w:highlight w:val="none"/>
                <w:lang w:eastAsia="zh-CN"/>
              </w:rPr>
              <w:t>）</w:t>
            </w:r>
            <w:r>
              <w:rPr>
                <w:rFonts w:ascii="宋体" w:hAnsi="宋体" w:cs="宋体" w:hint="eastAsia"/>
                <w:b w:val="0"/>
                <w:bCs w:val="0"/>
                <w:color w:val="auto"/>
                <w:kern w:val="2"/>
                <w:sz w:val="21"/>
                <w:szCs w:val="21"/>
                <w:highlight w:val="none"/>
                <w:lang w:val="en-US" w:eastAsia="zh-CN"/>
              </w:rPr>
              <w:t>政府部门或事业单位或注册地为市级</w:t>
            </w:r>
            <w:r>
              <w:rPr>
                <w:rFonts w:ascii="宋体" w:hAnsi="宋体" w:cs="宋体" w:hint="eastAsia"/>
                <w:b w:val="0"/>
                <w:bCs w:val="0"/>
                <w:color w:val="auto"/>
                <w:kern w:val="2"/>
                <w:sz w:val="21"/>
                <w:szCs w:val="21"/>
                <w:highlight w:val="none"/>
                <w:lang w:eastAsia="zh-CN"/>
              </w:rPr>
              <w:t>（</w:t>
            </w:r>
            <w:r>
              <w:rPr>
                <w:rFonts w:ascii="宋体" w:hAnsi="宋体" w:cs="宋体" w:hint="eastAsia"/>
                <w:b w:val="0"/>
                <w:bCs w:val="0"/>
                <w:color w:val="auto"/>
                <w:kern w:val="2"/>
                <w:sz w:val="21"/>
                <w:szCs w:val="21"/>
                <w:highlight w:val="none"/>
                <w:lang w:val="en-US" w:eastAsia="zh-CN"/>
              </w:rPr>
              <w:t>或以上</w:t>
            </w:r>
            <w:r>
              <w:rPr>
                <w:rFonts w:ascii="宋体" w:hAnsi="宋体" w:cs="宋体" w:hint="eastAsia"/>
                <w:b w:val="0"/>
                <w:bCs w:val="0"/>
                <w:color w:val="auto"/>
                <w:kern w:val="2"/>
                <w:sz w:val="21"/>
                <w:szCs w:val="21"/>
                <w:highlight w:val="none"/>
                <w:lang w:eastAsia="zh-CN"/>
              </w:rPr>
              <w:t>）</w:t>
            </w:r>
            <w:r>
              <w:rPr>
                <w:rFonts w:ascii="宋体" w:hAnsi="宋体" w:cs="宋体" w:hint="eastAsia"/>
                <w:b w:val="0"/>
                <w:bCs w:val="0"/>
                <w:color w:val="auto"/>
                <w:kern w:val="2"/>
                <w:sz w:val="21"/>
                <w:szCs w:val="21"/>
                <w:highlight w:val="none"/>
                <w:lang w:val="en-US" w:eastAsia="zh-CN"/>
              </w:rPr>
              <w:t>民政部门的地方性行业协会（学会）</w:t>
            </w:r>
            <w:r>
              <w:rPr>
                <w:rFonts w:ascii="宋体" w:eastAsia="宋体" w:hAnsi="宋体" w:cs="宋体" w:hint="eastAsia"/>
                <w:color w:val="auto"/>
                <w:kern w:val="2"/>
                <w:sz w:val="21"/>
                <w:szCs w:val="21"/>
                <w:highlight w:val="none"/>
                <w:lang w:eastAsia="zh-CN"/>
              </w:rPr>
              <w:t>颁发的工程</w:t>
            </w:r>
            <w:r>
              <w:rPr>
                <w:rFonts w:ascii="宋体" w:eastAsia="宋体" w:hAnsi="宋体" w:cs="宋体" w:hint="eastAsia"/>
                <w:color w:val="auto"/>
                <w:sz w:val="21"/>
                <w:szCs w:val="21"/>
                <w:highlight w:val="none"/>
              </w:rPr>
              <w:t>勘察设计</w:t>
            </w:r>
            <w:r>
              <w:rPr>
                <w:rFonts w:ascii="宋体" w:eastAsia="宋体" w:hAnsi="宋体" w:cs="宋体" w:hint="eastAsia"/>
                <w:color w:val="auto"/>
                <w:kern w:val="2"/>
                <w:sz w:val="21"/>
                <w:szCs w:val="21"/>
                <w:highlight w:val="none"/>
                <w:lang w:eastAsia="zh-CN"/>
              </w:rPr>
              <w:t>（或工程设计）</w:t>
            </w:r>
            <w:r>
              <w:rPr>
                <w:rFonts w:ascii="宋体" w:eastAsia="宋体" w:hAnsi="宋体" w:cs="宋体" w:hint="eastAsia"/>
                <w:color w:val="auto"/>
                <w:sz w:val="21"/>
                <w:szCs w:val="21"/>
                <w:highlight w:val="none"/>
              </w:rPr>
              <w:t>大师证书的，每提供一人得20分，本</w:t>
            </w:r>
            <w:r>
              <w:rPr>
                <w:rFonts w:ascii="宋体" w:hAnsi="宋体" w:cs="宋体" w:hint="eastAsia"/>
                <w:color w:val="auto"/>
                <w:sz w:val="21"/>
                <w:szCs w:val="21"/>
                <w:highlight w:val="none"/>
                <w:lang w:val="en-US" w:eastAsia="zh-CN"/>
              </w:rPr>
              <w:t>小</w:t>
            </w:r>
            <w:r>
              <w:rPr>
                <w:rFonts w:ascii="宋体" w:eastAsia="宋体" w:hAnsi="宋体" w:cs="宋体" w:hint="eastAsia"/>
                <w:color w:val="auto"/>
                <w:sz w:val="21"/>
                <w:szCs w:val="21"/>
                <w:highlight w:val="none"/>
              </w:rPr>
              <w:t>项最高得20分</w:t>
            </w:r>
            <w:r>
              <w:rPr>
                <w:rFonts w:ascii="宋体" w:hAnsi="宋体" w:cs="宋体" w:hint="eastAsia"/>
                <w:color w:val="auto"/>
                <w:sz w:val="21"/>
                <w:szCs w:val="21"/>
                <w:highlight w:val="none"/>
                <w:lang w:eastAsia="zh-CN"/>
              </w:rPr>
              <w:t>；</w:t>
            </w:r>
          </w:p>
          <w:p>
            <w:pPr>
              <w:keepNext w:val="0"/>
              <w:keepLines w:val="0"/>
              <w:pageBreakBefore w:val="0"/>
              <w:widowControl w:val="0"/>
              <w:kinsoku/>
              <w:overflowPunct/>
              <w:topLinePunct w:val="0"/>
              <w:autoSpaceDE/>
              <w:autoSpaceDN/>
              <w:bidi w:val="0"/>
              <w:adjustRightInd/>
              <w:snapToGrid/>
              <w:spacing w:line="240" w:lineRule="auto"/>
              <w:textAlignment w:val="auto"/>
              <w:rPr>
                <w:rFonts w:eastAsia="宋体" w:hint="eastAsia"/>
                <w:lang w:val="en-US" w:eastAsia="zh-CN"/>
              </w:rPr>
            </w:pPr>
            <w:r>
              <w:rPr>
                <w:rFonts w:ascii="宋体" w:hAnsi="宋体" w:cs="宋体" w:hint="eastAsia"/>
                <w:color w:val="auto"/>
                <w:sz w:val="21"/>
                <w:szCs w:val="21"/>
                <w:highlight w:val="none"/>
                <w:lang w:val="en-US" w:eastAsia="zh-CN"/>
              </w:rPr>
              <w:t>以上两项可累计得分，最高得100分。</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w:t>
            </w:r>
            <w:r>
              <w:rPr>
                <w:rFonts w:ascii="宋体" w:hAnsi="宋体" w:cs="宋体" w:hint="eastAsia"/>
                <w:b/>
                <w:bCs/>
                <w:color w:val="auto"/>
                <w:sz w:val="21"/>
                <w:szCs w:val="21"/>
                <w:highlight w:val="none"/>
                <w:lang w:val="en-US" w:eastAsia="zh-CN"/>
              </w:rPr>
              <w:t>二</w:t>
            </w:r>
            <w:r>
              <w:rPr>
                <w:rFonts w:ascii="宋体" w:eastAsia="宋体" w:hAnsi="宋体" w:cs="宋体" w:hint="eastAsia"/>
                <w:b/>
                <w:bCs/>
                <w:color w:val="auto"/>
                <w:sz w:val="21"/>
                <w:szCs w:val="21"/>
                <w:highlight w:val="none"/>
              </w:rPr>
              <w:t>）评分</w:t>
            </w:r>
            <w:r>
              <w:rPr>
                <w:rFonts w:ascii="宋体" w:hAnsi="宋体" w:cs="宋体" w:hint="eastAsia"/>
                <w:b/>
                <w:bCs/>
                <w:color w:val="auto"/>
                <w:sz w:val="21"/>
                <w:szCs w:val="21"/>
                <w:highlight w:val="none"/>
                <w:lang w:val="en-US" w:eastAsia="zh-CN"/>
              </w:rPr>
              <w:t>依据</w:t>
            </w:r>
            <w:r>
              <w:rPr>
                <w:rFonts w:ascii="宋体" w:eastAsia="宋体" w:hAnsi="宋体" w:cs="宋体" w:hint="eastAsia"/>
                <w:b/>
                <w:bCs/>
                <w:color w:val="auto"/>
                <w:sz w:val="21"/>
                <w:szCs w:val="21"/>
                <w:highlight w:val="none"/>
              </w:rPr>
              <w:t>：</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提供证书扫描件作为得分依据；</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同时提供投标截止日前投标人缴纳的近3个月（由于社保部门原因最近一个月的社保证明无法提供的可往前顺延一个月）的社保证明作为自有员工的证明依据；如供应商为新成立企业且成立时间不足三个月可提供情况说明或证明材料亦视为符合；</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hAnsi="宋体" w:cs="宋体"/>
                <w:szCs w:val="21"/>
              </w:rPr>
            </w:pPr>
            <w:r>
              <w:rPr>
                <w:rFonts w:ascii="宋体" w:eastAsia="宋体" w:hAnsi="宋体" w:cs="宋体" w:hint="eastAsia"/>
                <w:color w:val="auto"/>
                <w:sz w:val="21"/>
                <w:szCs w:val="21"/>
                <w:highlight w:val="none"/>
              </w:rPr>
              <w:t>3</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以上资料原件备查，评分中出现无证明资料或者专家无法凭所提供资料判断是否得分的情况，一律做不得分处理。</w:t>
            </w:r>
          </w:p>
        </w:tc>
      </w:tr>
      <w:tr>
        <w:tblPrEx>
          <w:tblW w:w="4996" w:type="pct"/>
          <w:jc w:val="center"/>
          <w:tblCellMar>
            <w:top w:w="20" w:type="dxa"/>
            <w:left w:w="108" w:type="dxa"/>
            <w:bottom w:w="20" w:type="dxa"/>
            <w:right w:w="108" w:type="dxa"/>
          </w:tblCellMar>
        </w:tblPrEx>
        <w:trPr>
          <w:jc w:val="center"/>
        </w:trPr>
        <w:tc>
          <w:tcPr>
            <w:tcW w:w="371" w:type="pct"/>
            <w:vMerge w:val="restart"/>
            <w:tcBorders>
              <w:top w:val="single" w:sz="8" w:space="0" w:color="000000"/>
              <w:left w:val="single" w:sz="8" w:space="0" w:color="000000"/>
              <w:bottom w:val="single" w:sz="8" w:space="0" w:color="000000"/>
              <w:right w:val="single" w:sz="8" w:space="0" w:color="000000"/>
            </w:tcBorders>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b/>
                <w:bCs/>
                <w:color w:val="0000FF"/>
                <w:sz w:val="24"/>
              </w:rPr>
            </w:pPr>
            <w:r>
              <w:rPr>
                <w:b/>
                <w:bCs/>
                <w:color w:val="0000FF"/>
              </w:rPr>
              <w:t>3</w:t>
            </w:r>
          </w:p>
        </w:tc>
        <w:tc>
          <w:tcPr>
            <w:tcW w:w="1950" w:type="pct"/>
            <w:gridSpan w:val="3"/>
            <w:tcBorders>
              <w:top w:val="single" w:sz="8" w:space="0" w:color="000000"/>
              <w:left w:val="single" w:sz="8" w:space="0" w:color="000000"/>
              <w:bottom w:val="single" w:sz="8" w:space="0" w:color="000000"/>
              <w:right w:val="single" w:sz="8" w:space="0" w:color="000000"/>
            </w:tcBorders>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b/>
                <w:bCs/>
                <w:color w:val="0000FF"/>
                <w:sz w:val="24"/>
              </w:rPr>
            </w:pPr>
            <w:r>
              <w:rPr>
                <w:b/>
                <w:bCs/>
                <w:color w:val="0000FF"/>
              </w:rPr>
              <w:t>综合实力</w:t>
            </w:r>
          </w:p>
        </w:tc>
        <w:tc>
          <w:tcPr>
            <w:tcW w:w="2678" w:type="pct"/>
            <w:tcBorders>
              <w:top w:val="single" w:sz="8" w:space="0" w:color="000000"/>
              <w:left w:val="single" w:sz="8" w:space="0" w:color="000000"/>
              <w:bottom w:val="single" w:sz="8" w:space="0" w:color="000000"/>
              <w:right w:val="single" w:sz="8" w:space="0" w:color="000000"/>
            </w:tcBorders>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eastAsia="宋体" w:hAnsi="宋体" w:cs="宋体" w:hint="default"/>
                <w:b/>
                <w:bCs/>
                <w:color w:val="0000FF"/>
                <w:sz w:val="24"/>
                <w:lang w:val="en-US" w:eastAsia="zh-CN"/>
              </w:rPr>
            </w:pPr>
            <w:r>
              <w:rPr>
                <w:rFonts w:ascii="宋体" w:hAnsi="宋体" w:cs="宋体" w:hint="eastAsia"/>
                <w:b/>
                <w:bCs/>
                <w:color w:val="0000FF"/>
                <w:sz w:val="24"/>
                <w:lang w:val="en-US" w:eastAsia="zh-CN"/>
              </w:rPr>
              <w:t>35</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widowControl w:val="0"/>
              <w:kinsoku/>
              <w:overflowPunct/>
              <w:topLinePunct w:val="0"/>
              <w:autoSpaceDE/>
              <w:autoSpaceDN/>
              <w:bidi w:val="0"/>
              <w:adjustRightInd/>
              <w:snapToGrid/>
              <w:spacing w:line="240" w:lineRule="auto"/>
              <w:textAlignment w:val="auto"/>
              <w:rPr>
                <w:rFonts w:ascii="宋体" w:hAnsi="宋体" w:cs="宋体"/>
                <w:b/>
                <w:bCs/>
                <w:color w:val="0000FF"/>
                <w:sz w:val="24"/>
              </w:rPr>
            </w:pPr>
          </w:p>
        </w:tc>
        <w:tc>
          <w:tcPr>
            <w:tcW w:w="373" w:type="pct"/>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szCs w:val="21"/>
              </w:rPr>
            </w:pPr>
            <w:r>
              <w:rPr>
                <w:szCs w:val="21"/>
              </w:rPr>
              <w:t>序号</w:t>
            </w:r>
          </w:p>
        </w:tc>
        <w:tc>
          <w:tcPr>
            <w:tcW w:w="1054" w:type="pct"/>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szCs w:val="21"/>
              </w:rPr>
            </w:pPr>
            <w:r>
              <w:rPr>
                <w:szCs w:val="21"/>
              </w:rPr>
              <w:t>评分因素</w:t>
            </w:r>
          </w:p>
        </w:tc>
        <w:tc>
          <w:tcPr>
            <w:tcW w:w="522" w:type="pct"/>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szCs w:val="21"/>
              </w:rPr>
            </w:pPr>
            <w:r>
              <w:rPr>
                <w:szCs w:val="21"/>
              </w:rPr>
              <w:t>权重(%)</w:t>
            </w:r>
          </w:p>
        </w:tc>
        <w:tc>
          <w:tcPr>
            <w:tcW w:w="2678" w:type="pct"/>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szCs w:val="21"/>
              </w:rPr>
            </w:pPr>
            <w:r>
              <w:rPr>
                <w:szCs w:val="21"/>
              </w:rPr>
              <w:t>评分准则</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textAlignment w:val="auto"/>
              <w:rPr>
                <w:rFonts w:ascii="宋体" w:hAnsi="宋体" w:cs="宋体"/>
                <w:b/>
                <w:bCs/>
                <w:color w:val="0000FF"/>
                <w:sz w:val="24"/>
              </w:rPr>
            </w:pPr>
          </w:p>
        </w:tc>
        <w:tc>
          <w:tcPr>
            <w:tcW w:w="373"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eastAsia="宋体" w:hAnsi="宋体" w:cs="宋体" w:hint="eastAsia"/>
                <w:szCs w:val="21"/>
                <w:lang w:val="en-US" w:eastAsia="zh-CN"/>
              </w:rPr>
            </w:pPr>
            <w:r>
              <w:rPr>
                <w:rFonts w:ascii="宋体" w:hAnsi="宋体" w:cs="宋体" w:hint="eastAsia"/>
                <w:szCs w:val="21"/>
                <w:lang w:val="en-US" w:eastAsia="zh-CN"/>
              </w:rPr>
              <w:t>1</w:t>
            </w:r>
          </w:p>
        </w:tc>
        <w:tc>
          <w:tcPr>
            <w:tcW w:w="1054"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center"/>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有效业绩</w:t>
            </w:r>
          </w:p>
        </w:tc>
        <w:tc>
          <w:tcPr>
            <w:tcW w:w="522"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center"/>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15</w:t>
            </w:r>
          </w:p>
        </w:tc>
        <w:tc>
          <w:tcPr>
            <w:tcW w:w="2678"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（一）评分内容：</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投标人自2013年1月1日至本项目投标截止时间（以合同签订日期为准</w:t>
            </w:r>
            <w:r>
              <w:rPr>
                <w:rFonts w:ascii="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签订合同即视为有效业绩）：</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1.具有副省级</w:t>
            </w:r>
            <w:r>
              <w:rPr>
                <w:rFonts w:ascii="宋体" w:hAnsi="宋体" w:cs="宋体" w:hint="eastAsia"/>
                <w:color w:val="auto"/>
                <w:sz w:val="21"/>
                <w:szCs w:val="21"/>
                <w:highlight w:val="none"/>
                <w:lang w:eastAsia="zh-CN"/>
              </w:rPr>
              <w:t>（</w:t>
            </w:r>
            <w:r>
              <w:rPr>
                <w:rFonts w:ascii="宋体" w:hAnsi="宋体" w:cs="宋体" w:hint="eastAsia"/>
                <w:color w:val="auto"/>
                <w:sz w:val="21"/>
                <w:szCs w:val="21"/>
                <w:highlight w:val="none"/>
                <w:lang w:val="en-US" w:eastAsia="zh-CN"/>
              </w:rPr>
              <w:t>或</w:t>
            </w:r>
            <w:r>
              <w:rPr>
                <w:rFonts w:ascii="宋体" w:eastAsia="宋体" w:hAnsi="宋体" w:cs="宋体" w:hint="eastAsia"/>
                <w:color w:val="auto"/>
                <w:sz w:val="21"/>
                <w:szCs w:val="21"/>
                <w:highlight w:val="none"/>
              </w:rPr>
              <w:t>以上</w:t>
            </w:r>
            <w:r>
              <w:rPr>
                <w:rFonts w:ascii="宋体" w:hAnsi="宋体" w:cs="宋体" w:hint="eastAsia"/>
                <w:color w:val="auto"/>
                <w:sz w:val="21"/>
                <w:szCs w:val="21"/>
                <w:highlight w:val="none"/>
                <w:lang w:eastAsia="zh-CN"/>
              </w:rPr>
              <w:t>）</w:t>
            </w:r>
            <w:r>
              <w:rPr>
                <w:rFonts w:ascii="宋体" w:hAnsi="宋体" w:cs="宋体" w:hint="eastAsia"/>
                <w:color w:val="auto"/>
                <w:sz w:val="21"/>
                <w:szCs w:val="21"/>
                <w:highlight w:val="none"/>
                <w:lang w:val="en-US" w:eastAsia="zh-CN"/>
              </w:rPr>
              <w:t>的</w:t>
            </w:r>
            <w:r>
              <w:rPr>
                <w:rFonts w:ascii="宋体" w:eastAsia="宋体" w:hAnsi="宋体" w:cs="宋体" w:hint="eastAsia"/>
                <w:color w:val="auto"/>
                <w:sz w:val="21"/>
                <w:szCs w:val="21"/>
                <w:highlight w:val="none"/>
              </w:rPr>
              <w:t>城市（含片区）风貌提升类城市规划或城市设计或建筑设计业绩</w:t>
            </w:r>
            <w:r>
              <w:rPr>
                <w:rFonts w:ascii="宋体" w:hAnsi="宋体" w:cs="宋体" w:hint="eastAsia"/>
                <w:color w:val="auto"/>
                <w:sz w:val="21"/>
                <w:szCs w:val="21"/>
                <w:highlight w:val="none"/>
                <w:lang w:eastAsia="zh-CN"/>
              </w:rPr>
              <w:t>（</w:t>
            </w:r>
            <w:r>
              <w:rPr>
                <w:rFonts w:ascii="宋体" w:hAnsi="宋体" w:cs="宋体" w:hint="eastAsia"/>
                <w:color w:val="auto"/>
                <w:sz w:val="21"/>
                <w:szCs w:val="21"/>
                <w:highlight w:val="none"/>
                <w:lang w:val="en-US" w:eastAsia="zh-CN"/>
              </w:rPr>
              <w:t>注：项目名称中体现副省级（或以上）城市即可满足</w:t>
            </w:r>
            <w:r>
              <w:rPr>
                <w:rFonts w:ascii="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，每提供1个有效业绩得20分，本小项最高得40分；</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2.具有生物产业</w:t>
            </w:r>
            <w:r>
              <w:rPr>
                <w:rFonts w:ascii="宋体" w:hAnsi="宋体" w:cs="宋体" w:hint="eastAsia"/>
                <w:color w:val="auto"/>
                <w:sz w:val="21"/>
                <w:szCs w:val="21"/>
                <w:highlight w:val="none"/>
                <w:lang w:val="en-US" w:eastAsia="zh-CN"/>
              </w:rPr>
              <w:t>或</w:t>
            </w:r>
            <w:r>
              <w:rPr>
                <w:rFonts w:ascii="宋体" w:eastAsia="宋体" w:hAnsi="宋体" w:cs="宋体" w:hint="eastAsia"/>
                <w:color w:val="auto"/>
                <w:sz w:val="21"/>
                <w:szCs w:val="21"/>
                <w:highlight w:val="none"/>
              </w:rPr>
              <w:t>海洋产业</w:t>
            </w:r>
            <w:r>
              <w:rPr>
                <w:rFonts w:ascii="宋体" w:hAnsi="宋体" w:cs="宋体" w:hint="eastAsia"/>
                <w:color w:val="auto"/>
                <w:sz w:val="21"/>
                <w:szCs w:val="21"/>
                <w:highlight w:val="none"/>
                <w:lang w:val="en-US" w:eastAsia="zh-CN"/>
              </w:rPr>
              <w:t>或</w:t>
            </w:r>
            <w:r>
              <w:rPr>
                <w:rFonts w:ascii="宋体" w:eastAsia="宋体" w:hAnsi="宋体" w:cs="宋体" w:hint="eastAsia"/>
                <w:color w:val="auto"/>
                <w:sz w:val="21"/>
                <w:szCs w:val="21"/>
                <w:highlight w:val="none"/>
              </w:rPr>
              <w:t>食品产业类别产业园（或工业园）城市规划或城市设计或建筑设计（或建筑工程）业绩，每提供1个有效业绩得20分，本小项最高得60分</w:t>
            </w:r>
            <w:r>
              <w:rPr>
                <w:rFonts w:ascii="宋体" w:hAnsi="宋体" w:cs="宋体" w:hint="eastAsia"/>
                <w:color w:val="auto"/>
                <w:sz w:val="21"/>
                <w:szCs w:val="21"/>
                <w:highlight w:val="none"/>
                <w:lang w:eastAsia="zh-CN"/>
              </w:rPr>
              <w:t>。</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w:t>
            </w:r>
            <w:r>
              <w:rPr>
                <w:rFonts w:ascii="宋体" w:hAnsi="宋体" w:cs="宋体" w:hint="eastAsia"/>
                <w:b/>
                <w:bCs/>
                <w:color w:val="auto"/>
                <w:sz w:val="21"/>
                <w:szCs w:val="21"/>
                <w:highlight w:val="none"/>
                <w:lang w:val="en-US" w:eastAsia="zh-CN"/>
              </w:rPr>
              <w:t>二</w:t>
            </w:r>
            <w:r>
              <w:rPr>
                <w:rFonts w:ascii="宋体" w:eastAsia="宋体" w:hAnsi="宋体" w:cs="宋体" w:hint="eastAsia"/>
                <w:b/>
                <w:bCs/>
                <w:color w:val="auto"/>
                <w:sz w:val="21"/>
                <w:szCs w:val="21"/>
                <w:highlight w:val="none"/>
              </w:rPr>
              <w:t>）评分</w:t>
            </w:r>
            <w:r>
              <w:rPr>
                <w:rFonts w:ascii="宋体" w:hAnsi="宋体" w:cs="宋体" w:hint="eastAsia"/>
                <w:b/>
                <w:bCs/>
                <w:color w:val="auto"/>
                <w:sz w:val="21"/>
                <w:szCs w:val="21"/>
                <w:highlight w:val="none"/>
                <w:lang w:val="en-US" w:eastAsia="zh-CN"/>
              </w:rPr>
              <w:t>依据</w:t>
            </w:r>
            <w:r>
              <w:rPr>
                <w:rFonts w:ascii="宋体" w:eastAsia="宋体" w:hAnsi="宋体" w:cs="宋体" w:hint="eastAsia"/>
                <w:b/>
                <w:bCs/>
                <w:color w:val="auto"/>
                <w:sz w:val="21"/>
                <w:szCs w:val="21"/>
                <w:highlight w:val="none"/>
              </w:rPr>
              <w:t>：</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投标人提供的每项业绩须按以下要求提供完整准确的证明文件，如未按以下要求提供完整证明文件的业绩不计分</w:t>
            </w:r>
            <w:r>
              <w:rPr>
                <w:rFonts w:ascii="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长期服务续签合同只计算一个业绩：</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提供合同关键页（应包含但不限于合同签约主体名称、</w:t>
            </w:r>
            <w:r>
              <w:rPr>
                <w:rFonts w:ascii="宋体" w:hAnsi="宋体" w:cs="宋体" w:hint="eastAsia"/>
                <w:color w:val="auto"/>
                <w:sz w:val="21"/>
                <w:szCs w:val="21"/>
                <w:highlight w:val="none"/>
                <w:lang w:val="en-US" w:eastAsia="zh-CN"/>
              </w:rPr>
              <w:t>合同（</w:t>
            </w:r>
            <w:r>
              <w:rPr>
                <w:rFonts w:ascii="宋体" w:eastAsia="宋体" w:hAnsi="宋体" w:cs="宋体" w:hint="eastAsia"/>
                <w:color w:val="auto"/>
                <w:sz w:val="21"/>
                <w:szCs w:val="21"/>
                <w:highlight w:val="none"/>
              </w:rPr>
              <w:t>项目</w:t>
            </w:r>
            <w:r>
              <w:rPr>
                <w:rFonts w:ascii="宋体" w:hAnsi="宋体" w:cs="宋体" w:hint="eastAsia"/>
                <w:color w:val="auto"/>
                <w:sz w:val="21"/>
                <w:szCs w:val="21"/>
                <w:highlight w:val="none"/>
                <w:lang w:eastAsia="zh-CN"/>
              </w:rPr>
              <w:t>）</w:t>
            </w:r>
            <w:r>
              <w:rPr>
                <w:rFonts w:ascii="宋体" w:eastAsia="宋体" w:hAnsi="宋体" w:cs="宋体" w:hint="eastAsia"/>
                <w:color w:val="auto"/>
                <w:sz w:val="21"/>
                <w:szCs w:val="21"/>
                <w:highlight w:val="none"/>
              </w:rPr>
              <w:t>名称、签订合同时间、签约主体公章等关键信息），原件备查。</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同时提供主要效果图和彩色总平面图（能清晰体现方案关键信息）。</w:t>
            </w:r>
          </w:p>
          <w:p>
            <w:pPr>
              <w:pStyle w:val="Default"/>
              <w:rPr>
                <w:rFonts w:hint="eastAsia"/>
                <w:lang w:val="en-US" w:eastAsia="zh-CN"/>
              </w:rPr>
            </w:pPr>
            <w:r>
              <w:rPr>
                <w:rFonts w:ascii="宋体" w:eastAsia="宋体" w:hAnsi="宋体" w:cs="宋体" w:hint="eastAsia"/>
                <w:color w:val="auto"/>
                <w:sz w:val="21"/>
                <w:szCs w:val="21"/>
                <w:highlight w:val="none"/>
              </w:rPr>
              <w:t>评分中出现无证明资料或者专家无法凭所提供资料判断是否得分的情况，一律做不得分处理。</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textAlignment w:val="auto"/>
              <w:rPr>
                <w:rFonts w:ascii="宋体" w:hAnsi="宋体" w:cs="宋体"/>
                <w:b/>
                <w:bCs/>
                <w:color w:val="0000FF"/>
                <w:sz w:val="24"/>
              </w:rPr>
            </w:pPr>
          </w:p>
        </w:tc>
        <w:tc>
          <w:tcPr>
            <w:tcW w:w="373"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eastAsia="宋体" w:hAnsi="宋体" w:cs="宋体" w:hint="eastAsia"/>
                <w:szCs w:val="21"/>
                <w:lang w:val="en-US" w:eastAsia="zh-CN"/>
              </w:rPr>
            </w:pPr>
            <w:r>
              <w:rPr>
                <w:rFonts w:ascii="宋体" w:hAnsi="宋体" w:cs="宋体" w:hint="eastAsia"/>
                <w:szCs w:val="21"/>
                <w:lang w:val="en-US" w:eastAsia="zh-CN"/>
              </w:rPr>
              <w:t>2</w:t>
            </w:r>
          </w:p>
        </w:tc>
        <w:tc>
          <w:tcPr>
            <w:tcW w:w="1054"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center"/>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服务承诺</w:t>
            </w:r>
          </w:p>
        </w:tc>
        <w:tc>
          <w:tcPr>
            <w:tcW w:w="522"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center"/>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5</w:t>
            </w:r>
          </w:p>
        </w:tc>
        <w:tc>
          <w:tcPr>
            <w:tcW w:w="2678"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（一）评分内容：</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eastAsia="宋体" w:hAnsi="宋体" w:cs="宋体" w:hint="eastAsia"/>
                <w:color w:val="auto"/>
                <w:sz w:val="21"/>
                <w:szCs w:val="21"/>
                <w:highlight w:val="none"/>
              </w:rPr>
            </w:pPr>
            <w:r>
              <w:rPr>
                <w:rFonts w:ascii="宋体" w:hAnsi="宋体" w:cs="宋体" w:hint="eastAsia"/>
                <w:color w:val="auto"/>
                <w:sz w:val="21"/>
                <w:szCs w:val="21"/>
                <w:highlight w:val="none"/>
                <w:lang w:val="en-US" w:eastAsia="zh-CN"/>
              </w:rPr>
              <w:t>1.</w:t>
            </w:r>
            <w:r>
              <w:rPr>
                <w:rFonts w:ascii="宋体" w:eastAsia="宋体" w:hAnsi="宋体" w:cs="宋体" w:hint="eastAsia"/>
                <w:color w:val="auto"/>
                <w:sz w:val="21"/>
                <w:szCs w:val="21"/>
                <w:highlight w:val="none"/>
              </w:rPr>
              <w:t>提供项目服务负责人信息与联系方式；</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eastAsia="宋体" w:hAnsi="宋体" w:cs="宋体" w:hint="eastAsia"/>
                <w:color w:val="auto"/>
                <w:sz w:val="21"/>
                <w:szCs w:val="21"/>
                <w:highlight w:val="none"/>
              </w:rPr>
            </w:pPr>
            <w:r>
              <w:rPr>
                <w:rFonts w:ascii="宋体" w:hAnsi="宋体" w:cs="宋体" w:hint="eastAsia"/>
                <w:color w:val="auto"/>
                <w:sz w:val="21"/>
                <w:szCs w:val="21"/>
                <w:highlight w:val="none"/>
                <w:lang w:val="en-US" w:eastAsia="zh-CN"/>
              </w:rPr>
              <w:t>2.</w:t>
            </w:r>
            <w:r>
              <w:rPr>
                <w:rFonts w:ascii="宋体" w:eastAsia="宋体" w:hAnsi="宋体" w:cs="宋体" w:hint="eastAsia"/>
                <w:color w:val="auto"/>
                <w:sz w:val="21"/>
                <w:szCs w:val="21"/>
                <w:highlight w:val="none"/>
              </w:rPr>
              <w:t>给出各类咨询工作明确的服务周期；</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eastAsia="宋体" w:hAnsi="宋体" w:cs="宋体" w:hint="eastAsia"/>
                <w:color w:val="auto"/>
                <w:sz w:val="21"/>
                <w:szCs w:val="21"/>
                <w:highlight w:val="none"/>
              </w:rPr>
            </w:pPr>
            <w:r>
              <w:rPr>
                <w:rFonts w:ascii="宋体" w:hAnsi="宋体" w:cs="宋体" w:hint="eastAsia"/>
                <w:color w:val="auto"/>
                <w:sz w:val="21"/>
                <w:szCs w:val="21"/>
                <w:highlight w:val="none"/>
                <w:lang w:val="en-US" w:eastAsia="zh-CN"/>
              </w:rPr>
              <w:t>3.</w:t>
            </w:r>
            <w:r>
              <w:rPr>
                <w:rFonts w:ascii="宋体" w:eastAsia="宋体" w:hAnsi="宋体" w:cs="宋体" w:hint="eastAsia"/>
                <w:color w:val="auto"/>
                <w:sz w:val="21"/>
                <w:szCs w:val="21"/>
                <w:highlight w:val="none"/>
              </w:rPr>
              <w:t>详细阐述服务制度与响应时间；</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eastAsia="宋体" w:hAnsi="宋体" w:cs="宋体" w:hint="eastAsia"/>
                <w:color w:val="auto"/>
                <w:sz w:val="21"/>
                <w:szCs w:val="21"/>
                <w:highlight w:val="none"/>
                <w:lang w:eastAsia="zh-CN"/>
              </w:rPr>
            </w:pPr>
            <w:r>
              <w:rPr>
                <w:rFonts w:ascii="宋体" w:hAnsi="宋体" w:cs="宋体" w:hint="eastAsia"/>
                <w:color w:val="auto"/>
                <w:sz w:val="21"/>
                <w:szCs w:val="21"/>
                <w:highlight w:val="none"/>
                <w:lang w:val="en-US" w:eastAsia="zh-CN"/>
              </w:rPr>
              <w:t>4.</w:t>
            </w:r>
            <w:r>
              <w:rPr>
                <w:rFonts w:ascii="宋体" w:eastAsia="宋体" w:hAnsi="宋体" w:cs="宋体" w:hint="eastAsia"/>
                <w:color w:val="auto"/>
                <w:sz w:val="21"/>
                <w:szCs w:val="21"/>
                <w:highlight w:val="none"/>
              </w:rPr>
              <w:t>详细阐述项目各类咨询工作服务内容</w:t>
            </w:r>
            <w:r>
              <w:rPr>
                <w:rFonts w:ascii="宋体" w:hAnsi="宋体" w:cs="宋体" w:hint="eastAsia"/>
                <w:color w:val="auto"/>
                <w:sz w:val="21"/>
                <w:szCs w:val="21"/>
                <w:highlight w:val="none"/>
                <w:lang w:eastAsia="zh-CN"/>
              </w:rPr>
              <w:t>；</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投标人承诺以上全部4项</w:t>
            </w:r>
            <w:r>
              <w:rPr>
                <w:rFonts w:ascii="宋体" w:hAnsi="宋体" w:cs="宋体" w:hint="eastAsia"/>
                <w:color w:val="auto"/>
                <w:sz w:val="21"/>
                <w:szCs w:val="21"/>
                <w:highlight w:val="none"/>
                <w:lang w:val="en-US" w:eastAsia="zh-CN"/>
              </w:rPr>
              <w:t>内容</w:t>
            </w:r>
            <w:r>
              <w:rPr>
                <w:rFonts w:ascii="宋体" w:eastAsia="宋体" w:hAnsi="宋体" w:cs="宋体" w:hint="eastAsia"/>
                <w:color w:val="auto"/>
                <w:sz w:val="21"/>
                <w:szCs w:val="21"/>
                <w:highlight w:val="none"/>
              </w:rPr>
              <w:t>的得100分，否则不得分。</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w:t>
            </w:r>
            <w:r>
              <w:rPr>
                <w:rFonts w:ascii="宋体" w:hAnsi="宋体" w:cs="宋体" w:hint="eastAsia"/>
                <w:b/>
                <w:bCs/>
                <w:color w:val="auto"/>
                <w:sz w:val="21"/>
                <w:szCs w:val="21"/>
                <w:highlight w:val="none"/>
                <w:lang w:val="en-US" w:eastAsia="zh-CN"/>
              </w:rPr>
              <w:t>二</w:t>
            </w:r>
            <w:r>
              <w:rPr>
                <w:rFonts w:ascii="宋体" w:eastAsia="宋体" w:hAnsi="宋体" w:cs="宋体" w:hint="eastAsia"/>
                <w:b/>
                <w:bCs/>
                <w:color w:val="auto"/>
                <w:sz w:val="21"/>
                <w:szCs w:val="21"/>
                <w:highlight w:val="none"/>
              </w:rPr>
              <w:t>）评分</w:t>
            </w:r>
            <w:r>
              <w:rPr>
                <w:rFonts w:ascii="宋体" w:hAnsi="宋体" w:cs="宋体" w:hint="eastAsia"/>
                <w:b/>
                <w:bCs/>
                <w:color w:val="auto"/>
                <w:sz w:val="21"/>
                <w:szCs w:val="21"/>
                <w:highlight w:val="none"/>
                <w:lang w:val="en-US" w:eastAsia="zh-CN"/>
              </w:rPr>
              <w:t>依据</w:t>
            </w:r>
            <w:r>
              <w:rPr>
                <w:rFonts w:ascii="宋体" w:eastAsia="宋体" w:hAnsi="宋体" w:cs="宋体" w:hint="eastAsia"/>
                <w:b/>
                <w:bCs/>
                <w:color w:val="auto"/>
                <w:sz w:val="21"/>
                <w:szCs w:val="21"/>
                <w:highlight w:val="none"/>
              </w:rPr>
              <w:t>：</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提供承诺</w:t>
            </w:r>
            <w:r>
              <w:rPr>
                <w:rFonts w:ascii="宋体" w:hAnsi="宋体" w:cs="宋体" w:hint="eastAsia"/>
                <w:color w:val="auto"/>
                <w:sz w:val="21"/>
                <w:szCs w:val="21"/>
                <w:highlight w:val="none"/>
                <w:lang w:val="en-US" w:eastAsia="zh-CN"/>
              </w:rPr>
              <w:t>函（格式自拟）</w:t>
            </w:r>
            <w:r>
              <w:rPr>
                <w:rFonts w:ascii="宋体" w:eastAsia="宋体" w:hAnsi="宋体" w:cs="宋体" w:hint="eastAsia"/>
                <w:color w:val="auto"/>
                <w:sz w:val="21"/>
                <w:szCs w:val="21"/>
                <w:highlight w:val="none"/>
              </w:rPr>
              <w:t>作为得分依据。</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textAlignment w:val="auto"/>
              <w:rPr>
                <w:rFonts w:ascii="宋体" w:hAnsi="宋体" w:cs="宋体"/>
                <w:b/>
                <w:bCs/>
                <w:color w:val="0000FF"/>
                <w:sz w:val="24"/>
              </w:rPr>
            </w:pPr>
          </w:p>
        </w:tc>
        <w:tc>
          <w:tcPr>
            <w:tcW w:w="373"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eastAsia="宋体" w:hAnsi="宋体" w:cs="宋体" w:hint="eastAsia"/>
                <w:szCs w:val="21"/>
                <w:lang w:val="en-US" w:eastAsia="zh-CN"/>
              </w:rPr>
            </w:pPr>
            <w:r>
              <w:rPr>
                <w:rFonts w:ascii="宋体" w:hAnsi="宋体" w:cs="宋体" w:hint="eastAsia"/>
                <w:szCs w:val="21"/>
                <w:lang w:val="en-US" w:eastAsia="zh-CN"/>
              </w:rPr>
              <w:t>3</w:t>
            </w:r>
          </w:p>
        </w:tc>
        <w:tc>
          <w:tcPr>
            <w:tcW w:w="1054"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center"/>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投标人获奖情况</w:t>
            </w:r>
          </w:p>
        </w:tc>
        <w:tc>
          <w:tcPr>
            <w:tcW w:w="522"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center"/>
              <w:textAlignment w:val="auto"/>
              <w:rPr>
                <w:rFonts w:ascii="宋体" w:eastAsia="宋体" w:hAnsi="宋体" w:cs="宋体" w:hint="eastAsia"/>
                <w:color w:val="auto"/>
                <w:kern w:val="2"/>
                <w:sz w:val="21"/>
                <w:szCs w:val="21"/>
                <w:highlight w:val="none"/>
                <w:lang w:val="en-US" w:eastAsia="zh-CN" w:bidi="ar-SA"/>
              </w:rPr>
            </w:pPr>
            <w:r>
              <w:rPr>
                <w:rFonts w:ascii="宋体" w:hAnsi="宋体" w:cs="宋体" w:hint="default"/>
                <w:color w:val="auto"/>
                <w:sz w:val="21"/>
                <w:szCs w:val="21"/>
                <w:highlight w:val="none"/>
              </w:rPr>
              <w:t>10</w:t>
            </w:r>
          </w:p>
        </w:tc>
        <w:tc>
          <w:tcPr>
            <w:tcW w:w="2678"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（一）评分内容：</w:t>
            </w:r>
          </w:p>
          <w:p>
            <w:pPr>
              <w:autoSpaceDE/>
              <w:autoSpaceDN/>
              <w:adjustRightInd/>
              <w:rPr>
                <w:rFonts w:ascii="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投标人自2018年1月1日至本项目投标截止之日（以颁发日期为准），所参与的规划设计或城市设计或建筑设计类项目</w:t>
            </w:r>
            <w:r>
              <w:rPr>
                <w:rFonts w:ascii="宋体" w:hAnsi="宋体" w:cs="宋体" w:hint="eastAsia"/>
                <w:color w:val="auto"/>
                <w:sz w:val="21"/>
                <w:szCs w:val="21"/>
                <w:highlight w:val="none"/>
                <w:lang w:eastAsia="zh-CN"/>
              </w:rPr>
              <w:t>：</w:t>
            </w:r>
          </w:p>
          <w:p>
            <w:pPr>
              <w:autoSpaceDE/>
              <w:autoSpaceDN/>
              <w:adjustRightInd/>
              <w:rPr>
                <w:rFonts w:hint="default"/>
                <w:highlight w:val="none"/>
                <w:lang w:eastAsia="zh-CN"/>
              </w:rPr>
            </w:pPr>
            <w:r>
              <w:rPr>
                <w:rFonts w:ascii="宋体" w:hAnsi="宋体" w:cs="宋体" w:hint="eastAsia"/>
                <w:color w:val="auto"/>
                <w:sz w:val="21"/>
                <w:szCs w:val="21"/>
                <w:highlight w:val="none"/>
                <w:lang w:val="en-US" w:eastAsia="zh-CN"/>
              </w:rPr>
              <w:t>1.具有</w:t>
            </w:r>
            <w:r>
              <w:rPr>
                <w:rFonts w:ascii="宋体" w:hAnsi="宋体" w:cs="宋体" w:hint="default"/>
                <w:color w:val="auto"/>
                <w:sz w:val="21"/>
                <w:szCs w:val="21"/>
                <w:highlight w:val="none"/>
              </w:rPr>
              <w:t>国家级</w:t>
            </w:r>
            <w:r>
              <w:rPr>
                <w:rFonts w:ascii="宋体" w:eastAsia="宋体" w:hAnsi="宋体" w:cs="宋体" w:hint="eastAsia"/>
                <w:color w:val="auto"/>
                <w:sz w:val="21"/>
                <w:szCs w:val="21"/>
                <w:highlight w:val="none"/>
              </w:rPr>
              <w:t>奖项的：</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hAnsi="宋体" w:cs="宋体" w:hint="eastAsia"/>
                <w:color w:val="auto"/>
                <w:sz w:val="21"/>
                <w:szCs w:val="21"/>
                <w:highlight w:val="none"/>
                <w:lang w:val="en-US" w:eastAsia="zh-CN"/>
              </w:rPr>
              <w:t>①</w:t>
            </w:r>
            <w:r>
              <w:rPr>
                <w:rFonts w:ascii="宋体" w:eastAsia="宋体" w:hAnsi="宋体" w:cs="宋体" w:hint="eastAsia"/>
                <w:color w:val="auto"/>
                <w:sz w:val="21"/>
                <w:szCs w:val="21"/>
                <w:highlight w:val="none"/>
              </w:rPr>
              <w:t>获得一等奖或第一名等</w:t>
            </w:r>
            <w:r>
              <w:rPr>
                <w:rFonts w:ascii="宋体" w:hAnsi="宋体" w:cs="宋体" w:hint="eastAsia"/>
                <w:color w:val="auto"/>
                <w:sz w:val="21"/>
                <w:szCs w:val="21"/>
                <w:highlight w:val="none"/>
                <w:lang w:val="en-US" w:eastAsia="zh-CN"/>
              </w:rPr>
              <w:t>同级</w:t>
            </w:r>
            <w:r>
              <w:rPr>
                <w:rFonts w:ascii="宋体" w:eastAsia="宋体" w:hAnsi="宋体" w:cs="宋体" w:hint="eastAsia"/>
                <w:color w:val="auto"/>
                <w:sz w:val="21"/>
                <w:szCs w:val="21"/>
                <w:highlight w:val="none"/>
              </w:rPr>
              <w:t>奖项的（即奖项评价体系中最高级别），每提供一个奖项得</w:t>
            </w:r>
            <w:r>
              <w:rPr>
                <w:rFonts w:ascii="宋体" w:hAnsi="宋体" w:cs="宋体" w:hint="eastAsia"/>
                <w:color w:val="auto"/>
                <w:sz w:val="21"/>
                <w:szCs w:val="21"/>
                <w:highlight w:val="none"/>
                <w:lang w:val="en-US" w:eastAsia="zh-CN"/>
              </w:rPr>
              <w:t>20</w:t>
            </w:r>
            <w:r>
              <w:rPr>
                <w:rFonts w:ascii="宋体" w:eastAsia="宋体" w:hAnsi="宋体" w:cs="宋体" w:hint="eastAsia"/>
                <w:color w:val="auto"/>
                <w:sz w:val="21"/>
                <w:szCs w:val="21"/>
                <w:highlight w:val="none"/>
              </w:rPr>
              <w:t>分</w:t>
            </w:r>
            <w:r>
              <w:rPr>
                <w:rFonts w:ascii="宋体" w:hAnsi="宋体" w:cs="宋体" w:hint="eastAsia"/>
                <w:color w:val="auto"/>
                <w:sz w:val="21"/>
                <w:szCs w:val="21"/>
                <w:highlight w:val="none"/>
                <w:lang w:eastAsia="zh-CN"/>
              </w:rPr>
              <w:t>，</w:t>
            </w:r>
            <w:r>
              <w:rPr>
                <w:rFonts w:ascii="宋体" w:hAnsi="宋体" w:cs="宋体" w:hint="eastAsia"/>
                <w:color w:val="auto"/>
                <w:sz w:val="21"/>
                <w:szCs w:val="21"/>
                <w:highlight w:val="none"/>
                <w:lang w:val="en-US" w:eastAsia="zh-CN"/>
              </w:rPr>
              <w:t>本小项累计最高得100分</w:t>
            </w:r>
            <w:r>
              <w:rPr>
                <w:rFonts w:ascii="宋体" w:eastAsia="宋体" w:hAnsi="宋体" w:cs="宋体" w:hint="eastAsia"/>
                <w:color w:val="auto"/>
                <w:sz w:val="21"/>
                <w:szCs w:val="21"/>
                <w:highlight w:val="none"/>
              </w:rPr>
              <w:t>；</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hAnsi="宋体" w:cs="宋体" w:hint="eastAsia"/>
                <w:color w:val="auto"/>
                <w:sz w:val="21"/>
                <w:szCs w:val="21"/>
                <w:highlight w:val="none"/>
                <w:lang w:val="en-US" w:eastAsia="zh-CN"/>
              </w:rPr>
              <w:t>②</w:t>
            </w:r>
            <w:r>
              <w:rPr>
                <w:rFonts w:ascii="宋体" w:eastAsia="宋体" w:hAnsi="宋体" w:cs="宋体" w:hint="eastAsia"/>
                <w:color w:val="auto"/>
                <w:sz w:val="21"/>
                <w:szCs w:val="21"/>
                <w:highlight w:val="none"/>
              </w:rPr>
              <w:t>获得二等奖或第二名等</w:t>
            </w:r>
            <w:r>
              <w:rPr>
                <w:rFonts w:ascii="宋体" w:hAnsi="宋体" w:cs="宋体" w:hint="eastAsia"/>
                <w:color w:val="auto"/>
                <w:sz w:val="21"/>
                <w:szCs w:val="21"/>
                <w:highlight w:val="none"/>
                <w:lang w:val="en-US" w:eastAsia="zh-CN"/>
              </w:rPr>
              <w:t>同级</w:t>
            </w:r>
            <w:r>
              <w:rPr>
                <w:rFonts w:ascii="宋体" w:eastAsia="宋体" w:hAnsi="宋体" w:cs="宋体" w:hint="eastAsia"/>
                <w:color w:val="auto"/>
                <w:sz w:val="21"/>
                <w:szCs w:val="21"/>
                <w:highlight w:val="none"/>
              </w:rPr>
              <w:t>奖项的（即奖项评价体系中次高级别），每提供一个奖项得</w:t>
            </w:r>
            <w:r>
              <w:rPr>
                <w:rFonts w:ascii="宋体" w:hAnsi="宋体" w:cs="宋体" w:hint="eastAsia"/>
                <w:color w:val="auto"/>
                <w:sz w:val="21"/>
                <w:szCs w:val="21"/>
                <w:highlight w:val="none"/>
                <w:lang w:val="en-US" w:eastAsia="zh-CN"/>
              </w:rPr>
              <w:t>15</w:t>
            </w:r>
            <w:r>
              <w:rPr>
                <w:rFonts w:ascii="宋体" w:eastAsia="宋体" w:hAnsi="宋体" w:cs="宋体" w:hint="eastAsia"/>
                <w:color w:val="auto"/>
                <w:sz w:val="21"/>
                <w:szCs w:val="21"/>
                <w:highlight w:val="none"/>
              </w:rPr>
              <w:t>分</w:t>
            </w:r>
            <w:r>
              <w:rPr>
                <w:rFonts w:ascii="宋体" w:hAnsi="宋体" w:cs="宋体" w:hint="eastAsia"/>
                <w:color w:val="auto"/>
                <w:sz w:val="21"/>
                <w:szCs w:val="21"/>
                <w:highlight w:val="none"/>
                <w:lang w:eastAsia="zh-CN"/>
              </w:rPr>
              <w:t>，</w:t>
            </w:r>
            <w:r>
              <w:rPr>
                <w:rFonts w:ascii="宋体" w:hAnsi="宋体" w:cs="宋体" w:hint="eastAsia"/>
                <w:color w:val="auto"/>
                <w:sz w:val="21"/>
                <w:szCs w:val="21"/>
                <w:highlight w:val="none"/>
                <w:lang w:val="en-US" w:eastAsia="zh-CN"/>
              </w:rPr>
              <w:t>本小项累计最高得60分</w:t>
            </w:r>
            <w:r>
              <w:rPr>
                <w:rFonts w:ascii="宋体" w:eastAsia="宋体" w:hAnsi="宋体" w:cs="宋体" w:hint="eastAsia"/>
                <w:color w:val="auto"/>
                <w:sz w:val="21"/>
                <w:szCs w:val="21"/>
                <w:highlight w:val="none"/>
              </w:rPr>
              <w:t>；</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hAnsi="宋体" w:cs="宋体" w:hint="eastAsia"/>
                <w:color w:val="auto"/>
                <w:sz w:val="21"/>
                <w:szCs w:val="21"/>
                <w:highlight w:val="none"/>
                <w:lang w:val="en-US" w:eastAsia="zh-CN"/>
              </w:rPr>
              <w:t>③</w:t>
            </w:r>
            <w:r>
              <w:rPr>
                <w:rFonts w:ascii="宋体" w:eastAsia="宋体" w:hAnsi="宋体" w:cs="宋体" w:hint="eastAsia"/>
                <w:color w:val="auto"/>
                <w:sz w:val="21"/>
                <w:szCs w:val="21"/>
                <w:highlight w:val="none"/>
              </w:rPr>
              <w:t>获得其他</w:t>
            </w:r>
            <w:r>
              <w:rPr>
                <w:rFonts w:ascii="宋体" w:hAnsi="宋体" w:cs="宋体" w:hint="eastAsia"/>
                <w:color w:val="auto"/>
                <w:sz w:val="21"/>
                <w:szCs w:val="21"/>
                <w:highlight w:val="none"/>
                <w:lang w:val="en-US" w:eastAsia="zh-CN"/>
              </w:rPr>
              <w:t>等级</w:t>
            </w:r>
            <w:r>
              <w:rPr>
                <w:rFonts w:ascii="宋体" w:eastAsia="宋体" w:hAnsi="宋体" w:cs="宋体" w:hint="eastAsia"/>
                <w:color w:val="auto"/>
                <w:sz w:val="21"/>
                <w:szCs w:val="21"/>
                <w:highlight w:val="none"/>
              </w:rPr>
              <w:t>奖项的，每提供一个奖项得</w:t>
            </w:r>
            <w:r>
              <w:rPr>
                <w:rFonts w:ascii="宋体" w:hAnsi="宋体" w:cs="宋体" w:hint="eastAsia"/>
                <w:color w:val="auto"/>
                <w:sz w:val="21"/>
                <w:szCs w:val="21"/>
                <w:highlight w:val="none"/>
                <w:lang w:val="en-US" w:eastAsia="zh-CN"/>
              </w:rPr>
              <w:t>10</w:t>
            </w:r>
            <w:r>
              <w:rPr>
                <w:rFonts w:ascii="宋体" w:eastAsia="宋体" w:hAnsi="宋体" w:cs="宋体" w:hint="eastAsia"/>
                <w:color w:val="auto"/>
                <w:sz w:val="21"/>
                <w:szCs w:val="21"/>
                <w:highlight w:val="none"/>
              </w:rPr>
              <w:t>分</w:t>
            </w:r>
            <w:r>
              <w:rPr>
                <w:rFonts w:ascii="宋体" w:hAnsi="宋体" w:cs="宋体" w:hint="eastAsia"/>
                <w:color w:val="auto"/>
                <w:sz w:val="21"/>
                <w:szCs w:val="21"/>
                <w:highlight w:val="none"/>
                <w:lang w:eastAsia="zh-CN"/>
              </w:rPr>
              <w:t>，</w:t>
            </w:r>
            <w:r>
              <w:rPr>
                <w:rFonts w:ascii="宋体" w:hAnsi="宋体" w:cs="宋体" w:hint="eastAsia"/>
                <w:color w:val="auto"/>
                <w:sz w:val="21"/>
                <w:szCs w:val="21"/>
                <w:highlight w:val="none"/>
                <w:lang w:val="en-US" w:eastAsia="zh-CN"/>
              </w:rPr>
              <w:t>本小项累计最高得20分</w:t>
            </w:r>
            <w:r>
              <w:rPr>
                <w:rFonts w:ascii="宋体" w:eastAsia="宋体" w:hAnsi="宋体" w:cs="宋体" w:hint="eastAsia"/>
                <w:color w:val="auto"/>
                <w:sz w:val="21"/>
                <w:szCs w:val="21"/>
                <w:highlight w:val="none"/>
              </w:rPr>
              <w:t>；</w:t>
            </w:r>
          </w:p>
          <w:p>
            <w:pPr>
              <w:pStyle w:val="Default"/>
              <w:rPr>
                <w:rFonts w:ascii="宋体" w:eastAsia="宋体" w:hAnsi="宋体" w:cs="宋体" w:hint="eastAsia"/>
                <w:color w:val="auto"/>
                <w:kern w:val="2"/>
                <w:sz w:val="21"/>
                <w:szCs w:val="21"/>
                <w:highlight w:val="none"/>
                <w:lang w:val="en-US" w:eastAsia="zh-CN"/>
              </w:rPr>
            </w:pPr>
            <w:r>
              <w:rPr>
                <w:rFonts w:ascii="宋体" w:eastAsia="宋体" w:hAnsi="宋体" w:cs="宋体" w:hint="eastAsia"/>
                <w:color w:val="auto"/>
                <w:kern w:val="2"/>
                <w:sz w:val="21"/>
                <w:szCs w:val="21"/>
                <w:highlight w:val="none"/>
                <w:lang w:val="en-US" w:eastAsia="zh-CN"/>
              </w:rPr>
              <w:t>2.具有省级或市级</w:t>
            </w:r>
            <w:r>
              <w:rPr>
                <w:rFonts w:ascii="宋体" w:eastAsia="宋体" w:hAnsi="宋体" w:cs="宋体" w:hint="eastAsia"/>
                <w:color w:val="auto"/>
                <w:kern w:val="2"/>
                <w:sz w:val="21"/>
                <w:szCs w:val="21"/>
                <w:highlight w:val="none"/>
              </w:rPr>
              <w:t>奖项的</w:t>
            </w:r>
            <w:r>
              <w:rPr>
                <w:rFonts w:ascii="宋体" w:eastAsia="宋体" w:hAnsi="宋体" w:cs="宋体" w:hint="eastAsia"/>
                <w:color w:val="auto"/>
                <w:kern w:val="2"/>
                <w:sz w:val="21"/>
                <w:szCs w:val="21"/>
                <w:highlight w:val="none"/>
                <w:lang w:eastAsia="zh-CN"/>
              </w:rPr>
              <w:t>，</w:t>
            </w:r>
            <w:r>
              <w:rPr>
                <w:rFonts w:ascii="宋体" w:eastAsia="宋体" w:hAnsi="宋体" w:cs="宋体" w:hint="eastAsia"/>
                <w:color w:val="auto"/>
                <w:kern w:val="2"/>
                <w:sz w:val="21"/>
                <w:szCs w:val="21"/>
                <w:highlight w:val="none"/>
              </w:rPr>
              <w:t>每提供一个奖项得5分</w:t>
            </w:r>
            <w:r>
              <w:rPr>
                <w:rFonts w:ascii="宋体" w:eastAsia="宋体" w:hAnsi="宋体" w:cs="宋体" w:hint="eastAsia"/>
                <w:color w:val="auto"/>
                <w:kern w:val="2"/>
                <w:sz w:val="21"/>
                <w:szCs w:val="21"/>
                <w:highlight w:val="none"/>
                <w:lang w:eastAsia="zh-CN"/>
              </w:rPr>
              <w:t>，</w:t>
            </w:r>
            <w:r>
              <w:rPr>
                <w:rFonts w:ascii="宋体" w:eastAsia="宋体" w:hAnsi="宋体" w:cs="宋体" w:hint="eastAsia"/>
                <w:color w:val="auto"/>
                <w:kern w:val="2"/>
                <w:sz w:val="21"/>
                <w:szCs w:val="21"/>
                <w:highlight w:val="none"/>
                <w:lang w:val="en-US" w:eastAsia="zh-CN"/>
              </w:rPr>
              <w:t>本小项累计最高得20分；</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以上累计最高得100分。</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w:t>
            </w:r>
            <w:r>
              <w:rPr>
                <w:rFonts w:ascii="宋体" w:hAnsi="宋体" w:cs="宋体" w:hint="eastAsia"/>
                <w:b/>
                <w:bCs/>
                <w:color w:val="auto"/>
                <w:sz w:val="21"/>
                <w:szCs w:val="21"/>
                <w:highlight w:val="none"/>
                <w:lang w:val="en-US" w:eastAsia="zh-CN"/>
              </w:rPr>
              <w:t>二</w:t>
            </w:r>
            <w:r>
              <w:rPr>
                <w:rFonts w:ascii="宋体" w:eastAsia="宋体" w:hAnsi="宋体" w:cs="宋体" w:hint="eastAsia"/>
                <w:b/>
                <w:bCs/>
                <w:color w:val="auto"/>
                <w:sz w:val="21"/>
                <w:szCs w:val="21"/>
                <w:highlight w:val="none"/>
              </w:rPr>
              <w:t>）评分</w:t>
            </w:r>
            <w:r>
              <w:rPr>
                <w:rFonts w:ascii="宋体" w:hAnsi="宋体" w:cs="宋体" w:hint="eastAsia"/>
                <w:b/>
                <w:bCs/>
                <w:color w:val="auto"/>
                <w:sz w:val="21"/>
                <w:szCs w:val="21"/>
                <w:highlight w:val="none"/>
                <w:lang w:val="en-US" w:eastAsia="zh-CN"/>
              </w:rPr>
              <w:t>依据</w:t>
            </w:r>
            <w:r>
              <w:rPr>
                <w:rFonts w:ascii="宋体" w:eastAsia="宋体" w:hAnsi="宋体" w:cs="宋体" w:hint="eastAsia"/>
                <w:b/>
                <w:bCs/>
                <w:color w:val="auto"/>
                <w:sz w:val="21"/>
                <w:szCs w:val="21"/>
                <w:highlight w:val="none"/>
              </w:rPr>
              <w:t>：</w:t>
            </w:r>
          </w:p>
          <w:p>
            <w:pPr>
              <w:keepNext w:val="0"/>
              <w:keepLines w:val="0"/>
              <w:pageBreakBefore w:val="0"/>
              <w:widowControl w:val="0"/>
              <w:numPr>
                <w:ilvl w:val="0"/>
                <w:numId w:val="0"/>
              </w:numPr>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lang w:eastAsia="zh-CN"/>
              </w:rPr>
            </w:pPr>
            <w:r>
              <w:rPr>
                <w:rFonts w:ascii="宋体" w:eastAsia="宋体" w:hAnsi="宋体" w:cs="宋体" w:hint="eastAsia"/>
                <w:color w:val="auto"/>
                <w:sz w:val="21"/>
                <w:szCs w:val="21"/>
                <w:highlight w:val="none"/>
              </w:rPr>
              <w:t>1.要求提供奖项照片或获奖（荣誉）证书等证明材料作为得分依据。国家级荣誉要求颁发单位为中央国家机关或事业单位或全国性行业学会（协会）；省级荣誉要求颁发单位为省级（自治区、直辖市）政府部门或事业单位或注册地为省级民政部门的地方性行业学会（协会）；市级荣誉要求颁发单位为市级政府部门或事业单位或注册地为市级民政部门的地方性行业学会（协会）</w:t>
            </w:r>
            <w:r>
              <w:rPr>
                <w:rFonts w:ascii="宋体" w:hAnsi="宋体" w:cs="宋体" w:hint="eastAsia"/>
                <w:color w:val="auto"/>
                <w:sz w:val="21"/>
                <w:szCs w:val="21"/>
                <w:highlight w:val="none"/>
                <w:lang w:eastAsia="zh-CN"/>
              </w:rPr>
              <w:t>。</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2.若为行业协会（学会）颁发的证书，还需同时提供该行业协会（学会）在中国社会组织政务服务平台（全国社会组织信用信息公示平台）（网址：https://chinanpo.mca.gov.cn/）的查询页面截图证明证书真实有效且为合法机构颁发。</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3</w:t>
            </w:r>
            <w:r>
              <w:rPr>
                <w:rFonts w:ascii="宋体" w:hAnsi="宋体" w:cs="宋体" w:hint="eastAsia"/>
                <w:color w:val="auto"/>
                <w:sz w:val="21"/>
                <w:szCs w:val="21"/>
                <w:highlight w:val="none"/>
                <w:lang w:val="en-US" w:eastAsia="zh-CN"/>
              </w:rPr>
              <w:t>.以上资料原件备查，</w:t>
            </w:r>
            <w:r>
              <w:rPr>
                <w:rFonts w:ascii="宋体" w:eastAsia="宋体" w:hAnsi="宋体" w:cs="宋体" w:hint="eastAsia"/>
                <w:color w:val="auto"/>
                <w:sz w:val="21"/>
                <w:szCs w:val="21"/>
                <w:highlight w:val="none"/>
              </w:rPr>
              <w:t>评分中出现无证明资料或专家无法凭所提供资料判断是否得分的情况，一律作不得分处理。</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textAlignment w:val="auto"/>
              <w:rPr>
                <w:rFonts w:ascii="宋体" w:hAnsi="宋体" w:cs="宋体"/>
                <w:b/>
                <w:bCs/>
                <w:color w:val="0000FF"/>
                <w:sz w:val="24"/>
              </w:rPr>
            </w:pPr>
          </w:p>
        </w:tc>
        <w:tc>
          <w:tcPr>
            <w:tcW w:w="373"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eastAsia="宋体" w:hAnsi="宋体" w:cs="宋体" w:hint="eastAsia"/>
                <w:szCs w:val="21"/>
                <w:lang w:val="en-US" w:eastAsia="zh-CN"/>
              </w:rPr>
            </w:pPr>
            <w:r>
              <w:rPr>
                <w:rFonts w:ascii="宋体" w:hAnsi="宋体" w:cs="宋体" w:hint="eastAsia"/>
                <w:szCs w:val="21"/>
                <w:lang w:val="en-US" w:eastAsia="zh-CN"/>
              </w:rPr>
              <w:t>4</w:t>
            </w:r>
          </w:p>
        </w:tc>
        <w:tc>
          <w:tcPr>
            <w:tcW w:w="1054"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center"/>
              <w:textAlignment w:val="auto"/>
              <w:rPr>
                <w:rFonts w:ascii="宋体" w:eastAsia="宋体" w:hAnsi="宋体" w:cs="宋体" w:hint="eastAsia"/>
                <w:color w:val="auto"/>
                <w:kern w:val="2"/>
                <w:sz w:val="21"/>
                <w:szCs w:val="21"/>
                <w:highlight w:val="none"/>
                <w:lang w:val="en-US" w:eastAsia="zh-CN" w:bidi="ar-SA"/>
              </w:rPr>
            </w:pPr>
            <w:r>
              <w:rPr>
                <w:rFonts w:ascii="宋体" w:hAnsi="宋体" w:cs="宋体" w:hint="eastAsia"/>
                <w:color w:val="auto"/>
                <w:sz w:val="21"/>
                <w:szCs w:val="21"/>
                <w:highlight w:val="none"/>
                <w:lang w:val="en-US" w:eastAsia="zh-CN"/>
              </w:rPr>
              <w:t>资质</w:t>
            </w:r>
            <w:r>
              <w:rPr>
                <w:rFonts w:ascii="宋体" w:eastAsia="宋体" w:hAnsi="宋体" w:cs="宋体" w:hint="eastAsia"/>
                <w:color w:val="auto"/>
                <w:sz w:val="21"/>
                <w:szCs w:val="21"/>
                <w:highlight w:val="none"/>
              </w:rPr>
              <w:t>证书</w:t>
            </w:r>
          </w:p>
        </w:tc>
        <w:tc>
          <w:tcPr>
            <w:tcW w:w="522"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center"/>
              <w:textAlignment w:val="auto"/>
              <w:rPr>
                <w:rFonts w:ascii="宋体" w:eastAsia="宋体" w:hAnsi="宋体" w:cs="宋体" w:hint="eastAsia"/>
                <w:color w:val="auto"/>
                <w:kern w:val="2"/>
                <w:sz w:val="21"/>
                <w:szCs w:val="21"/>
                <w:highlight w:val="none"/>
                <w:lang w:val="en-US" w:eastAsia="zh-CN" w:bidi="ar-SA"/>
              </w:rPr>
            </w:pPr>
            <w:r>
              <w:rPr>
                <w:rFonts w:ascii="宋体" w:hAnsi="宋体" w:cs="宋体" w:hint="default"/>
                <w:color w:val="auto"/>
                <w:sz w:val="21"/>
                <w:szCs w:val="21"/>
                <w:highlight w:val="none"/>
              </w:rPr>
              <w:t>5</w:t>
            </w:r>
          </w:p>
        </w:tc>
        <w:tc>
          <w:tcPr>
            <w:tcW w:w="2678"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（一）评分内容：</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hAnsi="宋体" w:cs="宋体" w:hint="eastAsia"/>
                <w:color w:val="auto"/>
                <w:sz w:val="21"/>
                <w:szCs w:val="21"/>
                <w:highlight w:val="none"/>
                <w:lang w:val="en-US" w:eastAsia="zh-CN"/>
              </w:rPr>
              <w:t>1.</w:t>
            </w:r>
            <w:r>
              <w:rPr>
                <w:rFonts w:ascii="宋体" w:eastAsia="宋体" w:hAnsi="宋体" w:cs="宋体" w:hint="eastAsia"/>
                <w:color w:val="auto"/>
                <w:sz w:val="21"/>
                <w:szCs w:val="21"/>
                <w:highlight w:val="none"/>
              </w:rPr>
              <w:t>具有工程咨询甲级资信证书得100分，本小项最高得100分；</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sz w:val="21"/>
                <w:szCs w:val="21"/>
                <w:highlight w:val="none"/>
              </w:rPr>
            </w:pPr>
            <w:r>
              <w:rPr>
                <w:rFonts w:ascii="宋体" w:hAnsi="宋体" w:cs="宋体" w:hint="eastAsia"/>
                <w:color w:val="auto"/>
                <w:sz w:val="21"/>
                <w:szCs w:val="21"/>
                <w:highlight w:val="none"/>
                <w:lang w:val="en-US" w:eastAsia="zh-CN"/>
              </w:rPr>
              <w:t>2.</w:t>
            </w:r>
            <w:r>
              <w:rPr>
                <w:rFonts w:ascii="宋体" w:eastAsia="宋体" w:hAnsi="宋体" w:cs="宋体" w:hint="eastAsia"/>
                <w:color w:val="auto"/>
                <w:sz w:val="21"/>
                <w:szCs w:val="21"/>
                <w:highlight w:val="none"/>
              </w:rPr>
              <w:t>具有工程咨询乙级资信证书得60分，本小项最高得60分；</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b/>
                <w:bCs/>
                <w:color w:val="auto"/>
                <w:sz w:val="21"/>
                <w:szCs w:val="21"/>
                <w:highlight w:val="none"/>
              </w:rPr>
            </w:pPr>
            <w:r>
              <w:rPr>
                <w:rFonts w:ascii="宋体" w:hAnsi="宋体" w:cs="宋体" w:hint="eastAsia"/>
                <w:color w:val="auto"/>
                <w:sz w:val="21"/>
                <w:szCs w:val="21"/>
                <w:highlight w:val="none"/>
                <w:lang w:val="en-US" w:eastAsia="zh-CN"/>
              </w:rPr>
              <w:t>以上两项不累计得分，</w:t>
            </w:r>
            <w:r>
              <w:rPr>
                <w:rFonts w:ascii="宋体" w:eastAsia="宋体" w:hAnsi="宋体" w:cs="宋体" w:hint="eastAsia"/>
                <w:color w:val="auto"/>
                <w:sz w:val="21"/>
                <w:szCs w:val="21"/>
                <w:highlight w:val="none"/>
              </w:rPr>
              <w:t>本项最高得100分。</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b/>
                <w:bCs/>
                <w:color w:val="auto"/>
                <w:sz w:val="21"/>
                <w:szCs w:val="21"/>
                <w:highlight w:val="none"/>
              </w:rPr>
            </w:pPr>
            <w:r>
              <w:rPr>
                <w:rFonts w:ascii="宋体" w:eastAsia="宋体" w:hAnsi="宋体" w:cs="宋体" w:hint="eastAsia"/>
                <w:b/>
                <w:bCs/>
                <w:color w:val="auto"/>
                <w:sz w:val="21"/>
                <w:szCs w:val="21"/>
                <w:highlight w:val="none"/>
              </w:rPr>
              <w:t>（</w:t>
            </w:r>
            <w:r>
              <w:rPr>
                <w:rFonts w:ascii="宋体" w:hAnsi="宋体" w:cs="宋体" w:hint="eastAsia"/>
                <w:b/>
                <w:bCs/>
                <w:color w:val="auto"/>
                <w:sz w:val="21"/>
                <w:szCs w:val="21"/>
                <w:highlight w:val="none"/>
                <w:lang w:val="en-US" w:eastAsia="zh-CN"/>
              </w:rPr>
              <w:t>二</w:t>
            </w:r>
            <w:r>
              <w:rPr>
                <w:rFonts w:ascii="宋体" w:eastAsia="宋体" w:hAnsi="宋体" w:cs="宋体" w:hint="eastAsia"/>
                <w:b/>
                <w:bCs/>
                <w:color w:val="auto"/>
                <w:sz w:val="21"/>
                <w:szCs w:val="21"/>
                <w:highlight w:val="none"/>
              </w:rPr>
              <w:t>）评分</w:t>
            </w:r>
            <w:r>
              <w:rPr>
                <w:rFonts w:ascii="宋体" w:hAnsi="宋体" w:cs="宋体" w:hint="eastAsia"/>
                <w:b/>
                <w:bCs/>
                <w:color w:val="auto"/>
                <w:sz w:val="21"/>
                <w:szCs w:val="21"/>
                <w:highlight w:val="none"/>
                <w:lang w:val="en-US" w:eastAsia="zh-CN"/>
              </w:rPr>
              <w:t>依据</w:t>
            </w:r>
            <w:r>
              <w:rPr>
                <w:rFonts w:ascii="宋体" w:eastAsia="宋体" w:hAnsi="宋体" w:cs="宋体" w:hint="eastAsia"/>
                <w:b/>
                <w:bCs/>
                <w:color w:val="auto"/>
                <w:sz w:val="21"/>
                <w:szCs w:val="21"/>
                <w:highlight w:val="none"/>
              </w:rPr>
              <w:t>：</w:t>
            </w:r>
          </w:p>
          <w:p>
            <w:pPr>
              <w:keepNext w:val="0"/>
              <w:keepLines w:val="0"/>
              <w:pageBreakBefore w:val="0"/>
              <w:widowControl w:val="0"/>
              <w:kinsoku/>
              <w:overflowPunct/>
              <w:topLinePunct w:val="0"/>
              <w:autoSpaceDE/>
              <w:autoSpaceDN/>
              <w:bidi w:val="0"/>
              <w:adjustRightInd/>
              <w:snapToGrid/>
              <w:spacing w:line="240" w:lineRule="auto"/>
              <w:textAlignment w:val="auto"/>
              <w:rPr>
                <w:rFonts w:ascii="宋体" w:eastAsia="宋体" w:hAnsi="宋体" w:cs="宋体" w:hint="eastAsia"/>
                <w:color w:val="auto"/>
                <w:sz w:val="21"/>
                <w:szCs w:val="21"/>
                <w:highlight w:val="none"/>
              </w:rPr>
            </w:pPr>
            <w:r>
              <w:rPr>
                <w:rFonts w:ascii="宋体" w:eastAsia="宋体" w:hAnsi="宋体" w:cs="宋体" w:hint="eastAsia"/>
                <w:color w:val="auto"/>
                <w:sz w:val="21"/>
                <w:szCs w:val="21"/>
                <w:highlight w:val="none"/>
              </w:rPr>
              <w:t>1</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提供相关证明文件，原件备查。</w:t>
            </w:r>
          </w:p>
          <w:p>
            <w:pPr>
              <w:keepNext w:val="0"/>
              <w:keepLines w:val="0"/>
              <w:pageBreakBefore w:val="0"/>
              <w:widowControl w:val="0"/>
              <w:kinsoku/>
              <w:overflowPunct/>
              <w:topLinePunct w:val="0"/>
              <w:autoSpaceDE/>
              <w:autoSpaceDN/>
              <w:bidi w:val="0"/>
              <w:adjustRightInd/>
              <w:snapToGrid/>
              <w:spacing w:line="240" w:lineRule="auto"/>
              <w:jc w:val="left"/>
              <w:textAlignment w:val="auto"/>
              <w:rPr>
                <w:rFonts w:ascii="宋体" w:eastAsia="宋体" w:hAnsi="宋体" w:cs="宋体" w:hint="eastAsia"/>
                <w:color w:val="auto"/>
                <w:kern w:val="2"/>
                <w:sz w:val="21"/>
                <w:szCs w:val="21"/>
                <w:highlight w:val="none"/>
                <w:lang w:val="en-US" w:eastAsia="zh-CN" w:bidi="ar-SA"/>
              </w:rPr>
            </w:pPr>
            <w:r>
              <w:rPr>
                <w:rFonts w:ascii="宋体" w:eastAsia="宋体" w:hAnsi="宋体" w:cs="宋体" w:hint="eastAsia"/>
                <w:color w:val="auto"/>
                <w:sz w:val="21"/>
                <w:szCs w:val="21"/>
                <w:highlight w:val="none"/>
              </w:rPr>
              <w:t>2</w:t>
            </w:r>
            <w:r>
              <w:rPr>
                <w:rFonts w:ascii="宋体" w:hAnsi="宋体" w:cs="宋体" w:hint="eastAsia"/>
                <w:color w:val="auto"/>
                <w:sz w:val="21"/>
                <w:szCs w:val="21"/>
                <w:highlight w:val="none"/>
                <w:lang w:val="en-US" w:eastAsia="zh-CN"/>
              </w:rPr>
              <w:t>.</w:t>
            </w:r>
            <w:r>
              <w:rPr>
                <w:rFonts w:ascii="宋体" w:eastAsia="宋体" w:hAnsi="宋体" w:cs="宋体" w:hint="eastAsia"/>
                <w:color w:val="auto"/>
                <w:sz w:val="21"/>
                <w:szCs w:val="21"/>
                <w:highlight w:val="none"/>
              </w:rPr>
              <w:t>未提供证明材料或者提供的证明材料不符合要求或提供的证明材料不清晰评审专家无法辨认的，不得分。</w:t>
            </w:r>
          </w:p>
        </w:tc>
      </w:tr>
      <w:tr>
        <w:tblPrEx>
          <w:tblW w:w="4996" w:type="pct"/>
          <w:jc w:val="center"/>
          <w:tblCellMar>
            <w:top w:w="20" w:type="dxa"/>
            <w:left w:w="108" w:type="dxa"/>
            <w:bottom w:w="20" w:type="dxa"/>
            <w:right w:w="108" w:type="dxa"/>
          </w:tblCellMar>
        </w:tblPrEx>
        <w:trPr>
          <w:jc w:val="center"/>
        </w:trPr>
        <w:tc>
          <w:tcPr>
            <w:tcW w:w="371" w:type="pct"/>
            <w:vMerge w:val="restart"/>
            <w:tcBorders>
              <w:top w:val="single" w:sz="8" w:space="0" w:color="000000"/>
              <w:left w:val="single" w:sz="8" w:space="0" w:color="000000"/>
              <w:bottom w:val="single" w:sz="8" w:space="0" w:color="000000"/>
              <w:right w:val="single" w:sz="8" w:space="0" w:color="000000"/>
            </w:tcBorders>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b/>
                <w:bCs/>
                <w:color w:val="0000FF"/>
                <w:sz w:val="24"/>
              </w:rPr>
            </w:pPr>
            <w:r>
              <w:rPr>
                <w:b/>
                <w:bCs/>
                <w:color w:val="0000FF"/>
              </w:rPr>
              <w:t>4</w:t>
            </w:r>
          </w:p>
        </w:tc>
        <w:tc>
          <w:tcPr>
            <w:tcW w:w="1950" w:type="pct"/>
            <w:gridSpan w:val="3"/>
            <w:tcBorders>
              <w:top w:val="single" w:sz="8" w:space="0" w:color="000000"/>
              <w:left w:val="single" w:sz="8" w:space="0" w:color="000000"/>
              <w:bottom w:val="single" w:sz="8" w:space="0" w:color="000000"/>
              <w:right w:val="single" w:sz="8" w:space="0" w:color="000000"/>
            </w:tcBorders>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b/>
                <w:bCs/>
                <w:color w:val="0000FF"/>
                <w:sz w:val="24"/>
              </w:rPr>
            </w:pPr>
            <w:r>
              <w:rPr>
                <w:b/>
                <w:bCs/>
                <w:color w:val="0000FF"/>
              </w:rPr>
              <w:t>诚信情况</w:t>
            </w:r>
          </w:p>
        </w:tc>
        <w:tc>
          <w:tcPr>
            <w:tcW w:w="2678" w:type="pct"/>
            <w:tcBorders>
              <w:top w:val="single" w:sz="8" w:space="0" w:color="000000"/>
              <w:left w:val="single" w:sz="8" w:space="0" w:color="000000"/>
              <w:bottom w:val="single" w:sz="8" w:space="0" w:color="000000"/>
              <w:right w:val="single" w:sz="8" w:space="0" w:color="000000"/>
            </w:tcBorders>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b/>
                <w:bCs/>
                <w:color w:val="0000FF"/>
                <w:sz w:val="24"/>
              </w:rPr>
            </w:pPr>
            <w:r>
              <w:rPr>
                <w:b/>
                <w:bCs/>
                <w:color w:val="0000FF"/>
              </w:rPr>
              <w:t>5</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shd w:val="clear" w:color="auto" w:fill="E6EFFA"/>
            <w:vAlign w:val="center"/>
          </w:tcPr>
          <w:p>
            <w:pPr>
              <w:keepNext w:val="0"/>
              <w:keepLines w:val="0"/>
              <w:pageBreakBefore w:val="0"/>
              <w:widowControl w:val="0"/>
              <w:kinsoku/>
              <w:overflowPunct/>
              <w:topLinePunct w:val="0"/>
              <w:autoSpaceDE/>
              <w:autoSpaceDN/>
              <w:bidi w:val="0"/>
              <w:adjustRightInd/>
              <w:snapToGrid/>
              <w:spacing w:line="240" w:lineRule="auto"/>
              <w:textAlignment w:val="auto"/>
              <w:rPr>
                <w:rFonts w:ascii="宋体" w:hAnsi="宋体" w:cs="宋体"/>
                <w:b/>
                <w:bCs/>
                <w:color w:val="0000FF"/>
                <w:sz w:val="24"/>
              </w:rPr>
            </w:pPr>
          </w:p>
        </w:tc>
        <w:tc>
          <w:tcPr>
            <w:tcW w:w="373" w:type="pct"/>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szCs w:val="21"/>
              </w:rPr>
            </w:pPr>
            <w:r>
              <w:rPr>
                <w:szCs w:val="21"/>
              </w:rPr>
              <w:t>序号</w:t>
            </w:r>
          </w:p>
        </w:tc>
        <w:tc>
          <w:tcPr>
            <w:tcW w:w="1054" w:type="pct"/>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szCs w:val="21"/>
              </w:rPr>
            </w:pPr>
            <w:r>
              <w:rPr>
                <w:szCs w:val="21"/>
              </w:rPr>
              <w:t>评分因素</w:t>
            </w:r>
          </w:p>
        </w:tc>
        <w:tc>
          <w:tcPr>
            <w:tcW w:w="522" w:type="pct"/>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szCs w:val="21"/>
              </w:rPr>
            </w:pPr>
            <w:r>
              <w:rPr>
                <w:szCs w:val="21"/>
              </w:rPr>
              <w:t>权重(%)</w:t>
            </w:r>
          </w:p>
        </w:tc>
        <w:tc>
          <w:tcPr>
            <w:tcW w:w="2678" w:type="pct"/>
            <w:tcBorders>
              <w:top w:val="outset" w:sz="6" w:space="0" w:color="000000"/>
              <w:left w:val="outset" w:sz="6" w:space="0" w:color="000000"/>
              <w:bottom w:val="outset" w:sz="6" w:space="0" w:color="000000"/>
              <w:right w:val="outset" w:sz="6" w:space="0" w:color="000000"/>
            </w:tcBorders>
            <w:shd w:val="clear" w:color="auto" w:fill="E6EFFA"/>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szCs w:val="21"/>
              </w:rPr>
            </w:pPr>
            <w:r>
              <w:rPr>
                <w:szCs w:val="21"/>
              </w:rPr>
              <w:t>评分准则</w:t>
            </w:r>
          </w:p>
        </w:tc>
      </w:tr>
      <w:tr>
        <w:tblPrEx>
          <w:tblW w:w="4996" w:type="pct"/>
          <w:jc w:val="center"/>
          <w:tblCellMar>
            <w:top w:w="20" w:type="dxa"/>
            <w:left w:w="108" w:type="dxa"/>
            <w:bottom w:w="20" w:type="dxa"/>
            <w:right w:w="108" w:type="dxa"/>
          </w:tblCellMar>
        </w:tblPrEx>
        <w:trPr>
          <w:jc w:val="center"/>
        </w:trPr>
        <w:tc>
          <w:tcPr>
            <w:tcW w:w="371" w:type="pct"/>
            <w:vMerge/>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overflowPunct/>
              <w:topLinePunct w:val="0"/>
              <w:autoSpaceDE/>
              <w:autoSpaceDN/>
              <w:bidi w:val="0"/>
              <w:adjustRightInd/>
              <w:snapToGrid/>
              <w:spacing w:line="240" w:lineRule="auto"/>
              <w:textAlignment w:val="auto"/>
              <w:rPr>
                <w:rFonts w:ascii="宋体" w:hAnsi="宋体" w:cs="宋体"/>
                <w:b/>
                <w:bCs/>
                <w:color w:val="0000FF"/>
                <w:sz w:val="24"/>
              </w:rPr>
            </w:pPr>
          </w:p>
        </w:tc>
        <w:tc>
          <w:tcPr>
            <w:tcW w:w="373"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szCs w:val="21"/>
              </w:rPr>
            </w:pPr>
            <w:r>
              <w:rPr>
                <w:szCs w:val="21"/>
              </w:rPr>
              <w:t>1</w:t>
            </w:r>
          </w:p>
        </w:tc>
        <w:tc>
          <w:tcPr>
            <w:tcW w:w="1054"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szCs w:val="21"/>
              </w:rPr>
            </w:pPr>
            <w:r>
              <w:rPr>
                <w:szCs w:val="21"/>
              </w:rPr>
              <w:t>诚信情况</w:t>
            </w:r>
          </w:p>
        </w:tc>
        <w:tc>
          <w:tcPr>
            <w:tcW w:w="522" w:type="pct"/>
            <w:tcBorders>
              <w:top w:val="single" w:sz="8" w:space="0" w:color="000000"/>
              <w:left w:val="single" w:sz="8" w:space="0" w:color="000000"/>
              <w:bottom w:val="single" w:sz="8" w:space="0" w:color="000000"/>
              <w:right w:val="single" w:sz="8" w:space="0" w:color="000000"/>
            </w:tcBorders>
            <w:vAlign w:val="center"/>
          </w:tcPr>
          <w:p>
            <w:pPr>
              <w:keepNext w:val="0"/>
              <w:keepLines w:val="0"/>
              <w:pageBreakBefore w:val="0"/>
              <w:widowControl w:val="0"/>
              <w:kinsoku/>
              <w:wordWrap w:val="0"/>
              <w:overflowPunct/>
              <w:topLinePunct w:val="0"/>
              <w:autoSpaceDE/>
              <w:autoSpaceDN/>
              <w:bidi w:val="0"/>
              <w:adjustRightInd/>
              <w:snapToGrid/>
              <w:spacing w:line="240" w:lineRule="auto"/>
              <w:jc w:val="center"/>
              <w:textAlignment w:val="auto"/>
              <w:rPr>
                <w:rFonts w:ascii="宋体" w:hAnsi="宋体" w:cs="宋体"/>
                <w:szCs w:val="21"/>
              </w:rPr>
            </w:pPr>
            <w:r>
              <w:rPr>
                <w:szCs w:val="21"/>
              </w:rPr>
              <w:t>5</w:t>
            </w:r>
          </w:p>
        </w:tc>
        <w:tc>
          <w:tcPr>
            <w:tcW w:w="2678" w:type="pct"/>
            <w:tcBorders>
              <w:top w:val="single" w:sz="8" w:space="0" w:color="000000"/>
              <w:left w:val="single" w:sz="8" w:space="0" w:color="000000"/>
              <w:bottom w:val="single" w:sz="8" w:space="0" w:color="000000"/>
              <w:right w:val="single" w:sz="8" w:space="0" w:color="000000"/>
            </w:tcBorders>
          </w:tcPr>
          <w:p>
            <w:pPr>
              <w:keepNext w:val="0"/>
              <w:keepLines w:val="0"/>
              <w:pageBreakBefore w:val="0"/>
              <w:widowControl w:val="0"/>
              <w:kinsoku/>
              <w:wordWrap w:val="0"/>
              <w:overflowPunct/>
              <w:topLinePunct w:val="0"/>
              <w:autoSpaceDE/>
              <w:autoSpaceDN/>
              <w:bidi w:val="0"/>
              <w:adjustRightInd/>
              <w:snapToGrid/>
              <w:spacing w:line="240" w:lineRule="auto"/>
              <w:textAlignment w:val="auto"/>
              <w:rPr>
                <w:rFonts w:ascii="宋体" w:hAnsi="宋体" w:cs="宋体"/>
                <w:szCs w:val="21"/>
              </w:rPr>
            </w:pPr>
            <w:r>
              <w:rPr>
                <w:rFonts w:hint="eastAsia"/>
              </w:rPr>
              <w:t>投标人在参与政府采购活动中存在诚信相关问题且在主管部门相关处理措施实施期限内的，本项不得分，否则得</w:t>
            </w:r>
            <w:r>
              <w:rPr>
                <w:rFonts w:hint="eastAsia"/>
                <w:lang w:val="en-US" w:eastAsia="zh-CN"/>
              </w:rPr>
              <w:t>100</w:t>
            </w:r>
            <w:r>
              <w:rPr>
                <w:rFonts w:hint="eastAsia"/>
              </w:rPr>
              <w:t>分。投标人无需提供任何证明材料，由政府集中采购机构工作人员查询后向评审委员会提供相关信息。</w:t>
            </w:r>
          </w:p>
        </w:tc>
      </w:tr>
    </w:tbl>
    <w:p>
      <w:pPr>
        <w:rPr>
          <w:rFonts w:ascii="宋体" w:hAnsi="宋体"/>
          <w:sz w:val="24"/>
        </w:rPr>
      </w:pPr>
    </w:p>
    <w:p>
      <w:pPr>
        <w:sectPr>
          <w:footerReference w:type="even" r:id="rId4"/>
          <w:footerReference w:type="default" r:id="rId5"/>
          <w:headerReference w:type="first" r:id="rId6"/>
          <w:pgSz w:w="11907" w:h="16840"/>
          <w:pgMar w:top="1440" w:right="1417" w:bottom="1440" w:left="1417" w:header="851" w:footer="992" w:gutter="0"/>
          <w:cols w:num="1" w:space="425"/>
          <w:titlePg/>
          <w:docGrid w:linePitch="462" w:charSpace="0"/>
        </w:sectPr>
      </w:pPr>
    </w:p>
    <w:p>
      <w:pPr>
        <w:jc w:val="center"/>
        <w:rPr>
          <w:b/>
          <w:sz w:val="120"/>
          <w:szCs w:val="120"/>
        </w:rPr>
      </w:pPr>
      <w:r>
        <w:rPr>
          <w:rFonts w:hint="eastAsia"/>
          <w:b/>
          <w:sz w:val="120"/>
          <w:szCs w:val="120"/>
        </w:rPr>
        <w:t>政府采购</w:t>
      </w:r>
    </w:p>
    <w:p>
      <w:pPr>
        <w:jc w:val="center"/>
        <w:rPr>
          <w:b/>
          <w:sz w:val="120"/>
          <w:szCs w:val="120"/>
        </w:rPr>
      </w:pPr>
      <w:r>
        <w:rPr>
          <w:rFonts w:hint="eastAsia"/>
          <w:b/>
          <w:sz w:val="120"/>
          <w:szCs w:val="120"/>
        </w:rPr>
        <w:t>招标文件</w:t>
      </w:r>
    </w:p>
    <w:p>
      <w:pPr>
        <w:jc w:val="center"/>
        <w:rPr>
          <w:b/>
          <w:sz w:val="52"/>
          <w:szCs w:val="52"/>
        </w:rPr>
      </w:pPr>
      <w:r>
        <w:rPr>
          <w:rFonts w:hint="eastAsia"/>
          <w:b/>
          <w:sz w:val="52"/>
          <w:szCs w:val="52"/>
        </w:rPr>
        <w:t>（服务类）</w:t>
      </w:r>
    </w:p>
    <w:p/>
    <w:p/>
    <w:p/>
    <w:p/>
    <w:p/>
    <w:p/>
    <w:p/>
    <w:p/>
    <w:p/>
    <w:p/>
    <w:p/>
    <w:p/>
    <w:p/>
    <w:p/>
    <w:p/>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p>
    <w:p>
      <w:pPr>
        <w:jc w:val="center"/>
        <w:rPr>
          <w:b/>
          <w:sz w:val="44"/>
          <w:szCs w:val="44"/>
        </w:rPr>
      </w:pPr>
      <w:bookmarkStart w:id="1" w:name="_Hlk71465316"/>
      <w:r>
        <w:rPr>
          <w:rFonts w:hint="eastAsia"/>
          <w:b/>
          <w:sz w:val="44"/>
          <w:szCs w:val="44"/>
        </w:rPr>
        <w:t>深圳公共资源交易中心</w:t>
      </w:r>
    </w:p>
    <w:p>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3</w:t>
      </w:r>
      <w:r>
        <w:rPr>
          <w:rFonts w:hint="eastAsia"/>
          <w:b/>
          <w:sz w:val="28"/>
          <w:szCs w:val="28"/>
        </w:rPr>
        <w:t>）</w:t>
      </w:r>
      <w:bookmarkEnd w:id="1"/>
    </w:p>
    <w:p>
      <w:pPr>
        <w:ind w:firstLine="3150" w:firstLineChars="1500"/>
        <w:rPr>
          <w:rFonts w:ascii="宋体" w:hAnsi="宋体"/>
          <w:color w:val="FF0000"/>
          <w:szCs w:val="21"/>
        </w:rPr>
      </w:pPr>
      <w:r>
        <w:rPr>
          <w:rFonts w:hint="eastAsia"/>
        </w:rPr>
        <w:br w:type="page"/>
      </w:r>
      <w:r>
        <w:rPr>
          <w:rFonts w:ascii="宋体" w:eastAsia="黑体" w:hAnsi="宋体" w:hint="eastAsia"/>
          <w:b/>
          <w:bCs/>
          <w:color w:val="FF0000"/>
          <w:kern w:val="44"/>
          <w:sz w:val="28"/>
          <w:szCs w:val="44"/>
        </w:rPr>
        <w:t>警示条款</w:t>
      </w:r>
    </w:p>
    <w:p>
      <w:pPr>
        <w:ind w:firstLine="420" w:firstLineChars="200"/>
        <w:rPr>
          <w:rFonts w:ascii="宋体" w:hAnsi="宋体"/>
          <w:color w:val="FF0000"/>
          <w:sz w:val="20"/>
          <w:szCs w:val="20"/>
        </w:rPr>
      </w:pPr>
      <w:r>
        <w:rPr>
          <w:rFonts w:ascii="宋体" w:hAnsi="宋体" w:hint="eastAsia"/>
          <w:color w:val="FF0000"/>
          <w:sz w:val="20"/>
          <w:szCs w:val="20"/>
        </w:rPr>
        <w:t>一、</w:t>
      </w:r>
      <w:r>
        <w:rPr>
          <w:rFonts w:ascii="宋体" w:hAnsi="宋体" w:hint="eastAsia"/>
          <w:b/>
          <w:bCs/>
          <w:color w:val="FF0000"/>
          <w:sz w:val="20"/>
          <w:szCs w:val="20"/>
        </w:rPr>
        <w:t>《深圳经济特区政府采购条例》第五十七条</w:t>
      </w:r>
      <w:r>
        <w:rPr>
          <w:rFonts w:ascii="宋体" w:hAnsi="宋体" w:hint="eastAsia"/>
          <w:color w:val="FF0000"/>
          <w:sz w:val="20"/>
          <w:szCs w:val="20"/>
        </w:rPr>
        <w:t xml:space="preserve">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20" w:firstLineChars="200"/>
        <w:rPr>
          <w:rFonts w:ascii="宋体" w:hAnsi="宋体"/>
          <w:color w:val="FF0000"/>
          <w:sz w:val="20"/>
          <w:szCs w:val="20"/>
        </w:rPr>
      </w:pPr>
      <w:r>
        <w:rPr>
          <w:rFonts w:ascii="宋体" w:hAnsi="宋体" w:hint="eastAsia"/>
          <w:color w:val="FF0000"/>
          <w:sz w:val="20"/>
          <w:szCs w:val="20"/>
        </w:rPr>
        <w:t>（一）在采购活动中应当回避而未回避的；</w:t>
      </w:r>
    </w:p>
    <w:p>
      <w:pPr>
        <w:ind w:firstLine="420" w:firstLineChars="200"/>
        <w:rPr>
          <w:rFonts w:ascii="宋体" w:hAnsi="宋体"/>
          <w:color w:val="FF0000"/>
          <w:sz w:val="20"/>
          <w:szCs w:val="20"/>
        </w:rPr>
      </w:pPr>
      <w:r>
        <w:rPr>
          <w:rFonts w:ascii="宋体" w:hAnsi="宋体" w:hint="eastAsia"/>
          <w:color w:val="FF0000"/>
          <w:sz w:val="20"/>
          <w:szCs w:val="20"/>
        </w:rPr>
        <w:t>（二）未按本条例规定签订、履行采购合同，造成严重后果的；</w:t>
      </w:r>
    </w:p>
    <w:p>
      <w:pPr>
        <w:ind w:firstLine="420" w:firstLineChars="200"/>
        <w:rPr>
          <w:rFonts w:ascii="宋体" w:hAnsi="宋体"/>
          <w:color w:val="FF0000"/>
          <w:sz w:val="20"/>
          <w:szCs w:val="20"/>
        </w:rPr>
      </w:pPr>
      <w:r>
        <w:rPr>
          <w:rFonts w:ascii="宋体" w:hAnsi="宋体" w:hint="eastAsia"/>
          <w:color w:val="FF0000"/>
          <w:sz w:val="20"/>
          <w:szCs w:val="20"/>
        </w:rPr>
        <w:t>（三）隐瞒真实情况，提供虚假资料的；</w:t>
      </w:r>
    </w:p>
    <w:p>
      <w:pPr>
        <w:ind w:firstLine="420" w:firstLineChars="200"/>
        <w:rPr>
          <w:rFonts w:ascii="宋体" w:hAnsi="宋体"/>
          <w:color w:val="FF0000"/>
          <w:sz w:val="20"/>
          <w:szCs w:val="20"/>
        </w:rPr>
      </w:pPr>
      <w:r>
        <w:rPr>
          <w:rFonts w:ascii="宋体" w:hAnsi="宋体" w:hint="eastAsia"/>
          <w:color w:val="FF0000"/>
          <w:sz w:val="20"/>
          <w:szCs w:val="20"/>
        </w:rPr>
        <w:t>（四）以非法手段排斥其他供应商参与竞争的；</w:t>
      </w:r>
    </w:p>
    <w:p>
      <w:pPr>
        <w:ind w:firstLine="420" w:firstLineChars="200"/>
        <w:rPr>
          <w:rFonts w:ascii="宋体" w:hAnsi="宋体"/>
          <w:color w:val="FF0000"/>
          <w:sz w:val="20"/>
          <w:szCs w:val="20"/>
        </w:rPr>
      </w:pPr>
      <w:r>
        <w:rPr>
          <w:rFonts w:ascii="宋体" w:hAnsi="宋体" w:hint="eastAsia"/>
          <w:color w:val="FF0000"/>
          <w:sz w:val="20"/>
          <w:szCs w:val="20"/>
        </w:rPr>
        <w:t>（五）与其他采购参加人串通投标的；</w:t>
      </w:r>
    </w:p>
    <w:p>
      <w:pPr>
        <w:ind w:firstLine="420" w:firstLineChars="200"/>
        <w:rPr>
          <w:rFonts w:ascii="宋体" w:hAnsi="宋体"/>
          <w:color w:val="FF0000"/>
          <w:sz w:val="20"/>
          <w:szCs w:val="20"/>
        </w:rPr>
      </w:pPr>
      <w:r>
        <w:rPr>
          <w:rFonts w:ascii="宋体" w:hAnsi="宋体" w:hint="eastAsia"/>
          <w:color w:val="FF0000"/>
          <w:sz w:val="20"/>
          <w:szCs w:val="20"/>
        </w:rPr>
        <w:t>（六）恶意投诉的；</w:t>
      </w:r>
    </w:p>
    <w:p>
      <w:pPr>
        <w:ind w:firstLine="420" w:firstLineChars="200"/>
        <w:rPr>
          <w:rFonts w:ascii="宋体" w:hAnsi="宋体"/>
          <w:color w:val="FF0000"/>
          <w:sz w:val="20"/>
          <w:szCs w:val="20"/>
        </w:rPr>
      </w:pPr>
      <w:r>
        <w:rPr>
          <w:rFonts w:ascii="宋体" w:hAnsi="宋体" w:hint="eastAsia"/>
          <w:color w:val="FF0000"/>
          <w:sz w:val="20"/>
          <w:szCs w:val="20"/>
        </w:rPr>
        <w:t>（七）向采购项目相关人行贿或者提供其他不当利益的；</w:t>
      </w:r>
    </w:p>
    <w:p>
      <w:pPr>
        <w:ind w:firstLine="420" w:firstLineChars="200"/>
        <w:rPr>
          <w:rFonts w:ascii="宋体" w:hAnsi="宋体"/>
          <w:color w:val="FF0000"/>
          <w:sz w:val="20"/>
          <w:szCs w:val="20"/>
        </w:rPr>
      </w:pPr>
      <w:r>
        <w:rPr>
          <w:rFonts w:ascii="宋体" w:hAnsi="宋体" w:hint="eastAsia"/>
          <w:color w:val="FF0000"/>
          <w:sz w:val="20"/>
          <w:szCs w:val="20"/>
        </w:rPr>
        <w:t>（八）阻碍、抗拒主管部门监督检查的；</w:t>
      </w:r>
    </w:p>
    <w:p>
      <w:pPr>
        <w:ind w:firstLine="420" w:firstLineChars="200"/>
        <w:rPr>
          <w:rFonts w:ascii="宋体" w:hAnsi="宋体"/>
          <w:color w:val="FF0000"/>
          <w:sz w:val="20"/>
          <w:szCs w:val="20"/>
        </w:rPr>
      </w:pPr>
      <w:r>
        <w:rPr>
          <w:rFonts w:ascii="宋体" w:hAnsi="宋体" w:hint="eastAsia"/>
          <w:color w:val="FF0000"/>
          <w:sz w:val="20"/>
          <w:szCs w:val="20"/>
        </w:rPr>
        <w:t>（九）其他违反本条例规定的行为。</w:t>
      </w:r>
    </w:p>
    <w:p>
      <w:pPr>
        <w:ind w:firstLine="420" w:firstLineChars="200"/>
        <w:rPr>
          <w:rFonts w:ascii="宋体" w:hAnsi="宋体"/>
          <w:color w:val="FF0000"/>
          <w:sz w:val="20"/>
          <w:szCs w:val="20"/>
        </w:rPr>
      </w:pPr>
      <w:r>
        <w:rPr>
          <w:rFonts w:ascii="宋体" w:hAnsi="宋体" w:hint="eastAsia"/>
          <w:b/>
          <w:bCs/>
          <w:color w:val="FF0000"/>
          <w:sz w:val="20"/>
          <w:szCs w:val="20"/>
        </w:rPr>
        <w:t>二、《深圳经济特区政府采购条例实施细则》第七十五条 </w:t>
      </w:r>
      <w:r>
        <w:rPr>
          <w:rFonts w:ascii="宋体" w:hAnsi="宋体" w:hint="eastAsia"/>
          <w:color w:val="FF0000"/>
          <w:sz w:val="20"/>
          <w:szCs w:val="20"/>
        </w:rPr>
        <w:t>供应商有下列情形的，属于采购条例所称的串通投标行为，按照采购条例第五十七条有关规定处理：（一）投标供应商之间相互约定给予未中标的供应商利益补偿；（二）不同投标供应商的法定代表人、主要经营负责人、项目投标授权代表人、项目负责人、主要技术人员为同一人、属同一单位或者在同一单位缴纳社会保险；（三）不同投标供应商的投标文件由同一单位或者同一人编制，或者由同一人分阶段参与编制的；（四）不同投标供应商的投标文件或部分投标文件相互混装；（五）不同投标供应商的投标文件内容存在非正常一致；（六）由同一单位工作人员为两家以上（含两家）供应商进行同一项投标活动的；（七）主管部门依照法律、法规认定的其他情形。</w:t>
      </w:r>
    </w:p>
    <w:p>
      <w:pPr>
        <w:ind w:firstLine="420" w:firstLineChars="200"/>
        <w:rPr>
          <w:rFonts w:ascii="宋体" w:hAnsi="宋体"/>
          <w:color w:val="FF0000"/>
          <w:sz w:val="20"/>
          <w:szCs w:val="20"/>
        </w:rPr>
      </w:pPr>
      <w:r>
        <w:rPr>
          <w:rFonts w:ascii="宋体" w:hAnsi="宋体" w:hint="eastAsia"/>
          <w:b/>
          <w:bCs/>
          <w:color w:val="FF0000"/>
          <w:sz w:val="20"/>
          <w:szCs w:val="20"/>
        </w:rPr>
        <w:t>三、《深圳经济特区政府采购条例实施细则》第七十七条 </w:t>
      </w:r>
      <w:r>
        <w:rPr>
          <w:rFonts w:ascii="宋体" w:hAnsi="宋体" w:hint="eastAsia"/>
          <w:color w:val="FF0000"/>
          <w:sz w:val="20"/>
          <w:szCs w:val="20"/>
        </w:rPr>
        <w:t>供应商有下列情形之一的，属于隐瞒真实情况，提供虚假资料，按照采购条例第五十七的有关规定处理：（一）通过转让或者租借等方式从其他单位获取资格或者资质证书投标的；（二）由其他单位或者其他单位负责人在投标供应商编制的投标文件上加盖印章或者签字的；（三）项目负责人或者主要技术人员不是本单位人员的；（四）投标保证金不是从投标供应商基本账户转出的；（五）其他隐瞒真实情况、提供虚假资料的行为。</w:t>
      </w:r>
    </w:p>
    <w:p>
      <w:pPr>
        <w:ind w:firstLine="420" w:firstLineChars="200"/>
        <w:rPr>
          <w:rFonts w:ascii="宋体" w:hAnsi="宋体"/>
          <w:color w:val="FF0000"/>
          <w:sz w:val="20"/>
          <w:szCs w:val="20"/>
        </w:rPr>
      </w:pPr>
      <w:r>
        <w:rPr>
          <w:rFonts w:ascii="宋体" w:hAnsi="宋体" w:hint="eastAsia"/>
          <w:color w:val="FF0000"/>
          <w:sz w:val="20"/>
          <w:szCs w:val="20"/>
        </w:rPr>
        <w:t>投标供应商不能提供项目负责人或者主要技术人员的劳动合同、社会保险等劳动关系证明材料的，视为存在前款第（三）项规定的情形。</w:t>
      </w:r>
    </w:p>
    <w:p>
      <w:pPr>
        <w:ind w:firstLine="420" w:firstLineChars="200"/>
        <w:rPr>
          <w:rFonts w:hint="eastAsia"/>
          <w:b/>
          <w:color w:val="FF0000"/>
          <w:sz w:val="20"/>
          <w:szCs w:val="20"/>
        </w:rPr>
      </w:pPr>
      <w:r>
        <w:rPr>
          <w:rFonts w:hint="eastAsia"/>
          <w:b/>
          <w:color w:val="FF0000"/>
          <w:sz w:val="20"/>
          <w:szCs w:val="20"/>
        </w:rPr>
        <w:t xml:space="preserve"> 四、请投标供应商阅读《政府采购违法行为风险知悉确认书》（内容详见“投标文件附件（信息不公开部分）”中节点“投标人认为需要加以说明的其他内容（格式自定）”），并经各投标供应商负责人或投标授权代表签字并加盖单位公章后，扫描上传至投标文件一并提交。注：该风险知悉确认书用于对供应商违法行为的警示，不作为供应商资格性审查及符合性审查条件。</w:t>
      </w:r>
    </w:p>
    <w:p>
      <w:pPr>
        <w:ind w:firstLine="420" w:firstLineChars="200"/>
        <w:rPr>
          <w:rFonts w:hint="eastAsia"/>
          <w:b w:val="0"/>
          <w:bCs/>
          <w:color w:val="FF0000"/>
          <w:lang w:val="en-US" w:eastAsia="zh-CN"/>
        </w:rPr>
      </w:pPr>
      <w:r>
        <w:rPr>
          <w:rFonts w:hint="eastAsia"/>
          <w:b w:val="0"/>
          <w:bCs/>
          <w:color w:val="FF0000"/>
          <w:lang w:val="en-US" w:eastAsia="zh-CN"/>
        </w:rPr>
        <w:t>五、供应商在使用深圳政府采购智慧平台的投标文件制作工具创建投标文件时，该工具将自动在投标文件中记录文件创建标识码，同时提取投标文件制作电脑的网卡MAC地址、硬盘序列号、CPU 序列号、主板序列号和工具标识号，经加密生成文件制作机器码并在投标文件中记录。文件制作机器码一致表明不同供应商使用了同一设备编制投标文件，文件创建标识码一致表明不同供应商的投标文件为同一份文件，IP 地址一致表明上传投标文件时使用了相同的网络。</w:t>
      </w:r>
    </w:p>
    <w:p>
      <w:pPr>
        <w:ind w:firstLine="420" w:firstLineChars="200"/>
        <w:rPr>
          <w:rFonts w:hint="eastAsia"/>
          <w:b w:val="0"/>
          <w:bCs/>
          <w:color w:val="FF0000"/>
          <w:lang w:val="en-US" w:eastAsia="zh-CN"/>
        </w:rPr>
      </w:pPr>
      <w:r>
        <w:rPr>
          <w:rFonts w:hint="eastAsia"/>
          <w:b w:val="0"/>
          <w:bCs/>
          <w:color w:val="FF0000"/>
          <w:lang w:val="en-US" w:eastAsia="zh-CN"/>
        </w:rPr>
        <w:t>为避免出现不同供应商投标文件的文件制作机器码、文件创建标识码、IP 地址一致的异常情况，建议各供应商编制、上传投标文件时不要使用公共电脑设备或公共网络。</w:t>
      </w:r>
    </w:p>
    <w:p>
      <w:pPr>
        <w:ind w:firstLine="420" w:firstLineChars="200"/>
        <w:rPr>
          <w:rFonts w:ascii="宋体" w:hAnsi="宋体"/>
          <w:color w:val="FF0000"/>
          <w:sz w:val="20"/>
          <w:szCs w:val="20"/>
        </w:rPr>
      </w:pPr>
      <w:r>
        <w:rPr>
          <w:rFonts w:hint="eastAsia"/>
          <w:b w:val="0"/>
          <w:bCs/>
          <w:color w:val="FF000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的行政处罚，请各供应商独立编制、上传投标文件，妥善保管和使用电子秘钥。</w:t>
      </w:r>
      <w:r>
        <w:rPr>
          <w:rFonts w:hint="eastAsia"/>
        </w:rPr>
        <w:br w:type="page"/>
      </w:r>
    </w:p>
    <w:p>
      <w:pPr>
        <w:pStyle w:val="Heading1"/>
      </w:pPr>
      <w:r>
        <w:rPr>
          <w:rFonts w:hint="eastAsia"/>
        </w:rPr>
        <w:t>目   录</w:t>
      </w:r>
    </w:p>
    <w:p>
      <w:pPr>
        <w:outlineLvl w:val="0"/>
        <w:rPr>
          <w:b/>
          <w:sz w:val="24"/>
        </w:rPr>
      </w:pPr>
      <w:r>
        <w:rPr>
          <w:rFonts w:hint="eastAsia"/>
          <w:b/>
          <w:sz w:val="24"/>
        </w:rPr>
        <w:t>第一册  专用条款</w:t>
      </w:r>
    </w:p>
    <w:p>
      <w:pPr>
        <w:rPr>
          <w:sz w:val="24"/>
        </w:rPr>
      </w:pPr>
      <w:r>
        <w:rPr>
          <w:rFonts w:hint="eastAsia"/>
          <w:sz w:val="24"/>
        </w:rPr>
        <w:t xml:space="preserve">          关键信息</w:t>
      </w:r>
    </w:p>
    <w:p>
      <w:pPr>
        <w:ind w:left="630" w:firstLine="630" w:leftChars="300" w:firstLineChars="300"/>
        <w:rPr>
          <w:rFonts w:ascii="宋体" w:hAnsi="宋体"/>
          <w:szCs w:val="21"/>
        </w:rPr>
      </w:pPr>
      <w:r>
        <w:rPr>
          <w:rFonts w:ascii="宋体" w:hAnsi="宋体" w:hint="eastAsia"/>
          <w:szCs w:val="21"/>
        </w:rPr>
        <w:t>第一章  招标公告</w:t>
      </w:r>
    </w:p>
    <w:p>
      <w:pPr>
        <w:ind w:left="630" w:firstLine="630" w:leftChars="300" w:firstLineChars="300"/>
        <w:rPr>
          <w:rFonts w:ascii="宋体" w:hAnsi="宋体"/>
          <w:szCs w:val="21"/>
        </w:rPr>
      </w:pPr>
      <w:r>
        <w:rPr>
          <w:rFonts w:ascii="宋体" w:hAnsi="宋体" w:hint="eastAsia"/>
          <w:szCs w:val="21"/>
        </w:rPr>
        <w:t xml:space="preserve">第二章  </w:t>
      </w:r>
      <w:bookmarkStart w:id="2" w:name="_Hlk71994379"/>
      <w:r>
        <w:rPr>
          <w:rFonts w:ascii="宋体" w:hAnsi="宋体" w:hint="eastAsia"/>
          <w:szCs w:val="21"/>
        </w:rPr>
        <w:t>对通用条款的补充内容及其他关键信息</w:t>
      </w:r>
      <w:bookmarkEnd w:id="2"/>
    </w:p>
    <w:p>
      <w:pPr>
        <w:ind w:left="630" w:firstLine="630" w:leftChars="300" w:firstLineChars="300"/>
        <w:rPr>
          <w:rFonts w:ascii="宋体" w:hAnsi="宋体"/>
          <w:szCs w:val="21"/>
        </w:rPr>
      </w:pPr>
      <w:r>
        <w:rPr>
          <w:rFonts w:ascii="宋体" w:hAnsi="宋体" w:hint="eastAsia"/>
          <w:szCs w:val="21"/>
        </w:rPr>
        <w:t xml:space="preserve">第三章 </w:t>
      </w:r>
      <w:r>
        <w:rPr>
          <w:rFonts w:ascii="宋体" w:hAnsi="宋体"/>
          <w:szCs w:val="21"/>
        </w:rPr>
        <w:t xml:space="preserve"> </w:t>
      </w:r>
      <w:r>
        <w:rPr>
          <w:rFonts w:ascii="宋体" w:hAnsi="宋体" w:hint="eastAsia"/>
          <w:szCs w:val="21"/>
        </w:rPr>
        <w:t>用户需求书</w:t>
      </w:r>
    </w:p>
    <w:p>
      <w:pPr>
        <w:ind w:left="630" w:firstLine="630" w:leftChars="300" w:firstLineChars="300"/>
        <w:rPr>
          <w:rFonts w:ascii="宋体" w:hAnsi="宋体"/>
          <w:szCs w:val="21"/>
        </w:rPr>
      </w:pPr>
      <w:r>
        <w:rPr>
          <w:rFonts w:ascii="宋体" w:hAnsi="宋体" w:hint="eastAsia"/>
          <w:szCs w:val="21"/>
        </w:rPr>
        <w:t xml:space="preserve">第四章 </w:t>
      </w:r>
      <w:r>
        <w:rPr>
          <w:rFonts w:ascii="宋体" w:hAnsi="宋体"/>
          <w:szCs w:val="21"/>
        </w:rPr>
        <w:t xml:space="preserve"> </w:t>
      </w:r>
      <w:r>
        <w:rPr>
          <w:rFonts w:ascii="宋体" w:hAnsi="宋体" w:hint="eastAsia"/>
          <w:szCs w:val="21"/>
        </w:rPr>
        <w:t>投标文件组成要求及格式</w:t>
      </w:r>
    </w:p>
    <w:p>
      <w:pPr>
        <w:ind w:left="630" w:firstLine="630" w:leftChars="300" w:firstLineChars="300"/>
        <w:rPr>
          <w:rFonts w:ascii="宋体" w:hAnsi="宋体"/>
          <w:szCs w:val="21"/>
        </w:rPr>
      </w:pPr>
      <w:r>
        <w:rPr>
          <w:rFonts w:ascii="宋体" w:hAnsi="宋体" w:hint="eastAsia"/>
          <w:szCs w:val="21"/>
        </w:rPr>
        <w:t>第五章  合同条款及格式</w:t>
      </w:r>
    </w:p>
    <w:p>
      <w:pPr>
        <w:rPr>
          <w:b/>
          <w:sz w:val="24"/>
        </w:rPr>
      </w:pPr>
    </w:p>
    <w:p>
      <w:pPr>
        <w:outlineLvl w:val="0"/>
        <w:rPr>
          <w:b/>
          <w:sz w:val="24"/>
        </w:rPr>
      </w:pPr>
      <w:r>
        <w:rPr>
          <w:rFonts w:hint="eastAsia"/>
          <w:b/>
          <w:sz w:val="24"/>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firstLine="1050" w:firstLineChars="500"/>
        <w:outlineLvl w:val="0"/>
        <w:rPr>
          <w:b/>
          <w:sz w:val="24"/>
        </w:rPr>
      </w:pPr>
      <w:r>
        <w:rPr>
          <w:rFonts w:ascii="宋体" w:hAnsi="宋体" w:hint="eastAsia"/>
          <w:szCs w:val="21"/>
        </w:rPr>
        <w:t>第十一章  质疑处理</w:t>
      </w:r>
    </w:p>
    <w:p>
      <w:pPr>
        <w:spacing w:line="360" w:lineRule="auto"/>
        <w:ind w:firstLine="420" w:firstLineChars="200"/>
        <w:jc w:val="left"/>
        <w:rPr>
          <w:rFonts w:ascii="宋体" w:hAnsi="宋体"/>
          <w:szCs w:val="21"/>
        </w:rPr>
      </w:pPr>
    </w:p>
    <w:p>
      <w:pPr>
        <w:pStyle w:val="Heading1"/>
        <w:rPr>
          <w:sz w:val="24"/>
        </w:rPr>
      </w:pPr>
      <w:r>
        <w:br w:type="page"/>
      </w:r>
      <w:bookmarkStart w:id="3" w:name="bt投标文件签署授权委托书"/>
      <w:bookmarkEnd w:id="3"/>
      <w:bookmarkStart w:id="4" w:name="bt技术标投标文件格式"/>
      <w:bookmarkEnd w:id="4"/>
      <w:bookmarkStart w:id="5" w:name="bt合同条款"/>
      <w:bookmarkEnd w:id="5"/>
      <w:bookmarkStart w:id="6" w:name="bt投标人情况介绍"/>
      <w:bookmarkEnd w:id="6"/>
      <w:bookmarkStart w:id="7" w:name="bt其他资料2"/>
      <w:bookmarkEnd w:id="7"/>
      <w:bookmarkStart w:id="8" w:name="合同格式"/>
      <w:bookmarkEnd w:id="8"/>
      <w:bookmarkStart w:id="9" w:name="bt商务标投标文件格式"/>
      <w:bookmarkEnd w:id="9"/>
      <w:bookmarkStart w:id="10" w:name="bt说明"/>
      <w:bookmarkEnd w:id="10"/>
      <w:bookmarkStart w:id="11" w:name="bt本工程承诺书"/>
      <w:bookmarkEnd w:id="11"/>
      <w:bookmarkStart w:id="12" w:name="bt投标人须知"/>
      <w:bookmarkEnd w:id="12"/>
      <w:bookmarkStart w:id="13" w:name="bt合同格式"/>
      <w:bookmarkEnd w:id="13"/>
      <w:bookmarkStart w:id="14" w:name="bt其他资料由投标人自定"/>
      <w:bookmarkEnd w:id="14"/>
      <w:bookmarkStart w:id="15" w:name="bt开标一览表"/>
      <w:bookmarkEnd w:id="15"/>
      <w:bookmarkStart w:id="16" w:name="bt投标函"/>
      <w:bookmarkEnd w:id="16"/>
      <w:bookmarkStart w:id="17" w:name="bt项目管理班子配备情况"/>
      <w:bookmarkEnd w:id="17"/>
      <w:bookmarkStart w:id="18" w:name="bt投标报价汇总表"/>
      <w:bookmarkEnd w:id="18"/>
      <w:bookmarkStart w:id="19" w:name="bt合同条款及格式"/>
      <w:bookmarkEnd w:id="19"/>
      <w:r>
        <w:rPr>
          <w:rFonts w:hint="eastAsia"/>
        </w:rPr>
        <w:t>第一册专用条款</w:t>
      </w:r>
    </w:p>
    <w:p>
      <w:pPr>
        <w:pStyle w:val="Heading2"/>
      </w:pPr>
      <w:r>
        <w:rPr>
          <w:rFonts w:hint="eastAsia"/>
        </w:rPr>
        <w:t xml:space="preserve">第一章  招标公告  </w:t>
      </w:r>
    </w:p>
    <w:tbl>
      <w:tblPr>
        <w:tblStyle w:val="TableNormal"/>
        <w:tblW w:w="8147" w:type="dxa"/>
        <w:jc w:val="center"/>
        <w:tblCellSpacing w:w="0" w:type="dxa"/>
        <w:tblLayout w:type="fixed"/>
        <w:tblCellMar>
          <w:top w:w="0" w:type="dxa"/>
          <w:left w:w="0" w:type="dxa"/>
          <w:bottom w:w="0" w:type="dxa"/>
          <w:right w:w="0" w:type="dxa"/>
        </w:tblCellMar>
      </w:tblPr>
      <w:tblGrid>
        <w:gridCol w:w="8147"/>
      </w:tblGrid>
      <w:tr>
        <w:tblPrEx>
          <w:tblW w:w="8147" w:type="dxa"/>
          <w:jc w:val="center"/>
          <w:tblCellSpacing w:w="0" w:type="dxa"/>
          <w:tblLayout w:type="fixed"/>
          <w:tblCellMar>
            <w:top w:w="0" w:type="dxa"/>
            <w:left w:w="0" w:type="dxa"/>
            <w:bottom w:w="0" w:type="dxa"/>
            <w:right w:w="0" w:type="dxa"/>
          </w:tblCellMar>
        </w:tblPrEx>
        <w:trPr>
          <w:tblCellSpacing w:w="0" w:type="dxa"/>
          <w:jc w:val="center"/>
        </w:trPr>
        <w:tc>
          <w:tcPr>
            <w:tcW w:w="8147" w:type="dxa"/>
            <w:vAlign w:val="center"/>
          </w:tcPr>
          <w:tbl>
            <w:tblPr>
              <w:tblStyle w:val="TableNormal"/>
              <w:tblW w:w="8147" w:type="dxa"/>
              <w:jc w:val="center"/>
              <w:tblCellSpacing w:w="0" w:type="dxa"/>
              <w:tblLayout w:type="fixed"/>
              <w:tblCellMar>
                <w:top w:w="30" w:type="dxa"/>
                <w:left w:w="30" w:type="dxa"/>
                <w:bottom w:w="30" w:type="dxa"/>
                <w:right w:w="30" w:type="dxa"/>
              </w:tblCellMar>
            </w:tblPr>
            <w:tblGrid>
              <w:gridCol w:w="8147"/>
            </w:tblGrid>
            <w:tr>
              <w:tblPrEx>
                <w:tblW w:w="8147" w:type="dxa"/>
                <w:jc w:val="center"/>
                <w:tblCellSpacing w:w="0" w:type="dxa"/>
                <w:tblLayout w:type="fixed"/>
                <w:tblCellMar>
                  <w:top w:w="30" w:type="dxa"/>
                  <w:left w:w="30" w:type="dxa"/>
                  <w:bottom w:w="30" w:type="dxa"/>
                  <w:right w:w="30" w:type="dxa"/>
                </w:tblCellMar>
              </w:tblPrEx>
              <w:trPr>
                <w:tblCellSpacing w:w="0" w:type="dxa"/>
                <w:jc w:val="center"/>
              </w:trPr>
              <w:tc>
                <w:tcPr>
                  <w:tcW w:w="8147" w:type="dxa"/>
                </w:tcPr>
                <w:p>
                  <w:pPr>
                    <w:spacing w:line="360" w:lineRule="auto"/>
                    <w:rPr>
                      <w:rFonts w:ascii="宋体" w:hAnsi="宋体" w:cs="宋体"/>
                      <w:b/>
                      <w:bCs/>
                      <w:kern w:val="0"/>
                      <w:szCs w:val="21"/>
                    </w:rPr>
                  </w:pPr>
                  <w:r>
                    <w:rPr>
                      <w:rFonts w:ascii="宋体" w:hAnsi="宋体" w:cs="宋体" w:hint="eastAsia"/>
                      <w:b/>
                      <w:bCs/>
                      <w:kern w:val="0"/>
                      <w:szCs w:val="21"/>
                    </w:rPr>
                    <w:t>申请人的资格要求：</w:t>
                  </w:r>
                </w:p>
                <w:p>
                  <w:pPr>
                    <w:ind w:firstLine="630" w:firstLineChars="300"/>
                    <w:rPr>
                      <w:rFonts w:ascii="宋体" w:hAnsi="宋体" w:cs="宋体"/>
                      <w:kern w:val="0"/>
                      <w:szCs w:val="21"/>
                    </w:rPr>
                  </w:pPr>
                  <w:r>
                    <w:rPr>
                      <w:rFonts w:ascii="宋体" w:hAnsi="宋体" w:cs="宋体" w:hint="eastAsia"/>
                      <w:kern w:val="0"/>
                      <w:szCs w:val="21"/>
                    </w:rPr>
                    <w:t>1</w:t>
                  </w:r>
                  <w:r>
                    <w:rPr>
                      <w:rFonts w:ascii="宋体" w:hAnsi="宋体" w:cs="宋体"/>
                      <w:kern w:val="0"/>
                      <w:szCs w:val="21"/>
                    </w:rPr>
                    <w:t>.</w:t>
                  </w:r>
                  <w:bookmarkStart w:id="20" w:name="_Hlk72162904"/>
                  <w:r>
                    <w:rPr>
                      <w:rFonts w:ascii="宋体" w:hAnsi="宋体" w:cs="宋体" w:hint="eastAsia"/>
                      <w:kern w:val="0"/>
                      <w:szCs w:val="21"/>
                    </w:rPr>
                    <w:t>具有独立法人资格或是具有独立承担民事责任能力的其它组织（提供营业执照或事业单位法人证书等证明资料扫描件，原件备查）；</w:t>
                  </w:r>
                  <w:bookmarkEnd w:id="20"/>
                </w:p>
                <w:p>
                  <w:pPr>
                    <w:ind w:firstLine="630" w:firstLineChars="300"/>
                    <w:rPr>
                      <w:rFonts w:ascii="宋体" w:eastAsia="宋体" w:hAnsi="宋体" w:cs="宋体" w:hint="default"/>
                      <w:color w:val="auto"/>
                      <w:kern w:val="0"/>
                      <w:szCs w:val="21"/>
                      <w:lang w:val="en-US" w:eastAsia="zh-CN"/>
                    </w:rPr>
                  </w:pPr>
                  <w:r>
                    <w:rPr>
                      <w:rFonts w:ascii="宋体" w:hAnsi="宋体" w:cs="宋体" w:hint="eastAsia"/>
                      <w:color w:val="auto"/>
                      <w:kern w:val="0"/>
                      <w:szCs w:val="21"/>
                    </w:rPr>
                    <w:t>2</w:t>
                  </w:r>
                  <w:r>
                    <w:rPr>
                      <w:rFonts w:ascii="宋体" w:hAnsi="宋体" w:cs="宋体"/>
                      <w:color w:val="auto"/>
                      <w:kern w:val="0"/>
                      <w:szCs w:val="21"/>
                    </w:rPr>
                    <w:t>.</w:t>
                  </w:r>
                  <w:r>
                    <w:rPr>
                      <w:rFonts w:ascii="宋体" w:hAnsi="宋体" w:cs="宋体" w:hint="eastAsia"/>
                      <w:color w:val="auto"/>
                      <w:kern w:val="0"/>
                      <w:szCs w:val="21"/>
                    </w:rPr>
                    <w:t>本项目不接受联合体投标</w:t>
                  </w:r>
                  <w:r>
                    <w:rPr>
                      <w:rFonts w:ascii="宋体" w:hAnsi="宋体" w:cs="宋体" w:hint="eastAsia"/>
                      <w:color w:val="auto"/>
                      <w:kern w:val="0"/>
                      <w:szCs w:val="21"/>
                      <w:lang w:eastAsia="zh-CN"/>
                    </w:rPr>
                    <w:t>；</w:t>
                  </w:r>
                  <w:r>
                    <w:rPr>
                      <w:rFonts w:ascii="宋体" w:hAnsi="宋体" w:cs="宋体" w:hint="eastAsia"/>
                      <w:color w:val="auto"/>
                      <w:kern w:val="0"/>
                      <w:szCs w:val="21"/>
                      <w:lang w:val="en-US" w:eastAsia="zh-CN"/>
                    </w:rPr>
                    <w:t>不允许分包；</w:t>
                  </w:r>
                </w:p>
                <w:p>
                  <w:pPr>
                    <w:ind w:firstLine="630" w:firstLineChars="300"/>
                    <w:rPr>
                      <w:rFonts w:ascii="宋体" w:hAnsi="宋体" w:cs="宋体"/>
                      <w:kern w:val="0"/>
                      <w:szCs w:val="21"/>
                    </w:rPr>
                  </w:pPr>
                  <w:r>
                    <w:rPr>
                      <w:rFonts w:ascii="宋体" w:hAnsi="宋体" w:cs="宋体" w:hint="eastAsia"/>
                      <w:kern w:val="0"/>
                      <w:szCs w:val="21"/>
                    </w:rPr>
                    <w:t>3</w:t>
                  </w:r>
                  <w:r>
                    <w:rPr>
                      <w:rFonts w:ascii="宋体" w:hAnsi="宋体" w:cs="宋体"/>
                      <w:kern w:val="0"/>
                      <w:szCs w:val="21"/>
                    </w:rPr>
                    <w:t>.</w:t>
                  </w:r>
                  <w:r>
                    <w:rPr>
                      <w:rFonts w:ascii="宋体" w:hAnsi="宋体" w:cs="宋体" w:hint="eastAsia"/>
                      <w:kern w:val="0"/>
                      <w:szCs w:val="21"/>
                    </w:rPr>
                    <w:t>参与本项目政府采购活动时不存在被有关部门禁止参与政府采购活动且在有效期内的情况（由供应商在《政府采购投标及履约承诺函》中作出声明）；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lang w:val="en-US" w:eastAsia="zh-CN"/>
                    </w:rPr>
                    <w:t>4</w:t>
                  </w:r>
                  <w:r>
                    <w:rPr>
                      <w:rFonts w:ascii="宋体" w:hAnsi="宋体" w:cs="宋体"/>
                      <w:kern w:val="0"/>
                      <w:szCs w:val="21"/>
                    </w:rPr>
                    <w:t>.</w:t>
                  </w:r>
                  <w:r>
                    <w:rPr>
                      <w:rFonts w:ascii="宋体" w:hAnsi="宋体" w:cs="宋体" w:hint="eastAsia"/>
                      <w:kern w:val="0"/>
                      <w:szCs w:val="21"/>
                    </w:rPr>
                    <w:t>具备《中华人民共和国政府采购法》第二十二条第一款的条件（由供应商在《政府采购投标及履约承诺函》中作出声明）；</w:t>
                  </w:r>
                </w:p>
                <w:p>
                  <w:pPr>
                    <w:ind w:firstLine="630" w:firstLineChars="300"/>
                    <w:rPr>
                      <w:rFonts w:ascii="宋体" w:hAnsi="宋体" w:cs="宋体"/>
                      <w:kern w:val="0"/>
                      <w:szCs w:val="21"/>
                    </w:rPr>
                  </w:pPr>
                  <w:r>
                    <w:rPr>
                      <w:rFonts w:ascii="宋体" w:hAnsi="宋体" w:cs="宋体" w:hint="eastAsia"/>
                      <w:kern w:val="0"/>
                      <w:szCs w:val="21"/>
                      <w:lang w:val="en-US" w:eastAsia="zh-CN"/>
                    </w:rPr>
                    <w:t>5</w:t>
                  </w:r>
                  <w:r>
                    <w:rPr>
                      <w:rFonts w:ascii="宋体" w:hAnsi="宋体" w:cs="宋体"/>
                      <w:kern w:val="0"/>
                      <w:szCs w:val="21"/>
                    </w:rPr>
                    <w:t>.</w:t>
                  </w:r>
                  <w:r>
                    <w:rPr>
                      <w:rFonts w:ascii="宋体" w:hAnsi="宋体" w:cs="宋体" w:hint="eastAsia"/>
                      <w:kern w:val="0"/>
                      <w:szCs w:val="21"/>
                    </w:rPr>
                    <w:t>未被列入失信被执行人、重大税收违法案件当事人名单、政府采购严重违法失信行为记录名单（由供应商在《政府采购投标及履约承诺函》中作出声明）；</w:t>
                  </w:r>
                </w:p>
                <w:p>
                  <w:pPr>
                    <w:ind w:firstLine="630" w:firstLineChars="300"/>
                    <w:rPr>
                      <w:rFonts w:ascii="宋体" w:hAnsi="宋体" w:cs="宋体" w:hint="eastAsia"/>
                      <w:kern w:val="0"/>
                      <w:szCs w:val="21"/>
                      <w:lang w:eastAsia="zh-CN"/>
                    </w:rPr>
                  </w:pPr>
                  <w:r>
                    <w:rPr>
                      <w:rFonts w:ascii="宋体" w:hAnsi="宋体" w:cs="宋体" w:hint="eastAsia"/>
                      <w:kern w:val="0"/>
                      <w:szCs w:val="21"/>
                      <w:lang w:val="en-US" w:eastAsia="zh-CN"/>
                    </w:rPr>
                    <w:t>6</w:t>
                  </w:r>
                  <w:r>
                    <w:rPr>
                      <w:rFonts w:ascii="宋体" w:hAnsi="宋体" w:cs="宋体" w:hint="eastAsia"/>
                      <w:kern w:val="0"/>
                      <w:szCs w:val="21"/>
                    </w:rPr>
                    <w:t>.单位负责人为同一人或者存在直接控股、管理关系的不同供应商，不得参加同一合同项下的政府采购活动；为采购项目提供整体设计、规范编制或者项目管理、监理、检测等服务的供应商，不得再参加该采购项目的其他采购活动（在《政府采购投标及履约承诺函》中作出声明）</w:t>
                  </w:r>
                  <w:r>
                    <w:rPr>
                      <w:rFonts w:ascii="宋体" w:hAnsi="宋体" w:cs="宋体" w:hint="eastAsia"/>
                      <w:kern w:val="0"/>
                      <w:szCs w:val="21"/>
                      <w:lang w:eastAsia="zh-CN"/>
                    </w:rPr>
                    <w:t>；</w:t>
                  </w:r>
                </w:p>
                <w:p>
                  <w:pPr>
                    <w:ind w:firstLine="630" w:firstLineChars="300"/>
                    <w:rPr>
                      <w:rFonts w:ascii="宋体" w:hAnsi="宋体" w:cs="宋体" w:hint="default"/>
                      <w:color w:val="FF0000"/>
                      <w:kern w:val="0"/>
                      <w:szCs w:val="21"/>
                      <w:lang w:val="en-US" w:eastAsia="zh-CN"/>
                    </w:rPr>
                  </w:pPr>
                  <w:r>
                    <w:rPr>
                      <w:rFonts w:ascii="宋体" w:hAnsi="宋体" w:cs="宋体" w:hint="eastAsia"/>
                      <w:color w:val="FF0000"/>
                      <w:kern w:val="0"/>
                      <w:szCs w:val="21"/>
                      <w:lang w:val="en-US" w:eastAsia="zh-CN"/>
                    </w:rPr>
                    <w:t>7.具有自然资源部门颁发的城乡规划规划编制甲级资质证书或住房建设部门颁发的建筑行业（建筑工程）甲级资质证书（提供有效的证书扫描件，原件备查）。</w:t>
                  </w:r>
                </w:p>
                <w:p>
                  <w:pPr>
                    <w:ind w:firstLine="420" w:firstLineChars="200"/>
                    <w:rPr>
                      <w:rFonts w:ascii="宋体" w:hAnsi="宋体" w:cs="宋体" w:hint="eastAsia"/>
                      <w:kern w:val="0"/>
                      <w:szCs w:val="21"/>
                    </w:rPr>
                  </w:pPr>
                </w:p>
                <w:p>
                  <w:pPr>
                    <w:ind w:firstLine="420" w:firstLineChars="200"/>
                    <w:rPr>
                      <w:rFonts w:ascii="宋体" w:hAnsi="宋体" w:cs="宋体"/>
                      <w:kern w:val="0"/>
                      <w:szCs w:val="21"/>
                    </w:rPr>
                  </w:pPr>
                  <w:r>
                    <w:rPr>
                      <w:rFonts w:ascii="宋体" w:hAnsi="宋体" w:cs="宋体" w:hint="eastAsia"/>
                      <w:kern w:val="0"/>
                      <w:szCs w:val="21"/>
                    </w:rPr>
                    <w:t>注：（1）“信用中国”</w:t>
                  </w:r>
                  <w:r>
                    <w:rPr>
                      <w:rFonts w:ascii="宋体" w:eastAsia="宋体" w:hAnsi="宋体" w:cs="宋体"/>
                      <w:sz w:val="21"/>
                      <w:szCs w:val="21"/>
                    </w:rPr>
                    <w:t>中“信用服务”栏的“</w:t>
                  </w:r>
                  <w:r>
                    <w:rPr>
                      <w:rFonts w:ascii="宋体" w:eastAsia="宋体" w:hAnsi="宋体" w:cs="宋体" w:hint="eastAsia"/>
                      <w:sz w:val="21"/>
                      <w:szCs w:val="21"/>
                    </w:rPr>
                    <w:t>重大税收违法失信主体</w:t>
                  </w:r>
                  <w:r>
                    <w:rPr>
                      <w:rFonts w:ascii="宋体" w:eastAsia="宋体" w:hAnsi="宋体" w:cs="宋体"/>
                      <w:sz w:val="21"/>
                      <w:szCs w:val="21"/>
                    </w:rPr>
                    <w:t>”“失信被执行人”</w:t>
                  </w:r>
                  <w:r>
                    <w:rPr>
                      <w:rFonts w:ascii="宋体" w:hAnsi="宋体" w:cs="宋体" w:hint="eastAsia"/>
                      <w:kern w:val="0"/>
                      <w:szCs w:val="21"/>
                      <w:lang w:eastAsia="zh-CN"/>
                    </w:rPr>
                    <w:t>，</w:t>
                  </w:r>
                  <w:r>
                    <w:rPr>
                      <w:rFonts w:ascii="宋体" w:hAnsi="宋体" w:cs="宋体" w:hint="eastAsia"/>
                      <w:kern w:val="0"/>
                      <w:szCs w:val="21"/>
                    </w:rPr>
                    <w:t>“中国政府采购网”</w:t>
                  </w:r>
                  <w:r>
                    <w:rPr>
                      <w:rFonts w:ascii="宋体" w:eastAsia="宋体" w:hAnsi="宋体" w:cs="宋体"/>
                      <w:sz w:val="21"/>
                      <w:szCs w:val="21"/>
                    </w:rPr>
                    <w:t>中的“政府采购严重违法失信行为记录名单”</w:t>
                  </w:r>
                  <w:r>
                    <w:rPr>
                      <w:rFonts w:ascii="宋体" w:hAnsi="宋体" w:cs="宋体" w:hint="eastAsia"/>
                      <w:kern w:val="0"/>
                      <w:szCs w:val="21"/>
                      <w:lang w:eastAsia="zh-CN"/>
                    </w:rPr>
                    <w:t>，</w:t>
                  </w:r>
                  <w:r>
                    <w:rPr>
                      <w:rFonts w:ascii="宋体" w:hAnsi="宋体" w:cs="宋体" w:hint="eastAsia"/>
                      <w:kern w:val="0"/>
                      <w:szCs w:val="21"/>
                    </w:rPr>
                    <w:t>“深圳信用网”以及“深圳市政府采购监管网”为供应商信用信息的查询渠道，相关信息以开标当日的查询结果为准；</w:t>
                  </w:r>
                </w:p>
                <w:p>
                  <w:pPr>
                    <w:ind w:firstLine="420" w:firstLineChars="200"/>
                    <w:rPr>
                      <w:rFonts w:ascii="宋体" w:hAnsi="宋体" w:cs="宋体"/>
                      <w:kern w:val="0"/>
                      <w:szCs w:val="21"/>
                    </w:rPr>
                  </w:pPr>
                  <w:r>
                    <w:rPr>
                      <w:rFonts w:ascii="宋体" w:hAnsi="宋体" w:hint="eastAsia"/>
                    </w:rPr>
                    <w:t>（2）供应商</w:t>
                  </w:r>
                  <w:bookmarkStart w:id="21" w:name="_Hlk72353022"/>
                  <w:r>
                    <w:rPr>
                      <w:rFonts w:ascii="宋体" w:hAnsi="宋体" w:hint="eastAsia"/>
                    </w:rPr>
                    <w:t>投标（上传投标文件）</w:t>
                  </w:r>
                  <w:bookmarkEnd w:id="21"/>
                  <w:r>
                    <w:rPr>
                      <w:rFonts w:ascii="宋体" w:hAnsi="宋体" w:hint="eastAsia"/>
                    </w:rPr>
                    <w:t>必须先行办理注册手续，具体请按照本公告“六、其他补充事宜</w:t>
                  </w:r>
                  <w:r>
                    <w:rPr>
                      <w:rFonts w:ascii="宋体" w:hAnsi="宋体"/>
                    </w:rPr>
                    <w:t>”</w:t>
                  </w:r>
                  <w:r>
                    <w:rPr>
                      <w:rFonts w:ascii="宋体" w:hAnsi="宋体" w:hint="eastAsia"/>
                    </w:rPr>
                    <w:t>相关内容指引办理。</w:t>
                  </w:r>
                </w:p>
                <w:p>
                  <w:pPr>
                    <w:spacing w:beforeAutospacing="1" w:afterAutospacing="1"/>
                    <w:ind w:firstLine="420" w:firstLineChars="200"/>
                    <w:rPr>
                      <w:rFonts w:ascii="宋体" w:hAnsi="宋体" w:cs="宋体"/>
                      <w:sz w:val="24"/>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tc>
            </w:tr>
          </w:tbl>
          <w:p>
            <w:pPr>
              <w:rPr>
                <w:rFonts w:ascii="宋体" w:hAnsi="宋体" w:cs="宋体"/>
                <w:sz w:val="24"/>
              </w:rPr>
            </w:pPr>
          </w:p>
        </w:tc>
      </w:tr>
    </w:tbl>
    <w:p>
      <w:r>
        <w:rPr>
          <w:rFonts w:hint="eastAsia"/>
        </w:rPr>
        <w:br w:type="page"/>
      </w:r>
    </w:p>
    <w:p>
      <w:pPr>
        <w:pStyle w:val="Heading2"/>
        <w:rPr>
          <w:sz w:val="28"/>
          <w:szCs w:val="28"/>
        </w:rPr>
      </w:pPr>
      <w:r>
        <w:rPr>
          <w:rFonts w:hint="eastAsia"/>
          <w:sz w:val="28"/>
          <w:szCs w:val="28"/>
        </w:rPr>
        <w:t>第二章 对通用条款的补充内容及其他关键信息</w:t>
      </w:r>
    </w:p>
    <w:p>
      <w:pPr>
        <w:pStyle w:val="Heading2"/>
        <w:spacing w:before="120" w:beforeLines="50" w:after="120" w:afterLines="50"/>
        <w:rPr>
          <w:sz w:val="28"/>
          <w:szCs w:val="28"/>
        </w:rPr>
      </w:pPr>
      <w:bookmarkStart w:id="22" w:name="_Toc60631620"/>
      <w:bookmarkStart w:id="23" w:name="_Toc73518117"/>
      <w:bookmarkStart w:id="24" w:name="_Toc100052364"/>
      <w:bookmarkStart w:id="25" w:name="_Toc73521635"/>
      <w:bookmarkStart w:id="26" w:name="_Toc73521547"/>
      <w:bookmarkStart w:id="27" w:name="_Toc73517639"/>
      <w:bookmarkStart w:id="28" w:name="_Toc101074876"/>
      <w:bookmarkStart w:id="29" w:name="_Toc60560625"/>
      <w:r>
        <w:rPr>
          <w:rFonts w:hint="eastAsia"/>
          <w:szCs w:val="24"/>
        </w:rPr>
        <w:t>一、对通用条款的补充内容</w:t>
      </w:r>
    </w:p>
    <w:tbl>
      <w:tblPr>
        <w:tblStyle w:val="TableNormal"/>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
      <w:tblGrid>
        <w:gridCol w:w="978"/>
        <w:gridCol w:w="2409"/>
        <w:gridCol w:w="4980"/>
      </w:tblGrid>
      <w:tr>
        <w:tblPrEx>
          <w:tblW w:w="8367" w:type="dxa"/>
          <w:jc w:val="center"/>
          <w:tblBorders>
            <w:top w:val="double" w:sz="4" w:space="0" w:color="auto"/>
            <w:left w:val="double" w:sz="4" w:space="0" w:color="auto"/>
            <w:bottom w:val="double" w:sz="4" w:space="0" w:color="auto"/>
            <w:right w:val="double" w:sz="4" w:space="0" w:color="auto"/>
            <w:insideH w:val="single" w:sz="6" w:space="0" w:color="auto"/>
            <w:insideV w:val="single" w:sz="6" w:space="0" w:color="auto"/>
          </w:tblBorders>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b/>
                <w:bCs/>
              </w:rPr>
            </w:pPr>
            <w:bookmarkEnd w:id="22"/>
            <w:bookmarkEnd w:id="23"/>
            <w:bookmarkEnd w:id="24"/>
            <w:bookmarkEnd w:id="25"/>
            <w:bookmarkEnd w:id="26"/>
            <w:bookmarkEnd w:id="27"/>
            <w:bookmarkEnd w:id="28"/>
            <w:bookmarkEnd w:id="29"/>
            <w:r>
              <w:rPr>
                <w:rFonts w:ascii="宋体" w:hAnsi="宋体" w:hint="eastAsia"/>
                <w:b/>
                <w:bCs/>
              </w:rPr>
              <w:t>通用条款序号</w:t>
            </w:r>
          </w:p>
        </w:tc>
        <w:tc>
          <w:tcPr>
            <w:tcW w:w="2409" w:type="dxa"/>
            <w:vAlign w:val="center"/>
          </w:tcPr>
          <w:p>
            <w:pPr>
              <w:jc w:val="center"/>
              <w:rPr>
                <w:rFonts w:ascii="宋体" w:hAnsi="宋体"/>
                <w:b/>
                <w:bCs/>
              </w:rPr>
            </w:pPr>
            <w:r>
              <w:rPr>
                <w:rFonts w:ascii="宋体" w:hAnsi="宋体" w:hint="eastAsia"/>
                <w:b/>
                <w:bCs/>
              </w:rPr>
              <w:t>涉及事项</w:t>
            </w:r>
          </w:p>
        </w:tc>
        <w:tc>
          <w:tcPr>
            <w:tcW w:w="4980" w:type="dxa"/>
            <w:vAlign w:val="center"/>
          </w:tcPr>
          <w:p>
            <w:pPr>
              <w:jc w:val="center"/>
              <w:rPr>
                <w:rFonts w:ascii="宋体" w:hAnsi="宋体"/>
                <w:b/>
                <w:bCs/>
              </w:rPr>
            </w:pPr>
            <w:r>
              <w:rPr>
                <w:rFonts w:ascii="宋体" w:hAnsi="宋体" w:hint="eastAsia"/>
                <w:b/>
                <w:bCs/>
              </w:rPr>
              <w:t xml:space="preserve">具 </w:t>
            </w:r>
            <w:r>
              <w:rPr>
                <w:rFonts w:ascii="宋体" w:hAnsi="宋体"/>
                <w:b/>
                <w:bCs/>
              </w:rPr>
              <w:t xml:space="preserve"> </w:t>
            </w:r>
            <w:r>
              <w:rPr>
                <w:rFonts w:ascii="宋体" w:hAnsi="宋体" w:hint="eastAsia"/>
                <w:b/>
                <w:bCs/>
              </w:rPr>
              <w:t xml:space="preserve">体 </w:t>
            </w:r>
            <w:r>
              <w:rPr>
                <w:rFonts w:ascii="宋体" w:hAnsi="宋体"/>
                <w:b/>
                <w:bCs/>
              </w:rPr>
              <w:t xml:space="preserve"> </w:t>
            </w:r>
            <w:r>
              <w:rPr>
                <w:rFonts w:ascii="宋体" w:hAnsi="宋体" w:hint="eastAsia"/>
                <w:b/>
                <w:bCs/>
              </w:rPr>
              <w:t xml:space="preserve">补 </w:t>
            </w:r>
            <w:r>
              <w:rPr>
                <w:rFonts w:ascii="宋体" w:hAnsi="宋体"/>
                <w:b/>
                <w:bCs/>
              </w:rPr>
              <w:t xml:space="preserve"> </w:t>
            </w:r>
            <w:r>
              <w:rPr>
                <w:rFonts w:ascii="宋体" w:hAnsi="宋体" w:hint="eastAsia"/>
                <w:b/>
                <w:bCs/>
              </w:rPr>
              <w:t xml:space="preserve">充 </w:t>
            </w:r>
            <w:r>
              <w:rPr>
                <w:rFonts w:ascii="宋体" w:hAnsi="宋体"/>
                <w:b/>
                <w:bCs/>
              </w:rPr>
              <w:t xml:space="preserve"> </w:t>
            </w:r>
            <w:r>
              <w:rPr>
                <w:rFonts w:ascii="宋体" w:hAnsi="宋体" w:hint="eastAsia"/>
                <w:b/>
                <w:bCs/>
              </w:rPr>
              <w:t xml:space="preserve">内 </w:t>
            </w:r>
            <w:r>
              <w:rPr>
                <w:rFonts w:ascii="宋体" w:hAnsi="宋体"/>
                <w:b/>
                <w:bCs/>
              </w:rPr>
              <w:t xml:space="preserve"> </w:t>
            </w:r>
            <w:r>
              <w:rPr>
                <w:rFonts w:ascii="宋体" w:hAnsi="宋体" w:hint="eastAsia"/>
                <w:b/>
                <w:bCs/>
              </w:rPr>
              <w:t>容</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.1</w:t>
            </w:r>
          </w:p>
        </w:tc>
        <w:tc>
          <w:tcPr>
            <w:tcW w:w="2409" w:type="dxa"/>
            <w:vAlign w:val="center"/>
          </w:tcPr>
          <w:p>
            <w:pPr>
              <w:jc w:val="center"/>
            </w:pPr>
            <w:r>
              <w:rPr>
                <w:rFonts w:hint="eastAsia"/>
              </w:rPr>
              <w:t>采购人</w:t>
            </w:r>
          </w:p>
        </w:tc>
        <w:tc>
          <w:tcPr>
            <w:tcW w:w="4980" w:type="dxa"/>
            <w:vAlign w:val="center"/>
          </w:tcPr>
          <w:p>
            <w:pPr>
              <w:jc w:val="center"/>
              <w:rPr>
                <w:rFonts w:ascii="宋体" w:hAnsi="宋体"/>
              </w:rPr>
            </w:pPr>
            <w:r>
              <w:rPr>
                <w:rFonts w:ascii="宋体" w:hAnsi="宋体" w:hint="eastAsia"/>
              </w:rPr>
              <w:t>深圳市大鹏新区重点区域建设发展中心</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.2</w:t>
            </w:r>
          </w:p>
        </w:tc>
        <w:tc>
          <w:tcPr>
            <w:tcW w:w="2409" w:type="dxa"/>
            <w:vAlign w:val="center"/>
          </w:tcPr>
          <w:p>
            <w:pPr>
              <w:jc w:val="center"/>
              <w:rPr>
                <w:rFonts w:ascii="宋体" w:hAnsi="宋体"/>
              </w:rPr>
            </w:pPr>
            <w:r>
              <w:rPr>
                <w:rFonts w:ascii="宋体" w:hAnsi="宋体" w:hint="eastAsia"/>
              </w:rPr>
              <w:t>政府集中采购机构</w:t>
            </w:r>
          </w:p>
        </w:tc>
        <w:tc>
          <w:tcPr>
            <w:tcW w:w="4980" w:type="dxa"/>
            <w:vAlign w:val="center"/>
          </w:tcPr>
          <w:p>
            <w:pPr>
              <w:jc w:val="center"/>
              <w:rPr>
                <w:rFonts w:ascii="宋体" w:hAnsi="宋体" w:hint="eastAsia"/>
              </w:rPr>
            </w:pPr>
            <w:r>
              <w:rPr>
                <w:rFonts w:ascii="宋体" w:hAnsi="宋体" w:hint="eastAsia"/>
              </w:rPr>
              <w:t>深圳公共资源交易中心</w:t>
            </w:r>
          </w:p>
          <w:p>
            <w:pPr>
              <w:jc w:val="center"/>
              <w:rPr>
                <w:rFonts w:ascii="宋体" w:hAnsi="宋体"/>
              </w:rPr>
            </w:pPr>
            <w:r>
              <w:rPr>
                <w:rFonts w:ascii="宋体" w:hAnsi="宋体" w:hint="eastAsia"/>
              </w:rPr>
              <w:t>（深圳交易集团有限公司</w:t>
            </w:r>
            <w:r>
              <w:rPr>
                <w:rFonts w:ascii="宋体" w:hAnsi="宋体" w:cs="宋体" w:hint="eastAsia"/>
                <w:kern w:val="0"/>
                <w:lang w:val="en-US" w:eastAsia="zh-CN"/>
              </w:rPr>
              <w:t>大鹏</w:t>
            </w:r>
            <w:r>
              <w:rPr>
                <w:rFonts w:ascii="宋体" w:hAnsi="宋体" w:hint="eastAsia"/>
              </w:rPr>
              <w:t>分公司）</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5</w:t>
            </w:r>
            <w:r>
              <w:rPr>
                <w:rFonts w:ascii="宋体" w:hAnsi="宋体"/>
              </w:rPr>
              <w:t>.3</w:t>
            </w:r>
          </w:p>
        </w:tc>
        <w:tc>
          <w:tcPr>
            <w:tcW w:w="2409" w:type="dxa"/>
            <w:vAlign w:val="center"/>
          </w:tcPr>
          <w:p>
            <w:pPr>
              <w:jc w:val="center"/>
              <w:rPr>
                <w:rFonts w:ascii="宋体" w:hAnsi="宋体"/>
              </w:rPr>
            </w:pPr>
            <w:r>
              <w:rPr>
                <w:rFonts w:ascii="宋体" w:hAnsi="宋体" w:hint="eastAsia"/>
              </w:rPr>
              <w:t>联合体投标</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9</w:t>
            </w:r>
          </w:p>
        </w:tc>
        <w:tc>
          <w:tcPr>
            <w:tcW w:w="2409" w:type="dxa"/>
            <w:vAlign w:val="center"/>
          </w:tcPr>
          <w:p>
            <w:pPr>
              <w:jc w:val="center"/>
              <w:rPr>
                <w:rFonts w:ascii="宋体" w:hAnsi="宋体"/>
              </w:rPr>
            </w:pPr>
            <w:r>
              <w:rPr>
                <w:rFonts w:ascii="宋体" w:hAnsi="宋体" w:hint="eastAsia"/>
              </w:rPr>
              <w:t>踏勘现场</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0</w:t>
            </w:r>
          </w:p>
        </w:tc>
        <w:tc>
          <w:tcPr>
            <w:tcW w:w="2409" w:type="dxa"/>
            <w:vAlign w:val="center"/>
          </w:tcPr>
          <w:p>
            <w:pPr>
              <w:jc w:val="center"/>
              <w:rPr>
                <w:rFonts w:ascii="宋体" w:hAnsi="宋体"/>
              </w:rPr>
            </w:pPr>
            <w:r>
              <w:rPr>
                <w:rFonts w:ascii="宋体" w:hAnsi="宋体" w:hint="eastAsia"/>
              </w:rPr>
              <w:t>标前会议</w:t>
            </w:r>
          </w:p>
        </w:tc>
        <w:tc>
          <w:tcPr>
            <w:tcW w:w="4980" w:type="dxa"/>
            <w:vAlign w:val="center"/>
          </w:tcPr>
          <w:p>
            <w:pPr>
              <w:jc w:val="center"/>
              <w:rPr>
                <w:rFonts w:ascii="宋体" w:hAnsi="宋体"/>
              </w:rPr>
            </w:pPr>
            <w:r>
              <w:rPr>
                <w:rFonts w:ascii="宋体" w:hAnsi="宋体" w:hint="eastAsia"/>
              </w:rPr>
              <w:t>不组织</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1</w:t>
            </w:r>
            <w:r>
              <w:rPr>
                <w:rFonts w:ascii="宋体" w:hAnsi="宋体"/>
              </w:rPr>
              <w:t>2</w:t>
            </w:r>
            <w:r>
              <w:rPr>
                <w:rFonts w:ascii="宋体" w:hAnsi="宋体" w:hint="eastAsia"/>
              </w:rPr>
              <w:t>/1</w:t>
            </w:r>
            <w:r>
              <w:rPr>
                <w:rFonts w:ascii="宋体" w:hAnsi="宋体"/>
              </w:rPr>
              <w:t>3</w:t>
            </w:r>
          </w:p>
        </w:tc>
        <w:tc>
          <w:tcPr>
            <w:tcW w:w="2409" w:type="dxa"/>
            <w:vAlign w:val="center"/>
          </w:tcPr>
          <w:p>
            <w:pPr>
              <w:jc w:val="center"/>
              <w:rPr>
                <w:rFonts w:ascii="宋体" w:hAnsi="宋体"/>
              </w:rPr>
            </w:pPr>
            <w:r>
              <w:rPr>
                <w:rFonts w:ascii="宋体" w:hAnsi="宋体" w:hint="eastAsia"/>
              </w:rPr>
              <w:t>招标文件的澄清和修改</w:t>
            </w:r>
          </w:p>
        </w:tc>
        <w:tc>
          <w:tcPr>
            <w:tcW w:w="4980" w:type="dxa"/>
            <w:vAlign w:val="center"/>
          </w:tcPr>
          <w:p>
            <w:pPr>
              <w:jc w:val="center"/>
              <w:rPr>
                <w:rFonts w:ascii="宋体" w:hAnsi="宋体"/>
              </w:rPr>
            </w:pPr>
            <w:r>
              <w:rPr>
                <w:rFonts w:ascii="宋体" w:hAnsi="宋体" w:hint="eastAsia"/>
              </w:rPr>
              <w:t>不晚于投标截止日三日前，投标人有义务在招标期间在政府集中采购机构网站浏览与本项目有关的澄清和修改信息</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0</w:t>
            </w:r>
          </w:p>
        </w:tc>
        <w:tc>
          <w:tcPr>
            <w:tcW w:w="2409" w:type="dxa"/>
            <w:vAlign w:val="center"/>
          </w:tcPr>
          <w:p>
            <w:pPr>
              <w:jc w:val="center"/>
              <w:rPr>
                <w:rFonts w:ascii="宋体" w:hAnsi="宋体"/>
              </w:rPr>
            </w:pPr>
            <w:r>
              <w:rPr>
                <w:rFonts w:ascii="宋体" w:hAnsi="宋体" w:hint="eastAsia"/>
              </w:rPr>
              <w:t>投标有效期</w:t>
            </w:r>
          </w:p>
        </w:tc>
        <w:tc>
          <w:tcPr>
            <w:tcW w:w="4980" w:type="dxa"/>
            <w:vAlign w:val="center"/>
          </w:tcPr>
          <w:p>
            <w:pPr>
              <w:jc w:val="center"/>
              <w:rPr>
                <w:rFonts w:ascii="宋体" w:hAnsi="宋体"/>
              </w:rPr>
            </w:pPr>
            <w:r>
              <w:rPr>
                <w:rFonts w:ascii="宋体" w:hAnsi="宋体" w:hint="eastAsia"/>
              </w:rPr>
              <w:t>120个日历日</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2</w:t>
            </w:r>
          </w:p>
        </w:tc>
        <w:tc>
          <w:tcPr>
            <w:tcW w:w="2409" w:type="dxa"/>
            <w:vAlign w:val="center"/>
          </w:tcPr>
          <w:p>
            <w:pPr>
              <w:jc w:val="center"/>
              <w:rPr>
                <w:rFonts w:ascii="宋体" w:hAnsi="宋体"/>
              </w:rPr>
            </w:pPr>
            <w:r>
              <w:rPr>
                <w:rFonts w:ascii="宋体" w:hAnsi="宋体" w:hint="eastAsia"/>
              </w:rPr>
              <w:t>投标人的替代方案</w:t>
            </w:r>
          </w:p>
        </w:tc>
        <w:tc>
          <w:tcPr>
            <w:tcW w:w="4980" w:type="dxa"/>
            <w:vAlign w:val="center"/>
          </w:tcPr>
          <w:p>
            <w:pPr>
              <w:jc w:val="center"/>
              <w:rPr>
                <w:rFonts w:ascii="宋体" w:hAnsi="宋体"/>
              </w:rPr>
            </w:pPr>
            <w:r>
              <w:rPr>
                <w:rFonts w:ascii="宋体" w:hAnsi="宋体" w:hint="eastAsia"/>
              </w:rPr>
              <w:t>不接受</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5</w:t>
            </w:r>
          </w:p>
        </w:tc>
        <w:tc>
          <w:tcPr>
            <w:tcW w:w="2409" w:type="dxa"/>
            <w:vAlign w:val="center"/>
          </w:tcPr>
          <w:p>
            <w:pPr>
              <w:jc w:val="center"/>
              <w:rPr>
                <w:rFonts w:ascii="宋体" w:hAnsi="宋体"/>
              </w:rPr>
            </w:pPr>
            <w:r>
              <w:rPr>
                <w:rFonts w:ascii="宋体" w:hAnsi="宋体" w:hint="eastAsia"/>
              </w:rPr>
              <w:t>投标文件的大小</w:t>
            </w:r>
          </w:p>
        </w:tc>
        <w:tc>
          <w:tcPr>
            <w:tcW w:w="4980" w:type="dxa"/>
            <w:vAlign w:val="center"/>
          </w:tcPr>
          <w:p>
            <w:pPr>
              <w:jc w:val="center"/>
              <w:rPr>
                <w:rFonts w:ascii="宋体" w:hAnsi="宋体"/>
              </w:rPr>
            </w:pPr>
            <w:r>
              <w:rPr>
                <w:rFonts w:ascii="宋体" w:hAnsi="宋体" w:hint="eastAsia"/>
              </w:rPr>
              <w:t>投标文件大小不得超过100MB</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2</w:t>
            </w:r>
            <w:r>
              <w:rPr>
                <w:rFonts w:ascii="宋体" w:hAnsi="宋体"/>
              </w:rPr>
              <w:t>6</w:t>
            </w:r>
          </w:p>
        </w:tc>
        <w:tc>
          <w:tcPr>
            <w:tcW w:w="2409" w:type="dxa"/>
            <w:vAlign w:val="center"/>
          </w:tcPr>
          <w:p>
            <w:pPr>
              <w:jc w:val="center"/>
              <w:rPr>
                <w:rFonts w:ascii="宋体" w:hAnsi="宋体"/>
              </w:rPr>
            </w:pPr>
            <w:bookmarkStart w:id="30" w:name="_Hlk71664860"/>
            <w:r>
              <w:rPr>
                <w:rFonts w:ascii="宋体" w:hAnsi="宋体" w:hint="eastAsia"/>
              </w:rPr>
              <w:t>样品、现场演示、方案讲解</w:t>
            </w:r>
            <w:bookmarkEnd w:id="30"/>
          </w:p>
        </w:tc>
        <w:tc>
          <w:tcPr>
            <w:tcW w:w="4980" w:type="dxa"/>
            <w:vAlign w:val="center"/>
          </w:tcPr>
          <w:p>
            <w:pPr>
              <w:jc w:val="center"/>
              <w:rPr>
                <w:rFonts w:ascii="宋体" w:hAnsi="宋体"/>
              </w:rPr>
            </w:pPr>
            <w:r>
              <w:rPr>
                <w:rFonts w:ascii="宋体" w:hAnsi="宋体" w:hint="eastAsia"/>
              </w:rPr>
              <w:t>无</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7</w:t>
            </w:r>
          </w:p>
        </w:tc>
        <w:tc>
          <w:tcPr>
            <w:tcW w:w="2409" w:type="dxa"/>
            <w:vAlign w:val="center"/>
          </w:tcPr>
          <w:p>
            <w:pPr>
              <w:jc w:val="center"/>
              <w:rPr>
                <w:rFonts w:ascii="宋体" w:hAnsi="宋体"/>
              </w:rPr>
            </w:pPr>
            <w:r>
              <w:rPr>
                <w:rFonts w:ascii="宋体" w:hAnsi="宋体" w:hint="eastAsia"/>
              </w:rPr>
              <w:t>评审方法</w:t>
            </w:r>
          </w:p>
        </w:tc>
        <w:tc>
          <w:tcPr>
            <w:tcW w:w="4980" w:type="dxa"/>
            <w:vAlign w:val="center"/>
          </w:tcPr>
          <w:p>
            <w:pPr>
              <w:jc w:val="center"/>
              <w:rPr>
                <w:rFonts w:ascii="宋体" w:hAnsi="宋体"/>
              </w:rPr>
            </w:pPr>
            <w:r>
              <w:rPr>
                <w:rFonts w:ascii="宋体" w:hAnsi="宋体" w:hint="eastAsia"/>
              </w:rPr>
              <w:t>综合评分法</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3</w:t>
            </w:r>
            <w:r>
              <w:rPr>
                <w:rFonts w:ascii="宋体" w:hAnsi="宋体"/>
              </w:rPr>
              <w:t>8</w:t>
            </w:r>
          </w:p>
        </w:tc>
        <w:tc>
          <w:tcPr>
            <w:tcW w:w="2409" w:type="dxa"/>
            <w:vAlign w:val="center"/>
          </w:tcPr>
          <w:p>
            <w:pPr>
              <w:jc w:val="center"/>
              <w:rPr>
                <w:rFonts w:ascii="宋体" w:hAnsi="宋体"/>
              </w:rPr>
            </w:pPr>
            <w:r>
              <w:rPr>
                <w:rFonts w:ascii="宋体" w:hAnsi="宋体" w:hint="eastAsia"/>
              </w:rPr>
              <w:t>定标方法</w:t>
            </w:r>
          </w:p>
        </w:tc>
        <w:tc>
          <w:tcPr>
            <w:tcW w:w="4980" w:type="dxa"/>
            <w:vAlign w:val="center"/>
          </w:tcPr>
          <w:p>
            <w:pPr>
              <w:jc w:val="center"/>
              <w:rPr>
                <w:rFonts w:ascii="宋体" w:hAnsi="宋体"/>
              </w:rPr>
            </w:pPr>
            <w:r>
              <w:rPr>
                <w:rFonts w:ascii="宋体" w:hAnsi="宋体" w:hint="eastAsia"/>
              </w:rPr>
              <w:t>非评定分离</w:t>
            </w:r>
          </w:p>
        </w:tc>
      </w:tr>
      <w:tr>
        <w:tblPrEx>
          <w:tblW w:w="8367" w:type="dxa"/>
          <w:jc w:val="center"/>
          <w:tblLayout w:type="fixed"/>
          <w:tblCellMar>
            <w:top w:w="0" w:type="dxa"/>
            <w:left w:w="108" w:type="dxa"/>
            <w:bottom w:w="0" w:type="dxa"/>
            <w:right w:w="108" w:type="dxa"/>
          </w:tblCellMar>
        </w:tblPrEx>
        <w:trPr>
          <w:cantSplit/>
          <w:trHeight w:val="20"/>
          <w:jc w:val="center"/>
        </w:trPr>
        <w:tc>
          <w:tcPr>
            <w:tcW w:w="978" w:type="dxa"/>
            <w:vAlign w:val="center"/>
          </w:tcPr>
          <w:p>
            <w:pPr>
              <w:jc w:val="center"/>
              <w:rPr>
                <w:rFonts w:ascii="宋体" w:hAnsi="宋体"/>
              </w:rPr>
            </w:pPr>
            <w:r>
              <w:rPr>
                <w:rFonts w:ascii="宋体" w:hAnsi="宋体" w:hint="eastAsia"/>
              </w:rPr>
              <w:t>4</w:t>
            </w:r>
            <w:r>
              <w:rPr>
                <w:rFonts w:ascii="宋体" w:hAnsi="宋体"/>
              </w:rPr>
              <w:t>6</w:t>
            </w:r>
          </w:p>
        </w:tc>
        <w:tc>
          <w:tcPr>
            <w:tcW w:w="2409" w:type="dxa"/>
            <w:vAlign w:val="center"/>
          </w:tcPr>
          <w:p>
            <w:pPr>
              <w:jc w:val="center"/>
              <w:rPr>
                <w:rFonts w:ascii="宋体" w:hAnsi="宋体"/>
              </w:rPr>
            </w:pPr>
            <w:r>
              <w:rPr>
                <w:rFonts w:ascii="宋体" w:hAnsi="宋体" w:hint="eastAsia"/>
              </w:rPr>
              <w:t>履约担保</w:t>
            </w:r>
          </w:p>
        </w:tc>
        <w:tc>
          <w:tcPr>
            <w:tcW w:w="4980" w:type="dxa"/>
            <w:vAlign w:val="center"/>
          </w:tcPr>
          <w:p>
            <w:pPr>
              <w:jc w:val="center"/>
              <w:rPr>
                <w:rFonts w:ascii="宋体" w:hAnsi="宋体"/>
              </w:rPr>
            </w:pPr>
            <w:r>
              <w:rPr>
                <w:rFonts w:ascii="宋体" w:hAnsi="宋体" w:hint="eastAsia"/>
              </w:rPr>
              <w:t>不需要</w:t>
            </w:r>
          </w:p>
        </w:tc>
      </w:tr>
    </w:tbl>
    <w:p>
      <w:pPr>
        <w:rPr>
          <w:b/>
        </w:rPr>
      </w:pPr>
      <w:r>
        <w:rPr>
          <w:rFonts w:hint="eastAsia"/>
          <w:szCs w:val="21"/>
        </w:rPr>
        <w:t>备注：本表是通用条款相关条款的补充和明确，如与通用条款内容相冲突的，以本表为准。</w:t>
      </w:r>
    </w:p>
    <w:p>
      <w:pPr>
        <w:rPr>
          <w:b/>
        </w:rPr>
      </w:pPr>
    </w:p>
    <w:p>
      <w:pPr>
        <w:rPr>
          <w:rFonts w:hint="eastAsia"/>
          <w:szCs w:val="24"/>
        </w:rPr>
      </w:pPr>
      <w:r>
        <w:rPr>
          <w:rFonts w:hint="eastAsia"/>
          <w:szCs w:val="24"/>
        </w:rPr>
        <w:br w:type="page"/>
      </w:r>
    </w:p>
    <w:p>
      <w:pPr>
        <w:pStyle w:val="Heading2"/>
        <w:spacing w:before="120" w:beforeLines="50" w:after="120" w:afterLines="50"/>
        <w:rPr>
          <w:szCs w:val="24"/>
        </w:rPr>
      </w:pPr>
      <w:r>
        <w:rPr>
          <w:rFonts w:hint="eastAsia"/>
          <w:szCs w:val="24"/>
        </w:rPr>
        <w:t>二、其他关键信息</w:t>
      </w:r>
    </w:p>
    <w:p>
      <w:pPr>
        <w:ind w:firstLine="420" w:firstLineChars="200"/>
        <w:rPr>
          <w:b/>
          <w:bCs/>
        </w:rPr>
      </w:pPr>
      <w:r>
        <w:rPr>
          <w:rFonts w:hint="eastAsia"/>
          <w:b/>
          <w:bCs/>
        </w:rPr>
        <w:t>（一）与“对通用条款的补充内容”章节相关的事项</w:t>
      </w:r>
    </w:p>
    <w:p>
      <w:pPr>
        <w:spacing w:line="276" w:lineRule="auto"/>
        <w:ind w:firstLine="420" w:firstLineChars="200"/>
        <w:jc w:val="left"/>
        <w:rPr>
          <w:rFonts w:asciiTheme="minorEastAsia" w:eastAsiaTheme="minorEastAsia" w:hAnsiTheme="minorEastAsia"/>
          <w:b/>
          <w:kern w:val="0"/>
          <w:szCs w:val="20"/>
        </w:rPr>
      </w:pPr>
      <w:bookmarkStart w:id="31" w:name="_Hlk72579465"/>
      <w:r>
        <w:rPr>
          <w:rFonts w:asciiTheme="minorEastAsia" w:eastAsiaTheme="minorEastAsia" w:hAnsiTheme="minorEastAsia" w:hint="eastAsia"/>
          <w:b/>
          <w:kern w:val="0"/>
          <w:szCs w:val="20"/>
        </w:rPr>
        <w:t>1、评标定标信息</w:t>
      </w:r>
    </w:p>
    <w:p>
      <w:pPr>
        <w:jc w:val="center"/>
      </w:pPr>
      <w:r>
        <w:rPr>
          <w:rFonts w:hint="eastAsia"/>
          <w:b/>
        </w:rPr>
        <w:t>非评定分离项目</w:t>
      </w:r>
    </w:p>
    <w:tbl>
      <w:tblPr>
        <w:tblStyle w:val="TableGrid"/>
        <w:tblW w:w="807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924"/>
        <w:gridCol w:w="4151"/>
      </w:tblGrid>
      <w:tr>
        <w:tblPrEx>
          <w:tblW w:w="8075" w:type="dxa"/>
          <w:tblInd w:w="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c>
          <w:tcPr>
            <w:tcW w:w="3924" w:type="dxa"/>
          </w:tcPr>
          <w:p>
            <w:pPr>
              <w:jc w:val="center"/>
            </w:pPr>
            <w:bookmarkStart w:id="32" w:name="_Hlk74239733"/>
            <w:r>
              <w:rPr>
                <w:rFonts w:hint="eastAsia"/>
              </w:rPr>
              <w:t>评标方法</w:t>
            </w:r>
          </w:p>
        </w:tc>
        <w:tc>
          <w:tcPr>
            <w:tcW w:w="4151" w:type="dxa"/>
          </w:tcPr>
          <w:p>
            <w:pPr>
              <w:jc w:val="center"/>
            </w:pPr>
            <w:r>
              <w:rPr>
                <w:rFonts w:hint="eastAsia"/>
              </w:rPr>
              <w:t>综合评分法</w:t>
            </w:r>
          </w:p>
        </w:tc>
      </w:tr>
      <w:tr>
        <w:tblPrEx>
          <w:tblW w:w="8075" w:type="dxa"/>
          <w:tblInd w:w="340" w:type="dxa"/>
          <w:tblLayout w:type="fixed"/>
          <w:tblCellMar>
            <w:top w:w="0" w:type="dxa"/>
            <w:left w:w="108" w:type="dxa"/>
            <w:bottom w:w="0" w:type="dxa"/>
            <w:right w:w="108" w:type="dxa"/>
          </w:tblCellMar>
        </w:tblPrEx>
        <w:tc>
          <w:tcPr>
            <w:tcW w:w="3924" w:type="dxa"/>
          </w:tcPr>
          <w:p>
            <w:pPr>
              <w:jc w:val="center"/>
            </w:pPr>
            <w:r>
              <w:rPr>
                <w:rFonts w:hint="eastAsia"/>
              </w:rPr>
              <w:t>候选中标供应商家数</w:t>
            </w:r>
          </w:p>
        </w:tc>
        <w:tc>
          <w:tcPr>
            <w:tcW w:w="4151" w:type="dxa"/>
          </w:tcPr>
          <w:p>
            <w:pPr>
              <w:jc w:val="center"/>
            </w:pPr>
            <w:r>
              <w:rPr>
                <w:rFonts w:hint="eastAsia"/>
              </w:rPr>
              <w:t>3</w:t>
            </w:r>
          </w:p>
        </w:tc>
      </w:tr>
      <w:tr>
        <w:tblPrEx>
          <w:tblW w:w="8075" w:type="dxa"/>
          <w:tblInd w:w="340" w:type="dxa"/>
          <w:tblLayout w:type="fixed"/>
          <w:tblCellMar>
            <w:top w:w="0" w:type="dxa"/>
            <w:left w:w="108" w:type="dxa"/>
            <w:bottom w:w="0" w:type="dxa"/>
            <w:right w:w="108" w:type="dxa"/>
          </w:tblCellMar>
        </w:tblPrEx>
        <w:tc>
          <w:tcPr>
            <w:tcW w:w="3924" w:type="dxa"/>
          </w:tcPr>
          <w:p>
            <w:pPr>
              <w:jc w:val="center"/>
            </w:pPr>
            <w:r>
              <w:rPr>
                <w:rFonts w:hint="eastAsia"/>
              </w:rPr>
              <w:t>中标供应商家数</w:t>
            </w:r>
          </w:p>
        </w:tc>
        <w:tc>
          <w:tcPr>
            <w:tcW w:w="4151" w:type="dxa"/>
          </w:tcPr>
          <w:p>
            <w:pPr>
              <w:jc w:val="center"/>
            </w:pPr>
            <w:r>
              <w:rPr>
                <w:rFonts w:hint="eastAsia"/>
              </w:rPr>
              <w:t>1</w:t>
            </w:r>
          </w:p>
        </w:tc>
      </w:tr>
    </w:tbl>
    <w:p>
      <w:pPr>
        <w:ind w:firstLine="420" w:firstLineChars="200"/>
        <w:rPr>
          <w:rFonts w:hint="eastAsia"/>
          <w:b/>
        </w:rPr>
      </w:pPr>
      <w:bookmarkEnd w:id="31"/>
      <w:bookmarkEnd w:id="32"/>
    </w:p>
    <w:p>
      <w:pPr>
        <w:ind w:firstLine="420" w:firstLineChars="200"/>
        <w:rPr>
          <w:rFonts w:hint="eastAsia"/>
          <w:b/>
        </w:rPr>
      </w:pPr>
      <w:r>
        <w:rPr>
          <w:rFonts w:hint="eastAsia"/>
          <w:b/>
        </w:rPr>
        <w:t>（二）其他事项</w:t>
      </w:r>
    </w:p>
    <w:p>
      <w:pPr>
        <w:ind w:firstLine="420" w:firstLineChars="200"/>
      </w:pPr>
      <w:r>
        <w:t>1</w:t>
      </w:r>
      <w:r>
        <w:rPr>
          <w:rFonts w:hint="eastAsia"/>
        </w:rPr>
        <w:t>、关于享受优惠政策的主体及价格扣除比例</w:t>
      </w:r>
    </w:p>
    <w:p>
      <w:pPr>
        <w:ind w:firstLine="420" w:firstLineChars="200"/>
      </w:pPr>
      <w:r>
        <w:rPr>
          <w:rFonts w:hint="eastAsia"/>
        </w:rPr>
        <w:t>（1）投标人提供的服务全部均由优惠主体承接，则对其投标总价给予</w:t>
      </w:r>
      <w:r>
        <w:rPr>
          <w:b/>
          <w:bCs/>
          <w:color w:val="FF0000"/>
          <w:u w:val="single"/>
        </w:rPr>
        <w:t xml:space="preserve">  </w:t>
      </w:r>
      <w:r>
        <w:rPr>
          <w:rFonts w:hint="eastAsia"/>
          <w:b/>
          <w:bCs/>
          <w:color w:val="FF0000"/>
          <w:u w:val="single"/>
          <w:lang w:val="en-US" w:eastAsia="zh-CN"/>
        </w:rPr>
        <w:t>10</w:t>
      </w:r>
      <w:r>
        <w:rPr>
          <w:b/>
          <w:bCs/>
          <w:color w:val="FF0000"/>
          <w:u w:val="single"/>
        </w:rPr>
        <w:t xml:space="preserve">  %</w:t>
      </w:r>
      <w:r>
        <w:rPr>
          <w:rFonts w:hint="eastAsia"/>
        </w:rPr>
        <w:t>的扣除，用扣除后的价格参与评审。满足多项优惠政策的企业，不重复享受多项价格扣除政策。</w:t>
      </w:r>
    </w:p>
    <w:p>
      <w:pPr>
        <w:ind w:firstLine="420" w:firstLineChars="200"/>
      </w:pPr>
      <w:r>
        <w:rPr>
          <w:rFonts w:hint="eastAsia"/>
        </w:rPr>
        <w:t>备注：（a）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优惠主体承接是指提供服务的人员为中小企业依照《中华人民共和国劳动合同法》订立劳动合同的从业人员。</w:t>
      </w:r>
    </w:p>
    <w:p>
      <w:pPr>
        <w:ind w:firstLine="420" w:firstLineChars="200"/>
      </w:pPr>
      <w:r>
        <w:rPr>
          <w:rFonts w:hint="eastAsia"/>
        </w:rPr>
        <w:t>（2）根据</w:t>
      </w:r>
      <w:r>
        <w:rPr>
          <w:rFonts w:hint="eastAsia"/>
          <w:szCs w:val="22"/>
        </w:rPr>
        <w:t>《工业和信息化部、国家统计局、国家发展和改革委员会、财政部关于印发中小企业划型标准规定的通知》（工信部联企业〔2011〕300 号）、</w:t>
      </w:r>
      <w:r>
        <w:rPr>
          <w:rFonts w:ascii="宋体" w:hAnsi="宋体" w:hint="eastAsia"/>
          <w:bCs/>
        </w:rPr>
        <w:t>《</w:t>
      </w:r>
      <w:r>
        <w:rPr>
          <w:rFonts w:ascii="宋体" w:hAnsi="宋体"/>
          <w:bCs/>
        </w:rPr>
        <w:t>统计上大中小微型企业划分办法（2017）</w:t>
      </w:r>
      <w:r>
        <w:rPr>
          <w:rFonts w:ascii="宋体" w:hAnsi="宋体" w:hint="eastAsia"/>
          <w:bCs/>
        </w:rPr>
        <w:t>》（国统字〔2017〕213 号）</w:t>
      </w:r>
      <w:r>
        <w:rPr>
          <w:rFonts w:hint="eastAsia"/>
          <w:lang w:eastAsia="zh-CN"/>
        </w:rPr>
        <w:t>、</w:t>
      </w:r>
      <w:r>
        <w:rPr>
          <w:rFonts w:ascii="宋体" w:eastAsia="宋体" w:hAnsi="宋体" w:cs="宋体" w:hint="eastAsia"/>
          <w:kern w:val="0"/>
          <w:sz w:val="24"/>
          <w:szCs w:val="24"/>
        </w:rPr>
        <w:t>《金融业企业划型标准规定》</w:t>
      </w:r>
      <w:r>
        <w:rPr>
          <w:rFonts w:ascii="宋体" w:eastAsia="宋体" w:hAnsi="宋体" w:cs="宋体" w:hint="eastAsia"/>
          <w:kern w:val="0"/>
          <w:sz w:val="24"/>
          <w:szCs w:val="24"/>
          <w:lang w:eastAsia="zh-CN"/>
        </w:rPr>
        <w:t>（</w:t>
      </w:r>
      <w:r>
        <w:rPr>
          <w:rFonts w:ascii="宋体" w:eastAsia="宋体" w:hAnsi="宋体" w:cs="宋体" w:hint="eastAsia"/>
          <w:kern w:val="0"/>
          <w:sz w:val="24"/>
          <w:szCs w:val="24"/>
        </w:rPr>
        <w:t>银发〔2015〕309号</w:t>
      </w:r>
      <w:r>
        <w:rPr>
          <w:rFonts w:ascii="宋体" w:eastAsia="宋体" w:hAnsi="宋体" w:cs="宋体" w:hint="eastAsia"/>
          <w:kern w:val="0"/>
          <w:sz w:val="24"/>
          <w:szCs w:val="24"/>
          <w:lang w:eastAsia="zh-CN"/>
        </w:rPr>
        <w:t>）</w:t>
      </w:r>
      <w:r>
        <w:rPr>
          <w:rFonts w:ascii="宋体" w:hAnsi="宋体" w:hint="eastAsia"/>
          <w:bCs/>
        </w:rPr>
        <w:t>或国务院批准的其他中小企业划分标准文件</w:t>
      </w:r>
      <w:r>
        <w:rPr>
          <w:rFonts w:hint="eastAsia"/>
        </w:rPr>
        <w:t>，</w:t>
      </w:r>
      <w:bookmarkStart w:id="33" w:name="_Hlk71970739"/>
      <w:r>
        <w:rPr>
          <w:rFonts w:hint="eastAsia"/>
        </w:rPr>
        <w:t>本项目</w:t>
      </w:r>
      <w:bookmarkStart w:id="34" w:name="_Hlk71924718"/>
      <w:r>
        <w:rPr>
          <w:rFonts w:hint="eastAsia"/>
        </w:rPr>
        <w:t>采购标的（服务需求）对应的中小企业划分标准所属行业</w:t>
      </w:r>
      <w:bookmarkEnd w:id="34"/>
      <w:r>
        <w:rPr>
          <w:rFonts w:hint="eastAsia"/>
        </w:rPr>
        <w:t>为</w:t>
      </w:r>
      <w:r>
        <w:rPr>
          <w:color w:val="FF0000"/>
          <w:u w:val="single"/>
        </w:rPr>
        <w:t xml:space="preserve">  </w:t>
      </w:r>
      <w:r>
        <w:rPr>
          <w:rFonts w:hint="eastAsia"/>
          <w:b/>
          <w:bCs/>
          <w:color w:val="FF0000"/>
          <w:u w:val="single"/>
        </w:rPr>
        <w:t>其他未列明行业</w:t>
      </w:r>
      <w:r>
        <w:rPr>
          <w:color w:val="FF0000"/>
          <w:u w:val="single"/>
        </w:rPr>
        <w:t xml:space="preserve">  </w:t>
      </w:r>
      <w:r>
        <w:rPr>
          <w:rFonts w:hint="eastAsia"/>
        </w:rPr>
        <w:t>。</w:t>
      </w:r>
      <w:bookmarkEnd w:id="33"/>
    </w:p>
    <w:p>
      <w:pPr>
        <w:ind w:firstLine="420" w:firstLineChars="200"/>
      </w:pPr>
      <w:r>
        <w:rPr>
          <w:rFonts w:hint="eastAsia"/>
        </w:rPr>
        <w:t>（3）小型企业、微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w:t>
      </w:r>
      <w:r>
        <w:rPr>
          <w:rFonts w:hint="eastAsia"/>
          <w:lang w:val="en-US" w:eastAsia="zh-CN"/>
        </w:rPr>
        <w:t>四</w:t>
      </w:r>
      <w:r>
        <w:rPr>
          <w:rFonts w:hint="eastAsia"/>
        </w:rPr>
        <w:t>章“投标文件组成要求及格式”中“</w:t>
      </w:r>
      <w:r>
        <w:rPr>
          <w:rFonts w:hint="eastAsia"/>
          <w:lang w:val="en-US" w:eastAsia="zh-CN"/>
        </w:rPr>
        <w:t>三、</w:t>
      </w:r>
      <w:r>
        <w:rPr>
          <w:rFonts w:hint="eastAsia"/>
        </w:rPr>
        <w:t>投标人情况及资格证明文件”章节提供的格式）。</w:t>
      </w:r>
    </w:p>
    <w:p>
      <w:pPr>
        <w:ind w:firstLine="420" w:firstLineChars="200"/>
      </w:pPr>
      <w:r>
        <w:rPr>
          <w:rFonts w:hint="eastAsia"/>
        </w:rPr>
        <w:t>（4）享受价格扣除获得政府采购合同的，小微企业不得将合同分包给大中型企业。</w:t>
      </w:r>
    </w:p>
    <w:p>
      <w:pPr>
        <w:spacing w:line="276" w:lineRule="auto"/>
        <w:ind w:firstLine="420" w:firstLineChars="200"/>
        <w:jc w:val="left"/>
        <w:rPr>
          <w:rFonts w:asciiTheme="minorEastAsia" w:eastAsiaTheme="minorEastAsia" w:hAnsiTheme="minorEastAsia" w:hint="eastAsia"/>
          <w:b/>
          <w:kern w:val="0"/>
          <w:szCs w:val="20"/>
        </w:rPr>
      </w:pPr>
      <w:r>
        <w:rPr>
          <w:rFonts w:asciiTheme="minorEastAsia" w:eastAsiaTheme="minorEastAsia" w:hAnsiTheme="minorEastAsia" w:hint="eastAsia"/>
          <w:b/>
          <w:kern w:val="0"/>
          <w:szCs w:val="20"/>
        </w:rPr>
        <w:t>2.关于政府采购订单融资政策</w:t>
      </w:r>
    </w:p>
    <w:p>
      <w:pPr>
        <w:ind w:firstLine="420" w:firstLineChars="200"/>
        <w:rPr>
          <w:rFonts w:hint="eastAsia"/>
        </w:rPr>
      </w:pPr>
      <w:r>
        <w:rPr>
          <w:rFonts w:hint="eastAsi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交易集团金融服务平台（http://zfcg.szggzy.com:8081/financeplatform/），相关政策法规参阅深圳市政府采购监管网（http://zfcg.sz.gov.cn/）信息公开栏目。</w:t>
      </w:r>
    </w:p>
    <w:p>
      <w:pPr>
        <w:ind w:firstLine="420" w:firstLineChars="200"/>
        <w:rPr>
          <w:rFonts w:ascii="仿宋_GB2312" w:hAnsi="仿宋_GB2312" w:cs="仿宋_GB2312"/>
          <w:b/>
          <w:bCs/>
          <w:color w:val="FF0000"/>
          <w:sz w:val="32"/>
          <w:szCs w:val="32"/>
        </w:rPr>
      </w:pPr>
      <w:r>
        <w:rPr>
          <w:rFonts w:hint="eastAsia"/>
          <w:b/>
          <w:bCs/>
          <w:color w:val="FF0000"/>
        </w:rPr>
        <w:t>3、</w:t>
      </w:r>
      <w:bookmarkStart w:id="35" w:name="_Hlk76855768"/>
      <w:bookmarkStart w:id="36" w:name="_Hlk72594729"/>
      <w:r>
        <w:rPr>
          <w:rFonts w:ascii="宋体" w:hAnsi="宋体"/>
          <w:b/>
          <w:bCs/>
          <w:color w:val="FF0000"/>
        </w:rPr>
        <w:t>本项目为代理服务项目，将向中标供应商收取代理服务费</w:t>
      </w:r>
      <w:r>
        <w:rPr>
          <w:rFonts w:ascii="宋体" w:hAnsi="宋体" w:hint="eastAsia"/>
          <w:b/>
          <w:bCs/>
          <w:color w:val="FF0000"/>
        </w:rPr>
        <w:t>。</w:t>
      </w:r>
    </w:p>
    <w:p>
      <w:pPr>
        <w:ind w:firstLine="420" w:firstLineChars="200"/>
      </w:pPr>
      <w:bookmarkEnd w:id="35"/>
      <w:bookmarkEnd w:id="36"/>
      <w:r>
        <w:rPr>
          <w:rFonts w:hint="eastAsia"/>
        </w:rPr>
        <w:t>中标供应商在领取《中标通知书》之前须向深圳公共资源交易中心（深圳交易集团有限公司</w:t>
      </w:r>
      <w:r>
        <w:rPr>
          <w:rFonts w:hint="eastAsia"/>
          <w:lang w:val="en-US" w:eastAsia="zh-CN"/>
        </w:rPr>
        <w:t>大鹏</w:t>
      </w:r>
      <w:r>
        <w:rPr>
          <w:rFonts w:hint="eastAsia"/>
        </w:rPr>
        <w:t>分公司）交纳代理服务费。若因中标供应商交纳代理服务费所产生的时间影响到合同签订的，由中标供应商自行承担责任。代理服务费标准参照</w:t>
      </w:r>
      <w:r>
        <w:rPr>
          <w:rFonts w:hint="eastAsia"/>
          <w:lang w:val="en-US" w:eastAsia="zh-CN"/>
        </w:rPr>
        <w:t>下列</w:t>
      </w:r>
      <w:r>
        <w:rPr>
          <w:rFonts w:hint="eastAsia"/>
        </w:rPr>
        <w:t>标准收取。本项目类型为</w:t>
      </w:r>
      <w:r>
        <w:rPr>
          <w:rFonts w:hint="eastAsia"/>
          <w:b/>
          <w:bCs/>
          <w:lang w:val="en-US" w:eastAsia="zh-CN"/>
        </w:rPr>
        <w:t>服务</w:t>
      </w:r>
      <w:r>
        <w:rPr>
          <w:rFonts w:hint="eastAsia"/>
          <w:b/>
        </w:rPr>
        <w:t>采购</w:t>
      </w:r>
      <w:r>
        <w:rPr>
          <w:rFonts w:hint="eastAsia"/>
        </w:rPr>
        <w:t>：</w:t>
      </w:r>
    </w:p>
    <w:p>
      <w:pPr>
        <w:ind w:firstLine="420" w:firstLineChars="200"/>
      </w:pPr>
      <w:r>
        <w:rPr>
          <w:rFonts w:hint="eastAsia"/>
        </w:rPr>
        <w:t>（一）代理服务费以《中标通知书》确定的成交金额作为计算基数，按差额定率累进法计算。</w:t>
      </w:r>
    </w:p>
    <w:p>
      <w:pPr>
        <w:ind w:firstLine="420" w:firstLineChars="200"/>
      </w:pPr>
      <w:r>
        <w:rPr>
          <w:rFonts w:hint="eastAsia"/>
        </w:rPr>
        <w:t>（二）中标金额的各部分费率如下表：</w:t>
      </w:r>
    </w:p>
    <w:tbl>
      <w:tblPr>
        <w:tblStyle w:val="TableNormal"/>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3125"/>
        <w:gridCol w:w="1799"/>
        <w:gridCol w:w="1799"/>
        <w:gridCol w:w="1799"/>
      </w:tblGrid>
      <w:tr>
        <w:tblPrEx>
          <w:tblW w:w="85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601"/>
          <w:jc w:val="center"/>
        </w:trPr>
        <w:tc>
          <w:tcPr>
            <w:tcW w:w="3125" w:type="dxa"/>
            <w:vAlign w:val="center"/>
          </w:tcPr>
          <w:p>
            <w:pPr>
              <w:widowControl/>
              <w:spacing w:line="360" w:lineRule="auto"/>
              <w:jc w:val="center"/>
            </w:pPr>
            <w:r>
              <w:rPr>
                <w:rFonts w:hint="eastAsia"/>
              </w:rPr>
              <w:t>成交金额</w:t>
            </w:r>
          </w:p>
        </w:tc>
        <w:tc>
          <w:tcPr>
            <w:tcW w:w="1799" w:type="dxa"/>
            <w:vAlign w:val="center"/>
          </w:tcPr>
          <w:p>
            <w:pPr>
              <w:widowControl/>
              <w:spacing w:line="360" w:lineRule="auto"/>
              <w:jc w:val="center"/>
            </w:pPr>
            <w:r>
              <w:rPr>
                <w:rFonts w:hint="eastAsia"/>
              </w:rPr>
              <w:t>货物采购</w:t>
            </w:r>
          </w:p>
        </w:tc>
        <w:tc>
          <w:tcPr>
            <w:tcW w:w="1799" w:type="dxa"/>
            <w:vAlign w:val="center"/>
          </w:tcPr>
          <w:p>
            <w:pPr>
              <w:widowControl/>
              <w:spacing w:line="360" w:lineRule="auto"/>
              <w:jc w:val="center"/>
            </w:pPr>
            <w:r>
              <w:rPr>
                <w:rFonts w:hint="eastAsia"/>
              </w:rPr>
              <w:t>服务采购</w:t>
            </w:r>
          </w:p>
        </w:tc>
        <w:tc>
          <w:tcPr>
            <w:tcW w:w="1799" w:type="dxa"/>
            <w:vAlign w:val="center"/>
          </w:tcPr>
          <w:p>
            <w:pPr>
              <w:widowControl/>
              <w:spacing w:line="360" w:lineRule="auto"/>
              <w:jc w:val="center"/>
            </w:pPr>
            <w:r>
              <w:rPr>
                <w:rFonts w:hint="eastAsia"/>
              </w:rPr>
              <w:t>工程采购</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100万元以下</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1.5%</w:t>
            </w:r>
          </w:p>
        </w:tc>
        <w:tc>
          <w:tcPr>
            <w:tcW w:w="1799" w:type="dxa"/>
            <w:vAlign w:val="center"/>
          </w:tcPr>
          <w:p>
            <w:pPr>
              <w:widowControl/>
              <w:spacing w:line="360" w:lineRule="auto"/>
              <w:jc w:val="center"/>
            </w:pPr>
            <w:r>
              <w:rPr>
                <w:rFonts w:hint="eastAsia"/>
              </w:rPr>
              <w:t>1.0%</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100万元（含）-500万元</w:t>
            </w:r>
          </w:p>
        </w:tc>
        <w:tc>
          <w:tcPr>
            <w:tcW w:w="1799" w:type="dxa"/>
            <w:vAlign w:val="center"/>
          </w:tcPr>
          <w:p>
            <w:pPr>
              <w:widowControl/>
              <w:spacing w:line="360" w:lineRule="auto"/>
              <w:jc w:val="center"/>
            </w:pPr>
            <w:r>
              <w:rPr>
                <w:rFonts w:hint="eastAsia"/>
              </w:rPr>
              <w:t>1.1%</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0.7%</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500万元（含）-1000万元</w:t>
            </w:r>
          </w:p>
        </w:tc>
        <w:tc>
          <w:tcPr>
            <w:tcW w:w="1799" w:type="dxa"/>
            <w:vAlign w:val="center"/>
          </w:tcPr>
          <w:p>
            <w:pPr>
              <w:widowControl/>
              <w:spacing w:line="360" w:lineRule="auto"/>
              <w:jc w:val="center"/>
            </w:pPr>
            <w:r>
              <w:rPr>
                <w:rFonts w:hint="eastAsia"/>
              </w:rPr>
              <w:t>0.8%</w:t>
            </w:r>
          </w:p>
        </w:tc>
        <w:tc>
          <w:tcPr>
            <w:tcW w:w="1799" w:type="dxa"/>
            <w:vAlign w:val="center"/>
          </w:tcPr>
          <w:p>
            <w:pPr>
              <w:widowControl/>
              <w:spacing w:line="360" w:lineRule="auto"/>
              <w:jc w:val="center"/>
            </w:pPr>
            <w:r>
              <w:rPr>
                <w:rFonts w:hint="eastAsia"/>
              </w:rPr>
              <w:t>0.45%</w:t>
            </w:r>
          </w:p>
        </w:tc>
        <w:tc>
          <w:tcPr>
            <w:tcW w:w="1799" w:type="dxa"/>
            <w:vAlign w:val="center"/>
          </w:tcPr>
          <w:p>
            <w:pPr>
              <w:widowControl/>
              <w:spacing w:line="360" w:lineRule="auto"/>
              <w:jc w:val="center"/>
            </w:pPr>
            <w:r>
              <w:rPr>
                <w:rFonts w:hint="eastAsia"/>
              </w:rPr>
              <w:t>0.55%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1000万元（含）-5000万元</w:t>
            </w:r>
          </w:p>
        </w:tc>
        <w:tc>
          <w:tcPr>
            <w:tcW w:w="1799" w:type="dxa"/>
            <w:vAlign w:val="center"/>
          </w:tcPr>
          <w:p>
            <w:pPr>
              <w:widowControl/>
              <w:spacing w:line="360" w:lineRule="auto"/>
              <w:jc w:val="center"/>
            </w:pPr>
            <w:r>
              <w:rPr>
                <w:rFonts w:hint="eastAsia"/>
              </w:rPr>
              <w:t>0.5%</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5000万元（含）-1亿元</w:t>
            </w:r>
          </w:p>
        </w:tc>
        <w:tc>
          <w:tcPr>
            <w:tcW w:w="1799" w:type="dxa"/>
            <w:vAlign w:val="center"/>
          </w:tcPr>
          <w:p>
            <w:pPr>
              <w:widowControl/>
              <w:spacing w:line="360" w:lineRule="auto"/>
              <w:jc w:val="center"/>
            </w:pPr>
            <w:r>
              <w:rPr>
                <w:rFonts w:hint="eastAsia"/>
              </w:rPr>
              <w:t>0.25%</w:t>
            </w:r>
          </w:p>
        </w:tc>
        <w:tc>
          <w:tcPr>
            <w:tcW w:w="1799" w:type="dxa"/>
            <w:vAlign w:val="center"/>
          </w:tcPr>
          <w:p>
            <w:pPr>
              <w:widowControl/>
              <w:spacing w:line="360" w:lineRule="auto"/>
              <w:jc w:val="center"/>
            </w:pPr>
            <w:r>
              <w:rPr>
                <w:rFonts w:hint="eastAsia"/>
              </w:rPr>
              <w:t>0.1%</w:t>
            </w:r>
          </w:p>
        </w:tc>
        <w:tc>
          <w:tcPr>
            <w:tcW w:w="1799" w:type="dxa"/>
            <w:vAlign w:val="center"/>
          </w:tcPr>
          <w:p>
            <w:pPr>
              <w:widowControl/>
              <w:spacing w:line="360" w:lineRule="auto"/>
              <w:jc w:val="center"/>
            </w:pPr>
            <w:r>
              <w:rPr>
                <w:rFonts w:hint="eastAsia"/>
              </w:rPr>
              <w:t>0.2%</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1亿元（含）-5亿元</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c>
          <w:tcPr>
            <w:tcW w:w="1799" w:type="dxa"/>
            <w:vAlign w:val="center"/>
          </w:tcPr>
          <w:p>
            <w:pPr>
              <w:widowControl/>
              <w:spacing w:line="360" w:lineRule="auto"/>
              <w:jc w:val="center"/>
            </w:pPr>
            <w:r>
              <w:rPr>
                <w:rFonts w:hint="eastAsia"/>
              </w:rPr>
              <w:t>0.05%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5亿元（含）-10亿元</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c>
          <w:tcPr>
            <w:tcW w:w="1799" w:type="dxa"/>
            <w:vAlign w:val="center"/>
          </w:tcPr>
          <w:p>
            <w:pPr>
              <w:widowControl/>
              <w:spacing w:line="360" w:lineRule="auto"/>
              <w:jc w:val="center"/>
            </w:pPr>
            <w:r>
              <w:rPr>
                <w:rFonts w:hint="eastAsia"/>
              </w:rPr>
              <w:t>0.035%</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10亿元（含）-50亿元</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c>
          <w:tcPr>
            <w:tcW w:w="1799" w:type="dxa"/>
            <w:vAlign w:val="center"/>
          </w:tcPr>
          <w:p>
            <w:pPr>
              <w:widowControl/>
              <w:spacing w:line="360" w:lineRule="auto"/>
              <w:jc w:val="center"/>
            </w:pPr>
            <w:r>
              <w:rPr>
                <w:rFonts w:hint="eastAsia"/>
              </w:rPr>
              <w:t>0.008%</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50亿元（含）-100亿元</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c>
          <w:tcPr>
            <w:tcW w:w="1799" w:type="dxa"/>
            <w:vAlign w:val="center"/>
          </w:tcPr>
          <w:p>
            <w:pPr>
              <w:widowControl/>
              <w:spacing w:line="360" w:lineRule="auto"/>
              <w:jc w:val="center"/>
            </w:pPr>
            <w:r>
              <w:rPr>
                <w:rFonts w:hint="eastAsia"/>
              </w:rPr>
              <w:t>0.006%</w:t>
            </w:r>
          </w:p>
        </w:tc>
      </w:tr>
      <w:tr>
        <w:tblPrEx>
          <w:tblW w:w="8522" w:type="dxa"/>
          <w:jc w:val="center"/>
          <w:tblLayout w:type="fixed"/>
          <w:tblCellMar>
            <w:top w:w="0" w:type="dxa"/>
            <w:left w:w="108" w:type="dxa"/>
            <w:bottom w:w="0" w:type="dxa"/>
            <w:right w:w="108" w:type="dxa"/>
          </w:tblCellMar>
        </w:tblPrEx>
        <w:trPr>
          <w:jc w:val="center"/>
        </w:trPr>
        <w:tc>
          <w:tcPr>
            <w:tcW w:w="3125" w:type="dxa"/>
            <w:vAlign w:val="center"/>
          </w:tcPr>
          <w:p>
            <w:pPr>
              <w:widowControl/>
              <w:spacing w:line="360" w:lineRule="auto"/>
              <w:jc w:val="center"/>
            </w:pPr>
            <w:r>
              <w:rPr>
                <w:rFonts w:hint="eastAsia"/>
              </w:rPr>
              <w:t>100亿元（含）以上</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c>
          <w:tcPr>
            <w:tcW w:w="1799" w:type="dxa"/>
            <w:vAlign w:val="center"/>
          </w:tcPr>
          <w:p>
            <w:pPr>
              <w:widowControl/>
              <w:spacing w:line="360" w:lineRule="auto"/>
              <w:jc w:val="center"/>
            </w:pPr>
            <w:r>
              <w:rPr>
                <w:rFonts w:hint="eastAsia"/>
              </w:rPr>
              <w:t>0.004%</w:t>
            </w:r>
          </w:p>
        </w:tc>
      </w:tr>
    </w:tbl>
    <w:p>
      <w:pPr>
        <w:ind w:firstLine="420" w:firstLineChars="200"/>
      </w:pPr>
      <w:r>
        <w:rPr>
          <w:rFonts w:hint="eastAsia"/>
        </w:rPr>
        <w:t xml:space="preserve">备注：1.每宗交易代理服务费不低于 </w:t>
      </w:r>
      <w:r>
        <w:rPr>
          <w:rFonts w:hint="eastAsia"/>
          <w:lang w:val="en-US" w:eastAsia="zh-CN"/>
        </w:rPr>
        <w:t>8</w:t>
      </w:r>
      <w:r>
        <w:rPr>
          <w:rFonts w:hint="eastAsia"/>
        </w:rPr>
        <w:t>000 元；</w:t>
      </w:r>
    </w:p>
    <w:p>
      <w:pPr>
        <w:ind w:firstLine="420" w:firstLineChars="200"/>
      </w:pPr>
      <w:r>
        <w:rPr>
          <w:rFonts w:hint="eastAsia"/>
        </w:rPr>
        <w:t>2.对于报总价的采购类项目，成交价为成交金额；对于报单价或折扣或费</w:t>
      </w:r>
    </w:p>
    <w:p>
      <w:pPr>
        <w:ind w:firstLine="420" w:firstLineChars="200"/>
      </w:pPr>
      <w:r>
        <w:rPr>
          <w:rFonts w:hint="eastAsia"/>
        </w:rPr>
        <w:t>率的采购类项目，成交价为预算上限金额或经委托方与代理方确定的支付上限金额。</w:t>
      </w:r>
    </w:p>
    <w:p>
      <w:pPr>
        <w:ind w:firstLine="420" w:firstLineChars="200"/>
      </w:pPr>
      <w:r>
        <w:rPr>
          <w:rFonts w:hint="eastAsia"/>
        </w:rPr>
        <w:t>如某货物采购项目，成交金额为600万元，总共交纳的代理服务费的具体计算过程如下：</w:t>
      </w:r>
    </w:p>
    <w:p>
      <w:pPr>
        <w:ind w:firstLine="420" w:firstLineChars="200"/>
      </w:pPr>
      <w:r>
        <w:rPr>
          <w:rFonts w:hint="eastAsia"/>
        </w:rPr>
        <w:t>标准代理服务费＝（100万以下部分的代理服务费）+（100万～500万部分的代理服务费）+（500万～600万部分的代理服务费）＝100万元×1.5%+（500-100）万元×1.1%+（600-500）万元×0.8%=1.5万元+4.4万元+0.8万元＝6.7万元</w:t>
      </w:r>
    </w:p>
    <w:p>
      <w:pPr>
        <w:ind w:firstLine="420" w:firstLineChars="200"/>
      </w:pPr>
      <w:r>
        <w:rPr>
          <w:rFonts w:hint="eastAsia"/>
        </w:rPr>
        <w:t>（三）成交供应商成交后，必须按规定采用银行对公转账方式向深圳交易集团有限公司直接交纳代理服务费，交纳信息及要求按以下规定执行：</w:t>
      </w:r>
    </w:p>
    <w:p>
      <w:pPr>
        <w:ind w:firstLine="420" w:firstLineChars="200"/>
      </w:pPr>
      <w:r>
        <w:rPr>
          <w:rFonts w:hint="eastAsia"/>
        </w:rPr>
        <w:t>经营性账户信息如下：</w:t>
      </w:r>
    </w:p>
    <w:p>
      <w:pPr>
        <w:widowControl w:val="0"/>
        <w:spacing w:line="240" w:lineRule="auto"/>
        <w:ind w:firstLine="420" w:firstLineChars="200"/>
        <w:jc w:val="both"/>
        <w:rPr>
          <w:rFonts w:ascii="宋体" w:eastAsia="宋体" w:hAnsi="宋体" w:cs="Times New Roman"/>
          <w:b/>
          <w:bCs/>
          <w:kern w:val="2"/>
          <w:sz w:val="21"/>
          <w:szCs w:val="21"/>
          <w:lang w:val="en-US" w:eastAsia="zh-CN" w:bidi="ar-SA"/>
        </w:rPr>
      </w:pPr>
      <w:r>
        <w:rPr>
          <w:rFonts w:ascii="宋体" w:eastAsia="宋体" w:hAnsi="宋体" w:cs="Times New Roman" w:hint="eastAsia"/>
          <w:b/>
          <w:bCs/>
          <w:kern w:val="2"/>
          <w:sz w:val="21"/>
          <w:szCs w:val="21"/>
          <w:lang w:val="en-US" w:eastAsia="zh-CN" w:bidi="ar-SA"/>
        </w:rPr>
        <w:t>账户名称：深圳交易集团有限公司</w:t>
      </w:r>
    </w:p>
    <w:p>
      <w:pPr>
        <w:widowControl w:val="0"/>
        <w:spacing w:line="240" w:lineRule="auto"/>
        <w:ind w:firstLine="420" w:firstLineChars="200"/>
        <w:jc w:val="both"/>
        <w:rPr>
          <w:rFonts w:ascii="宋体" w:eastAsia="宋体" w:hAnsi="宋体" w:cs="Times New Roman"/>
          <w:b/>
          <w:bCs/>
          <w:kern w:val="2"/>
          <w:sz w:val="21"/>
          <w:szCs w:val="21"/>
          <w:lang w:val="en-US" w:eastAsia="zh-CN" w:bidi="ar-SA"/>
        </w:rPr>
      </w:pPr>
      <w:r>
        <w:rPr>
          <w:rFonts w:ascii="宋体" w:eastAsia="宋体" w:hAnsi="宋体" w:cs="Times New Roman" w:hint="eastAsia"/>
          <w:b/>
          <w:bCs/>
          <w:kern w:val="2"/>
          <w:sz w:val="21"/>
          <w:szCs w:val="21"/>
          <w:lang w:val="en-US" w:eastAsia="zh-CN" w:bidi="ar-SA"/>
        </w:rPr>
        <w:t>银行名称：中国民生银行</w:t>
      </w:r>
    </w:p>
    <w:p>
      <w:pPr>
        <w:widowControl w:val="0"/>
        <w:spacing w:line="240" w:lineRule="auto"/>
        <w:ind w:firstLine="420" w:firstLineChars="200"/>
        <w:jc w:val="both"/>
        <w:rPr>
          <w:rFonts w:ascii="宋体" w:eastAsia="宋体" w:hAnsi="宋体" w:cs="Times New Roman"/>
          <w:b/>
          <w:bCs/>
          <w:kern w:val="2"/>
          <w:sz w:val="21"/>
          <w:szCs w:val="21"/>
          <w:lang w:val="en-US" w:eastAsia="zh-CN" w:bidi="ar-SA"/>
        </w:rPr>
      </w:pPr>
      <w:r>
        <w:rPr>
          <w:rFonts w:ascii="宋体" w:eastAsia="宋体" w:hAnsi="宋体" w:cs="Times New Roman" w:hint="eastAsia"/>
          <w:b/>
          <w:bCs/>
          <w:kern w:val="2"/>
          <w:sz w:val="21"/>
          <w:szCs w:val="21"/>
          <w:lang w:val="en-US" w:eastAsia="zh-CN" w:bidi="ar-SA"/>
        </w:rPr>
        <w:t>开户行：民生银行深圳五洲支行</w:t>
      </w:r>
    </w:p>
    <w:p>
      <w:pPr>
        <w:ind w:firstLine="420" w:firstLineChars="200"/>
        <w:rPr>
          <w:rFonts w:hint="eastAsia"/>
        </w:rPr>
      </w:pPr>
      <w:r>
        <w:rPr>
          <w:rFonts w:hint="eastAsia"/>
          <w:b/>
          <w:bCs/>
          <w:highlight w:val="yellow"/>
        </w:rPr>
        <w:t>银行账号：632770609</w:t>
      </w:r>
    </w:p>
    <w:p>
      <w:pPr>
        <w:ind w:firstLine="420" w:firstLineChars="200"/>
      </w:pPr>
      <w:r>
        <w:rPr>
          <w:rFonts w:hint="eastAsia"/>
        </w:rPr>
        <w:t>转账备注：项目编号</w:t>
      </w:r>
    </w:p>
    <w:p>
      <w:pPr>
        <w:pStyle w:val="BodyText"/>
        <w:rPr>
          <w:b/>
        </w:rPr>
      </w:pPr>
    </w:p>
    <w:p>
      <w:pPr>
        <w:rPr>
          <w:b/>
        </w:rPr>
      </w:pPr>
    </w:p>
    <w:p>
      <w:pPr>
        <w:rPr>
          <w:b/>
        </w:rPr>
      </w:pPr>
    </w:p>
    <w:p>
      <w:pPr>
        <w:rPr>
          <w:rFonts w:hint="eastAsia"/>
          <w:sz w:val="28"/>
          <w:szCs w:val="28"/>
        </w:rPr>
      </w:pPr>
      <w:bookmarkStart w:id="37" w:name="_Toc128884461"/>
      <w:r>
        <w:rPr>
          <w:rFonts w:hint="eastAsia"/>
          <w:sz w:val="28"/>
          <w:szCs w:val="28"/>
        </w:rPr>
        <w:br w:type="page"/>
      </w:r>
    </w:p>
    <w:p>
      <w:pPr>
        <w:pStyle w:val="Heading2"/>
        <w:rPr>
          <w:sz w:val="28"/>
          <w:szCs w:val="28"/>
        </w:rPr>
      </w:pPr>
      <w:r>
        <w:rPr>
          <w:rFonts w:hint="eastAsia"/>
          <w:sz w:val="28"/>
          <w:szCs w:val="28"/>
        </w:rPr>
        <w:t>第三章 用户需求书</w:t>
      </w:r>
    </w:p>
    <w:p>
      <w:pPr>
        <w:pStyle w:val="Heading2"/>
        <w:spacing w:before="120" w:beforeLines="50" w:after="120" w:afterLines="50"/>
        <w:rPr>
          <w:szCs w:val="24"/>
        </w:rPr>
      </w:pPr>
      <w:r>
        <w:rPr>
          <w:rFonts w:hint="eastAsia"/>
          <w:szCs w:val="24"/>
        </w:rPr>
        <w:t xml:space="preserve"> </w:t>
      </w:r>
      <w:r>
        <w:rPr>
          <w:szCs w:val="24"/>
        </w:rPr>
        <w:t xml:space="preserve"> </w:t>
      </w:r>
      <w:r>
        <w:rPr>
          <w:rFonts w:hint="eastAsia"/>
          <w:szCs w:val="24"/>
        </w:rPr>
        <w:t>一、项目基本信息</w:t>
      </w:r>
    </w:p>
    <w:p>
      <w:pPr>
        <w:rPr>
          <w:rFonts w:ascii="宋体" w:hAnsi="宋体"/>
          <w:b/>
          <w:color w:val="FF0000"/>
          <w:szCs w:val="21"/>
        </w:rPr>
      </w:pPr>
    </w:p>
    <w:tbl>
      <w:tblPr>
        <w:tblStyle w:val="TableNormal"/>
        <w:tblpPr w:leftFromText="180" w:rightFromText="180" w:vertAnchor="text" w:horzAnchor="margin" w:tblpY="173"/>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6"/>
        <w:gridCol w:w="3557"/>
        <w:gridCol w:w="2671"/>
        <w:gridCol w:w="1872"/>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54"/>
        </w:trPr>
        <w:tc>
          <w:tcPr>
            <w:tcW w:w="249" w:type="pct"/>
            <w:vAlign w:val="center"/>
          </w:tcPr>
          <w:p>
            <w:pPr>
              <w:jc w:val="center"/>
              <w:rPr>
                <w:b w:val="0"/>
                <w:bCs/>
                <w:color w:val="auto"/>
                <w:szCs w:val="21"/>
              </w:rPr>
            </w:pPr>
            <w:r>
              <w:rPr>
                <w:rFonts w:hint="eastAsia"/>
                <w:b w:val="0"/>
                <w:bCs/>
                <w:color w:val="auto"/>
                <w:szCs w:val="21"/>
              </w:rPr>
              <w:t>序号</w:t>
            </w:r>
          </w:p>
        </w:tc>
        <w:tc>
          <w:tcPr>
            <w:tcW w:w="2085" w:type="pct"/>
            <w:vAlign w:val="center"/>
          </w:tcPr>
          <w:p>
            <w:pPr>
              <w:jc w:val="center"/>
              <w:rPr>
                <w:b w:val="0"/>
                <w:bCs/>
                <w:color w:val="auto"/>
                <w:szCs w:val="21"/>
              </w:rPr>
            </w:pPr>
            <w:r>
              <w:rPr>
                <w:rFonts w:hint="eastAsia"/>
                <w:b w:val="0"/>
                <w:bCs/>
                <w:color w:val="auto"/>
                <w:szCs w:val="21"/>
              </w:rPr>
              <w:t>采购计划编号</w:t>
            </w:r>
          </w:p>
        </w:tc>
        <w:tc>
          <w:tcPr>
            <w:tcW w:w="1566" w:type="pct"/>
            <w:vAlign w:val="center"/>
          </w:tcPr>
          <w:p>
            <w:pPr>
              <w:jc w:val="center"/>
              <w:rPr>
                <w:b w:val="0"/>
                <w:bCs/>
                <w:color w:val="auto"/>
                <w:szCs w:val="21"/>
              </w:rPr>
            </w:pPr>
            <w:r>
              <w:rPr>
                <w:rFonts w:hint="eastAsia"/>
                <w:b w:val="0"/>
                <w:bCs/>
                <w:color w:val="auto"/>
                <w:szCs w:val="21"/>
              </w:rPr>
              <w:t>采购项目名称</w:t>
            </w:r>
          </w:p>
        </w:tc>
        <w:tc>
          <w:tcPr>
            <w:tcW w:w="1097" w:type="pct"/>
            <w:vAlign w:val="center"/>
          </w:tcPr>
          <w:p>
            <w:pPr>
              <w:jc w:val="center"/>
              <w:rPr>
                <w:b w:val="0"/>
                <w:bCs/>
                <w:color w:val="auto"/>
                <w:szCs w:val="21"/>
              </w:rPr>
            </w:pPr>
            <w:r>
              <w:rPr>
                <w:rFonts w:hint="eastAsia"/>
                <w:b w:val="0"/>
                <w:bCs/>
                <w:color w:val="auto"/>
                <w:szCs w:val="21"/>
              </w:rPr>
              <w:t>财政预算限额（元）</w:t>
            </w:r>
          </w:p>
        </w:tc>
      </w:tr>
      <w:tr>
        <w:tblPrEx>
          <w:tblW w:w="4998" w:type="pct"/>
          <w:tblInd w:w="0" w:type="dxa"/>
          <w:tblCellMar>
            <w:top w:w="0" w:type="dxa"/>
            <w:left w:w="108" w:type="dxa"/>
            <w:bottom w:w="0" w:type="dxa"/>
            <w:right w:w="108" w:type="dxa"/>
          </w:tblCellMar>
        </w:tblPrEx>
        <w:trPr>
          <w:trHeight w:val="290"/>
        </w:trPr>
        <w:tc>
          <w:tcPr>
            <w:tcW w:w="249" w:type="pct"/>
            <w:vAlign w:val="center"/>
          </w:tcPr>
          <w:p>
            <w:pPr>
              <w:jc w:val="center"/>
              <w:rPr>
                <w:b w:val="0"/>
                <w:bCs/>
                <w:color w:val="auto"/>
                <w:szCs w:val="21"/>
              </w:rPr>
            </w:pPr>
            <w:r>
              <w:rPr>
                <w:rFonts w:hint="eastAsia"/>
                <w:b w:val="0"/>
                <w:bCs/>
                <w:color w:val="auto"/>
                <w:szCs w:val="21"/>
              </w:rPr>
              <w:t>1</w:t>
            </w:r>
          </w:p>
        </w:tc>
        <w:tc>
          <w:tcPr>
            <w:tcW w:w="2085" w:type="pct"/>
            <w:vAlign w:val="center"/>
          </w:tcPr>
          <w:p>
            <w:pPr>
              <w:jc w:val="center"/>
              <w:rPr>
                <w:b w:val="0"/>
                <w:bCs/>
                <w:color w:val="auto"/>
                <w:szCs w:val="21"/>
              </w:rPr>
            </w:pPr>
            <w:r>
              <w:rPr>
                <w:rFonts w:hint="eastAsia"/>
                <w:b w:val="0"/>
                <w:bCs/>
                <w:color w:val="auto"/>
                <w:szCs w:val="21"/>
              </w:rPr>
              <w:t>PLAN-2023-440312000-020001-06711</w:t>
            </w:r>
          </w:p>
        </w:tc>
        <w:tc>
          <w:tcPr>
            <w:tcW w:w="1566" w:type="pct"/>
            <w:vAlign w:val="center"/>
          </w:tcPr>
          <w:p>
            <w:pPr>
              <w:jc w:val="center"/>
              <w:rPr>
                <w:b w:val="0"/>
                <w:bCs/>
                <w:color w:val="auto"/>
                <w:szCs w:val="21"/>
              </w:rPr>
            </w:pPr>
            <w:r>
              <w:rPr>
                <w:rFonts w:hint="eastAsia"/>
                <w:b w:val="0"/>
                <w:bCs/>
                <w:color w:val="auto"/>
                <w:szCs w:val="21"/>
              </w:rPr>
              <w:t>大鹏新区坝光片区城市风貌与建筑空间咨询服务项目</w:t>
            </w:r>
          </w:p>
        </w:tc>
        <w:tc>
          <w:tcPr>
            <w:tcW w:w="1097" w:type="pct"/>
            <w:vAlign w:val="center"/>
          </w:tcPr>
          <w:p>
            <w:pPr>
              <w:jc w:val="center"/>
              <w:rPr>
                <w:b w:val="0"/>
                <w:bCs/>
                <w:color w:val="auto"/>
                <w:szCs w:val="21"/>
              </w:rPr>
            </w:pPr>
            <w:r>
              <w:rPr>
                <w:rFonts w:hint="eastAsia"/>
                <w:b w:val="0"/>
                <w:bCs/>
                <w:color w:val="auto"/>
                <w:szCs w:val="21"/>
              </w:rPr>
              <w:t>3146000.00</w:t>
            </w:r>
          </w:p>
        </w:tc>
      </w:tr>
    </w:tbl>
    <w:p>
      <w:pPr>
        <w:rPr>
          <w:rFonts w:ascii="宋体" w:hAnsi="宋体"/>
          <w:b/>
          <w:color w:val="FF0000"/>
          <w:szCs w:val="21"/>
        </w:rPr>
      </w:pPr>
    </w:p>
    <w:p>
      <w:pPr>
        <w:pStyle w:val="Heading2"/>
        <w:spacing w:before="120" w:beforeLines="50" w:after="120" w:afterLines="50"/>
        <w:rPr>
          <w:szCs w:val="24"/>
        </w:rPr>
      </w:pPr>
      <w:r>
        <w:rPr>
          <w:rFonts w:hint="eastAsia"/>
          <w:szCs w:val="24"/>
        </w:rPr>
        <w:t>二、项目概况</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（一）工作任务</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坚持以习近平新时代中国特色社会主义思想为指导，深入贯彻落实党的二十大精神，立足新发展阶段、贯彻新发展理念、构建新发展格局、推动高质量发展，创新坝光片区规划建设运营体制机制，强化政府与企业、行政与技术全方位统筹，突出规划、建设、运营全周期全过程把控，加强空间、产业、技术全链条协同，提升坝光片区城市形态与建筑风貌开发品质。</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（二）服务范围</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本项目服务范围为大鹏新区划定的重点区域，其中服务重点为《深圳市大鹏401-05号片区【坝光地区】法定图则》所划定的研究范围，面积约9.4平方公里，核心研究范围包括坝光片区产业聚集带和海洋大学周边区域。</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（三）片区情况</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 xml:space="preserve">大鹏新区坝光片区是全市21个重点区域之一，被列入深圳建设国家自主创新示范区范围，是“广深港澳科技创新走廊”创新平台之一，是深圳成片规划、成片开发的未来产业区域，是深圳生命健康、生物医药、食品健康、海洋科技等新兴产业的重要布局点，致力于打造极具山海特色的绿色生态湾区和生命科学小城。 </w:t>
      </w:r>
    </w:p>
    <w:p>
      <w:pPr>
        <w:ind w:firstLine="420" w:firstLineChars="200"/>
        <w:rPr>
          <w:rFonts w:asciiTheme="minorEastAsia" w:eastAsiaTheme="minorEastAsia" w:hAnsiTheme="minorEastAsia" w:cstheme="minorEastAsia" w:hint="eastAsia"/>
          <w:sz w:val="21"/>
          <w:szCs w:val="21"/>
        </w:rPr>
      </w:pPr>
      <w:r>
        <w:rPr>
          <w:rFonts w:asciiTheme="minorEastAsia" w:eastAsiaTheme="minorEastAsia" w:hAnsiTheme="minorEastAsia" w:cstheme="minorEastAsia" w:hint="eastAsia"/>
          <w:sz w:val="21"/>
          <w:szCs w:val="21"/>
        </w:rPr>
        <w:t>2022年6月，深圳出台《关于发展壮大战略性新兴产业集群和培育发展未来产业的意见》，明确提出要培育发展壮大“20+8”产业集群，进一步优化战新产业布局，提升产业链、供应链的竞争力和韧性，其中坝光片区纳入“20+8”的“东部滨海先进制造业园区”产业集群，重点发展方向为生物医药、高端医疗器械、大健康和海洋产业。近期，坝光片区布局100万平方米的“工业上楼”产业空间，项目将紧扣“20+8”产业集群，科学设计层高、荷载、消防设施等，规划建设一批优质、低成本的城市产业基础设施，打造新一代生产生活生态“三生融合”型制造业园区。</w:t>
      </w:r>
    </w:p>
    <w:p>
      <w:pPr>
        <w:ind w:firstLine="420" w:firstLineChars="200"/>
        <w:rPr>
          <w:rFonts w:asciiTheme="minorEastAsia" w:eastAsiaTheme="minorEastAsia" w:hAnsiTheme="minorEastAsia" w:cstheme="minorEastAsia" w:hint="eastAsia"/>
          <w:sz w:val="21"/>
          <w:szCs w:val="21"/>
        </w:rPr>
      </w:pPr>
    </w:p>
    <w:p>
      <w:pPr>
        <w:rPr>
          <w:rFonts w:hint="eastAsia"/>
          <w:szCs w:val="24"/>
        </w:rPr>
      </w:pPr>
      <w:r>
        <w:rPr>
          <w:rFonts w:hint="eastAsia"/>
          <w:szCs w:val="24"/>
        </w:rPr>
        <w:br w:type="page"/>
      </w:r>
    </w:p>
    <w:p>
      <w:pPr>
        <w:pStyle w:val="Heading2"/>
        <w:spacing w:before="120" w:beforeLines="50" w:after="120" w:afterLines="50"/>
        <w:rPr>
          <w:szCs w:val="24"/>
        </w:rPr>
      </w:pPr>
      <w:r>
        <w:rPr>
          <w:rFonts w:hint="eastAsia"/>
          <w:szCs w:val="24"/>
        </w:rPr>
        <w:t>三、</w:t>
      </w:r>
      <w:bookmarkStart w:id="38" w:name="_Hlk72073432"/>
      <w:r>
        <w:rPr>
          <w:rFonts w:hint="eastAsia"/>
          <w:szCs w:val="24"/>
        </w:rPr>
        <w:t>服务需求明细</w:t>
      </w:r>
      <w:bookmarkEnd w:id="38"/>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6"/>
        <w:gridCol w:w="3557"/>
        <w:gridCol w:w="2873"/>
        <w:gridCol w:w="426"/>
        <w:gridCol w:w="1244"/>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70"/>
        </w:trPr>
        <w:tc>
          <w:tcPr>
            <w:tcW w:w="432" w:type="pct"/>
            <w:vAlign w:val="center"/>
          </w:tcPr>
          <w:p>
            <w:pPr>
              <w:jc w:val="center"/>
              <w:rPr>
                <w:bCs/>
                <w:szCs w:val="21"/>
              </w:rPr>
            </w:pPr>
            <w:r>
              <w:rPr>
                <w:rFonts w:hint="eastAsia"/>
                <w:bCs/>
                <w:szCs w:val="21"/>
              </w:rPr>
              <w:t>序号</w:t>
            </w:r>
          </w:p>
        </w:tc>
        <w:tc>
          <w:tcPr>
            <w:tcW w:w="699" w:type="pct"/>
            <w:vAlign w:val="center"/>
          </w:tcPr>
          <w:p>
            <w:pPr>
              <w:jc w:val="center"/>
              <w:rPr>
                <w:bCs/>
                <w:szCs w:val="21"/>
              </w:rPr>
            </w:pPr>
            <w:r>
              <w:rPr>
                <w:rFonts w:hint="eastAsia"/>
                <w:szCs w:val="21"/>
              </w:rPr>
              <w:t>采购计划编号</w:t>
            </w:r>
          </w:p>
        </w:tc>
        <w:tc>
          <w:tcPr>
            <w:tcW w:w="2195" w:type="pct"/>
            <w:vAlign w:val="center"/>
          </w:tcPr>
          <w:p>
            <w:pPr>
              <w:jc w:val="center"/>
              <w:rPr>
                <w:bCs/>
                <w:szCs w:val="21"/>
              </w:rPr>
            </w:pPr>
            <w:r>
              <w:rPr>
                <w:rFonts w:hint="eastAsia"/>
                <w:bCs/>
                <w:szCs w:val="21"/>
              </w:rPr>
              <w:t>服务需求名称（标的名称）</w:t>
            </w:r>
          </w:p>
        </w:tc>
        <w:tc>
          <w:tcPr>
            <w:tcW w:w="477" w:type="pct"/>
            <w:vAlign w:val="center"/>
          </w:tcPr>
          <w:p>
            <w:pPr>
              <w:jc w:val="center"/>
              <w:rPr>
                <w:bCs/>
                <w:szCs w:val="21"/>
              </w:rPr>
            </w:pPr>
            <w:r>
              <w:rPr>
                <w:rFonts w:hint="eastAsia"/>
                <w:bCs/>
                <w:szCs w:val="21"/>
              </w:rPr>
              <w:t>数量</w:t>
            </w:r>
          </w:p>
        </w:tc>
        <w:tc>
          <w:tcPr>
            <w:tcW w:w="1195" w:type="pct"/>
            <w:vAlign w:val="center"/>
          </w:tcPr>
          <w:p>
            <w:pPr>
              <w:jc w:val="center"/>
              <w:rPr>
                <w:bCs/>
                <w:szCs w:val="21"/>
              </w:rPr>
            </w:pPr>
            <w:r>
              <w:rPr>
                <w:rFonts w:hint="eastAsia"/>
                <w:bCs/>
                <w:szCs w:val="21"/>
              </w:rPr>
              <w:t>单位</w:t>
            </w:r>
          </w:p>
        </w:tc>
      </w:tr>
      <w:tr>
        <w:tblPrEx>
          <w:tblW w:w="4998" w:type="pct"/>
          <w:tblInd w:w="0" w:type="dxa"/>
          <w:tblCellMar>
            <w:top w:w="0" w:type="dxa"/>
            <w:left w:w="108" w:type="dxa"/>
            <w:bottom w:w="0" w:type="dxa"/>
            <w:right w:w="108" w:type="dxa"/>
          </w:tblCellMar>
        </w:tblPrEx>
        <w:trPr>
          <w:trHeight w:val="170"/>
        </w:trPr>
        <w:tc>
          <w:tcPr>
            <w:tcW w:w="432" w:type="pct"/>
            <w:vAlign w:val="center"/>
          </w:tcPr>
          <w:p>
            <w:pPr>
              <w:jc w:val="center"/>
              <w:rPr>
                <w:bCs/>
                <w:szCs w:val="21"/>
              </w:rPr>
            </w:pPr>
            <w:r>
              <w:rPr>
                <w:rFonts w:hint="eastAsia"/>
                <w:bCs/>
                <w:szCs w:val="21"/>
              </w:rPr>
              <w:t>1</w:t>
            </w:r>
          </w:p>
        </w:tc>
        <w:tc>
          <w:tcPr>
            <w:tcW w:w="699" w:type="pct"/>
            <w:vAlign w:val="center"/>
          </w:tcPr>
          <w:p>
            <w:pPr>
              <w:jc w:val="center"/>
              <w:rPr>
                <w:bCs/>
                <w:szCs w:val="21"/>
              </w:rPr>
            </w:pPr>
            <w:r>
              <w:rPr>
                <w:rFonts w:hint="eastAsia"/>
                <w:bCs/>
                <w:szCs w:val="21"/>
              </w:rPr>
              <w:t>PLAN-2023-440312000-020001-06711</w:t>
            </w:r>
          </w:p>
        </w:tc>
        <w:tc>
          <w:tcPr>
            <w:tcW w:w="2195" w:type="pct"/>
            <w:vAlign w:val="center"/>
          </w:tcPr>
          <w:p>
            <w:pPr>
              <w:jc w:val="center"/>
              <w:rPr>
                <w:bCs/>
                <w:szCs w:val="21"/>
              </w:rPr>
            </w:pPr>
            <w:r>
              <w:rPr>
                <w:rFonts w:hint="eastAsia"/>
                <w:bCs/>
                <w:szCs w:val="21"/>
              </w:rPr>
              <w:t>大鹏新区坝光片区城市风貌与建筑空间咨询服务项目</w:t>
            </w:r>
          </w:p>
        </w:tc>
        <w:tc>
          <w:tcPr>
            <w:tcW w:w="477" w:type="pct"/>
            <w:vAlign w:val="center"/>
          </w:tcPr>
          <w:p>
            <w:pPr>
              <w:jc w:val="center"/>
              <w:rPr>
                <w:rFonts w:eastAsia="宋体" w:hint="eastAsia"/>
                <w:bCs/>
                <w:szCs w:val="21"/>
                <w:lang w:eastAsia="zh-CN"/>
              </w:rPr>
            </w:pPr>
            <w:r>
              <w:rPr>
                <w:rFonts w:hint="eastAsia"/>
                <w:lang w:val="en-US" w:eastAsia="zh-CN"/>
              </w:rPr>
              <w:t>1</w:t>
            </w:r>
          </w:p>
        </w:tc>
        <w:tc>
          <w:tcPr>
            <w:tcW w:w="1195" w:type="pct"/>
            <w:vAlign w:val="center"/>
          </w:tcPr>
          <w:p>
            <w:pPr>
              <w:jc w:val="center"/>
              <w:rPr>
                <w:rFonts w:eastAsia="宋体" w:hint="eastAsia"/>
                <w:bCs/>
                <w:szCs w:val="21"/>
                <w:lang w:val="en-US" w:eastAsia="zh-CN"/>
              </w:rPr>
            </w:pPr>
            <w:r>
              <w:rPr>
                <w:rFonts w:hint="eastAsia"/>
                <w:bCs/>
                <w:szCs w:val="21"/>
                <w:lang w:val="en-US" w:eastAsia="zh-CN"/>
              </w:rPr>
              <w:t>项</w:t>
            </w:r>
          </w:p>
        </w:tc>
      </w:tr>
    </w:tbl>
    <w:p>
      <w:pPr>
        <w:rPr>
          <w:rFonts w:ascii="宋体" w:hAnsi="宋体"/>
          <w:b/>
          <w:color w:val="FF0000"/>
          <w:szCs w:val="21"/>
        </w:rPr>
      </w:pPr>
    </w:p>
    <w:tbl>
      <w:tblPr>
        <w:tblStyle w:val="TableNormal"/>
        <w:tblW w:w="5000" w:type="pct"/>
        <w:tblInd w:w="0" w:type="dxa"/>
        <w:tblCellMar>
          <w:top w:w="0" w:type="dxa"/>
          <w:left w:w="108" w:type="dxa"/>
          <w:bottom w:w="0" w:type="dxa"/>
          <w:right w:w="108" w:type="dxa"/>
        </w:tblCellMar>
      </w:tblPr>
      <w:tblGrid>
        <w:gridCol w:w="658"/>
        <w:gridCol w:w="758"/>
        <w:gridCol w:w="1169"/>
        <w:gridCol w:w="863"/>
        <w:gridCol w:w="1022"/>
        <w:gridCol w:w="4059"/>
      </w:tblGrid>
      <w:tr>
        <w:tblPrEx>
          <w:tblW w:w="5000" w:type="pct"/>
          <w:tblInd w:w="0" w:type="dxa"/>
          <w:tblCellMar>
            <w:top w:w="0" w:type="dxa"/>
            <w:left w:w="108" w:type="dxa"/>
            <w:bottom w:w="0" w:type="dxa"/>
            <w:right w:w="108" w:type="dxa"/>
          </w:tblCellMar>
        </w:tblPrEx>
        <w:trPr>
          <w:trHeight w:val="1160"/>
        </w:trPr>
        <w:tc>
          <w:tcPr>
            <w:tcW w:w="386"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heme="minorEastAsia" w:eastAsiaTheme="minorEastAsia" w:hAnsiTheme="minorEastAsia" w:cstheme="minorEastAsia" w:hint="eastAsia"/>
                <w:b/>
                <w:bCs/>
                <w:color w:val="000000"/>
                <w:szCs w:val="21"/>
              </w:rPr>
            </w:pPr>
            <w:r>
              <w:rPr>
                <w:rFonts w:asciiTheme="minorEastAsia" w:eastAsiaTheme="minorEastAsia" w:hAnsiTheme="minorEastAsia" w:cstheme="minorEastAsia" w:hint="eastAsia"/>
                <w:b/>
                <w:bCs/>
                <w:color w:val="000000"/>
                <w:kern w:val="0"/>
                <w:szCs w:val="21"/>
              </w:rPr>
              <w:t>序号</w:t>
            </w:r>
          </w:p>
        </w:tc>
        <w:tc>
          <w:tcPr>
            <w:tcW w:w="444"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heme="minorEastAsia" w:eastAsiaTheme="minorEastAsia" w:hAnsiTheme="minorEastAsia" w:cstheme="minorEastAsia" w:hint="eastAsia"/>
                <w:b/>
                <w:bCs/>
                <w:color w:val="000000"/>
                <w:szCs w:val="21"/>
              </w:rPr>
            </w:pPr>
            <w:r>
              <w:rPr>
                <w:rFonts w:asciiTheme="minorEastAsia" w:eastAsiaTheme="minorEastAsia" w:hAnsiTheme="minorEastAsia" w:cstheme="minorEastAsia" w:hint="eastAsia"/>
                <w:b/>
                <w:bCs/>
                <w:color w:val="000000"/>
                <w:kern w:val="0"/>
                <w:szCs w:val="21"/>
              </w:rPr>
              <w:t>类型</w:t>
            </w:r>
          </w:p>
        </w:tc>
        <w:tc>
          <w:tcPr>
            <w:tcW w:w="685"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heme="minorEastAsia" w:eastAsiaTheme="minorEastAsia" w:hAnsiTheme="minorEastAsia" w:cstheme="minorEastAsia" w:hint="eastAsia"/>
                <w:b/>
                <w:bCs/>
                <w:color w:val="000000"/>
                <w:szCs w:val="21"/>
              </w:rPr>
            </w:pPr>
            <w:r>
              <w:rPr>
                <w:rFonts w:asciiTheme="minorEastAsia" w:eastAsiaTheme="minorEastAsia" w:hAnsiTheme="minorEastAsia" w:cstheme="minorEastAsia" w:hint="eastAsia"/>
                <w:b/>
                <w:bCs/>
                <w:color w:val="000000"/>
                <w:kern w:val="0"/>
                <w:szCs w:val="21"/>
              </w:rPr>
              <w:t>单次费用限额</w:t>
            </w:r>
            <w:r>
              <w:rPr>
                <w:rFonts w:asciiTheme="minorEastAsia" w:eastAsiaTheme="minorEastAsia" w:hAnsiTheme="minorEastAsia" w:cstheme="minorEastAsia" w:hint="eastAsia"/>
                <w:b/>
                <w:bCs/>
                <w:color w:val="000000"/>
                <w:kern w:val="0"/>
                <w:szCs w:val="21"/>
              </w:rPr>
              <w:br/>
            </w:r>
            <w:r>
              <w:rPr>
                <w:rFonts w:asciiTheme="minorEastAsia" w:eastAsiaTheme="minorEastAsia" w:hAnsiTheme="minorEastAsia" w:cstheme="minorEastAsia" w:hint="eastAsia"/>
                <w:b/>
                <w:bCs/>
                <w:color w:val="000000"/>
                <w:kern w:val="0"/>
                <w:szCs w:val="21"/>
              </w:rPr>
              <w:t>（万元/次）</w:t>
            </w:r>
          </w:p>
        </w:tc>
        <w:tc>
          <w:tcPr>
            <w:tcW w:w="505"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heme="minorEastAsia" w:eastAsiaTheme="minorEastAsia" w:hAnsiTheme="minorEastAsia" w:cstheme="minorEastAsia" w:hint="eastAsia"/>
                <w:b/>
                <w:bCs/>
                <w:color w:val="000000"/>
                <w:szCs w:val="21"/>
              </w:rPr>
            </w:pPr>
            <w:r>
              <w:rPr>
                <w:rFonts w:asciiTheme="minorEastAsia" w:eastAsiaTheme="minorEastAsia" w:hAnsiTheme="minorEastAsia" w:cstheme="minorEastAsia" w:hint="eastAsia"/>
                <w:b/>
                <w:bCs/>
                <w:color w:val="000000"/>
                <w:kern w:val="0"/>
                <w:szCs w:val="21"/>
              </w:rPr>
              <w:t>预估服务次数(次）</w:t>
            </w:r>
          </w:p>
        </w:tc>
        <w:tc>
          <w:tcPr>
            <w:tcW w:w="599"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heme="minorEastAsia" w:eastAsiaTheme="minorEastAsia" w:hAnsiTheme="minorEastAsia" w:cstheme="minorEastAsia" w:hint="eastAsia"/>
                <w:b/>
                <w:bCs/>
                <w:color w:val="000000"/>
                <w:szCs w:val="21"/>
              </w:rPr>
            </w:pPr>
            <w:r>
              <w:rPr>
                <w:rFonts w:asciiTheme="minorEastAsia" w:eastAsiaTheme="minorEastAsia" w:hAnsiTheme="minorEastAsia" w:cstheme="minorEastAsia" w:hint="eastAsia"/>
                <w:b/>
                <w:bCs/>
                <w:color w:val="000000"/>
                <w:kern w:val="0"/>
                <w:szCs w:val="21"/>
              </w:rPr>
              <w:t>财政预算限额（万元）</w:t>
            </w:r>
          </w:p>
        </w:tc>
        <w:tc>
          <w:tcPr>
            <w:tcW w:w="2379"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heme="minorEastAsia" w:eastAsiaTheme="minorEastAsia" w:hAnsiTheme="minorEastAsia" w:cstheme="minorEastAsia" w:hint="eastAsia"/>
                <w:b/>
                <w:bCs/>
                <w:color w:val="000000"/>
                <w:szCs w:val="21"/>
              </w:rPr>
            </w:pPr>
            <w:r>
              <w:rPr>
                <w:rFonts w:asciiTheme="minorEastAsia" w:eastAsiaTheme="minorEastAsia" w:hAnsiTheme="minorEastAsia" w:cstheme="minorEastAsia" w:hint="eastAsia"/>
                <w:b/>
                <w:bCs/>
                <w:color w:val="000000"/>
                <w:kern w:val="0"/>
                <w:szCs w:val="21"/>
              </w:rPr>
              <w:t>说明</w:t>
            </w:r>
          </w:p>
        </w:tc>
      </w:tr>
      <w:tr>
        <w:tblPrEx>
          <w:tblW w:w="5000" w:type="pct"/>
          <w:tblInd w:w="0" w:type="dxa"/>
          <w:tblCellMar>
            <w:top w:w="0" w:type="dxa"/>
            <w:left w:w="108" w:type="dxa"/>
            <w:bottom w:w="0" w:type="dxa"/>
            <w:right w:w="108" w:type="dxa"/>
          </w:tblCellMar>
        </w:tblPrEx>
        <w:trPr>
          <w:trHeight w:val="2060"/>
        </w:trPr>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textAlignment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kern w:val="0"/>
                <w:szCs w:val="21"/>
              </w:rPr>
              <w:t>1</w:t>
            </w:r>
          </w:p>
        </w:tc>
        <w:tc>
          <w:tcPr>
            <w:tcW w:w="444"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kern w:val="0"/>
                <w:szCs w:val="21"/>
              </w:rPr>
              <w:t>日常咨询</w:t>
            </w:r>
          </w:p>
        </w:tc>
        <w:tc>
          <w:tcPr>
            <w:tcW w:w="685"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kern w:val="0"/>
                <w:szCs w:val="21"/>
              </w:rPr>
              <w:t>1.42</w:t>
            </w:r>
          </w:p>
        </w:tc>
        <w:tc>
          <w:tcPr>
            <w:tcW w:w="505"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kern w:val="0"/>
                <w:szCs w:val="21"/>
              </w:rPr>
              <w:t>50</w:t>
            </w:r>
          </w:p>
        </w:tc>
        <w:tc>
          <w:tcPr>
            <w:tcW w:w="599"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kern w:val="0"/>
                <w:szCs w:val="21"/>
              </w:rPr>
              <w:t xml:space="preserve">71.00 </w:t>
            </w:r>
          </w:p>
        </w:tc>
        <w:tc>
          <w:tcPr>
            <w:tcW w:w="2379"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kern w:val="0"/>
                <w:szCs w:val="21"/>
              </w:rPr>
              <w:t>1.日常咨询：提供服务范围内涉及专业技术的日常咨询工作，成果形式为“日常咨询技术意见表”，该类咨询为1-2天工作量；2.两年服务期内，日常咨询超过50次不另外计费，不超过50次，按实际服务次数支付服务费用。</w:t>
            </w:r>
          </w:p>
        </w:tc>
      </w:tr>
      <w:tr>
        <w:tblPrEx>
          <w:tblW w:w="5000" w:type="pct"/>
          <w:tblInd w:w="0" w:type="dxa"/>
          <w:tblCellMar>
            <w:top w:w="0" w:type="dxa"/>
            <w:left w:w="108" w:type="dxa"/>
            <w:bottom w:w="0" w:type="dxa"/>
            <w:right w:w="108" w:type="dxa"/>
          </w:tblCellMar>
        </w:tblPrEx>
        <w:trPr>
          <w:trHeight w:val="1840"/>
        </w:trPr>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textAlignment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kern w:val="0"/>
                <w:szCs w:val="21"/>
              </w:rPr>
              <w:t>2</w:t>
            </w:r>
          </w:p>
        </w:tc>
        <w:tc>
          <w:tcPr>
            <w:tcW w:w="444"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kern w:val="0"/>
                <w:szCs w:val="21"/>
              </w:rPr>
              <w:t>专项咨询</w:t>
            </w:r>
          </w:p>
        </w:tc>
        <w:tc>
          <w:tcPr>
            <w:tcW w:w="685"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kern w:val="0"/>
                <w:szCs w:val="21"/>
              </w:rPr>
              <w:t>8.8</w:t>
            </w:r>
          </w:p>
        </w:tc>
        <w:tc>
          <w:tcPr>
            <w:tcW w:w="505"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kern w:val="0"/>
                <w:szCs w:val="21"/>
              </w:rPr>
              <w:t>12</w:t>
            </w:r>
          </w:p>
        </w:tc>
        <w:tc>
          <w:tcPr>
            <w:tcW w:w="599"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kern w:val="0"/>
                <w:szCs w:val="21"/>
              </w:rPr>
              <w:t xml:space="preserve">105.60 </w:t>
            </w:r>
          </w:p>
        </w:tc>
        <w:tc>
          <w:tcPr>
            <w:tcW w:w="2379" w:type="pct"/>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left"/>
              <w:textAlignment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kern w:val="0"/>
                <w:szCs w:val="21"/>
              </w:rPr>
              <w:t>1.专项咨询：提供服务范围内涉及专业技术专项内容的技术咨询工作，由投标人组织3-5名专家库成员、相应职能部门及单位等进行专项研究，成果形式为“专项咨询技术意见表”，技术服务周期约为1-2周；</w:t>
            </w:r>
            <w:r>
              <w:rPr>
                <w:rFonts w:asciiTheme="minorEastAsia" w:eastAsiaTheme="minorEastAsia" w:hAnsiTheme="minorEastAsia" w:cstheme="minorEastAsia" w:hint="eastAsia"/>
                <w:color w:val="000000"/>
                <w:kern w:val="0"/>
                <w:szCs w:val="21"/>
              </w:rPr>
              <w:br/>
            </w:r>
            <w:r>
              <w:rPr>
                <w:rFonts w:asciiTheme="minorEastAsia" w:eastAsiaTheme="minorEastAsia" w:hAnsiTheme="minorEastAsia" w:cstheme="minorEastAsia" w:hint="eastAsia"/>
                <w:color w:val="000000"/>
                <w:kern w:val="0"/>
                <w:szCs w:val="21"/>
              </w:rPr>
              <w:t>2：专家工作坊：提供服务范围内涉及重要、复杂性问题专业技术咨询工作，由投标人组织专家库成员、相应职能部门及单位等集中开展研讨，并根据职能部门要求和专家意见形成集中的技术意见，成果为“专家咨询意见报告”，专家工作坊的组织链条较长，技术服务总周期约为1-2个月。</w:t>
            </w:r>
            <w:r>
              <w:rPr>
                <w:rFonts w:asciiTheme="minorEastAsia" w:eastAsiaTheme="minorEastAsia" w:hAnsiTheme="minorEastAsia" w:cstheme="minorEastAsia" w:hint="eastAsia"/>
                <w:color w:val="000000"/>
                <w:kern w:val="0"/>
                <w:szCs w:val="21"/>
              </w:rPr>
              <w:br/>
            </w:r>
            <w:r>
              <w:rPr>
                <w:rFonts w:asciiTheme="minorEastAsia" w:eastAsiaTheme="minorEastAsia" w:hAnsiTheme="minorEastAsia" w:cstheme="minorEastAsia" w:hint="eastAsia"/>
                <w:color w:val="000000"/>
                <w:kern w:val="0"/>
                <w:szCs w:val="21"/>
              </w:rPr>
              <w:t>3.专项咨询和专家工作坊费用，按实际服务次数支付服务费用。</w:t>
            </w:r>
          </w:p>
        </w:tc>
      </w:tr>
      <w:tr>
        <w:tblPrEx>
          <w:tblW w:w="5000" w:type="pct"/>
          <w:tblInd w:w="0" w:type="dxa"/>
          <w:tblCellMar>
            <w:top w:w="0" w:type="dxa"/>
            <w:left w:w="108" w:type="dxa"/>
            <w:bottom w:w="0" w:type="dxa"/>
            <w:right w:w="108" w:type="dxa"/>
          </w:tblCellMar>
        </w:tblPrEx>
        <w:trPr>
          <w:trHeight w:val="1940"/>
        </w:trPr>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textAlignment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kern w:val="0"/>
                <w:szCs w:val="21"/>
              </w:rPr>
              <w:t>3</w:t>
            </w:r>
          </w:p>
        </w:tc>
        <w:tc>
          <w:tcPr>
            <w:tcW w:w="444"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kern w:val="0"/>
                <w:szCs w:val="21"/>
              </w:rPr>
              <w:t>专家</w:t>
            </w:r>
            <w:r>
              <w:rPr>
                <w:rFonts w:asciiTheme="minorEastAsia" w:eastAsiaTheme="minorEastAsia" w:hAnsiTheme="minorEastAsia" w:cstheme="minorEastAsia" w:hint="eastAsia"/>
                <w:color w:val="000000"/>
                <w:kern w:val="0"/>
                <w:szCs w:val="21"/>
              </w:rPr>
              <w:br/>
            </w:r>
            <w:r>
              <w:rPr>
                <w:rFonts w:asciiTheme="minorEastAsia" w:eastAsiaTheme="minorEastAsia" w:hAnsiTheme="minorEastAsia" w:cstheme="minorEastAsia" w:hint="eastAsia"/>
                <w:color w:val="000000"/>
                <w:kern w:val="0"/>
                <w:szCs w:val="21"/>
              </w:rPr>
              <w:t>工作坊</w:t>
            </w:r>
          </w:p>
        </w:tc>
        <w:tc>
          <w:tcPr>
            <w:tcW w:w="685"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kern w:val="0"/>
                <w:szCs w:val="21"/>
              </w:rPr>
              <w:t>23</w:t>
            </w:r>
          </w:p>
        </w:tc>
        <w:tc>
          <w:tcPr>
            <w:tcW w:w="505"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kern w:val="0"/>
                <w:szCs w:val="21"/>
              </w:rPr>
              <w:t>6</w:t>
            </w:r>
          </w:p>
        </w:tc>
        <w:tc>
          <w:tcPr>
            <w:tcW w:w="599" w:type="pct"/>
            <w:tcBorders>
              <w:top w:val="single" w:sz="4" w:space="0" w:color="000000"/>
              <w:left w:val="single" w:sz="4" w:space="0" w:color="000000"/>
              <w:bottom w:val="single" w:sz="4" w:space="0" w:color="000000"/>
              <w:right w:val="single" w:sz="4" w:space="0" w:color="000000"/>
            </w:tcBorders>
            <w:shd w:val="clear" w:color="auto" w:fill="auto"/>
            <w:vAlign w:val="center"/>
          </w:tcPr>
          <w:p>
            <w:pPr>
              <w:widowControl/>
              <w:jc w:val="center"/>
              <w:textAlignment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kern w:val="0"/>
                <w:szCs w:val="21"/>
              </w:rPr>
              <w:t xml:space="preserve">138.00 </w:t>
            </w:r>
          </w:p>
        </w:tc>
        <w:tc>
          <w:tcPr>
            <w:tcW w:w="2379" w:type="pct"/>
            <w:vMerge/>
            <w:tcBorders>
              <w:top w:val="single" w:sz="4" w:space="0" w:color="000000"/>
              <w:left w:val="single" w:sz="4" w:space="0" w:color="000000"/>
              <w:bottom w:val="single" w:sz="4" w:space="0" w:color="000000"/>
              <w:right w:val="single" w:sz="4" w:space="0" w:color="000000"/>
            </w:tcBorders>
            <w:shd w:val="clear" w:color="auto" w:fill="auto"/>
            <w:vAlign w:val="center"/>
          </w:tcPr>
          <w:p>
            <w:pPr>
              <w:jc w:val="left"/>
              <w:rPr>
                <w:rFonts w:asciiTheme="minorEastAsia" w:eastAsiaTheme="minorEastAsia" w:hAnsiTheme="minorEastAsia" w:cstheme="minorEastAsia" w:hint="eastAsia"/>
                <w:color w:val="000000"/>
                <w:szCs w:val="21"/>
              </w:rPr>
            </w:pPr>
          </w:p>
        </w:tc>
      </w:tr>
      <w:tr>
        <w:tblPrEx>
          <w:tblW w:w="5000" w:type="pct"/>
          <w:tblInd w:w="0" w:type="dxa"/>
          <w:tblCellMar>
            <w:top w:w="0" w:type="dxa"/>
            <w:left w:w="108" w:type="dxa"/>
            <w:bottom w:w="0" w:type="dxa"/>
            <w:right w:w="108" w:type="dxa"/>
          </w:tblCellMar>
        </w:tblPrEx>
        <w:trPr>
          <w:trHeight w:val="620"/>
        </w:trPr>
        <w:tc>
          <w:tcPr>
            <w:tcW w:w="386"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textAlignment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kern w:val="0"/>
                <w:szCs w:val="21"/>
              </w:rPr>
              <w:t>4</w:t>
            </w:r>
          </w:p>
        </w:tc>
        <w:tc>
          <w:tcPr>
            <w:tcW w:w="1635" w:type="pct"/>
            <w:gridSpan w:val="3"/>
            <w:tcBorders>
              <w:top w:val="single" w:sz="4" w:space="0" w:color="000000"/>
              <w:left w:val="single" w:sz="4" w:space="0" w:color="000000"/>
              <w:bottom w:val="single" w:sz="4" w:space="0" w:color="000000"/>
              <w:right w:val="single" w:sz="4" w:space="0" w:color="000000"/>
            </w:tcBorders>
            <w:shd w:val="clear" w:color="auto" w:fill="FFFFFF"/>
            <w:noWrap/>
            <w:vAlign w:val="center"/>
          </w:tcPr>
          <w:p>
            <w:pPr>
              <w:widowControl/>
              <w:jc w:val="center"/>
              <w:textAlignment w:val="center"/>
              <w:rPr>
                <w:rFonts w:asciiTheme="minorEastAsia" w:eastAsiaTheme="minorEastAsia" w:hAnsiTheme="minorEastAsia" w:cstheme="minorEastAsia" w:hint="eastAsia"/>
                <w:color w:val="000000"/>
                <w:szCs w:val="21"/>
              </w:rPr>
            </w:pPr>
            <w:r>
              <w:rPr>
                <w:rFonts w:asciiTheme="minorEastAsia" w:eastAsiaTheme="minorEastAsia" w:hAnsiTheme="minorEastAsia" w:cstheme="minorEastAsia" w:hint="eastAsia"/>
                <w:color w:val="000000"/>
                <w:kern w:val="0"/>
                <w:szCs w:val="21"/>
              </w:rPr>
              <w:t>合计</w:t>
            </w:r>
          </w:p>
        </w:tc>
        <w:tc>
          <w:tcPr>
            <w:tcW w:w="599" w:type="pct"/>
            <w:tcBorders>
              <w:top w:val="single" w:sz="4" w:space="0" w:color="000000"/>
              <w:left w:val="single" w:sz="4" w:space="0" w:color="000000"/>
              <w:bottom w:val="single" w:sz="4" w:space="0" w:color="000000"/>
              <w:right w:val="single" w:sz="4" w:space="0" w:color="000000"/>
            </w:tcBorders>
            <w:shd w:val="clear" w:color="auto" w:fill="auto"/>
            <w:noWrap/>
            <w:vAlign w:val="center"/>
          </w:tcPr>
          <w:p>
            <w:pPr>
              <w:widowControl/>
              <w:jc w:val="center"/>
              <w:textAlignment w:val="center"/>
              <w:rPr>
                <w:rFonts w:asciiTheme="minorEastAsia" w:eastAsiaTheme="minorEastAsia" w:hAnsiTheme="minorEastAsia" w:cstheme="minorEastAsia" w:hint="eastAsia"/>
                <w:szCs w:val="21"/>
              </w:rPr>
            </w:pPr>
            <w:r>
              <w:rPr>
                <w:rFonts w:asciiTheme="minorEastAsia" w:eastAsiaTheme="minorEastAsia" w:hAnsiTheme="minorEastAsia" w:cstheme="minorEastAsia" w:hint="eastAsia"/>
                <w:b/>
                <w:bCs/>
                <w:color w:val="000000"/>
                <w:kern w:val="0"/>
                <w:szCs w:val="21"/>
              </w:rPr>
              <w:t>314.6</w:t>
            </w:r>
          </w:p>
        </w:tc>
        <w:tc>
          <w:tcPr>
            <w:tcW w:w="2379" w:type="pct"/>
            <w:tcBorders>
              <w:top w:val="single" w:sz="4" w:space="0" w:color="000000"/>
              <w:left w:val="single" w:sz="4" w:space="0" w:color="000000"/>
              <w:bottom w:val="single" w:sz="4" w:space="0" w:color="000000"/>
              <w:right w:val="single" w:sz="4" w:space="0" w:color="000000"/>
            </w:tcBorders>
            <w:shd w:val="clear" w:color="auto" w:fill="FFFFFF"/>
            <w:noWrap/>
            <w:vAlign w:val="center"/>
          </w:tcPr>
          <w:p>
            <w:pPr>
              <w:jc w:val="center"/>
              <w:rPr>
                <w:rFonts w:asciiTheme="minorEastAsia" w:eastAsiaTheme="minorEastAsia" w:hAnsiTheme="minorEastAsia" w:cstheme="minorEastAsia" w:hint="eastAsia"/>
                <w:color w:val="000000"/>
                <w:szCs w:val="21"/>
              </w:rPr>
            </w:pPr>
          </w:p>
        </w:tc>
      </w:tr>
    </w:tbl>
    <w:p>
      <w:pPr>
        <w:pStyle w:val="Default"/>
      </w:pPr>
    </w:p>
    <w:p>
      <w:pPr>
        <w:pStyle w:val="Heading2"/>
        <w:spacing w:before="120" w:beforeLines="50" w:after="120" w:afterLines="50"/>
        <w:rPr>
          <w:szCs w:val="24"/>
        </w:rPr>
      </w:pPr>
      <w:r>
        <w:rPr>
          <w:rFonts w:hint="eastAsia"/>
          <w:szCs w:val="24"/>
        </w:rPr>
        <w:t>四、实质性条款</w:t>
      </w:r>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31"/>
        <w:gridCol w:w="7795"/>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c>
          <w:tcPr>
            <w:tcW w:w="429" w:type="pct"/>
          </w:tcPr>
          <w:p>
            <w:pPr>
              <w:adjustRightInd w:val="0"/>
              <w:snapToGrid w:val="0"/>
              <w:spacing w:line="360" w:lineRule="auto"/>
              <w:jc w:val="center"/>
              <w:rPr>
                <w:rFonts w:ascii="宋体" w:hAnsi="宋体"/>
                <w:kern w:val="0"/>
                <w:szCs w:val="21"/>
              </w:rPr>
            </w:pPr>
            <w:r>
              <w:rPr>
                <w:rFonts w:ascii="宋体" w:hAnsi="宋体" w:hint="eastAsia"/>
                <w:kern w:val="0"/>
                <w:szCs w:val="21"/>
              </w:rPr>
              <w:t>序号</w:t>
            </w:r>
          </w:p>
        </w:tc>
        <w:tc>
          <w:tcPr>
            <w:tcW w:w="4570" w:type="pct"/>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r>
      <w:tr>
        <w:tblPrEx>
          <w:tblW w:w="4998" w:type="pct"/>
          <w:tblInd w:w="0" w:type="dxa"/>
          <w:tblCellMar>
            <w:top w:w="0" w:type="dxa"/>
            <w:left w:w="108" w:type="dxa"/>
            <w:bottom w:w="0" w:type="dxa"/>
            <w:right w:w="108" w:type="dxa"/>
          </w:tblCellMar>
        </w:tblPrEx>
        <w:tc>
          <w:tcPr>
            <w:tcW w:w="429" w:type="pct"/>
          </w:tcPr>
          <w:p>
            <w:pPr>
              <w:adjustRightInd w:val="0"/>
              <w:snapToGrid w:val="0"/>
              <w:spacing w:line="360" w:lineRule="auto"/>
              <w:rPr>
                <w:rFonts w:ascii="宋体" w:hAnsi="宋体"/>
                <w:kern w:val="0"/>
                <w:szCs w:val="21"/>
              </w:rPr>
            </w:pPr>
            <w:r>
              <w:rPr>
                <w:rFonts w:ascii="宋体" w:hAnsi="宋体" w:hint="eastAsia"/>
                <w:kern w:val="0"/>
                <w:szCs w:val="21"/>
              </w:rPr>
              <w:t>1</w:t>
            </w:r>
          </w:p>
        </w:tc>
        <w:tc>
          <w:tcPr>
            <w:tcW w:w="4570" w:type="pct"/>
          </w:tcPr>
          <w:p>
            <w:pPr>
              <w:rPr>
                <w:rFonts w:hAnsi="宋体" w:eastAsiaTheme="minorEastAsia" w:hint="eastAsia"/>
                <w:kern w:val="0"/>
                <w:szCs w:val="21"/>
              </w:rPr>
            </w:pPr>
            <w:r>
              <w:rPr>
                <w:rFonts w:hAnsi="宋体" w:eastAsiaTheme="minorEastAsia" w:hint="eastAsia"/>
                <w:kern w:val="0"/>
                <w:szCs w:val="21"/>
              </w:rPr>
              <w:t>★报价要求</w:t>
            </w:r>
            <w:r>
              <w:rPr>
                <w:rFonts w:hAnsi="宋体" w:eastAsiaTheme="minorEastAsia" w:hint="eastAsia"/>
                <w:kern w:val="0"/>
                <w:szCs w:val="21"/>
                <w:lang w:eastAsia="zh-CN"/>
              </w:rPr>
              <w:t>：</w:t>
            </w:r>
            <w:r>
              <w:rPr>
                <w:rFonts w:hAnsi="宋体" w:eastAsiaTheme="minorEastAsia" w:hint="eastAsia"/>
                <w:kern w:val="0"/>
                <w:szCs w:val="21"/>
              </w:rPr>
              <w:t>1.本次招标不涉及具体投标金额（无须投标人在投标文件中填报具体投标金额），投标人只需在投标一览表“投标总价”一栏里报填报唯一的“折扣率”，投标人应根据自身成本自行填报“折扣率”，但不得以低于其成本。</w:t>
            </w:r>
          </w:p>
          <w:p>
            <w:pPr>
              <w:rPr>
                <w:rFonts w:hAnsi="宋体" w:eastAsiaTheme="minorEastAsia" w:hint="eastAsia"/>
                <w:kern w:val="0"/>
                <w:szCs w:val="21"/>
              </w:rPr>
            </w:pPr>
            <w:r>
              <w:rPr>
                <w:rFonts w:hAnsi="宋体" w:eastAsiaTheme="minorEastAsia" w:hint="eastAsia"/>
                <w:kern w:val="0"/>
                <w:szCs w:val="21"/>
              </w:rPr>
              <w:t>2.“折扣率”填写要求</w:t>
            </w:r>
          </w:p>
          <w:p>
            <w:pPr>
              <w:rPr>
                <w:rFonts w:hAnsi="宋体" w:eastAsiaTheme="minorEastAsia" w:hint="eastAsia"/>
                <w:kern w:val="0"/>
                <w:szCs w:val="21"/>
              </w:rPr>
            </w:pPr>
            <w:r>
              <w:rPr>
                <w:rFonts w:hAnsi="宋体" w:eastAsiaTheme="minorEastAsia" w:hint="eastAsia"/>
                <w:kern w:val="0"/>
                <w:szCs w:val="21"/>
              </w:rPr>
              <w:t>（1）填写要求： 0＜折扣率≤1，未按此要求填写将作投标无效处理。</w:t>
            </w:r>
          </w:p>
          <w:p>
            <w:pPr>
              <w:rPr>
                <w:rFonts w:hAnsi="宋体" w:eastAsiaTheme="minorEastAsia" w:hint="eastAsia"/>
                <w:kern w:val="0"/>
                <w:szCs w:val="21"/>
              </w:rPr>
            </w:pPr>
            <w:r>
              <w:rPr>
                <w:rFonts w:hAnsi="宋体" w:eastAsiaTheme="minorEastAsia" w:hint="eastAsia"/>
                <w:kern w:val="0"/>
                <w:szCs w:val="21"/>
              </w:rPr>
              <w:t>（2）填写的“折扣率”应为小数，（如：0.9000、0.80、0.78， 对小数点后位数不作要求）；</w:t>
            </w:r>
          </w:p>
          <w:p>
            <w:pPr>
              <w:rPr>
                <w:rFonts w:hAnsi="宋体" w:eastAsiaTheme="minorEastAsia"/>
                <w:kern w:val="0"/>
                <w:szCs w:val="21"/>
              </w:rPr>
            </w:pPr>
            <w:r>
              <w:rPr>
                <w:rFonts w:hAnsi="宋体" w:eastAsiaTheme="minorEastAsia" w:hint="eastAsia"/>
                <w:kern w:val="0"/>
                <w:szCs w:val="21"/>
              </w:rPr>
              <w:t>（3）投标人参与投标只允许填报一个“折扣率”，不允许填报2个（或以上）的“折扣率”；填报了2个或以上“折扣率”的，其投标将直接作投标无效处理；</w:t>
            </w:r>
          </w:p>
        </w:tc>
      </w:tr>
      <w:tr>
        <w:tblPrEx>
          <w:tblW w:w="4998" w:type="pct"/>
          <w:tblInd w:w="0" w:type="dxa"/>
          <w:tblCellMar>
            <w:top w:w="0" w:type="dxa"/>
            <w:left w:w="108" w:type="dxa"/>
            <w:bottom w:w="0" w:type="dxa"/>
            <w:right w:w="108" w:type="dxa"/>
          </w:tblCellMar>
        </w:tblPrEx>
        <w:tc>
          <w:tcPr>
            <w:tcW w:w="429" w:type="pct"/>
          </w:tcPr>
          <w:p>
            <w:pPr>
              <w:adjustRightInd w:val="0"/>
              <w:snapToGrid w:val="0"/>
              <w:spacing w:line="360" w:lineRule="auto"/>
              <w:rPr>
                <w:rFonts w:ascii="宋体" w:hAnsi="宋体"/>
                <w:kern w:val="0"/>
                <w:szCs w:val="21"/>
              </w:rPr>
            </w:pPr>
            <w:r>
              <w:rPr>
                <w:rFonts w:ascii="宋体" w:hAnsi="宋体" w:hint="eastAsia"/>
                <w:kern w:val="0"/>
                <w:szCs w:val="21"/>
              </w:rPr>
              <w:t>2</w:t>
            </w:r>
          </w:p>
        </w:tc>
        <w:tc>
          <w:tcPr>
            <w:tcW w:w="4570" w:type="pct"/>
          </w:tcPr>
          <w:p>
            <w:pPr>
              <w:rPr>
                <w:rFonts w:asciiTheme="minorEastAsia" w:eastAsiaTheme="minorEastAsia" w:hAnsiTheme="minorEastAsia"/>
              </w:rPr>
            </w:pPr>
            <w:r>
              <w:rPr>
                <w:rFonts w:ascii="仿宋" w:eastAsia="仿宋" w:hAnsi="仿宋" w:cstheme="minorBidi" w:hint="eastAsia"/>
                <w:b w:val="0"/>
                <w:bCs w:val="0"/>
                <w:color w:val="auto"/>
                <w:kern w:val="0"/>
                <w:sz w:val="21"/>
                <w:szCs w:val="21"/>
              </w:rPr>
              <w:t>★</w:t>
            </w:r>
            <w:r>
              <w:rPr>
                <w:rFonts w:asciiTheme="minorEastAsia" w:eastAsiaTheme="minorEastAsia" w:hAnsiTheme="minorEastAsia" w:cstheme="minorEastAsia" w:hint="eastAsia"/>
                <w:b w:val="0"/>
                <w:bCs w:val="0"/>
                <w:color w:val="auto"/>
                <w:sz w:val="21"/>
                <w:szCs w:val="21"/>
                <w:highlight w:val="none"/>
              </w:rPr>
              <w:t>服务期限</w:t>
            </w:r>
            <w:r>
              <w:rPr>
                <w:rFonts w:asciiTheme="minorEastAsia" w:eastAsiaTheme="minorEastAsia" w:hAnsiTheme="minorEastAsia" w:cstheme="minorEastAsia" w:hint="eastAsia"/>
                <w:b w:val="0"/>
                <w:bCs w:val="0"/>
                <w:color w:val="auto"/>
                <w:sz w:val="21"/>
                <w:szCs w:val="21"/>
                <w:highlight w:val="none"/>
                <w:lang w:eastAsia="zh-CN"/>
              </w:rPr>
              <w:t>：</w:t>
            </w:r>
            <w:r>
              <w:rPr>
                <w:rFonts w:asciiTheme="minorEastAsia" w:eastAsiaTheme="minorEastAsia" w:hAnsiTheme="minorEastAsia" w:hint="eastAsia"/>
                <w:b w:val="0"/>
                <w:bCs w:val="0"/>
                <w:color w:val="auto"/>
              </w:rPr>
              <w:t>自</w:t>
            </w:r>
            <w:r>
              <w:rPr>
                <w:rFonts w:asciiTheme="minorEastAsia" w:eastAsiaTheme="minorEastAsia" w:hAnsiTheme="minorEastAsia" w:hint="eastAsia"/>
              </w:rPr>
              <w:t>合同签订之日起两年。本项目为长期服务项目，采购人根据合同履行情况决定是否续签合同，长期服务项目政府采购合同履行期限最长不超过三十六个月，如中标供应商履约情况不达标，采购人不再续签。</w:t>
            </w:r>
          </w:p>
        </w:tc>
      </w:tr>
    </w:tbl>
    <w:p>
      <w:r>
        <w:rPr>
          <w:rFonts w:hint="eastAsia"/>
        </w:rPr>
        <w:t>注：上表所列内容为不可负偏离条款，负偏离将视为未实质性满足招标文件要求作投标无效处理。</w:t>
      </w:r>
      <w:bookmarkEnd w:id="37"/>
    </w:p>
    <w:p>
      <w:pPr>
        <w:rPr>
          <w:b/>
          <w:bCs/>
          <w:sz w:val="24"/>
        </w:rPr>
      </w:pPr>
    </w:p>
    <w:p>
      <w:pPr>
        <w:rPr>
          <w:rFonts w:hint="eastAsia"/>
          <w:szCs w:val="24"/>
        </w:rPr>
      </w:pPr>
      <w:r>
        <w:rPr>
          <w:rFonts w:hint="eastAsia"/>
          <w:szCs w:val="24"/>
        </w:rPr>
        <w:br w:type="page"/>
      </w:r>
    </w:p>
    <w:p>
      <w:pPr>
        <w:pStyle w:val="Heading2"/>
        <w:spacing w:before="120" w:beforeLines="50" w:after="120" w:afterLines="50"/>
        <w:rPr>
          <w:szCs w:val="24"/>
        </w:rPr>
      </w:pPr>
      <w:r>
        <w:rPr>
          <w:rFonts w:hint="eastAsia"/>
          <w:szCs w:val="24"/>
        </w:rPr>
        <w:t>五、技术要求</w:t>
      </w:r>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876"/>
        <w:gridCol w:w="1859"/>
        <w:gridCol w:w="5791"/>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95"/>
        </w:trPr>
        <w:tc>
          <w:tcPr>
            <w:tcW w:w="514" w:type="pct"/>
            <w:vAlign w:val="center"/>
          </w:tcPr>
          <w:p>
            <w:pPr>
              <w:jc w:val="center"/>
              <w:rPr>
                <w:rFonts w:asciiTheme="minorEastAsia" w:eastAsiaTheme="minorEastAsia" w:hAnsiTheme="minorEastAsia" w:cstheme="minorEastAsia" w:hint="eastAsia"/>
                <w:b/>
                <w:bCs w:val="0"/>
                <w:sz w:val="21"/>
                <w:szCs w:val="21"/>
              </w:rPr>
            </w:pPr>
            <w:r>
              <w:rPr>
                <w:rFonts w:asciiTheme="minorEastAsia" w:eastAsiaTheme="minorEastAsia" w:hAnsiTheme="minorEastAsia" w:cstheme="minorEastAsia" w:hint="eastAsia"/>
                <w:b/>
                <w:bCs w:val="0"/>
                <w:sz w:val="21"/>
                <w:szCs w:val="21"/>
              </w:rPr>
              <w:t>序号</w:t>
            </w:r>
          </w:p>
        </w:tc>
        <w:tc>
          <w:tcPr>
            <w:tcW w:w="1090" w:type="pct"/>
            <w:vAlign w:val="center"/>
          </w:tcPr>
          <w:p>
            <w:pPr>
              <w:jc w:val="center"/>
              <w:rPr>
                <w:rFonts w:asciiTheme="minorEastAsia" w:eastAsiaTheme="minorEastAsia" w:hAnsiTheme="minorEastAsia" w:cstheme="minorEastAsia" w:hint="eastAsia"/>
                <w:b/>
                <w:bCs w:val="0"/>
                <w:sz w:val="21"/>
                <w:szCs w:val="21"/>
              </w:rPr>
            </w:pPr>
            <w:r>
              <w:rPr>
                <w:rFonts w:asciiTheme="minorEastAsia" w:eastAsiaTheme="minorEastAsia" w:hAnsiTheme="minorEastAsia" w:cstheme="minorEastAsia" w:hint="eastAsia"/>
                <w:b/>
                <w:bCs w:val="0"/>
                <w:sz w:val="21"/>
                <w:szCs w:val="21"/>
              </w:rPr>
              <w:t>名称</w:t>
            </w:r>
          </w:p>
        </w:tc>
        <w:tc>
          <w:tcPr>
            <w:tcW w:w="3395" w:type="pct"/>
            <w:vAlign w:val="center"/>
          </w:tcPr>
          <w:p>
            <w:pPr>
              <w:jc w:val="center"/>
              <w:rPr>
                <w:rFonts w:asciiTheme="minorEastAsia" w:eastAsiaTheme="minorEastAsia" w:hAnsiTheme="minorEastAsia" w:cstheme="minorEastAsia" w:hint="eastAsia"/>
                <w:b/>
                <w:bCs w:val="0"/>
                <w:sz w:val="21"/>
                <w:szCs w:val="21"/>
              </w:rPr>
            </w:pPr>
            <w:r>
              <w:rPr>
                <w:rFonts w:asciiTheme="minorEastAsia" w:eastAsiaTheme="minorEastAsia" w:hAnsiTheme="minorEastAsia" w:cstheme="minorEastAsia" w:hint="eastAsia"/>
                <w:b/>
                <w:bCs w:val="0"/>
                <w:sz w:val="21"/>
                <w:szCs w:val="21"/>
              </w:rPr>
              <w:t>具体内容</w:t>
            </w:r>
          </w:p>
        </w:tc>
      </w:tr>
      <w:tr>
        <w:tblPrEx>
          <w:tblW w:w="4998" w:type="pct"/>
          <w:tblInd w:w="0" w:type="dxa"/>
          <w:tblCellMar>
            <w:top w:w="0" w:type="dxa"/>
            <w:left w:w="108" w:type="dxa"/>
            <w:bottom w:w="0" w:type="dxa"/>
            <w:right w:w="108" w:type="dxa"/>
          </w:tblCellMar>
        </w:tblPrEx>
        <w:tc>
          <w:tcPr>
            <w:tcW w:w="514" w:type="pct"/>
            <w:vAlign w:val="center"/>
          </w:tcPr>
          <w:p>
            <w:pPr>
              <w:jc w:val="center"/>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1</w:t>
            </w:r>
          </w:p>
        </w:tc>
        <w:tc>
          <w:tcPr>
            <w:tcW w:w="1090" w:type="pct"/>
            <w:vAlign w:val="center"/>
          </w:tcPr>
          <w:p>
            <w:pPr>
              <w:jc w:val="center"/>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服务内容</w:t>
            </w:r>
          </w:p>
        </w:tc>
        <w:tc>
          <w:tcPr>
            <w:tcW w:w="3395" w:type="pct"/>
            <w:vAlign w:val="center"/>
          </w:tcPr>
          <w:p>
            <w:pPr>
              <w:keepNext w:val="0"/>
              <w:keepLines w:val="0"/>
              <w:pageBreakBefore w:val="0"/>
              <w:widowControl w:val="0"/>
              <w:kinsoku/>
              <w:wordWrap/>
              <w:overflowPunct/>
              <w:topLinePunct w:val="0"/>
              <w:autoSpaceDE/>
              <w:autoSpaceDN/>
              <w:bidi w:val="0"/>
              <w:adjustRightInd/>
              <w:snapToGrid/>
              <w:ind w:firstLine="0" w:firstLineChars="0"/>
              <w:textAlignment w:val="auto"/>
              <w:outlineLvl w:val="0"/>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坝光片区城市风貌与建筑空间咨询服务工作主要包括片区整体统筹和项目具体把控两大方面，具体包括但不限于如下内容：</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0"/>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一、坝光片区规划建设整体统筹工作。</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0"/>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全面梳理片区城市设计、景观风貌、综合交通等规划，整合优化片区开发建设要求，形成片区开发建设总交底材料，指导与支撑具体项目把控。为片区法定图则、市政配套、交通规划、产业发展等专项规划成果提出技术咨询意见，事项包括如下：</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0"/>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（一）片区天际线、地标节点、限高、视线通廊研究咨询；</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0"/>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（二）城市界面、色彩、立面机理、第五立面研究咨询；</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0"/>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（三）重点地标形象及功能研究咨询；</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0"/>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（四）架空、骑楼、二退连廊等公共空间研究咨询；</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0"/>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（五）片区市政配套（水电气）承载力研究咨询；</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0"/>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（六）片区产业发展与空间布局研究咨询；</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0"/>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（七）片区其它须整体统筹事项。</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0"/>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二、坝光片区项目开发建设品质把控。</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0"/>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按照建设项目用地选址、概念策划、用地规划许可、建筑方案审批、建筑工程施工许可等不同阶段，提供相应的技术把控，事项包括如下：</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0"/>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一）项目用地选址/概念策划：为产业项目、产业平台、配套设施等用地选址和空间布局提供技术咨询服务；判断原有上位规划的适用性，提出设计建议，明确设计原则，为地块建筑设计明确基本方向和定位提供咨询服务；为建设项目的规划设计要点提出优化建议；</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0"/>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二）用地规划许可：从片区层面研判建筑设计是否符合城市设计要求，对项目与周边的关系、建筑功能、交通组织、公共空间、建筑立面、材质色彩等方面提出技术咨询意见，共同讨论明确建总图、功能和平面布局等要点；</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0"/>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（三）建筑方案审批：提前介入，协助主管部门加快审批审核，提供技术咨询意见；</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0"/>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（四）建筑工程施工许可：根据前续方案落实情况，对设计品质、色彩材质等进行把关，为最终建设效果提供专业判断。</w:t>
            </w:r>
          </w:p>
        </w:tc>
      </w:tr>
      <w:tr>
        <w:tblPrEx>
          <w:tblW w:w="4998" w:type="pct"/>
          <w:tblInd w:w="0" w:type="dxa"/>
          <w:tblCellMar>
            <w:top w:w="0" w:type="dxa"/>
            <w:left w:w="108" w:type="dxa"/>
            <w:bottom w:w="0" w:type="dxa"/>
            <w:right w:w="108" w:type="dxa"/>
          </w:tblCellMar>
        </w:tblPrEx>
        <w:tc>
          <w:tcPr>
            <w:tcW w:w="514" w:type="pct"/>
            <w:vAlign w:val="center"/>
          </w:tcPr>
          <w:p>
            <w:pPr>
              <w:jc w:val="center"/>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2</w:t>
            </w:r>
          </w:p>
        </w:tc>
        <w:tc>
          <w:tcPr>
            <w:tcW w:w="1090" w:type="pct"/>
            <w:vAlign w:val="center"/>
          </w:tcPr>
          <w:p>
            <w:pPr>
              <w:jc w:val="center"/>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人员要求</w:t>
            </w:r>
          </w:p>
        </w:tc>
        <w:tc>
          <w:tcPr>
            <w:tcW w:w="3395" w:type="pct"/>
            <w:vAlign w:val="center"/>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heme="minorEastAsia" w:eastAsiaTheme="minorEastAsia" w:hAnsiTheme="minorEastAsia" w:cstheme="minorEastAsia" w:hint="eastAsia"/>
                <w:b w:val="0"/>
                <w:bCs/>
                <w:color w:val="auto"/>
                <w:sz w:val="21"/>
                <w:szCs w:val="21"/>
              </w:rPr>
            </w:pPr>
            <w:r>
              <w:rPr>
                <w:rFonts w:asciiTheme="minorEastAsia" w:eastAsiaTheme="minorEastAsia" w:hAnsiTheme="minorEastAsia" w:cstheme="minorEastAsia" w:hint="eastAsia"/>
                <w:b w:val="0"/>
                <w:bCs/>
                <w:color w:val="auto"/>
                <w:sz w:val="21"/>
                <w:szCs w:val="21"/>
              </w:rPr>
              <w:t>投标人须为本项目安排10人以上的工作团队，其中1人为项目负责人，具有“建筑设计”专业正高级工程师专业职称、国家一级注册建筑师资质，并具有产业园或工业园建筑方案全过程设计经验。其中团队成员中至少1名具有“建筑设计”专业高级工程师职称，至少1名具有“城市规划或城乡规划”专业高级工程师职称，不少于2名具有“建筑设计”“城市规划”或“城乡规划”专业工程师职称资格。</w:t>
            </w:r>
          </w:p>
        </w:tc>
      </w:tr>
      <w:tr>
        <w:tblPrEx>
          <w:tblW w:w="4998" w:type="pct"/>
          <w:tblInd w:w="0" w:type="dxa"/>
          <w:tblCellMar>
            <w:top w:w="0" w:type="dxa"/>
            <w:left w:w="108" w:type="dxa"/>
            <w:bottom w:w="0" w:type="dxa"/>
            <w:right w:w="108" w:type="dxa"/>
          </w:tblCellMar>
        </w:tblPrEx>
        <w:tc>
          <w:tcPr>
            <w:tcW w:w="514" w:type="pct"/>
            <w:vAlign w:val="center"/>
          </w:tcPr>
          <w:p>
            <w:pPr>
              <w:jc w:val="center"/>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3</w:t>
            </w:r>
          </w:p>
        </w:tc>
        <w:tc>
          <w:tcPr>
            <w:tcW w:w="1090" w:type="pct"/>
            <w:vAlign w:val="center"/>
          </w:tcPr>
          <w:p>
            <w:pPr>
              <w:jc w:val="center"/>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服务组织</w:t>
            </w:r>
          </w:p>
          <w:p>
            <w:pPr>
              <w:jc w:val="center"/>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要求</w:t>
            </w:r>
          </w:p>
        </w:tc>
        <w:tc>
          <w:tcPr>
            <w:tcW w:w="3395" w:type="pct"/>
            <w:vAlign w:val="center"/>
          </w:tcPr>
          <w:p>
            <w:pPr>
              <w:keepNext w:val="0"/>
              <w:keepLines w:val="0"/>
              <w:pageBreakBefore w:val="0"/>
              <w:widowControl w:val="0"/>
              <w:kinsoku/>
              <w:wordWrap/>
              <w:overflowPunct/>
              <w:topLinePunct w:val="0"/>
              <w:autoSpaceDE/>
              <w:autoSpaceDN/>
              <w:bidi w:val="0"/>
              <w:adjustRightInd/>
              <w:snapToGrid/>
              <w:ind w:firstLine="0" w:firstLineChars="0"/>
              <w:textAlignment w:val="auto"/>
              <w:outlineLvl w:val="0"/>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本项目服务组织要求如下：</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0"/>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一、搭建专家智库平台</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0"/>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本咨询服务工作开展，须搭建12~15名覆盖咨询、产业、规划、建筑、交通、景观、市政等专业的智库平台，建立长期稳定专家智库团队，为坝光片区建设项目规划建设决策提供专业技术支撑和全过程指导服务；</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0"/>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二、咨询服务类型划定</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0"/>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根据具体咨询服务需求，咨询服务类型划分为日常咨询、专项咨询和专家工作坊咨询三种类型，服务要求如下：</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0"/>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（一）日常咨询：提供服务范围内涉及专业技术的日常咨询工作，成果形式为“日常咨询技术意见表”，该类咨询为1-2天内即时反馈技术意见；</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0"/>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二）专项咨询：提供服务范围内涉及专业技术专项内容的技术咨询工作，由投标人组织3-5名专家库成员、相应职能部门及单位等进行专项研究，成果形式为“专项咨询技术意见表”，前后涉及的技术服务周期约为1-2周；</w:t>
            </w:r>
          </w:p>
          <w:p>
            <w:pPr>
              <w:keepNext w:val="0"/>
              <w:keepLines w:val="0"/>
              <w:pageBreakBefore w:val="0"/>
              <w:widowControl w:val="0"/>
              <w:kinsoku/>
              <w:wordWrap/>
              <w:overflowPunct/>
              <w:topLinePunct w:val="0"/>
              <w:autoSpaceDE/>
              <w:autoSpaceDN/>
              <w:bidi w:val="0"/>
              <w:adjustRightInd/>
              <w:snapToGrid/>
              <w:ind w:firstLine="0" w:firstLineChars="0"/>
              <w:textAlignment w:val="auto"/>
              <w:outlineLvl w:val="0"/>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三）专家工作坊：提供服务范围内涉及重要、复杂性问题专业技术咨询工作，由投标人组织专家库成员、相应职能部门及单位等集中开展研讨，并根据职能部门要求和专家意见形成集中的技术意见，成果为“专家咨询意见报告”，专家工作坊的组织链条较长，前后涉及的技术服务总周期约为1-2个月。</w:t>
            </w:r>
          </w:p>
        </w:tc>
      </w:tr>
      <w:tr>
        <w:tblPrEx>
          <w:tblW w:w="4998" w:type="pct"/>
          <w:tblInd w:w="0" w:type="dxa"/>
          <w:tblCellMar>
            <w:top w:w="0" w:type="dxa"/>
            <w:left w:w="108" w:type="dxa"/>
            <w:bottom w:w="0" w:type="dxa"/>
            <w:right w:w="108" w:type="dxa"/>
          </w:tblCellMar>
        </w:tblPrEx>
        <w:tc>
          <w:tcPr>
            <w:tcW w:w="514" w:type="pct"/>
            <w:vAlign w:val="center"/>
          </w:tcPr>
          <w:p>
            <w:pPr>
              <w:jc w:val="center"/>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4</w:t>
            </w:r>
          </w:p>
        </w:tc>
        <w:tc>
          <w:tcPr>
            <w:tcW w:w="1090" w:type="pct"/>
            <w:vAlign w:val="center"/>
          </w:tcPr>
          <w:p>
            <w:pPr>
              <w:jc w:val="center"/>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成果要求</w:t>
            </w:r>
          </w:p>
        </w:tc>
        <w:tc>
          <w:tcPr>
            <w:tcW w:w="3395" w:type="pct"/>
            <w:vAlign w:val="center"/>
          </w:tcPr>
          <w:p>
            <w:pPr>
              <w:keepNext w:val="0"/>
              <w:keepLines w:val="0"/>
              <w:pageBreakBefore w:val="0"/>
              <w:widowControl w:val="0"/>
              <w:kinsoku/>
              <w:wordWrap/>
              <w:overflowPunct/>
              <w:topLinePunct w:val="0"/>
              <w:autoSpaceDE/>
              <w:autoSpaceDN/>
              <w:bidi w:val="0"/>
              <w:adjustRightInd/>
              <w:snapToGrid/>
              <w:ind w:firstLine="0" w:firstLineChars="0"/>
              <w:textAlignment w:val="auto"/>
              <w:rPr>
                <w:rFonts w:asciiTheme="minorEastAsia" w:eastAsiaTheme="minorEastAsia" w:hAnsiTheme="minorEastAsia" w:cstheme="minorEastAsia" w:hint="eastAsia"/>
                <w:b w:val="0"/>
                <w:bCs/>
                <w:sz w:val="21"/>
                <w:szCs w:val="21"/>
              </w:rPr>
            </w:pPr>
            <w:r>
              <w:rPr>
                <w:rFonts w:asciiTheme="minorEastAsia" w:eastAsiaTheme="minorEastAsia" w:hAnsiTheme="minorEastAsia" w:cstheme="minorEastAsia" w:hint="eastAsia"/>
                <w:b w:val="0"/>
                <w:bCs/>
                <w:sz w:val="21"/>
                <w:szCs w:val="21"/>
              </w:rPr>
              <w:t>投标人须向采购人提交日常咨询技术意见表、专项咨询技术意见表、专家咨询意见报告等成果，投标人须按委托方要求提供各阶段成果电子文件，不另外计费。</w:t>
            </w:r>
          </w:p>
        </w:tc>
      </w:tr>
    </w:tbl>
    <w:p>
      <w:pPr>
        <w:rPr>
          <w:b/>
          <w:sz w:val="24"/>
        </w:rPr>
      </w:pPr>
    </w:p>
    <w:p>
      <w:pPr>
        <w:rPr>
          <w:b/>
          <w:sz w:val="24"/>
        </w:rPr>
      </w:pPr>
    </w:p>
    <w:p>
      <w:pPr>
        <w:rPr>
          <w:rFonts w:hint="eastAsia"/>
          <w:szCs w:val="24"/>
        </w:rPr>
      </w:pPr>
      <w:r>
        <w:rPr>
          <w:rFonts w:hint="eastAsia"/>
          <w:szCs w:val="24"/>
        </w:rPr>
        <w:br w:type="page"/>
      </w:r>
    </w:p>
    <w:p>
      <w:pPr>
        <w:pStyle w:val="Heading2"/>
        <w:spacing w:before="120" w:beforeLines="50" w:after="120" w:afterLines="50"/>
        <w:rPr>
          <w:szCs w:val="24"/>
        </w:rPr>
      </w:pPr>
      <w:r>
        <w:rPr>
          <w:rFonts w:hint="eastAsia"/>
          <w:szCs w:val="24"/>
        </w:rPr>
        <w:t>六、商务要求</w:t>
      </w:r>
    </w:p>
    <w:tbl>
      <w:tblPr>
        <w:tblStyle w:val="TableGrid"/>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130"/>
        <w:gridCol w:w="2105"/>
        <w:gridCol w:w="5291"/>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88"/>
        </w:trPr>
        <w:tc>
          <w:tcPr>
            <w:tcW w:w="663" w:type="pct"/>
            <w:vAlign w:val="center"/>
          </w:tcPr>
          <w:p>
            <w:pPr>
              <w:jc w:val="center"/>
              <w:rPr>
                <w:rFonts w:asciiTheme="minorEastAsia" w:eastAsiaTheme="minorEastAsia" w:hAnsiTheme="minorEastAsia" w:cstheme="minorEastAsia" w:hint="eastAsia"/>
                <w:b/>
                <w:bCs w:val="0"/>
                <w:sz w:val="21"/>
                <w:szCs w:val="21"/>
                <w:highlight w:val="none"/>
              </w:rPr>
            </w:pPr>
            <w:r>
              <w:rPr>
                <w:rFonts w:asciiTheme="minorEastAsia" w:eastAsiaTheme="minorEastAsia" w:hAnsiTheme="minorEastAsia" w:cstheme="minorEastAsia" w:hint="eastAsia"/>
                <w:b/>
                <w:bCs w:val="0"/>
                <w:sz w:val="21"/>
                <w:szCs w:val="21"/>
                <w:highlight w:val="none"/>
              </w:rPr>
              <w:t>序号</w:t>
            </w:r>
          </w:p>
        </w:tc>
        <w:tc>
          <w:tcPr>
            <w:tcW w:w="1234" w:type="pct"/>
            <w:vAlign w:val="center"/>
          </w:tcPr>
          <w:p>
            <w:pPr>
              <w:jc w:val="center"/>
              <w:rPr>
                <w:rFonts w:asciiTheme="minorEastAsia" w:eastAsiaTheme="minorEastAsia" w:hAnsiTheme="minorEastAsia" w:cstheme="minorEastAsia" w:hint="eastAsia"/>
                <w:b/>
                <w:bCs w:val="0"/>
                <w:sz w:val="21"/>
                <w:szCs w:val="21"/>
                <w:highlight w:val="none"/>
              </w:rPr>
            </w:pPr>
            <w:r>
              <w:rPr>
                <w:rFonts w:asciiTheme="minorEastAsia" w:eastAsiaTheme="minorEastAsia" w:hAnsiTheme="minorEastAsia" w:cstheme="minorEastAsia" w:hint="eastAsia"/>
                <w:b/>
                <w:bCs w:val="0"/>
                <w:sz w:val="21"/>
                <w:szCs w:val="21"/>
                <w:highlight w:val="none"/>
              </w:rPr>
              <w:t>具体内容</w:t>
            </w:r>
          </w:p>
        </w:tc>
        <w:tc>
          <w:tcPr>
            <w:tcW w:w="3102" w:type="pct"/>
            <w:vAlign w:val="center"/>
          </w:tcPr>
          <w:p>
            <w:pPr>
              <w:jc w:val="center"/>
              <w:rPr>
                <w:rFonts w:asciiTheme="minorEastAsia" w:eastAsiaTheme="minorEastAsia" w:hAnsiTheme="minorEastAsia" w:cstheme="minorEastAsia" w:hint="eastAsia"/>
                <w:b/>
                <w:bCs w:val="0"/>
                <w:sz w:val="21"/>
                <w:szCs w:val="21"/>
                <w:highlight w:val="none"/>
              </w:rPr>
            </w:pPr>
            <w:r>
              <w:rPr>
                <w:rFonts w:asciiTheme="minorEastAsia" w:eastAsiaTheme="minorEastAsia" w:hAnsiTheme="minorEastAsia" w:cstheme="minorEastAsia" w:hint="eastAsia"/>
                <w:b/>
                <w:bCs w:val="0"/>
                <w:sz w:val="21"/>
                <w:szCs w:val="21"/>
                <w:highlight w:val="none"/>
              </w:rPr>
              <w:t>商务要求</w:t>
            </w:r>
          </w:p>
        </w:tc>
      </w:tr>
      <w:tr>
        <w:tblPrEx>
          <w:tblW w:w="4998" w:type="pct"/>
          <w:tblInd w:w="0" w:type="dxa"/>
          <w:tblCellMar>
            <w:top w:w="0" w:type="dxa"/>
            <w:left w:w="108" w:type="dxa"/>
            <w:bottom w:w="0" w:type="dxa"/>
            <w:right w:w="108" w:type="dxa"/>
          </w:tblCellMar>
        </w:tblPrEx>
        <w:trPr>
          <w:trHeight w:val="3575"/>
        </w:trPr>
        <w:tc>
          <w:tcPr>
            <w:tcW w:w="663" w:type="pct"/>
            <w:vAlign w:val="center"/>
          </w:tcPr>
          <w:p>
            <w:pPr>
              <w:jc w:val="center"/>
              <w:rPr>
                <w:rFonts w:asciiTheme="minorEastAsia" w:eastAsiaTheme="minorEastAsia" w:hAnsiTheme="minorEastAsia" w:cstheme="minorEastAsia" w:hint="eastAsia"/>
                <w:bCs/>
                <w:sz w:val="21"/>
                <w:szCs w:val="21"/>
                <w:highlight w:val="none"/>
              </w:rPr>
            </w:pPr>
            <w:r>
              <w:rPr>
                <w:rFonts w:asciiTheme="minorEastAsia" w:eastAsiaTheme="minorEastAsia" w:hAnsiTheme="minorEastAsia" w:cstheme="minorEastAsia" w:hint="eastAsia"/>
                <w:bCs/>
                <w:sz w:val="21"/>
                <w:szCs w:val="21"/>
                <w:highlight w:val="none"/>
              </w:rPr>
              <w:t>1</w:t>
            </w:r>
          </w:p>
        </w:tc>
        <w:tc>
          <w:tcPr>
            <w:tcW w:w="1234" w:type="pct"/>
            <w:vAlign w:val="center"/>
          </w:tcPr>
          <w:p>
            <w:pPr>
              <w:jc w:val="center"/>
              <w:rPr>
                <w:rFonts w:asciiTheme="minorEastAsia" w:eastAsiaTheme="minorEastAsia" w:hAnsiTheme="minorEastAsia" w:cstheme="minorEastAsia" w:hint="eastAsia"/>
                <w:b/>
                <w:bCs w:val="0"/>
                <w:color w:val="FF0000"/>
                <w:sz w:val="21"/>
                <w:szCs w:val="21"/>
                <w:highlight w:val="none"/>
              </w:rPr>
            </w:pPr>
            <w:r>
              <w:rPr>
                <w:rFonts w:asciiTheme="minorEastAsia" w:eastAsiaTheme="minorEastAsia" w:hAnsiTheme="minorEastAsia" w:cstheme="minorEastAsia" w:hint="eastAsia"/>
                <w:b/>
                <w:bCs w:val="0"/>
                <w:color w:val="FF0000"/>
                <w:sz w:val="21"/>
                <w:szCs w:val="21"/>
                <w:highlight w:val="none"/>
              </w:rPr>
              <w:t>★报价要求</w:t>
            </w:r>
          </w:p>
        </w:tc>
        <w:tc>
          <w:tcPr>
            <w:tcW w:w="3102" w:type="pct"/>
            <w:vAlign w:val="center"/>
          </w:tcPr>
          <w:p>
            <w:pPr>
              <w:jc w:val="left"/>
              <w:rPr>
                <w:rFonts w:asciiTheme="minorEastAsia" w:eastAsiaTheme="minorEastAsia" w:hAnsiTheme="minorEastAsia" w:cstheme="minorEastAsia" w:hint="eastAsia"/>
                <w:b/>
                <w:bCs w:val="0"/>
                <w:color w:val="FF0000"/>
                <w:sz w:val="21"/>
                <w:szCs w:val="21"/>
                <w:highlight w:val="none"/>
              </w:rPr>
            </w:pPr>
            <w:r>
              <w:rPr>
                <w:rFonts w:asciiTheme="minorEastAsia" w:eastAsiaTheme="minorEastAsia" w:hAnsiTheme="minorEastAsia" w:cstheme="minorEastAsia" w:hint="eastAsia"/>
                <w:b/>
                <w:bCs w:val="0"/>
                <w:color w:val="FF0000"/>
                <w:sz w:val="21"/>
                <w:szCs w:val="21"/>
                <w:highlight w:val="none"/>
              </w:rPr>
              <w:t>1.本次招标不涉及具体投标金额（无须投标人在投标文件中填报具体投标金额），投标人只需在投标一览表“投标总价”一栏里报填报唯一的“折扣率”，投标人应根据自身成本自行填报“折扣率”，但不得以低于其成本。</w:t>
            </w:r>
          </w:p>
          <w:p>
            <w:pPr>
              <w:jc w:val="left"/>
              <w:rPr>
                <w:rFonts w:asciiTheme="minorEastAsia" w:eastAsiaTheme="minorEastAsia" w:hAnsiTheme="minorEastAsia" w:cstheme="minorEastAsia" w:hint="eastAsia"/>
                <w:b/>
                <w:bCs w:val="0"/>
                <w:color w:val="FF0000"/>
                <w:sz w:val="21"/>
                <w:szCs w:val="21"/>
                <w:highlight w:val="none"/>
              </w:rPr>
            </w:pPr>
            <w:r>
              <w:rPr>
                <w:rFonts w:asciiTheme="minorEastAsia" w:eastAsiaTheme="minorEastAsia" w:hAnsiTheme="minorEastAsia" w:cstheme="minorEastAsia" w:hint="eastAsia"/>
                <w:b/>
                <w:bCs w:val="0"/>
                <w:color w:val="FF0000"/>
                <w:sz w:val="21"/>
                <w:szCs w:val="21"/>
                <w:highlight w:val="none"/>
              </w:rPr>
              <w:t>2.“折扣率”填写要求</w:t>
            </w:r>
          </w:p>
          <w:p>
            <w:pPr>
              <w:jc w:val="left"/>
              <w:rPr>
                <w:rFonts w:asciiTheme="minorEastAsia" w:eastAsiaTheme="minorEastAsia" w:hAnsiTheme="minorEastAsia" w:cstheme="minorEastAsia" w:hint="eastAsia"/>
                <w:b/>
                <w:bCs w:val="0"/>
                <w:color w:val="FF0000"/>
                <w:sz w:val="21"/>
                <w:szCs w:val="21"/>
                <w:highlight w:val="none"/>
              </w:rPr>
            </w:pPr>
            <w:r>
              <w:rPr>
                <w:rFonts w:asciiTheme="minorEastAsia" w:eastAsiaTheme="minorEastAsia" w:hAnsiTheme="minorEastAsia" w:cstheme="minorEastAsia" w:hint="eastAsia"/>
                <w:b/>
                <w:bCs w:val="0"/>
                <w:color w:val="FF0000"/>
                <w:sz w:val="21"/>
                <w:szCs w:val="21"/>
                <w:highlight w:val="none"/>
              </w:rPr>
              <w:t>（1）填写要求： 0＜折扣率≤1，未按此要求填写将作投标无效处理。</w:t>
            </w:r>
          </w:p>
          <w:p>
            <w:pPr>
              <w:jc w:val="left"/>
              <w:rPr>
                <w:rFonts w:asciiTheme="minorEastAsia" w:eastAsiaTheme="minorEastAsia" w:hAnsiTheme="minorEastAsia" w:cstheme="minorEastAsia" w:hint="eastAsia"/>
                <w:b/>
                <w:bCs w:val="0"/>
                <w:color w:val="FF0000"/>
                <w:sz w:val="21"/>
                <w:szCs w:val="21"/>
                <w:highlight w:val="none"/>
              </w:rPr>
            </w:pPr>
            <w:r>
              <w:rPr>
                <w:rFonts w:asciiTheme="minorEastAsia" w:eastAsiaTheme="minorEastAsia" w:hAnsiTheme="minorEastAsia" w:cstheme="minorEastAsia" w:hint="eastAsia"/>
                <w:b/>
                <w:bCs w:val="0"/>
                <w:color w:val="FF0000"/>
                <w:sz w:val="21"/>
                <w:szCs w:val="21"/>
                <w:highlight w:val="none"/>
              </w:rPr>
              <w:t>（2）填写的“折扣率”应为小数，（如：0.9000、0.80、0.78， 对小数点后位数不作要求）；</w:t>
            </w:r>
          </w:p>
          <w:p>
            <w:pPr>
              <w:jc w:val="left"/>
              <w:rPr>
                <w:rFonts w:asciiTheme="minorEastAsia" w:eastAsiaTheme="minorEastAsia" w:hAnsiTheme="minorEastAsia" w:cstheme="minorEastAsia" w:hint="eastAsia"/>
                <w:b/>
                <w:bCs w:val="0"/>
                <w:color w:val="FF0000"/>
                <w:sz w:val="21"/>
                <w:szCs w:val="21"/>
                <w:highlight w:val="none"/>
              </w:rPr>
            </w:pPr>
            <w:r>
              <w:rPr>
                <w:rFonts w:asciiTheme="minorEastAsia" w:eastAsiaTheme="minorEastAsia" w:hAnsiTheme="minorEastAsia" w:cstheme="minorEastAsia" w:hint="eastAsia"/>
                <w:b/>
                <w:bCs w:val="0"/>
                <w:color w:val="FF0000"/>
                <w:sz w:val="21"/>
                <w:szCs w:val="21"/>
                <w:highlight w:val="none"/>
              </w:rPr>
              <w:t>（3）投标人参与投标只允许填报一个“折扣率”，不允许填报2个（或以上）的“折扣率”；填报了2个或以上“折扣率”的，其投标将直接作投标无效处理；</w:t>
            </w:r>
          </w:p>
        </w:tc>
      </w:tr>
      <w:tr>
        <w:tblPrEx>
          <w:tblW w:w="4998" w:type="pct"/>
          <w:tblInd w:w="0" w:type="dxa"/>
          <w:tblCellMar>
            <w:top w:w="0" w:type="dxa"/>
            <w:left w:w="108" w:type="dxa"/>
            <w:bottom w:w="0" w:type="dxa"/>
            <w:right w:w="108" w:type="dxa"/>
          </w:tblCellMar>
        </w:tblPrEx>
        <w:trPr>
          <w:trHeight w:val="2977"/>
        </w:trPr>
        <w:tc>
          <w:tcPr>
            <w:tcW w:w="663" w:type="pct"/>
            <w:vAlign w:val="center"/>
          </w:tcPr>
          <w:p>
            <w:pPr>
              <w:jc w:val="center"/>
              <w:rPr>
                <w:rFonts w:asciiTheme="minorEastAsia" w:eastAsiaTheme="minorEastAsia" w:hAnsiTheme="minorEastAsia" w:cstheme="minorEastAsia" w:hint="eastAsia"/>
                <w:bCs/>
                <w:sz w:val="21"/>
                <w:szCs w:val="21"/>
                <w:highlight w:val="none"/>
              </w:rPr>
            </w:pPr>
            <w:r>
              <w:rPr>
                <w:rFonts w:asciiTheme="minorEastAsia" w:eastAsiaTheme="minorEastAsia" w:hAnsiTheme="minorEastAsia" w:cstheme="minorEastAsia" w:hint="eastAsia"/>
                <w:bCs/>
                <w:sz w:val="21"/>
                <w:szCs w:val="21"/>
                <w:highlight w:val="none"/>
              </w:rPr>
              <w:t>2</w:t>
            </w:r>
          </w:p>
        </w:tc>
        <w:tc>
          <w:tcPr>
            <w:tcW w:w="1234" w:type="pct"/>
            <w:vAlign w:val="center"/>
          </w:tcPr>
          <w:p>
            <w:pPr>
              <w:jc w:val="center"/>
              <w:rPr>
                <w:rFonts w:asciiTheme="minorEastAsia" w:eastAsiaTheme="minorEastAsia" w:hAnsiTheme="minorEastAsia" w:cstheme="minorEastAsia" w:hint="eastAsia"/>
                <w:bCs/>
                <w:sz w:val="21"/>
                <w:szCs w:val="21"/>
                <w:highlight w:val="none"/>
              </w:rPr>
            </w:pPr>
            <w:r>
              <w:rPr>
                <w:rFonts w:asciiTheme="minorEastAsia" w:eastAsiaTheme="minorEastAsia" w:hAnsiTheme="minorEastAsia" w:cstheme="minorEastAsia" w:hint="eastAsia"/>
                <w:bCs/>
                <w:sz w:val="21"/>
                <w:szCs w:val="21"/>
                <w:highlight w:val="none"/>
              </w:rPr>
              <w:t>付款方式</w:t>
            </w:r>
          </w:p>
        </w:tc>
        <w:tc>
          <w:tcPr>
            <w:tcW w:w="3102" w:type="pct"/>
            <w:vAlign w:val="center"/>
          </w:tcPr>
          <w:p>
            <w:pPr>
              <w:jc w:val="lef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（1）合同签订后，自中标方服务团队人员配备到位，提交专业智库组建方案，中标方可向采购人提出支付合同总价10%的款项作为前期费用；</w:t>
            </w:r>
          </w:p>
          <w:p>
            <w:pPr>
              <w:jc w:val="lef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2）中标方完成相应类型的咨询服务提交成果并验收合格后，中标人向采购人申请支付当期费用，需扣除前期费用，可结合工作实际完成情况进一步细化付款要求，具体支付进度和要求以履约实际情况为准，支付上限不超过财政预算限额。</w:t>
            </w:r>
          </w:p>
          <w:p>
            <w:pPr>
              <w:jc w:val="left"/>
              <w:rPr>
                <w:rFonts w:asciiTheme="minorEastAsia" w:eastAsiaTheme="minorEastAsia" w:hAnsiTheme="minorEastAsia" w:cstheme="minorEastAsia" w:hint="eastAsia"/>
                <w:sz w:val="21"/>
                <w:szCs w:val="21"/>
                <w:highlight w:val="none"/>
              </w:rPr>
            </w:pPr>
            <w:r>
              <w:rPr>
                <w:rFonts w:asciiTheme="minorEastAsia" w:eastAsiaTheme="minorEastAsia" w:hAnsiTheme="minorEastAsia" w:cstheme="minorEastAsia" w:hint="eastAsia"/>
                <w:sz w:val="21"/>
                <w:szCs w:val="21"/>
                <w:highlight w:val="none"/>
              </w:rPr>
              <w:t>当期费用计算方式=单次费用*服务次数*中标折扣率-前期费用</w:t>
            </w:r>
          </w:p>
        </w:tc>
      </w:tr>
      <w:tr>
        <w:tblPrEx>
          <w:tblW w:w="4998" w:type="pct"/>
          <w:tblInd w:w="0" w:type="dxa"/>
          <w:tblCellMar>
            <w:top w:w="0" w:type="dxa"/>
            <w:left w:w="108" w:type="dxa"/>
            <w:bottom w:w="0" w:type="dxa"/>
            <w:right w:w="108" w:type="dxa"/>
          </w:tblCellMar>
        </w:tblPrEx>
        <w:trPr>
          <w:trHeight w:val="751"/>
        </w:trPr>
        <w:tc>
          <w:tcPr>
            <w:tcW w:w="663" w:type="pct"/>
            <w:vAlign w:val="center"/>
          </w:tcPr>
          <w:p>
            <w:pPr>
              <w:jc w:val="center"/>
              <w:rPr>
                <w:rFonts w:asciiTheme="minorEastAsia" w:eastAsiaTheme="minorEastAsia" w:hAnsiTheme="minorEastAsia" w:cstheme="minorEastAsia" w:hint="eastAsia"/>
                <w:bCs/>
                <w:sz w:val="21"/>
                <w:szCs w:val="21"/>
                <w:highlight w:val="none"/>
              </w:rPr>
            </w:pPr>
            <w:r>
              <w:rPr>
                <w:rFonts w:asciiTheme="minorEastAsia" w:eastAsiaTheme="minorEastAsia" w:hAnsiTheme="minorEastAsia" w:cstheme="minorEastAsia" w:hint="eastAsia"/>
                <w:bCs/>
                <w:sz w:val="21"/>
                <w:szCs w:val="21"/>
                <w:highlight w:val="none"/>
              </w:rPr>
              <w:t>3</w:t>
            </w:r>
          </w:p>
        </w:tc>
        <w:tc>
          <w:tcPr>
            <w:tcW w:w="1234" w:type="pct"/>
            <w:vAlign w:val="center"/>
          </w:tcPr>
          <w:p>
            <w:pPr>
              <w:jc w:val="center"/>
              <w:rPr>
                <w:rFonts w:asciiTheme="minorEastAsia" w:eastAsiaTheme="minorEastAsia" w:hAnsiTheme="minorEastAsia" w:cstheme="minorEastAsia" w:hint="eastAsia"/>
                <w:bCs/>
                <w:sz w:val="21"/>
                <w:szCs w:val="21"/>
                <w:highlight w:val="none"/>
              </w:rPr>
            </w:pPr>
            <w:r>
              <w:rPr>
                <w:rFonts w:asciiTheme="minorEastAsia" w:eastAsiaTheme="minorEastAsia" w:hAnsiTheme="minorEastAsia" w:cstheme="minorEastAsia" w:hint="eastAsia"/>
                <w:bCs/>
                <w:sz w:val="21"/>
                <w:szCs w:val="21"/>
                <w:highlight w:val="none"/>
              </w:rPr>
              <w:t>履约验收</w:t>
            </w:r>
          </w:p>
        </w:tc>
        <w:tc>
          <w:tcPr>
            <w:tcW w:w="3102" w:type="pct"/>
            <w:vAlign w:val="center"/>
          </w:tcPr>
          <w:p>
            <w:pPr>
              <w:jc w:val="left"/>
              <w:rPr>
                <w:rFonts w:asciiTheme="minorEastAsia" w:eastAsiaTheme="minorEastAsia" w:hAnsiTheme="minorEastAsia" w:cstheme="minorEastAsia" w:hint="eastAsia"/>
                <w:bCs/>
                <w:sz w:val="21"/>
                <w:szCs w:val="21"/>
                <w:highlight w:val="none"/>
              </w:rPr>
            </w:pPr>
            <w:r>
              <w:rPr>
                <w:rFonts w:asciiTheme="minorEastAsia" w:eastAsiaTheme="minorEastAsia" w:hAnsiTheme="minorEastAsia" w:cstheme="minorEastAsia" w:hint="eastAsia"/>
                <w:sz w:val="21"/>
                <w:szCs w:val="21"/>
                <w:highlight w:val="none"/>
              </w:rPr>
              <w:t>服务经过双方检验认可后，签署相关项目验收表</w:t>
            </w:r>
          </w:p>
        </w:tc>
      </w:tr>
      <w:tr>
        <w:tblPrEx>
          <w:tblW w:w="4998" w:type="pct"/>
          <w:tblInd w:w="0" w:type="dxa"/>
          <w:tblCellMar>
            <w:top w:w="0" w:type="dxa"/>
            <w:left w:w="108" w:type="dxa"/>
            <w:bottom w:w="0" w:type="dxa"/>
            <w:right w:w="108" w:type="dxa"/>
          </w:tblCellMar>
        </w:tblPrEx>
        <w:trPr>
          <w:trHeight w:val="1506"/>
        </w:trPr>
        <w:tc>
          <w:tcPr>
            <w:tcW w:w="663" w:type="pct"/>
            <w:vAlign w:val="center"/>
          </w:tcPr>
          <w:p>
            <w:pPr>
              <w:jc w:val="center"/>
              <w:rPr>
                <w:rFonts w:asciiTheme="minorEastAsia" w:eastAsiaTheme="minorEastAsia" w:hAnsiTheme="minorEastAsia" w:cstheme="minorEastAsia" w:hint="eastAsia"/>
                <w:bCs/>
                <w:sz w:val="21"/>
                <w:szCs w:val="21"/>
                <w:highlight w:val="none"/>
                <w:lang w:eastAsia="zh-CN"/>
              </w:rPr>
            </w:pPr>
            <w:r>
              <w:rPr>
                <w:rFonts w:asciiTheme="minorEastAsia" w:eastAsiaTheme="minorEastAsia" w:hAnsiTheme="minorEastAsia" w:cstheme="minorEastAsia" w:hint="eastAsia"/>
                <w:bCs/>
                <w:sz w:val="21"/>
                <w:szCs w:val="21"/>
                <w:highlight w:val="none"/>
                <w:lang w:val="en-US" w:eastAsia="zh-CN"/>
              </w:rPr>
              <w:t>4</w:t>
            </w:r>
          </w:p>
        </w:tc>
        <w:tc>
          <w:tcPr>
            <w:tcW w:w="1234" w:type="pct"/>
            <w:vAlign w:val="center"/>
          </w:tcPr>
          <w:p>
            <w:pPr>
              <w:jc w:val="center"/>
              <w:rPr>
                <w:rFonts w:asciiTheme="minorEastAsia" w:eastAsiaTheme="minorEastAsia" w:hAnsiTheme="minorEastAsia" w:cstheme="minorEastAsia" w:hint="eastAsia"/>
                <w:b/>
                <w:bCs/>
                <w:color w:val="FF0000"/>
                <w:sz w:val="21"/>
                <w:szCs w:val="21"/>
                <w:highlight w:val="none"/>
              </w:rPr>
            </w:pPr>
            <w:r>
              <w:rPr>
                <w:rFonts w:ascii="仿宋" w:eastAsia="仿宋" w:hAnsi="仿宋" w:cstheme="minorBidi" w:hint="eastAsia"/>
                <w:b/>
                <w:bCs/>
                <w:color w:val="FF0000"/>
                <w:kern w:val="0"/>
                <w:sz w:val="21"/>
                <w:szCs w:val="21"/>
              </w:rPr>
              <w:t>★</w:t>
            </w:r>
            <w:r>
              <w:rPr>
                <w:rFonts w:asciiTheme="minorEastAsia" w:eastAsiaTheme="minorEastAsia" w:hAnsiTheme="minorEastAsia" w:cstheme="minorEastAsia" w:hint="eastAsia"/>
                <w:b/>
                <w:bCs/>
                <w:color w:val="FF0000"/>
                <w:sz w:val="21"/>
                <w:szCs w:val="21"/>
                <w:highlight w:val="none"/>
              </w:rPr>
              <w:t>服务期限</w:t>
            </w:r>
          </w:p>
        </w:tc>
        <w:tc>
          <w:tcPr>
            <w:tcW w:w="3102" w:type="pct"/>
            <w:vAlign w:val="center"/>
          </w:tcPr>
          <w:p>
            <w:pPr>
              <w:jc w:val="left"/>
              <w:rPr>
                <w:rFonts w:asciiTheme="minorEastAsia" w:eastAsiaTheme="minorEastAsia" w:hAnsiTheme="minorEastAsia" w:cstheme="minorEastAsia" w:hint="eastAsia"/>
                <w:b/>
                <w:bCs/>
                <w:color w:val="FF0000"/>
                <w:kern w:val="0"/>
                <w:sz w:val="21"/>
                <w:szCs w:val="21"/>
                <w:highlight w:val="none"/>
                <w:lang w:val="en-US" w:eastAsia="zh-CN" w:bidi="ar-SA"/>
              </w:rPr>
            </w:pPr>
            <w:r>
              <w:rPr>
                <w:rFonts w:asciiTheme="minorEastAsia" w:eastAsiaTheme="minorEastAsia" w:hAnsiTheme="minorEastAsia" w:cstheme="minorEastAsia" w:hint="eastAsia"/>
                <w:b/>
                <w:bCs/>
                <w:color w:val="FF0000"/>
                <w:sz w:val="21"/>
                <w:szCs w:val="21"/>
                <w:highlight w:val="none"/>
              </w:rPr>
              <w:t>自合同签订之日起两年。本项目为长期服务项目，采购人根据合同履行情况决定是否续签合同，长期服务项目政府采购合同履行期限最长不超过三十六个月，如中标供应商履约情况不达标，采购人不再续签。</w:t>
            </w:r>
          </w:p>
        </w:tc>
      </w:tr>
    </w:tbl>
    <w:p/>
    <w:p>
      <w:pPr>
        <w:rPr>
          <w:rFonts w:hint="eastAsia"/>
          <w:szCs w:val="24"/>
        </w:rPr>
      </w:pPr>
      <w:r>
        <w:rPr>
          <w:rFonts w:hint="eastAsia"/>
          <w:szCs w:val="24"/>
        </w:rPr>
        <w:br w:type="page"/>
      </w:r>
    </w:p>
    <w:p>
      <w:pPr>
        <w:pStyle w:val="Heading2"/>
        <w:spacing w:before="120" w:beforeLines="50" w:after="120" w:afterLines="50"/>
        <w:rPr>
          <w:szCs w:val="24"/>
        </w:rPr>
      </w:pPr>
      <w:r>
        <w:rPr>
          <w:rFonts w:hint="eastAsia"/>
          <w:szCs w:val="24"/>
        </w:rPr>
        <w:t>七、其他重要条款</w:t>
      </w:r>
    </w:p>
    <w:p>
      <w:pPr>
        <w:ind w:firstLine="420" w:firstLineChars="200"/>
        <w:rPr>
          <w:bCs/>
          <w:szCs w:val="21"/>
        </w:rPr>
      </w:pPr>
      <w:bookmarkStart w:id="39" w:name="_Hlk72257111"/>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pPr>
        <w:pStyle w:val="NormalIndent"/>
        <w:spacing w:before="60" w:beforeLines="25" w:after="60" w:afterLines="25"/>
        <w:ind w:firstLine="393" w:firstLineChars="187"/>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pPr>
        <w:ind w:firstLine="420" w:firstLineChars="200"/>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pPr>
        <w:ind w:firstLine="420" w:firstLineChars="200"/>
        <w:rPr>
          <w:bCs/>
          <w:szCs w:val="21"/>
        </w:rPr>
      </w:pPr>
      <w:r>
        <w:rPr>
          <w:bCs/>
          <w:szCs w:val="21"/>
        </w:rPr>
        <w:t>4</w:t>
      </w:r>
      <w:r>
        <w:rPr>
          <w:rFonts w:hint="eastAsia"/>
          <w:bCs/>
          <w:szCs w:val="21"/>
        </w:rPr>
        <w:t>、鼓励采购人积极运用公共信用信息，明确对信用记录良好的供应商（特别是中小微企业）免收履约保证金，确需收取履约保证金的，列明通过保函等非现金方式收取。在采购合同中明确对上述企业加大首付款或预付款比例，具体由采购人根据项目实际情况确定。</w:t>
      </w:r>
    </w:p>
    <w:p>
      <w:pPr>
        <w:ind w:firstLine="420" w:firstLineChars="200"/>
        <w:rPr>
          <w:bCs/>
          <w:szCs w:val="21"/>
        </w:rPr>
      </w:pPr>
      <w:r>
        <w:rPr>
          <w:bCs/>
          <w:szCs w:val="21"/>
        </w:rPr>
        <w:t>5</w:t>
      </w:r>
      <w:r>
        <w:rPr>
          <w:rFonts w:hint="eastAsia"/>
          <w:bCs/>
          <w:szCs w:val="21"/>
        </w:rPr>
        <w:t>、除政府采购合同继续履行将损害国家利益和社会公共利益外，双方当事人不得擅自变更、中止或者终止合同。</w:t>
      </w:r>
    </w:p>
    <w:p>
      <w:pPr>
        <w:pStyle w:val="NormalIndent"/>
        <w:spacing w:before="60" w:beforeLines="25" w:after="60" w:afterLines="25"/>
        <w:ind w:firstLine="393" w:firstLineChars="187"/>
        <w:rPr>
          <w:rFonts w:ascii="宋体" w:hAnsi="宋体"/>
          <w:szCs w:val="21"/>
        </w:rPr>
      </w:pPr>
      <w:r>
        <w:rPr>
          <w:bCs/>
          <w:szCs w:val="21"/>
        </w:rPr>
        <w:t>6</w:t>
      </w:r>
      <w:r>
        <w:rPr>
          <w:rFonts w:hint="eastAsia"/>
          <w:bCs/>
          <w:szCs w:val="21"/>
        </w:rPr>
        <w:t>、“信用中国”</w:t>
      </w:r>
      <w:r>
        <w:rPr>
          <w:rFonts w:ascii="宋体" w:eastAsia="宋体" w:hAnsi="宋体" w:cs="宋体"/>
          <w:sz w:val="21"/>
          <w:szCs w:val="21"/>
        </w:rPr>
        <w:t>中“信用服务”栏的“</w:t>
      </w:r>
      <w:r>
        <w:rPr>
          <w:rFonts w:ascii="宋体" w:eastAsia="宋体" w:hAnsi="宋体" w:cs="宋体" w:hint="eastAsia"/>
          <w:sz w:val="21"/>
          <w:szCs w:val="21"/>
        </w:rPr>
        <w:t>重大税收违法失信主体</w:t>
      </w:r>
      <w:r>
        <w:rPr>
          <w:rFonts w:ascii="宋体" w:eastAsia="宋体" w:hAnsi="宋体" w:cs="宋体"/>
          <w:sz w:val="21"/>
          <w:szCs w:val="21"/>
        </w:rPr>
        <w:t>”“失信被执行人”</w:t>
      </w:r>
      <w:r>
        <w:rPr>
          <w:rFonts w:ascii="宋体" w:hAnsi="宋体" w:cs="宋体" w:hint="eastAsia"/>
          <w:kern w:val="0"/>
          <w:szCs w:val="21"/>
          <w:lang w:eastAsia="zh-CN"/>
        </w:rPr>
        <w:t>，</w:t>
      </w:r>
      <w:r>
        <w:rPr>
          <w:rFonts w:hint="eastAsia"/>
          <w:bCs/>
          <w:szCs w:val="21"/>
        </w:rPr>
        <w:t>“中国政府采购网”</w:t>
      </w:r>
      <w:r>
        <w:rPr>
          <w:rFonts w:ascii="宋体" w:eastAsia="宋体" w:hAnsi="宋体" w:cs="宋体"/>
          <w:sz w:val="21"/>
          <w:szCs w:val="21"/>
        </w:rPr>
        <w:t>中的“政府采购严重违法失信行为记录名单”</w:t>
      </w:r>
      <w:r>
        <w:rPr>
          <w:rFonts w:ascii="宋体" w:hAnsi="宋体" w:cs="宋体" w:hint="eastAsia"/>
          <w:kern w:val="0"/>
          <w:szCs w:val="21"/>
          <w:lang w:eastAsia="zh-CN"/>
        </w:rPr>
        <w:t>，</w:t>
      </w:r>
      <w:r>
        <w:rPr>
          <w:rFonts w:hint="eastAsia"/>
          <w:bCs/>
          <w:szCs w:val="21"/>
        </w:rPr>
        <w:t>“深圳信用网”以及“深圳市政府采购监管网”为供应商信用信息的查询渠道，相关信息以开标当日的查询结果为准。</w:t>
      </w:r>
      <w:bookmarkEnd w:id="39"/>
    </w:p>
    <w:p>
      <w:pPr>
        <w:pStyle w:val="NormalIndent"/>
        <w:spacing w:before="60" w:beforeLines="25" w:after="60" w:afterLines="25"/>
        <w:ind w:firstLine="393" w:firstLineChars="187"/>
        <w:rPr>
          <w:rFonts w:ascii="宋体" w:hAnsi="宋体"/>
          <w:szCs w:val="21"/>
        </w:rPr>
      </w:pPr>
    </w:p>
    <w:p>
      <w:r>
        <w:rPr>
          <w:rFonts w:hint="eastAsia"/>
        </w:rPr>
        <w:br w:type="page"/>
      </w:r>
    </w:p>
    <w:p>
      <w:pPr>
        <w:pStyle w:val="Heading2"/>
        <w:rPr>
          <w:kern w:val="2"/>
        </w:rPr>
      </w:pPr>
      <w:r>
        <w:rPr>
          <w:rFonts w:hint="eastAsia"/>
          <w:kern w:val="2"/>
        </w:rPr>
        <w:t>第四章 投标文件组成要求及格式</w:t>
      </w:r>
    </w:p>
    <w:p>
      <w:pPr>
        <w:rPr>
          <w:rStyle w:val="3Char"/>
          <w:sz w:val="24"/>
        </w:rPr>
      </w:pPr>
      <w:r>
        <w:rPr>
          <w:rStyle w:val="3Char"/>
          <w:rFonts w:hint="eastAsia"/>
          <w:sz w:val="24"/>
        </w:rPr>
        <w:t>特别提醒：</w:t>
      </w:r>
    </w:p>
    <w:p>
      <w:pPr>
        <w:ind w:firstLine="420" w:firstLineChars="200"/>
        <w:rPr>
          <w:rFonts w:ascii="仿宋_GB2312" w:eastAsia="仿宋_GB2312"/>
          <w:sz w:val="24"/>
        </w:rPr>
      </w:pPr>
      <w:r>
        <w:rPr>
          <w:rFonts w:ascii="仿宋_GB2312" w:eastAsia="仿宋_GB2312" w:hint="eastAsia"/>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pPr>
        <w:rPr>
          <w:rFonts w:ascii="仿宋_GB2312" w:eastAsia="仿宋_GB2312"/>
          <w:sz w:val="24"/>
        </w:rPr>
      </w:pPr>
      <w:r>
        <w:rPr>
          <w:rFonts w:ascii="仿宋_GB2312" w:eastAsia="仿宋_GB2312" w:hint="eastAsia"/>
          <w:sz w:val="24"/>
        </w:rPr>
        <w:t xml:space="preserve">    投标文件正文（信息公开部分）必须编制于“正文（公开部分）”，投标文件附件（非信息公开部分）必须编制于“附件（不公开部分）”，如下图所示。</w:t>
      </w:r>
    </w:p>
    <w:p>
      <w:pPr>
        <w:widowControl/>
        <w:jc w:val="left"/>
        <w:rPr>
          <w:rFonts w:ascii="宋体" w:hAnsi="宋体" w:cs="宋体"/>
          <w:kern w:val="0"/>
          <w:sz w:val="24"/>
        </w:rPr>
      </w:pPr>
      <w:r>
        <w:drawing>
          <wp:inline distT="0" distB="0" distL="114300" distR="114300">
            <wp:extent cx="5203190" cy="4043045"/>
            <wp:effectExtent l="0" t="0" r="8890" b="10795"/>
            <wp:docPr id="8"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66f322b8feee32c1a3f0d48f365c82"/>
                    <pic:cNvPicPr>
                      <a:picLocks noChangeAspect="1"/>
                    </pic:cNvPicPr>
                  </pic:nvPicPr>
                  <pic:blipFill>
                    <a:blip xmlns:r="http://schemas.openxmlformats.org/officeDocument/2006/relationships" r:embed="rId7"/>
                    <a:stretch>
                      <a:fillRect/>
                    </a:stretch>
                  </pic:blipFill>
                  <pic:spPr>
                    <a:xfrm>
                      <a:off x="0" y="0"/>
                      <a:ext cx="5203190" cy="4043045"/>
                    </a:xfrm>
                    <a:prstGeom prst="rect">
                      <a:avLst/>
                    </a:prstGeom>
                  </pic:spPr>
                </pic:pic>
              </a:graphicData>
            </a:graphic>
          </wp:inline>
        </w:drawing>
      </w:r>
    </w:p>
    <w:p>
      <w:pPr>
        <w:ind w:firstLine="420" w:firstLineChars="200"/>
        <w:rPr>
          <w:rFonts w:ascii="仿宋_GB2312" w:eastAsia="仿宋_GB2312"/>
          <w:sz w:val="24"/>
        </w:rPr>
      </w:pPr>
      <w:r>
        <w:rPr>
          <w:rFonts w:ascii="仿宋_GB2312" w:eastAsia="仿宋_GB2312" w:hint="eastAsia"/>
          <w:sz w:val="24"/>
        </w:rPr>
        <w:t>政府集中采购机构公布投标文件正文（信息公开部分）时为计算机截取信息自动公布，</w:t>
      </w:r>
      <w:r>
        <w:rPr>
          <w:rFonts w:ascii="仿宋_GB2312" w:eastAsia="仿宋_GB2312" w:hint="eastAsia"/>
          <w:b/>
          <w:bCs/>
          <w:sz w:val="24"/>
        </w:rPr>
        <w:t>如投标人误将涉及个人隐私的信息放入投标文件正文，相关后果由投标人自负；</w:t>
      </w:r>
      <w:r>
        <w:rPr>
          <w:rFonts w:ascii="仿宋_GB2312" w:eastAsia="仿宋_GB2312" w:hint="eastAsia"/>
          <w:sz w:val="24"/>
          <w:highlight w:val="yellow"/>
        </w:rPr>
        <w:t>如投标人将必须放于投标文件正文（信息公开部分）的内容放入投标文件附件（非信息公开部分），将作投标无效处理。</w:t>
      </w:r>
    </w:p>
    <w:p>
      <w:pPr>
        <w:ind w:firstLine="420" w:firstLineChars="200"/>
        <w:rPr>
          <w:rFonts w:ascii="仿宋_GB2312" w:eastAsia="仿宋_GB2312"/>
          <w:sz w:val="24"/>
        </w:rPr>
      </w:pPr>
    </w:p>
    <w:p>
      <w:pPr>
        <w:ind w:firstLine="420" w:firstLineChars="200"/>
        <w:rPr>
          <w:rFonts w:ascii="宋体" w:hAnsi="宋体"/>
          <w:b/>
          <w:sz w:val="24"/>
        </w:rPr>
      </w:pPr>
    </w:p>
    <w:p>
      <w:pPr>
        <w:rPr>
          <w:rFonts w:ascii="宋体" w:hAnsi="宋体" w:hint="eastAsia"/>
          <w:sz w:val="24"/>
        </w:rPr>
      </w:pPr>
      <w:r>
        <w:rPr>
          <w:rFonts w:ascii="宋体" w:hAnsi="宋体" w:hint="eastAsia"/>
          <w:sz w:val="24"/>
        </w:rPr>
        <w:br w:type="page"/>
      </w:r>
    </w:p>
    <w:p>
      <w:pPr>
        <w:rPr>
          <w:rFonts w:ascii="宋体" w:hAnsi="宋体"/>
          <w:b/>
          <w:bCs/>
          <w:sz w:val="24"/>
        </w:rPr>
      </w:pPr>
      <w:r>
        <w:rPr>
          <w:rFonts w:ascii="宋体" w:hAnsi="宋体" w:hint="eastAsia"/>
          <w:b/>
          <w:bCs/>
          <w:sz w:val="24"/>
        </w:rPr>
        <w:t>投标文件组成：</w:t>
      </w:r>
    </w:p>
    <w:p>
      <w:pPr>
        <w:ind w:firstLine="1050" w:firstLineChars="500"/>
        <w:outlineLvl w:val="0"/>
        <w:rPr>
          <w:rFonts w:ascii="宋体" w:hAnsi="宋体"/>
          <w:sz w:val="24"/>
        </w:rPr>
      </w:pPr>
      <w:r>
        <w:rPr>
          <w:rFonts w:ascii="宋体" w:hAnsi="宋体" w:hint="eastAsia"/>
          <w:sz w:val="24"/>
        </w:rPr>
        <w:t>1.投标文件正文</w:t>
      </w:r>
      <w:r>
        <w:rPr>
          <w:rFonts w:ascii="宋体" w:hAnsi="宋体" w:hint="eastAsia"/>
          <w:b/>
          <w:color w:val="FF0000"/>
          <w:sz w:val="24"/>
        </w:rPr>
        <w:t>（信息公开部分）</w:t>
      </w:r>
      <w:r>
        <w:rPr>
          <w:rFonts w:ascii="宋体" w:hAnsi="宋体" w:hint="eastAsia"/>
          <w:sz w:val="24"/>
        </w:rPr>
        <w:t>，主要包括以下内容：</w:t>
      </w:r>
    </w:p>
    <w:p>
      <w:pPr>
        <w:ind w:left="718" w:firstLine="1418" w:leftChars="342" w:firstLineChars="675"/>
        <w:rPr>
          <w:szCs w:val="21"/>
        </w:rPr>
      </w:pPr>
      <w:r>
        <w:rPr>
          <w:rFonts w:hint="eastAsia"/>
          <w:szCs w:val="21"/>
        </w:rPr>
        <w:t>（1）</w:t>
      </w:r>
      <w:bookmarkStart w:id="40" w:name="_Hlk72070784"/>
      <w:r>
        <w:rPr>
          <w:rFonts w:hint="eastAsia"/>
          <w:szCs w:val="21"/>
        </w:rPr>
        <w:t>投标函</w:t>
      </w:r>
      <w:bookmarkEnd w:id="40"/>
    </w:p>
    <w:p>
      <w:pPr>
        <w:ind w:left="718" w:firstLine="1418" w:leftChars="342" w:firstLineChars="675"/>
        <w:rPr>
          <w:szCs w:val="21"/>
        </w:rPr>
      </w:pPr>
      <w:r>
        <w:rPr>
          <w:rFonts w:hint="eastAsia"/>
          <w:szCs w:val="21"/>
        </w:rPr>
        <w:t>（2）</w:t>
      </w:r>
      <w:bookmarkStart w:id="41" w:name="_Hlk72062521"/>
      <w:r>
        <w:rPr>
          <w:rFonts w:hint="eastAsia"/>
          <w:szCs w:val="21"/>
        </w:rPr>
        <w:t>政府采购投标及履约承诺函</w:t>
      </w:r>
      <w:bookmarkEnd w:id="41"/>
    </w:p>
    <w:p>
      <w:pPr>
        <w:ind w:left="718" w:firstLine="1418" w:leftChars="342" w:firstLineChars="675"/>
        <w:rPr>
          <w:szCs w:val="21"/>
        </w:rPr>
      </w:pPr>
      <w:r>
        <w:rPr>
          <w:rFonts w:hint="eastAsia"/>
          <w:szCs w:val="21"/>
        </w:rPr>
        <w:t>（</w:t>
      </w:r>
      <w:r>
        <w:rPr>
          <w:szCs w:val="21"/>
        </w:rPr>
        <w:t>3</w:t>
      </w:r>
      <w:r>
        <w:rPr>
          <w:rFonts w:hint="eastAsia"/>
          <w:szCs w:val="21"/>
        </w:rPr>
        <w:t>）投标人情况及资格证明文件</w:t>
      </w:r>
    </w:p>
    <w:p>
      <w:pPr>
        <w:ind w:left="718" w:firstLine="1418" w:leftChars="342" w:firstLineChars="675"/>
        <w:rPr>
          <w:rFonts w:ascii="宋体" w:hAnsi="宋体"/>
          <w:szCs w:val="21"/>
        </w:rPr>
      </w:pPr>
      <w:bookmarkStart w:id="42" w:name="_Hlk72257201"/>
      <w:r>
        <w:rPr>
          <w:rFonts w:hint="eastAsia"/>
          <w:szCs w:val="21"/>
        </w:rPr>
        <w:t>（</w:t>
      </w:r>
      <w:r>
        <w:rPr>
          <w:szCs w:val="21"/>
        </w:rPr>
        <w:t>4</w:t>
      </w:r>
      <w:r>
        <w:rPr>
          <w:rFonts w:hint="eastAsia"/>
          <w:szCs w:val="21"/>
        </w:rPr>
        <w:t>）项目详细报价</w:t>
      </w:r>
      <w:bookmarkEnd w:id="42"/>
    </w:p>
    <w:p>
      <w:pPr>
        <w:ind w:left="718" w:firstLine="1418" w:leftChars="342" w:firstLineChars="675"/>
        <w:rPr>
          <w:rFonts w:ascii="宋体" w:eastAsia="宋体" w:hAnsi="宋体" w:cs="宋体" w:hint="eastAsia"/>
          <w:color w:val="auto"/>
          <w:sz w:val="21"/>
          <w:szCs w:val="21"/>
          <w:highlight w:val="none"/>
        </w:rPr>
      </w:pPr>
      <w:r>
        <w:rPr>
          <w:rFonts w:hint="eastAsia"/>
          <w:szCs w:val="21"/>
        </w:rPr>
        <w:t>（</w:t>
      </w:r>
      <w:r>
        <w:rPr>
          <w:rFonts w:hint="eastAsia"/>
          <w:szCs w:val="21"/>
          <w:lang w:val="en-US" w:eastAsia="zh-CN"/>
        </w:rPr>
        <w:t>5</w:t>
      </w:r>
      <w:r>
        <w:rPr>
          <w:rFonts w:hint="eastAsia"/>
          <w:szCs w:val="21"/>
        </w:rPr>
        <w:t>）</w:t>
      </w:r>
      <w:r>
        <w:rPr>
          <w:rFonts w:ascii="宋体" w:eastAsia="宋体" w:hAnsi="宋体" w:cs="宋体" w:hint="eastAsia"/>
          <w:color w:val="auto"/>
          <w:sz w:val="21"/>
          <w:szCs w:val="21"/>
          <w:highlight w:val="none"/>
        </w:rPr>
        <w:t>有效业绩</w:t>
      </w:r>
    </w:p>
    <w:p>
      <w:pPr>
        <w:ind w:left="718" w:firstLine="1418" w:leftChars="342" w:firstLineChars="675"/>
        <w:rPr>
          <w:rFonts w:hint="eastAsia"/>
          <w:szCs w:val="21"/>
        </w:rPr>
      </w:pPr>
      <w:r>
        <w:rPr>
          <w:rFonts w:hint="eastAsia"/>
          <w:szCs w:val="21"/>
        </w:rPr>
        <w:t>（</w:t>
      </w:r>
      <w:r>
        <w:rPr>
          <w:rFonts w:hint="eastAsia"/>
          <w:szCs w:val="21"/>
          <w:lang w:val="en-US" w:eastAsia="zh-CN"/>
        </w:rPr>
        <w:t>6</w:t>
      </w:r>
      <w:r>
        <w:rPr>
          <w:rFonts w:hint="eastAsia"/>
          <w:szCs w:val="21"/>
        </w:rPr>
        <w:t>）</w:t>
      </w:r>
      <w:r>
        <w:rPr>
          <w:rFonts w:ascii="宋体" w:eastAsia="宋体" w:hAnsi="宋体" w:cs="宋体" w:hint="eastAsia"/>
          <w:color w:val="auto"/>
          <w:sz w:val="21"/>
          <w:szCs w:val="21"/>
          <w:highlight w:val="none"/>
        </w:rPr>
        <w:t>服务承诺</w:t>
      </w:r>
    </w:p>
    <w:p>
      <w:pPr>
        <w:ind w:left="718" w:firstLine="1418" w:leftChars="342" w:firstLineChars="675"/>
        <w:rPr>
          <w:rFonts w:hint="eastAsia"/>
          <w:szCs w:val="21"/>
        </w:rPr>
      </w:pPr>
      <w:r>
        <w:rPr>
          <w:rFonts w:hint="eastAsia"/>
          <w:szCs w:val="21"/>
        </w:rPr>
        <w:t>（</w:t>
      </w:r>
      <w:r>
        <w:rPr>
          <w:rFonts w:hint="eastAsia"/>
          <w:szCs w:val="21"/>
          <w:lang w:val="en-US" w:eastAsia="zh-CN"/>
        </w:rPr>
        <w:t>7</w:t>
      </w:r>
      <w:r>
        <w:rPr>
          <w:rFonts w:hint="eastAsia"/>
          <w:szCs w:val="21"/>
        </w:rPr>
        <w:t>）</w:t>
      </w:r>
      <w:r>
        <w:rPr>
          <w:rFonts w:ascii="宋体" w:eastAsia="宋体" w:hAnsi="宋体" w:cs="宋体" w:hint="eastAsia"/>
          <w:color w:val="auto"/>
          <w:sz w:val="21"/>
          <w:szCs w:val="21"/>
          <w:highlight w:val="none"/>
        </w:rPr>
        <w:t>投标人获奖情况</w:t>
      </w:r>
    </w:p>
    <w:p>
      <w:pPr>
        <w:ind w:left="718" w:firstLine="1418" w:leftChars="342" w:firstLineChars="675"/>
        <w:rPr>
          <w:rFonts w:hint="eastAsia"/>
          <w:szCs w:val="21"/>
        </w:rPr>
      </w:pPr>
      <w:r>
        <w:rPr>
          <w:rFonts w:hint="eastAsia"/>
          <w:szCs w:val="21"/>
        </w:rPr>
        <w:t>（</w:t>
      </w:r>
      <w:r>
        <w:rPr>
          <w:rFonts w:hint="eastAsia"/>
          <w:szCs w:val="21"/>
          <w:lang w:val="en-US" w:eastAsia="zh-CN"/>
        </w:rPr>
        <w:t>8</w:t>
      </w:r>
      <w:r>
        <w:rPr>
          <w:rFonts w:hint="eastAsia"/>
          <w:szCs w:val="21"/>
        </w:rPr>
        <w:t>）</w:t>
      </w:r>
      <w:r>
        <w:rPr>
          <w:rFonts w:ascii="宋体" w:hAnsi="宋体" w:cs="宋体" w:hint="eastAsia"/>
          <w:color w:val="auto"/>
          <w:sz w:val="21"/>
          <w:szCs w:val="21"/>
          <w:highlight w:val="none"/>
          <w:lang w:val="en-US" w:eastAsia="zh-CN"/>
        </w:rPr>
        <w:t>资质</w:t>
      </w:r>
      <w:r>
        <w:rPr>
          <w:rFonts w:ascii="宋体" w:eastAsia="宋体" w:hAnsi="宋体" w:cs="宋体" w:hint="eastAsia"/>
          <w:color w:val="auto"/>
          <w:sz w:val="21"/>
          <w:szCs w:val="21"/>
          <w:highlight w:val="none"/>
        </w:rPr>
        <w:t>证书</w:t>
      </w:r>
    </w:p>
    <w:p>
      <w:pPr>
        <w:ind w:left="718" w:firstLine="1418" w:leftChars="342" w:firstLineChars="675"/>
        <w:rPr>
          <w:rFonts w:eastAsia="宋体" w:hint="eastAsia"/>
          <w:szCs w:val="21"/>
          <w:lang w:eastAsia="zh-CN"/>
        </w:rPr>
      </w:pPr>
      <w:r>
        <w:rPr>
          <w:rFonts w:hint="eastAsia"/>
          <w:szCs w:val="21"/>
        </w:rPr>
        <w:t>（</w:t>
      </w:r>
      <w:r>
        <w:rPr>
          <w:rFonts w:hint="eastAsia"/>
          <w:szCs w:val="21"/>
          <w:lang w:val="en-US" w:eastAsia="zh-CN"/>
        </w:rPr>
        <w:t>9</w:t>
      </w:r>
      <w:r>
        <w:rPr>
          <w:rFonts w:hint="eastAsia"/>
          <w:szCs w:val="21"/>
        </w:rPr>
        <w:t>）投标人认为需要加以说明的其他内容</w:t>
      </w:r>
      <w:r>
        <w:rPr>
          <w:rFonts w:hint="eastAsia"/>
          <w:szCs w:val="21"/>
          <w:lang w:eastAsia="zh-CN"/>
        </w:rPr>
        <w:t>（公开部分）</w:t>
      </w:r>
    </w:p>
    <w:p>
      <w:pPr>
        <w:ind w:firstLine="1050" w:firstLineChars="500"/>
        <w:outlineLvl w:val="0"/>
        <w:rPr>
          <w:rFonts w:ascii="宋体" w:hAnsi="宋体" w:hint="eastAsia"/>
          <w:sz w:val="24"/>
        </w:rPr>
      </w:pPr>
    </w:p>
    <w:p>
      <w:pPr>
        <w:ind w:firstLine="1050" w:firstLineChars="500"/>
        <w:outlineLvl w:val="0"/>
        <w:rPr>
          <w:rFonts w:ascii="宋体" w:hAnsi="宋体"/>
          <w:sz w:val="24"/>
        </w:rPr>
      </w:pPr>
      <w:r>
        <w:rPr>
          <w:rFonts w:ascii="宋体" w:hAnsi="宋体" w:hint="eastAsia"/>
          <w:sz w:val="24"/>
        </w:rPr>
        <w:t>2.投标文件附件</w:t>
      </w:r>
      <w:r>
        <w:rPr>
          <w:rFonts w:ascii="宋体" w:hAnsi="宋体" w:hint="eastAsia"/>
          <w:b/>
          <w:color w:val="FF0000"/>
          <w:sz w:val="24"/>
        </w:rPr>
        <w:t>（信息不公开部分）</w:t>
      </w:r>
      <w:r>
        <w:rPr>
          <w:rFonts w:ascii="宋体" w:hAnsi="宋体" w:hint="eastAsia"/>
          <w:sz w:val="24"/>
        </w:rPr>
        <w:t>：主要包括以下内容：</w:t>
      </w:r>
    </w:p>
    <w:p>
      <w:pPr>
        <w:ind w:left="718" w:firstLine="1418" w:leftChars="342" w:firstLineChars="675"/>
        <w:rPr>
          <w:rFonts w:hint="eastAsia"/>
          <w:szCs w:val="21"/>
        </w:rPr>
      </w:pPr>
      <w:r>
        <w:rPr>
          <w:rFonts w:hint="eastAsia"/>
          <w:szCs w:val="21"/>
        </w:rPr>
        <w:t>（1）法定代表人（负责人）证明书</w:t>
      </w:r>
    </w:p>
    <w:p>
      <w:pPr>
        <w:ind w:left="718" w:firstLine="1418" w:leftChars="342" w:firstLineChars="675"/>
        <w:rPr>
          <w:rFonts w:hint="eastAsia"/>
          <w:szCs w:val="21"/>
        </w:rPr>
      </w:pPr>
      <w:r>
        <w:rPr>
          <w:rFonts w:hint="eastAsia"/>
          <w:szCs w:val="21"/>
        </w:rPr>
        <w:t>（2）投标文件签署授权委托书</w:t>
      </w:r>
    </w:p>
    <w:p>
      <w:pPr>
        <w:ind w:left="718" w:firstLine="1418" w:leftChars="342" w:firstLineChars="675"/>
        <w:rPr>
          <w:rFonts w:hint="eastAsia"/>
          <w:szCs w:val="21"/>
        </w:rPr>
      </w:pPr>
      <w:r>
        <w:rPr>
          <w:rFonts w:hint="eastAsia"/>
          <w:szCs w:val="21"/>
        </w:rPr>
        <w:t>（3）实质性条款响应情况表</w:t>
      </w:r>
    </w:p>
    <w:p>
      <w:pPr>
        <w:ind w:left="718" w:firstLine="1418" w:leftChars="342" w:firstLineChars="675"/>
        <w:rPr>
          <w:rFonts w:hint="eastAsia"/>
          <w:szCs w:val="21"/>
        </w:rPr>
      </w:pPr>
      <w:r>
        <w:rPr>
          <w:rFonts w:hint="eastAsia"/>
          <w:szCs w:val="21"/>
        </w:rPr>
        <w:t>（</w:t>
      </w:r>
      <w:r>
        <w:rPr>
          <w:rFonts w:hint="eastAsia"/>
          <w:szCs w:val="21"/>
          <w:lang w:val="en-US" w:eastAsia="zh-CN"/>
        </w:rPr>
        <w:t>4</w:t>
      </w:r>
      <w:r>
        <w:rPr>
          <w:rFonts w:hint="eastAsia"/>
          <w:szCs w:val="21"/>
        </w:rPr>
        <w:t>）项目服务方案</w:t>
      </w:r>
    </w:p>
    <w:p>
      <w:pPr>
        <w:ind w:left="718" w:firstLine="1418" w:leftChars="342" w:firstLineChars="675"/>
        <w:rPr>
          <w:rFonts w:hint="eastAsia"/>
          <w:szCs w:val="21"/>
        </w:rPr>
      </w:pPr>
      <w:r>
        <w:rPr>
          <w:rFonts w:hint="eastAsia"/>
          <w:szCs w:val="21"/>
        </w:rPr>
        <w:t>（</w:t>
      </w:r>
      <w:r>
        <w:rPr>
          <w:rFonts w:hint="eastAsia"/>
          <w:szCs w:val="21"/>
          <w:lang w:val="en-US" w:eastAsia="zh-CN"/>
        </w:rPr>
        <w:t>5</w:t>
      </w:r>
      <w:r>
        <w:rPr>
          <w:rFonts w:hint="eastAsia"/>
          <w:szCs w:val="21"/>
        </w:rPr>
        <w:t>）项目重点难点分析、应对措施及相关的合理化建议</w:t>
      </w:r>
    </w:p>
    <w:p>
      <w:pPr>
        <w:ind w:left="718" w:firstLine="1418" w:leftChars="342" w:firstLineChars="675"/>
        <w:rPr>
          <w:rFonts w:hint="eastAsia"/>
          <w:szCs w:val="21"/>
        </w:rPr>
      </w:pPr>
      <w:r>
        <w:rPr>
          <w:rFonts w:hint="eastAsia"/>
          <w:szCs w:val="21"/>
        </w:rPr>
        <w:t>（</w:t>
      </w:r>
      <w:r>
        <w:rPr>
          <w:rFonts w:hint="eastAsia"/>
          <w:szCs w:val="21"/>
          <w:lang w:val="en-US" w:eastAsia="zh-CN"/>
        </w:rPr>
        <w:t>6</w:t>
      </w:r>
      <w:r>
        <w:rPr>
          <w:rFonts w:hint="eastAsia"/>
          <w:szCs w:val="21"/>
        </w:rPr>
        <w:t>）质量保障措施</w:t>
      </w:r>
    </w:p>
    <w:p>
      <w:pPr>
        <w:ind w:left="718" w:firstLine="1418" w:leftChars="342" w:firstLineChars="675"/>
        <w:rPr>
          <w:rFonts w:hint="eastAsia"/>
          <w:szCs w:val="21"/>
        </w:rPr>
      </w:pPr>
      <w:r>
        <w:rPr>
          <w:rFonts w:hint="eastAsia"/>
          <w:szCs w:val="21"/>
        </w:rPr>
        <w:t>（</w:t>
      </w:r>
      <w:r>
        <w:rPr>
          <w:rFonts w:hint="eastAsia"/>
          <w:szCs w:val="21"/>
          <w:lang w:val="en-US" w:eastAsia="zh-CN"/>
        </w:rPr>
        <w:t>7</w:t>
      </w:r>
      <w:r>
        <w:rPr>
          <w:rFonts w:hint="eastAsia"/>
          <w:szCs w:val="21"/>
        </w:rPr>
        <w:t>）拟安排的项目负责人情况</w:t>
      </w:r>
    </w:p>
    <w:p>
      <w:pPr>
        <w:ind w:left="718" w:firstLine="1418" w:leftChars="342" w:firstLineChars="675"/>
        <w:rPr>
          <w:rFonts w:hint="eastAsia"/>
          <w:szCs w:val="21"/>
        </w:rPr>
      </w:pPr>
      <w:r>
        <w:rPr>
          <w:rFonts w:hint="eastAsia"/>
          <w:szCs w:val="21"/>
        </w:rPr>
        <w:t>（</w:t>
      </w:r>
      <w:r>
        <w:rPr>
          <w:rFonts w:hint="eastAsia"/>
          <w:szCs w:val="21"/>
          <w:lang w:val="en-US" w:eastAsia="zh-CN"/>
        </w:rPr>
        <w:t>8</w:t>
      </w:r>
      <w:r>
        <w:rPr>
          <w:rFonts w:hint="eastAsia"/>
          <w:szCs w:val="21"/>
        </w:rPr>
        <w:t>）拟安排的项目团队成员情况（项目负责人除外）</w:t>
      </w:r>
    </w:p>
    <w:p>
      <w:pPr>
        <w:ind w:left="718" w:firstLine="1418" w:leftChars="342" w:firstLineChars="675"/>
        <w:rPr>
          <w:rFonts w:hint="eastAsia"/>
          <w:szCs w:val="21"/>
          <w:lang w:eastAsia="zh-CN"/>
        </w:rPr>
      </w:pPr>
      <w:r>
        <w:rPr>
          <w:rFonts w:hint="eastAsia"/>
          <w:szCs w:val="21"/>
        </w:rPr>
        <w:t>（</w:t>
      </w:r>
      <w:r>
        <w:rPr>
          <w:rFonts w:hint="eastAsia"/>
          <w:szCs w:val="21"/>
          <w:lang w:val="en-US" w:eastAsia="zh-CN"/>
        </w:rPr>
        <w:t>9</w:t>
      </w:r>
      <w:r>
        <w:rPr>
          <w:rFonts w:hint="eastAsia"/>
          <w:szCs w:val="21"/>
        </w:rPr>
        <w:t>）投标人认为需要加以说明的其他内容</w:t>
      </w:r>
      <w:r>
        <w:rPr>
          <w:rFonts w:hint="eastAsia"/>
          <w:szCs w:val="21"/>
          <w:lang w:eastAsia="zh-CN"/>
        </w:rPr>
        <w:t>（</w:t>
      </w:r>
      <w:r>
        <w:rPr>
          <w:rFonts w:hint="eastAsia"/>
          <w:szCs w:val="21"/>
          <w:lang w:val="en-US" w:eastAsia="zh-CN"/>
        </w:rPr>
        <w:t>不</w:t>
      </w:r>
      <w:r>
        <w:rPr>
          <w:rFonts w:hint="eastAsia"/>
          <w:szCs w:val="21"/>
          <w:lang w:eastAsia="zh-CN"/>
        </w:rPr>
        <w:t>公开部分）</w:t>
      </w:r>
    </w:p>
    <w:p>
      <w:pPr>
        <w:rPr>
          <w:rFonts w:ascii="仿宋_GB2312" w:eastAsia="仿宋_GB2312"/>
          <w:sz w:val="24"/>
        </w:rPr>
      </w:pPr>
    </w:p>
    <w:p>
      <w:pPr>
        <w:ind w:firstLine="424" w:firstLineChars="202"/>
        <w:rPr>
          <w:rFonts w:ascii="宋体" w:hAnsi="宋体"/>
          <w:b/>
          <w:szCs w:val="21"/>
        </w:rPr>
      </w:pPr>
      <w:r>
        <w:rPr>
          <w:rFonts w:ascii="宋体" w:hAnsi="宋体" w:hint="eastAsia"/>
          <w:b/>
          <w:szCs w:val="21"/>
        </w:rPr>
        <w:t>备注：</w:t>
      </w:r>
    </w:p>
    <w:p>
      <w:pPr>
        <w:ind w:firstLine="424" w:firstLineChars="202"/>
        <w:rPr>
          <w:rFonts w:ascii="宋体" w:hAnsi="宋体"/>
          <w:b/>
          <w:szCs w:val="21"/>
        </w:rPr>
      </w:pPr>
      <w:r>
        <w:rPr>
          <w:rFonts w:ascii="宋体" w:hAnsi="宋体" w:hint="eastAsia"/>
          <w:b/>
          <w:szCs w:val="21"/>
        </w:rPr>
        <w:t>1.本项目为网上电子投标项目，投标文件不需法人或授权委托人另行签字，无需加盖单位公章，招标文件专用条款另有规定的除外。</w:t>
      </w:r>
    </w:p>
    <w:p>
      <w:pPr>
        <w:ind w:firstLine="424" w:firstLineChars="202"/>
        <w:rPr>
          <w:rFonts w:ascii="宋体" w:hAnsi="宋体"/>
          <w:b/>
          <w:szCs w:val="21"/>
        </w:rPr>
      </w:pPr>
      <w:r>
        <w:rPr>
          <w:rFonts w:ascii="宋体" w:hAnsi="宋体" w:hint="eastAsia"/>
          <w:b/>
          <w:szCs w:val="21"/>
        </w:rPr>
        <w:t>2.关于填写“开标一览表”的说明：“开标一览表”中除“投标总价”外，其他信息不作评审依据。</w:t>
      </w:r>
    </w:p>
    <w:p>
      <w:pPr>
        <w:rPr>
          <w:rFonts w:ascii="仿宋_GB2312" w:eastAsia="仿宋_GB2312"/>
          <w:sz w:val="24"/>
        </w:rPr>
      </w:pPr>
    </w:p>
    <w:p>
      <w:pPr>
        <w:ind w:firstLine="424" w:firstLineChars="202"/>
        <w:rPr>
          <w:rFonts w:ascii="宋体" w:hAnsi="宋体"/>
          <w:b/>
          <w:szCs w:val="21"/>
        </w:rPr>
      </w:pPr>
    </w:p>
    <w:p>
      <w:pPr>
        <w:ind w:firstLine="424" w:firstLineChars="202"/>
        <w:rPr>
          <w:rFonts w:ascii="宋体" w:hAnsi="宋体"/>
          <w:b/>
          <w:szCs w:val="21"/>
        </w:rPr>
      </w:pPr>
    </w:p>
    <w:p>
      <w:pPr>
        <w:jc w:val="left"/>
        <w:rPr>
          <w:rFonts w:ascii="宋体" w:hAnsi="宋体"/>
          <w:b/>
          <w:color w:val="FF0000"/>
          <w:sz w:val="36"/>
          <w:szCs w:val="36"/>
        </w:rPr>
      </w:pPr>
      <w:r>
        <w:rPr>
          <w:rFonts w:ascii="宋体" w:hAnsi="宋体" w:hint="eastAsia"/>
          <w:b/>
          <w:color w:val="FF0000"/>
          <w:sz w:val="36"/>
          <w:szCs w:val="36"/>
        </w:rPr>
        <w:br w:type="page"/>
      </w:r>
    </w:p>
    <w:p>
      <w:pPr>
        <w:outlineLvl w:val="1"/>
        <w:rPr>
          <w:rFonts w:ascii="宋体" w:hAnsi="宋体"/>
          <w:b/>
          <w:color w:val="FF0000"/>
          <w:sz w:val="28"/>
          <w:szCs w:val="28"/>
        </w:rPr>
      </w:pPr>
      <w:r>
        <w:rPr>
          <w:rFonts w:ascii="宋体" w:hAnsi="宋体" w:hint="eastAsia"/>
          <w:b/>
          <w:color w:val="FF0000"/>
          <w:sz w:val="28"/>
          <w:szCs w:val="28"/>
        </w:rPr>
        <w:t>投标文件正文（信息公开部分）</w:t>
      </w:r>
    </w:p>
    <w:p>
      <w:pPr>
        <w:pStyle w:val="Heading3"/>
        <w:jc w:val="center"/>
        <w:rPr>
          <w:rFonts w:ascii="黑体" w:eastAsia="黑体"/>
          <w:b w:val="0"/>
          <w:kern w:val="0"/>
          <w:sz w:val="24"/>
        </w:rPr>
      </w:pPr>
      <w:r>
        <w:rPr>
          <w:rFonts w:ascii="黑体" w:eastAsia="黑体" w:hint="eastAsia"/>
          <w:b w:val="0"/>
          <w:kern w:val="0"/>
          <w:sz w:val="24"/>
        </w:rPr>
        <w:t>一、投标函</w:t>
      </w:r>
    </w:p>
    <w:p>
      <w:pPr>
        <w:spacing w:line="360" w:lineRule="auto"/>
        <w:rPr>
          <w:rFonts w:ascii="宋体" w:hAnsi="宋体"/>
          <w:szCs w:val="21"/>
        </w:rPr>
      </w:pPr>
      <w:r>
        <w:rPr>
          <w:rFonts w:ascii="宋体" w:hAnsi="宋体" w:hint="eastAsia"/>
          <w:szCs w:val="21"/>
        </w:rPr>
        <w:t>致：</w:t>
      </w:r>
      <w:r>
        <w:rPr>
          <w:rFonts w:ascii="宋体" w:hAnsi="宋体" w:hint="eastAsia"/>
          <w:szCs w:val="21"/>
          <w:u w:val="single"/>
        </w:rPr>
        <w:t xml:space="preserve">  </w:t>
      </w:r>
      <w:r>
        <w:rPr>
          <w:rFonts w:ascii="宋体" w:hAnsi="宋体" w:hint="eastAsia"/>
          <w:color w:val="FF0000"/>
          <w:szCs w:val="21"/>
          <w:u w:val="single"/>
        </w:rPr>
        <w:t>深圳公共资源交易中心</w:t>
      </w:r>
      <w:r>
        <w:rPr>
          <w:rFonts w:ascii="宋体" w:hAnsi="宋体" w:hint="eastAsia"/>
          <w:szCs w:val="21"/>
          <w:u w:val="single"/>
        </w:rPr>
        <w:t xml:space="preserve">  </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szCs w:val="21"/>
        </w:rPr>
      </w:pPr>
      <w:bookmarkStart w:id="43" w:name="_Hlk73818812"/>
      <w:r>
        <w:rPr>
          <w:rFonts w:hint="eastAsia"/>
          <w:szCs w:val="21"/>
        </w:rPr>
        <w:t>1、根据已收到贵单位的项目编号为</w:t>
      </w:r>
      <w:r>
        <w:rPr>
          <w:rFonts w:hint="eastAsia"/>
          <w:szCs w:val="21"/>
          <w:u w:val="single"/>
        </w:rPr>
        <w:t xml:space="preserve">        </w:t>
      </w:r>
      <w:r>
        <w:rPr>
          <w:rFonts w:hint="eastAsia"/>
          <w:szCs w:val="21"/>
        </w:rPr>
        <w:t>的</w:t>
      </w:r>
      <w:r>
        <w:rPr>
          <w:rFonts w:hint="eastAsia"/>
          <w:szCs w:val="21"/>
          <w:u w:val="single"/>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44" w:name="_Hlk72263588"/>
      <w:r>
        <w:rPr>
          <w:rFonts w:hint="eastAsia"/>
          <w:szCs w:val="21"/>
        </w:rPr>
        <w:t>愿意按照招标文件要求承包上述项目并修补其任何缺陷。</w:t>
      </w:r>
      <w:bookmarkEnd w:id="44"/>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szCs w:val="21"/>
        </w:rPr>
      </w:pPr>
      <w:r>
        <w:rPr>
          <w:rFonts w:ascii="宋体" w:hAnsi="宋体"/>
          <w:szCs w:val="21"/>
        </w:rPr>
        <w:t>2</w:t>
      </w:r>
      <w:r>
        <w:rPr>
          <w:rFonts w:ascii="宋体" w:hAnsi="宋体" w:hint="eastAsia"/>
          <w:szCs w:val="21"/>
        </w:rPr>
        <w:t>、投标价格见</w:t>
      </w:r>
      <w:r>
        <w:rPr>
          <w:rFonts w:hint="eastAsia"/>
          <w:szCs w:val="21"/>
        </w:rPr>
        <w:t>投标书编制软件中《开标一览表》中填写的投标总价。</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szCs w:val="21"/>
        </w:rPr>
      </w:pPr>
      <w:r>
        <w:rPr>
          <w:rFonts w:ascii="宋体" w:hAnsi="宋体" w:hint="eastAsia"/>
          <w:szCs w:val="21"/>
        </w:rPr>
        <w:t>3、如果我单位中标，我单位将按照招标文件的要求足额提交履约担保。</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szCs w:val="21"/>
        </w:rPr>
      </w:pPr>
      <w:r>
        <w:rPr>
          <w:rFonts w:ascii="宋体" w:hAnsi="宋体" w:hint="eastAsia"/>
          <w:szCs w:val="21"/>
        </w:rPr>
        <w:t>4、我单位同意所递交的投标文件在“对通用条款的补充内容”中明确的投标有效期内有效，在此期间内我单位的投标有可能中标，我方将受此约束。</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szCs w:val="21"/>
        </w:rPr>
      </w:pPr>
      <w:r>
        <w:rPr>
          <w:rFonts w:ascii="宋体" w:hAnsi="宋体" w:hint="eastAsia"/>
          <w:szCs w:val="21"/>
        </w:rPr>
        <w:t>5、除非另外达成协议并生效，贵单位的中标通知书和本投标文件将构成合同的重要内容。</w:t>
      </w:r>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hint="eastAsia"/>
          <w:szCs w:val="21"/>
        </w:rPr>
      </w:pPr>
      <w:r>
        <w:rPr>
          <w:rFonts w:ascii="宋体" w:hAnsi="宋体" w:hint="eastAsia"/>
          <w:szCs w:val="21"/>
        </w:rPr>
        <w:t>6、我单位理解贵单位将不受必须接受所收到的最低报价或其它任何投标文件的约束。</w:t>
      </w:r>
      <w:bookmarkEnd w:id="43"/>
    </w:p>
    <w:p>
      <w:pPr>
        <w:keepNext w:val="0"/>
        <w:keepLines w:val="0"/>
        <w:pageBreakBefore w:val="0"/>
        <w:widowControl w:val="0"/>
        <w:kinsoku/>
        <w:wordWrap/>
        <w:overflowPunct/>
        <w:topLinePunct w:val="0"/>
        <w:autoSpaceDE/>
        <w:autoSpaceDN/>
        <w:bidi w:val="0"/>
        <w:adjustRightInd/>
        <w:snapToGrid/>
        <w:ind w:left="0" w:firstLine="420" w:leftChars="0" w:firstLineChars="200"/>
        <w:textAlignment w:val="auto"/>
        <w:rPr>
          <w:rFonts w:ascii="宋体" w:hAnsi="宋体" w:hint="eastAsia"/>
          <w:b/>
          <w:szCs w:val="21"/>
        </w:rPr>
      </w:pPr>
      <w:r>
        <w:rPr>
          <w:rFonts w:ascii="宋体" w:hAnsi="宋体" w:hint="eastAsia"/>
          <w:b/>
          <w:szCs w:val="21"/>
        </w:rPr>
        <w:t>7</w:t>
      </w:r>
      <w:r>
        <w:rPr>
          <w:rFonts w:ascii="宋体" w:hAnsi="宋体"/>
          <w:b/>
          <w:szCs w:val="21"/>
        </w:rPr>
        <w:t>、如我单位提交样品，且未在规定时间内取回样品的，视同放弃取回，同意深圳公共资源交易中心对我单位提交的样品进行清理。</w:t>
      </w:r>
    </w:p>
    <w:p>
      <w:pPr>
        <w:ind w:left="420" w:leftChars="200"/>
        <w:rPr>
          <w:szCs w:val="21"/>
          <w:u w:val="single"/>
        </w:rPr>
      </w:pPr>
      <w:r>
        <w:rPr>
          <w:rFonts w:hint="eastAsia"/>
          <w:szCs w:val="21"/>
        </w:rPr>
        <w:t>投标人：</w:t>
      </w:r>
      <w:r>
        <w:rPr>
          <w:rFonts w:hint="eastAsia"/>
          <w:szCs w:val="21"/>
          <w:u w:val="single"/>
        </w:rPr>
        <w:t xml:space="preserve">                   </w:t>
      </w:r>
      <w:r>
        <w:rPr>
          <w:rFonts w:hint="eastAsia"/>
          <w:szCs w:val="21"/>
        </w:rPr>
        <w:t xml:space="preserve">    单位地址：</w:t>
      </w:r>
      <w:r>
        <w:rPr>
          <w:rFonts w:hint="eastAsia"/>
          <w:szCs w:val="21"/>
          <w:u w:val="single"/>
        </w:rPr>
        <w:t xml:space="preserve">               </w:t>
      </w:r>
    </w:p>
    <w:p>
      <w:pPr>
        <w:ind w:left="540" w:leftChars="257"/>
        <w:rPr>
          <w:szCs w:val="21"/>
          <w:u w:val="single"/>
        </w:rPr>
      </w:pPr>
      <w:r>
        <w:rPr>
          <w:rFonts w:hint="eastAsia"/>
          <w:szCs w:val="21"/>
        </w:rPr>
        <w:t>法定代表人（负责人）或其代理人：</w:t>
      </w:r>
      <w:r>
        <w:rPr>
          <w:rFonts w:hint="eastAsia"/>
          <w:szCs w:val="21"/>
          <w:u w:val="single"/>
        </w:rPr>
        <w:t xml:space="preserve">                   </w:t>
      </w:r>
    </w:p>
    <w:p>
      <w:pPr>
        <w:ind w:left="540" w:leftChars="257"/>
        <w:rPr>
          <w:szCs w:val="21"/>
          <w:u w:val="single"/>
        </w:rPr>
      </w:pPr>
      <w:r>
        <w:rPr>
          <w:rFonts w:hint="eastAsia"/>
          <w:szCs w:val="21"/>
        </w:rPr>
        <w:t>邮政编码：</w:t>
      </w:r>
      <w:r>
        <w:rPr>
          <w:rFonts w:hint="eastAsia"/>
          <w:szCs w:val="21"/>
          <w:u w:val="single"/>
        </w:rPr>
        <w:t xml:space="preserve">          </w:t>
      </w:r>
      <w:r>
        <w:rPr>
          <w:rFonts w:hint="eastAsia"/>
          <w:szCs w:val="21"/>
        </w:rPr>
        <w:t xml:space="preserve">  电话：</w:t>
      </w:r>
      <w:r>
        <w:rPr>
          <w:rFonts w:hint="eastAsia"/>
          <w:szCs w:val="21"/>
          <w:u w:val="single"/>
        </w:rPr>
        <w:t xml:space="preserve">          </w:t>
      </w:r>
      <w:r>
        <w:rPr>
          <w:rFonts w:hint="eastAsia"/>
          <w:szCs w:val="21"/>
        </w:rPr>
        <w:t xml:space="preserve">  传真：</w:t>
      </w:r>
      <w:r>
        <w:rPr>
          <w:rFonts w:hint="eastAsia"/>
          <w:szCs w:val="21"/>
          <w:u w:val="single"/>
        </w:rPr>
        <w:t xml:space="preserve">            </w:t>
      </w:r>
    </w:p>
    <w:p>
      <w:pPr>
        <w:ind w:left="540" w:leftChars="257"/>
        <w:rPr>
          <w:szCs w:val="21"/>
        </w:rPr>
      </w:pPr>
    </w:p>
    <w:p>
      <w:pPr>
        <w:ind w:firstLine="540" w:firstLineChars="257"/>
        <w:rPr>
          <w:sz w:val="24"/>
        </w:rPr>
      </w:pPr>
      <w:r>
        <w:rPr>
          <w:rFonts w:ascii="宋体" w:hAnsi="宋体" w:hint="eastAsia"/>
          <w:szCs w:val="21"/>
        </w:rPr>
        <w:t>日期：</w:t>
      </w:r>
      <w:r>
        <w:rPr>
          <w:rFonts w:ascii="宋体" w:hAnsi="宋体" w:hint="eastAsia"/>
          <w:szCs w:val="21"/>
          <w:u w:val="single"/>
        </w:rPr>
        <w:t xml:space="preserve">       </w:t>
      </w:r>
      <w:r>
        <w:rPr>
          <w:rFonts w:ascii="宋体" w:hAnsi="宋体" w:hint="eastAsia"/>
          <w:szCs w:val="21"/>
        </w:rPr>
        <w:t>年</w:t>
      </w:r>
      <w:r>
        <w:rPr>
          <w:rFonts w:ascii="宋体" w:hAnsi="宋体" w:hint="eastAsia"/>
          <w:szCs w:val="21"/>
          <w:u w:val="single"/>
        </w:rPr>
        <w:t xml:space="preserve">     </w:t>
      </w:r>
      <w:r>
        <w:rPr>
          <w:rFonts w:ascii="宋体" w:hAnsi="宋体" w:hint="eastAsia"/>
          <w:szCs w:val="21"/>
        </w:rPr>
        <w:t>月</w:t>
      </w:r>
      <w:r>
        <w:rPr>
          <w:rFonts w:ascii="宋体" w:hAnsi="宋体" w:hint="eastAsia"/>
          <w:szCs w:val="21"/>
          <w:u w:val="single"/>
        </w:rPr>
        <w:t xml:space="preserve">    </w:t>
      </w:r>
      <w:r>
        <w:rPr>
          <w:rFonts w:ascii="宋体" w:hAnsi="宋体" w:hint="eastAsia"/>
          <w:szCs w:val="21"/>
        </w:rPr>
        <w:t>日</w:t>
      </w:r>
      <w:r>
        <w:rPr>
          <w:rFonts w:hint="eastAsia"/>
          <w:sz w:val="24"/>
        </w:rPr>
        <w:t xml:space="preserve">                                </w:t>
      </w:r>
    </w:p>
    <w:p>
      <w:pPr>
        <w:rPr>
          <w:rFonts w:ascii="黑体" w:eastAsia="黑体" w:hAnsi="宋体"/>
        </w:rPr>
      </w:pPr>
    </w:p>
    <w:p>
      <w:pPr>
        <w:rPr>
          <w:rFonts w:ascii="黑体" w:eastAsia="黑体" w:hint="eastAsia"/>
          <w:b w:val="0"/>
          <w:kern w:val="0"/>
          <w:sz w:val="24"/>
        </w:rPr>
      </w:pPr>
      <w:r>
        <w:rPr>
          <w:rFonts w:ascii="黑体" w:eastAsia="黑体" w:hint="eastAsia"/>
          <w:b w:val="0"/>
          <w:kern w:val="0"/>
          <w:sz w:val="24"/>
        </w:rPr>
        <w:br w:type="page"/>
      </w:r>
    </w:p>
    <w:p>
      <w:pPr>
        <w:pStyle w:val="Heading3"/>
        <w:jc w:val="center"/>
        <w:rPr>
          <w:rFonts w:ascii="黑体" w:eastAsia="黑体"/>
          <w:b w:val="0"/>
          <w:kern w:val="0"/>
          <w:sz w:val="24"/>
        </w:rPr>
      </w:pPr>
      <w:r>
        <w:rPr>
          <w:rFonts w:ascii="黑体" w:eastAsia="黑体" w:hint="eastAsia"/>
          <w:b w:val="0"/>
          <w:kern w:val="0"/>
          <w:sz w:val="24"/>
        </w:rPr>
        <w:t>二、政府采购投标及履约承诺函</w:t>
      </w:r>
    </w:p>
    <w:p>
      <w:pPr>
        <w:rPr>
          <w:rFonts w:ascii="宋体" w:hAnsi="宋体"/>
          <w:sz w:val="24"/>
        </w:rPr>
      </w:pPr>
    </w:p>
    <w:p>
      <w:pPr>
        <w:rPr>
          <w:rFonts w:ascii="宋体" w:hAnsi="宋体"/>
          <w:color w:val="FF0000"/>
          <w:szCs w:val="21"/>
        </w:rPr>
      </w:pPr>
      <w:r>
        <w:rPr>
          <w:rFonts w:ascii="宋体" w:hAnsi="宋体" w:hint="eastAsia"/>
          <w:color w:val="FF0000"/>
          <w:szCs w:val="21"/>
        </w:rPr>
        <w:t>致：</w:t>
      </w:r>
      <w:r>
        <w:rPr>
          <w:rFonts w:ascii="宋体" w:hAnsi="宋体" w:hint="eastAsia"/>
          <w:color w:val="FF0000"/>
          <w:szCs w:val="21"/>
          <w:u w:val="single"/>
        </w:rPr>
        <w:t>深圳公共资源交易中心</w:t>
      </w:r>
    </w:p>
    <w:p>
      <w:pPr>
        <w:ind w:right="-815" w:firstLine="420" w:firstLineChars="200"/>
        <w:rPr>
          <w:rFonts w:ascii="宋体" w:hAnsi="宋体"/>
          <w:szCs w:val="21"/>
        </w:rPr>
      </w:pPr>
      <w:r>
        <w:rPr>
          <w:rFonts w:ascii="宋体" w:hAnsi="宋体" w:hint="eastAsia"/>
          <w:szCs w:val="21"/>
        </w:rPr>
        <w:t>我单位承诺：</w:t>
      </w:r>
    </w:p>
    <w:p>
      <w:pPr>
        <w:ind w:firstLine="420" w:firstLineChars="200"/>
        <w:rPr>
          <w:rFonts w:ascii="宋体" w:hAnsi="宋体"/>
          <w:szCs w:val="21"/>
        </w:rPr>
      </w:pPr>
      <w:r>
        <w:rPr>
          <w:rFonts w:ascii="宋体" w:hAnsi="宋体" w:hint="eastAsia"/>
          <w:szCs w:val="21"/>
        </w:rPr>
        <w:t>1.我单位参与本项目</w:t>
      </w:r>
      <w:r>
        <w:rPr>
          <w:rFonts w:ascii="宋体" w:hAnsi="宋体" w:hint="eastAsia"/>
        </w:rPr>
        <w:t>所投标（响应）的货物、工程或服务，不存在侵犯知识产权的情况。</w:t>
      </w:r>
    </w:p>
    <w:p>
      <w:pPr>
        <w:ind w:firstLine="420" w:firstLineChars="200"/>
        <w:rPr>
          <w:rFonts w:ascii="宋体" w:hAnsi="宋体"/>
          <w:szCs w:val="21"/>
        </w:rPr>
      </w:pPr>
      <w:r>
        <w:rPr>
          <w:rFonts w:ascii="宋体" w:hAnsi="宋体" w:hint="eastAsia"/>
          <w:szCs w:val="21"/>
        </w:rPr>
        <w:t>2.我单位参与本项目</w:t>
      </w:r>
      <w:r>
        <w:rPr>
          <w:rFonts w:hint="eastAsia"/>
        </w:rPr>
        <w:t>政府采购活动时不存在被有关部门禁止参与政府采购活动且在有效期内的情况。</w:t>
      </w:r>
    </w:p>
    <w:p>
      <w:pPr>
        <w:ind w:firstLine="420" w:firstLineChars="200"/>
        <w:rPr>
          <w:rFonts w:ascii="宋体" w:hAnsi="宋体"/>
          <w:szCs w:val="21"/>
        </w:rPr>
      </w:pPr>
      <w:r>
        <w:rPr>
          <w:rFonts w:ascii="宋体" w:hAnsi="宋体" w:hint="eastAsia"/>
          <w:szCs w:val="21"/>
        </w:rPr>
        <w:t>3.我单位具备《中华人民共和国政府采购法》第二十二条第一款规定的六项条件。</w:t>
      </w:r>
    </w:p>
    <w:p>
      <w:pPr>
        <w:ind w:firstLine="420" w:firstLineChars="200"/>
        <w:rPr>
          <w:rFonts w:ascii="宋体" w:eastAsia="宋体" w:hAnsi="宋体" w:hint="eastAsia"/>
          <w:szCs w:val="21"/>
          <w:lang w:eastAsia="zh-CN"/>
        </w:rPr>
      </w:pPr>
      <w:r>
        <w:rPr>
          <w:rFonts w:ascii="宋体" w:hAnsi="宋体" w:hint="eastAsia"/>
          <w:szCs w:val="21"/>
        </w:rPr>
        <w:t>4.我单位</w:t>
      </w:r>
      <w:r>
        <w:rPr>
          <w:rFonts w:hint="eastAsia"/>
        </w:rPr>
        <w:t>未被列入失信被执行人、重大税收违法案件当事人名单、政府采购严重违法失信行为记录名单</w:t>
      </w:r>
      <w:r>
        <w:rPr>
          <w:rFonts w:hint="eastAsia"/>
          <w:lang w:eastAsia="zh-CN"/>
        </w:rPr>
        <w:t>。</w:t>
      </w:r>
    </w:p>
    <w:p>
      <w:pPr>
        <w:ind w:firstLine="420" w:firstLineChars="200"/>
        <w:rPr>
          <w:rFonts w:ascii="宋体" w:hAnsi="宋体"/>
          <w:szCs w:val="21"/>
        </w:rPr>
      </w:pPr>
      <w:r>
        <w:rPr>
          <w:rFonts w:ascii="宋体" w:hAnsi="宋体" w:hint="eastAsia"/>
          <w:szCs w:val="21"/>
        </w:rPr>
        <w:t>5.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pPr>
        <w:ind w:firstLine="420" w:firstLineChars="200"/>
        <w:rPr>
          <w:rFonts w:ascii="宋体" w:hAnsi="宋体"/>
          <w:szCs w:val="21"/>
        </w:rPr>
      </w:pPr>
      <w:r>
        <w:rPr>
          <w:rFonts w:ascii="宋体" w:hAnsi="宋体" w:hint="eastAsia"/>
          <w:szCs w:val="21"/>
        </w:rPr>
        <w:t>6.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pPr>
        <w:ind w:firstLine="420" w:firstLineChars="200"/>
        <w:rPr>
          <w:rFonts w:ascii="宋体" w:hAnsi="宋体"/>
          <w:szCs w:val="21"/>
        </w:rPr>
      </w:pPr>
      <w:r>
        <w:rPr>
          <w:rFonts w:ascii="宋体" w:hAnsi="宋体" w:hint="eastAsia"/>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pPr>
        <w:ind w:firstLine="420" w:firstLineChars="200"/>
        <w:rPr>
          <w:rFonts w:ascii="宋体" w:hAnsi="宋体"/>
          <w:szCs w:val="21"/>
        </w:rPr>
      </w:pPr>
      <w:r>
        <w:rPr>
          <w:rFonts w:ascii="宋体" w:hAnsi="宋体" w:hint="eastAsia"/>
          <w:szCs w:val="21"/>
        </w:rPr>
        <w:t>7.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pPr>
        <w:ind w:firstLine="420" w:firstLineChars="200"/>
        <w:rPr>
          <w:rFonts w:ascii="宋体" w:hAnsi="宋体"/>
          <w:szCs w:val="21"/>
        </w:rPr>
      </w:pPr>
      <w:r>
        <w:rPr>
          <w:rFonts w:ascii="宋体" w:hAnsi="宋体" w:hint="eastAsia"/>
          <w:szCs w:val="21"/>
        </w:rPr>
        <w:t>8.我单位承诺中标后项目不转包，未经采购人同意不进行分包。</w:t>
      </w:r>
    </w:p>
    <w:p>
      <w:pPr>
        <w:ind w:firstLine="420" w:firstLineChars="200"/>
        <w:rPr>
          <w:rFonts w:ascii="宋体" w:hAnsi="宋体"/>
        </w:rPr>
      </w:pPr>
      <w:r>
        <w:rPr>
          <w:rFonts w:ascii="宋体" w:hAnsi="宋体" w:hint="eastAsia"/>
          <w:szCs w:val="21"/>
        </w:rPr>
        <w:t>9</w:t>
      </w:r>
      <w:r>
        <w:rPr>
          <w:rFonts w:ascii="宋体" w:hAnsi="宋体"/>
          <w:szCs w:val="21"/>
        </w:rPr>
        <w:t>.</w:t>
      </w:r>
      <w:r>
        <w:rPr>
          <w:rFonts w:ascii="宋体" w:hAnsi="宋体" w:hint="eastAsia"/>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pPr>
        <w:ind w:firstLine="420" w:firstLineChars="200"/>
        <w:rPr>
          <w:rFonts w:ascii="宋体" w:hAnsi="宋体" w:cs="宋体"/>
          <w:b/>
          <w:kern w:val="0"/>
          <w:szCs w:val="21"/>
        </w:rPr>
      </w:pPr>
      <w:r>
        <w:rPr>
          <w:rFonts w:ascii="宋体" w:hAnsi="宋体" w:hint="eastAsia"/>
        </w:rPr>
        <w:t>10</w:t>
      </w:r>
      <w:r>
        <w:rPr>
          <w:rFonts w:ascii="宋体" w:hAnsi="宋体"/>
        </w:rPr>
        <w:t>.</w:t>
      </w:r>
      <w:r>
        <w:rPr>
          <w:rFonts w:ascii="宋体" w:hAnsi="宋体" w:hint="eastAsia"/>
        </w:rPr>
        <w:t>我单位保证，若所投货物涉及</w:t>
      </w:r>
      <w:r>
        <w:rPr>
          <w:rFonts w:ascii="宋体" w:hAnsi="宋体"/>
        </w:rPr>
        <w:t>《</w:t>
      </w:r>
      <w:r>
        <w:rPr>
          <w:rFonts w:ascii="宋体" w:hAnsi="宋体" w:hint="eastAsia"/>
        </w:rPr>
        <w:t>财政部生态环境部关于印发节能产品政府采购品目清单的通知》（财库〔20</w:t>
      </w:r>
      <w:r>
        <w:rPr>
          <w:rFonts w:ascii="宋体" w:hAnsi="宋体"/>
        </w:rPr>
        <w:t>19</w:t>
      </w:r>
      <w:r>
        <w:rPr>
          <w:rFonts w:ascii="宋体" w:hAnsi="宋体" w:hint="eastAsia"/>
        </w:rPr>
        <w:t>〕</w:t>
      </w:r>
      <w:r>
        <w:rPr>
          <w:rFonts w:ascii="宋体" w:hAnsi="宋体"/>
        </w:rPr>
        <w:t>19</w:t>
      </w:r>
      <w:r>
        <w:rPr>
          <w:rFonts w:ascii="宋体" w:hAnsi="宋体" w:hint="eastAsia"/>
        </w:rPr>
        <w:t>号）列明的政府采购强制产品，则所投该产品符合节能产品的认证要求。</w:t>
      </w:r>
    </w:p>
    <w:p>
      <w:pPr>
        <w:ind w:firstLine="420" w:firstLineChars="200"/>
        <w:rPr>
          <w:rFonts w:ascii="宋体" w:hAnsi="宋体" w:hint="eastAsia"/>
          <w:b w:val="0"/>
          <w:bCs/>
        </w:rPr>
      </w:pPr>
      <w:r>
        <w:rPr>
          <w:rFonts w:ascii="宋体" w:hAnsi="宋体" w:cs="宋体" w:hint="eastAsia"/>
          <w:b w:val="0"/>
          <w:bCs/>
          <w:kern w:val="0"/>
          <w:szCs w:val="21"/>
        </w:rPr>
        <w:t>11.</w:t>
      </w:r>
      <w:r>
        <w:rPr>
          <w:rFonts w:ascii="宋体" w:hAnsi="宋体" w:hint="eastAsia"/>
          <w:b w:val="0"/>
          <w:bCs/>
        </w:rPr>
        <w:t xml:space="preserve"> 我单位已知悉并同意中标（成交）结果信息公示（公开）的内容。</w:t>
      </w:r>
    </w:p>
    <w:p>
      <w:pPr>
        <w:ind w:firstLine="420" w:firstLineChars="200"/>
        <w:rPr>
          <w:rFonts w:ascii="宋体" w:hAnsi="宋体" w:hint="eastAsia"/>
          <w:b w:val="0"/>
          <w:bCs/>
        </w:rPr>
      </w:pPr>
      <w:r>
        <w:rPr>
          <w:rFonts w:ascii="宋体" w:hAnsi="宋体" w:hint="eastAsia"/>
          <w:b w:val="0"/>
          <w:bCs/>
        </w:rPr>
        <w:t>12.我单位保证，符合《中华人民共和国政府采购法实施条例》第十八条规定，与其他投标供应商不存在单位负责人为同一人或者存在直接控股、管理关系；未对本次采购项目提供整体设计、规范编制或者项目管理、监理、检测等服务的情形。</w:t>
      </w:r>
    </w:p>
    <w:p>
      <w:pPr>
        <w:ind w:firstLine="420" w:firstLineChars="200"/>
        <w:rPr>
          <w:rFonts w:ascii="宋体" w:hAnsi="宋体"/>
          <w:b/>
        </w:rPr>
      </w:pPr>
      <w:r>
        <w:rPr>
          <w:rFonts w:ascii="宋体" w:hAnsi="宋体" w:hint="eastAsia"/>
          <w:b/>
          <w:bCs w:val="0"/>
          <w:sz w:val="21"/>
          <w:lang w:val="en-US" w:eastAsia="zh-CN"/>
        </w:rPr>
        <w:t>13.我单位清楚，如存在违反投标承诺行为情节严重的，将根据《深圳市财政局关于印发&lt;深圳市财政局政府采购供应商信用信息管理办法&gt;的通知》，依法被列入失信信息。</w:t>
      </w:r>
    </w:p>
    <w:p>
      <w:pPr>
        <w:pStyle w:val="BodyText"/>
        <w:ind w:firstLine="420" w:firstLineChars="200"/>
        <w:rPr>
          <w:rFonts w:ascii="宋体" w:hAnsi="宋体"/>
        </w:rPr>
      </w:pPr>
    </w:p>
    <w:p>
      <w:pPr>
        <w:ind w:firstLine="420" w:firstLineChars="200"/>
        <w:rPr>
          <w:rFonts w:ascii="宋体" w:hAnsi="宋体"/>
          <w:szCs w:val="21"/>
        </w:rPr>
      </w:pPr>
      <w:r>
        <w:rPr>
          <w:rFonts w:ascii="宋体" w:hAnsi="宋体" w:hint="eastAsia"/>
          <w:szCs w:val="21"/>
        </w:rPr>
        <w:t>以上承诺，如有违反，愿依照国家相关法律法规处理，并承担由此给采购人带来的损失。</w:t>
      </w:r>
    </w:p>
    <w:p>
      <w:pPr>
        <w:spacing w:before="60" w:beforeLines="25" w:after="60" w:afterLines="25"/>
        <w:ind w:firstLine="5460" w:firstLineChars="2600"/>
        <w:rPr>
          <w:rFonts w:ascii="宋体" w:hAnsi="宋体"/>
          <w:szCs w:val="21"/>
        </w:rPr>
      </w:pPr>
      <w:r>
        <w:rPr>
          <w:rFonts w:ascii="宋体" w:hAnsi="宋体" w:hint="eastAsia"/>
          <w:szCs w:val="21"/>
        </w:rPr>
        <w:t xml:space="preserve">                                    </w:t>
      </w:r>
    </w:p>
    <w:p>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pPr>
        <w:ind w:firstLine="645"/>
        <w:rPr>
          <w:rFonts w:ascii="宋体" w:hAnsi="宋体"/>
          <w:color w:val="FF0000"/>
          <w:szCs w:val="21"/>
        </w:rPr>
      </w:pPr>
      <w:r>
        <w:rPr>
          <w:rFonts w:ascii="宋体" w:hAnsi="宋体" w:hint="eastAsia"/>
          <w:color w:val="FF0000"/>
          <w:szCs w:val="21"/>
        </w:rPr>
        <w:t xml:space="preserve">                                              日期：</w:t>
      </w:r>
      <w:r>
        <w:rPr>
          <w:rFonts w:ascii="宋体" w:hAnsi="宋体" w:hint="eastAsia"/>
          <w:color w:val="FF0000"/>
          <w:szCs w:val="21"/>
          <w:u w:val="single"/>
        </w:rPr>
        <w:t xml:space="preserve">    </w:t>
      </w:r>
      <w:r>
        <w:rPr>
          <w:rFonts w:ascii="宋体" w:hAnsi="宋体" w:hint="eastAsia"/>
          <w:color w:val="FF0000"/>
          <w:szCs w:val="21"/>
        </w:rPr>
        <w:t>年</w:t>
      </w:r>
      <w:r>
        <w:rPr>
          <w:rFonts w:ascii="宋体" w:hAnsi="宋体" w:hint="eastAsia"/>
          <w:color w:val="FF0000"/>
          <w:szCs w:val="21"/>
          <w:u w:val="single"/>
        </w:rPr>
        <w:t xml:space="preserve">   </w:t>
      </w:r>
      <w:r>
        <w:rPr>
          <w:rFonts w:ascii="宋体" w:hAnsi="宋体" w:hint="eastAsia"/>
          <w:color w:val="FF0000"/>
          <w:szCs w:val="21"/>
        </w:rPr>
        <w:t>月</w:t>
      </w:r>
      <w:r>
        <w:rPr>
          <w:rFonts w:ascii="宋体" w:hAnsi="宋体" w:hint="eastAsia"/>
          <w:color w:val="FF0000"/>
          <w:szCs w:val="21"/>
          <w:u w:val="single"/>
        </w:rPr>
        <w:t xml:space="preserve">   </w:t>
      </w:r>
      <w:r>
        <w:rPr>
          <w:rFonts w:ascii="宋体" w:hAnsi="宋体" w:hint="eastAsia"/>
          <w:color w:val="FF0000"/>
          <w:szCs w:val="21"/>
        </w:rPr>
        <w:t>日</w:t>
      </w:r>
    </w:p>
    <w:p>
      <w:pPr>
        <w:rPr>
          <w:rFonts w:ascii="宋体" w:hAnsi="宋体"/>
          <w:szCs w:val="21"/>
        </w:rPr>
      </w:pPr>
    </w:p>
    <w:p>
      <w:pPr>
        <w:rPr>
          <w:rFonts w:ascii="宋体" w:hAnsi="宋体"/>
          <w:szCs w:val="21"/>
        </w:rPr>
      </w:pPr>
    </w:p>
    <w:p/>
    <w:p/>
    <w:p>
      <w:pPr>
        <w:pStyle w:val="Heading3"/>
        <w:spacing w:before="120" w:after="120"/>
        <w:jc w:val="center"/>
        <w:rPr>
          <w:rFonts w:ascii="黑体" w:eastAsia="黑体"/>
          <w:b w:val="0"/>
          <w:kern w:val="0"/>
          <w:sz w:val="24"/>
        </w:rPr>
      </w:pPr>
      <w:r>
        <w:rPr>
          <w:rFonts w:ascii="黑体" w:eastAsia="黑体" w:hint="eastAsia"/>
          <w:b w:val="0"/>
          <w:kern w:val="0"/>
          <w:sz w:val="24"/>
        </w:rPr>
        <w:t>三、投标人情况及资格证明文件</w:t>
      </w:r>
    </w:p>
    <w:p>
      <w:pPr>
        <w:ind w:firstLine="2310" w:firstLineChars="1100"/>
        <w:outlineLvl w:val="3"/>
        <w:rPr>
          <w:rFonts w:ascii="黑体" w:eastAsia="黑体" w:hAnsi="宋体"/>
          <w:bCs/>
          <w:kern w:val="0"/>
          <w:sz w:val="24"/>
          <w:szCs w:val="32"/>
        </w:rPr>
      </w:pPr>
      <w:r>
        <w:rPr>
          <w:rFonts w:ascii="黑体" w:eastAsia="黑体" w:hAnsi="宋体" w:hint="eastAsia"/>
          <w:bCs/>
          <w:kern w:val="0"/>
          <w:sz w:val="24"/>
          <w:szCs w:val="32"/>
        </w:rPr>
        <w:t>（一）投标人资格证明文件</w:t>
      </w:r>
    </w:p>
    <w:p>
      <w:pPr>
        <w:spacing w:before="120" w:beforeLines="50"/>
        <w:ind w:firstLine="420" w:firstLineChars="200"/>
        <w:rPr>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p>
    <w:p>
      <w:pPr>
        <w:ind w:firstLine="420" w:firstLineChars="200"/>
        <w:rPr>
          <w:b/>
          <w:sz w:val="24"/>
        </w:rPr>
      </w:pPr>
    </w:p>
    <w:p>
      <w:pPr>
        <w:ind w:firstLine="420" w:firstLineChars="200"/>
        <w:outlineLvl w:val="3"/>
        <w:rPr>
          <w:rFonts w:ascii="黑体" w:eastAsia="黑体" w:hAnsi="宋体"/>
          <w:bCs/>
          <w:kern w:val="0"/>
          <w:sz w:val="24"/>
          <w:szCs w:val="32"/>
        </w:rPr>
      </w:pPr>
      <w:r>
        <w:rPr>
          <w:rFonts w:ascii="黑体" w:eastAsia="黑体" w:hAnsi="宋体" w:hint="eastAsia"/>
          <w:bCs/>
          <w:kern w:val="0"/>
          <w:sz w:val="24"/>
          <w:szCs w:val="32"/>
        </w:rPr>
        <w:t>（二）中小企业声明函、残疾人福利性单位声明函及监狱企业声明函</w:t>
      </w:r>
    </w:p>
    <w:p>
      <w:pPr>
        <w:jc w:val="left"/>
        <w:outlineLvl w:val="3"/>
        <w:rPr>
          <w:rFonts w:ascii="黑体" w:eastAsia="黑体" w:hAnsi="宋体"/>
          <w:bCs/>
          <w:kern w:val="0"/>
          <w:sz w:val="24"/>
          <w:szCs w:val="32"/>
        </w:rPr>
      </w:pP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填写指引：</w:t>
      </w:r>
    </w:p>
    <w:p>
      <w:pPr>
        <w:ind w:firstLine="420" w:firstLineChars="200"/>
        <w:outlineLvl w:val="3"/>
        <w:rPr>
          <w:rFonts w:ascii="黑体" w:eastAsia="黑体" w:hAnsi="黑体"/>
          <w:color w:val="FF0000"/>
          <w:szCs w:val="21"/>
        </w:rPr>
      </w:pPr>
      <w:r>
        <w:rPr>
          <w:rFonts w:ascii="黑体" w:eastAsia="黑体" w:hAnsi="宋体" w:hint="eastAsia"/>
          <w:bCs/>
          <w:color w:val="FF0000"/>
          <w:kern w:val="0"/>
          <w:szCs w:val="21"/>
        </w:rPr>
        <w:t>1、该部分内容由投标人根据自身实际情况填写，不符合要求的投标人可以不填写或直接删除相应的声明函。</w:t>
      </w:r>
      <w:r>
        <w:rPr>
          <w:rFonts w:ascii="黑体" w:eastAsia="黑体" w:hAnsi="黑体" w:hint="eastAsia"/>
          <w:color w:val="FF0000"/>
          <w:szCs w:val="21"/>
        </w:rPr>
        <w:t>投标人提供的声明函不属实的，属于提供虚假资料谋取中标，依照《中华人民共和国政府采购法》等国家有关规定追究相应责任。</w:t>
      </w:r>
    </w:p>
    <w:p>
      <w:pPr>
        <w:ind w:firstLine="420" w:firstLineChars="200"/>
        <w:outlineLvl w:val="3"/>
        <w:rPr>
          <w:rFonts w:ascii="黑体" w:eastAsia="黑体" w:hAnsi="黑体"/>
          <w:color w:val="FF0000"/>
          <w:szCs w:val="21"/>
        </w:rPr>
      </w:pPr>
      <w:r>
        <w:rPr>
          <w:rFonts w:ascii="黑体" w:eastAsia="黑体" w:hAnsi="黑体" w:hint="eastAsia"/>
          <w:color w:val="FF0000"/>
          <w:szCs w:val="21"/>
        </w:rPr>
        <w:t>2、该部分内容填写需要参考的相关文件：</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1</w:t>
      </w:r>
      <w:r>
        <w:rPr>
          <w:rFonts w:ascii="黑体" w:eastAsia="黑体" w:hAnsi="黑体" w:hint="eastAsia"/>
          <w:color w:val="FF0000"/>
          <w:szCs w:val="21"/>
        </w:rPr>
        <w:t>)财政部《政府采购促进中小企业发展管理办法》（财库〔2020〕46号）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w:t>
      </w:r>
      <w:r>
        <w:rPr>
          <w:rFonts w:ascii="黑体" w:eastAsia="黑体" w:hAnsi="黑体"/>
          <w:color w:val="FF0000"/>
          <w:szCs w:val="21"/>
        </w:rPr>
        <w:t>2</w:t>
      </w:r>
      <w:r>
        <w:rPr>
          <w:rFonts w:ascii="黑体" w:eastAsia="黑体" w:hAnsi="黑体" w:hint="eastAsia"/>
          <w:color w:val="FF0000"/>
          <w:szCs w:val="21"/>
        </w:rPr>
        <w:t>)</w:t>
      </w:r>
      <w:bookmarkStart w:id="45" w:name="_Hlk71925120"/>
      <w:r>
        <w:rPr>
          <w:rFonts w:ascii="黑体" w:eastAsia="黑体" w:hAnsi="黑体" w:hint="eastAsia"/>
          <w:color w:val="FF0000"/>
          <w:szCs w:val="21"/>
        </w:rPr>
        <w:t>《工业和信息化部、国家统计局、国家发展和改革委员会、财政部关于印发中小企业划型标准规定的通知》（工信部联企业〔2011〕300 号</w:t>
      </w:r>
      <w:bookmarkEnd w:id="45"/>
      <w:r>
        <w:rPr>
          <w:rFonts w:ascii="黑体" w:eastAsia="黑体" w:hAnsi="黑体" w:hint="eastAsia"/>
          <w:color w:val="FF0000"/>
          <w:szCs w:val="21"/>
        </w:rPr>
        <w:t>，以下简称3</w:t>
      </w:r>
      <w:r>
        <w:rPr>
          <w:rFonts w:ascii="黑体" w:eastAsia="黑体" w:hAnsi="黑体"/>
          <w:color w:val="FF0000"/>
          <w:szCs w:val="21"/>
        </w:rPr>
        <w:t>00</w:t>
      </w:r>
      <w:r>
        <w:rPr>
          <w:rFonts w:ascii="黑体" w:eastAsia="黑体" w:hAnsi="黑体" w:hint="eastAsia"/>
          <w:color w:val="FF0000"/>
          <w:szCs w:val="21"/>
        </w:rPr>
        <w:t>号文）</w:t>
      </w:r>
    </w:p>
    <w:p>
      <w:pPr>
        <w:ind w:firstLine="420" w:firstLineChars="200"/>
        <w:outlineLvl w:val="3"/>
        <w:rPr>
          <w:rFonts w:ascii="黑体" w:eastAsia="黑体" w:hAnsi="黑体"/>
          <w:color w:val="FF0000"/>
          <w:szCs w:val="21"/>
        </w:rPr>
      </w:pPr>
      <w:r>
        <w:rPr>
          <w:rFonts w:ascii="黑体" w:eastAsia="黑体" w:hAnsi="黑体" w:hint="eastAsia"/>
          <w:color w:val="FF0000"/>
          <w:szCs w:val="21"/>
        </w:rPr>
        <w:t>(3)《统计上大中小微型企业划分办法(2017)》（国统字〔2017〕213 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(4)《关于促进残疾人就业政府采购政策的通知》（财库〔2017〕141号）</w:t>
      </w:r>
    </w:p>
    <w:p>
      <w:pPr>
        <w:ind w:firstLine="420" w:firstLineChars="200"/>
        <w:outlineLvl w:val="3"/>
        <w:rPr>
          <w:rFonts w:ascii="黑体" w:eastAsia="黑体" w:hAnsi="黑体"/>
          <w:color w:val="FF0000"/>
          <w:szCs w:val="21"/>
        </w:rPr>
      </w:pPr>
      <w:r>
        <w:rPr>
          <w:rFonts w:ascii="黑体" w:eastAsia="黑体" w:hAnsi="黑体" w:hint="eastAsia"/>
          <w:color w:val="FF0000"/>
          <w:szCs w:val="21"/>
        </w:rPr>
        <w:t>(5)《关于政府采购支持监狱企业发展有关问题的通知》（财库〔2014〕68号）</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3、请依照提供的格式和内容填写声明函，不要随意变更格式；声明函不需要盖章或签字；</w:t>
      </w:r>
      <w:r>
        <w:rPr>
          <w:rFonts w:ascii="黑体" w:eastAsia="黑体" w:hAnsi="黑体" w:hint="eastAsia"/>
          <w:color w:val="FF0000"/>
          <w:szCs w:val="21"/>
        </w:rPr>
        <w:t>满足多项优惠政策的投标人，不重复享受多项价格扣除政策。</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4、声明函具体填写要求：</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（1）声明是中小企业须填写《中小企业声明函》的以下内容：</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第一处，在“单位名称”下划线处如实填写采购人名称（深圳公共资源交易中心不是本项目的采购人，而是组织实施机构）；</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第二处，在“项目名称”下划线处如实填写采购项目名称；</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三处，在“标的名称”下划线处填写所采购服务（标的）的具体名称（以招标文件第一册第三章用户需求书“服务需求明细”的“服务需求名称”一栏为准）；如果涉及多项服务（标的）为同一企业制造，“标的名称”下划线处可以如实填写多项服务；</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第四处，在“招标文件中明确的所属行业”下划线处填写采购标的对应的中小企业划分标准所属行业（所属行业可在招标文件第一册第二章“对通用条款的补充内容及其他关键信息”章节查看）；</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第五处，在“企业名称”下划线处如实填写制造商名称；在“从业人员”、“营业收入”、“资产总额”下划线处如实填写从业人员、营业收入、资产总额；在“中型企业、小型企业、微型企业”下划线处如实依照300号文填写相应的企业类型；从业人员、营业收入、资产总额填报上一年度数据，无上一年度数据的新成立企业可以不填报。</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（2）声明是残疾人福利性单位须填写《残疾人福利性单位声明函》的相关内容，具体参照以上《中小企业声明函》填写要求执行。</w:t>
      </w:r>
    </w:p>
    <w:p>
      <w:pPr>
        <w:ind w:firstLine="420" w:firstLineChars="200"/>
        <w:outlineLvl w:val="3"/>
        <w:rPr>
          <w:rFonts w:ascii="黑体" w:eastAsia="黑体" w:hAnsi="宋体"/>
          <w:bCs/>
          <w:color w:val="FF0000"/>
          <w:kern w:val="0"/>
          <w:szCs w:val="21"/>
        </w:rPr>
      </w:pPr>
      <w:r>
        <w:rPr>
          <w:rFonts w:ascii="黑体" w:eastAsia="黑体" w:hAnsi="宋体" w:hint="eastAsia"/>
          <w:bCs/>
          <w:color w:val="FF0000"/>
          <w:kern w:val="0"/>
          <w:szCs w:val="21"/>
        </w:rPr>
        <w:t>（3）声明是监狱企业须填写《监狱企业声明函》的三项内容（填写位置的字体已加粗），具体参照以上《中小企业声明函》填写要求执行。</w:t>
      </w:r>
    </w:p>
    <w:p>
      <w:pPr>
        <w:ind w:firstLine="420" w:firstLineChars="200"/>
      </w:pPr>
      <w:r>
        <w:rPr>
          <w:rFonts w:ascii="黑体" w:eastAsia="黑体" w:hAnsi="宋体" w:hint="eastAsia"/>
          <w:bCs/>
          <w:color w:val="FF0000"/>
          <w:kern w:val="0"/>
          <w:szCs w:val="21"/>
        </w:rPr>
        <w:t>5、声明函的有效性最终由评审委员会判定；如评审委员会判定声明函无效，相关供应商不享受</w:t>
      </w:r>
      <w:r>
        <w:rPr>
          <w:rFonts w:ascii="黑体" w:eastAsia="黑体" w:hAnsi="黑体" w:hint="eastAsia"/>
          <w:color w:val="FF0000"/>
          <w:szCs w:val="21"/>
        </w:rPr>
        <w:t>价格扣除</w:t>
      </w:r>
      <w:r>
        <w:rPr>
          <w:rFonts w:ascii="黑体" w:eastAsia="黑体" w:hAnsi="宋体" w:hint="eastAsia"/>
          <w:bCs/>
          <w:color w:val="FF0000"/>
          <w:kern w:val="0"/>
          <w:szCs w:val="21"/>
        </w:rPr>
        <w:t>（但不作投标无效处理）。</w:t>
      </w:r>
    </w:p>
    <w:p>
      <w:pPr>
        <w:ind w:firstLine="420" w:firstLineChars="200"/>
      </w:pPr>
    </w:p>
    <w:p>
      <w:pPr>
        <w:rPr>
          <w:rFonts w:hint="eastAsia"/>
          <w:b/>
          <w:sz w:val="24"/>
        </w:rPr>
      </w:pPr>
      <w:r>
        <w:rPr>
          <w:rFonts w:hint="eastAsia"/>
          <w:b/>
          <w:sz w:val="24"/>
        </w:rPr>
        <w:br w:type="page"/>
      </w:r>
    </w:p>
    <w:p>
      <w:pPr>
        <w:jc w:val="center"/>
        <w:outlineLvl w:val="3"/>
        <w:rPr>
          <w:b/>
          <w:sz w:val="24"/>
        </w:rPr>
      </w:pPr>
      <w:r>
        <w:rPr>
          <w:rFonts w:hint="eastAsia"/>
          <w:b/>
          <w:sz w:val="24"/>
        </w:rPr>
        <w:t>1、</w:t>
      </w:r>
      <w:r>
        <w:rPr>
          <w:b/>
          <w:sz w:val="24"/>
        </w:rPr>
        <w:t>中小企业声明函（</w:t>
      </w:r>
      <w:r>
        <w:rPr>
          <w:rFonts w:hint="eastAsia"/>
          <w:b/>
          <w:sz w:val="24"/>
        </w:rPr>
        <w:t>服务</w:t>
      </w:r>
      <w:r>
        <w:rPr>
          <w:b/>
          <w:sz w:val="24"/>
        </w:rPr>
        <w:t xml:space="preserve">） </w:t>
      </w:r>
    </w:p>
    <w:p>
      <w:pPr>
        <w:ind w:firstLine="420" w:firstLineChars="200"/>
        <w:outlineLvl w:val="3"/>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cstheme="minorBidi"/>
          <w:szCs w:val="21"/>
        </w:rPr>
        <w:t>郑重声明，根据《政府采购促进中小企业发展管理办法》（财库</w:t>
      </w:r>
      <w:r>
        <w:rPr>
          <w:rFonts w:ascii="宋体" w:hAnsi="宋体" w:cs="微软雅黑" w:hint="eastAsia"/>
          <w:szCs w:val="21"/>
        </w:rPr>
        <w:t>﹝</w:t>
      </w:r>
      <w:r>
        <w:rPr>
          <w:rFonts w:ascii="宋体" w:hAnsi="宋体" w:cstheme="minorBidi"/>
          <w:szCs w:val="21"/>
        </w:rPr>
        <w:t>2020</w:t>
      </w:r>
      <w:r>
        <w:rPr>
          <w:rFonts w:ascii="宋体" w:hAnsi="宋体" w:cs="微软雅黑" w:hint="eastAsia"/>
          <w:szCs w:val="21"/>
        </w:rPr>
        <w:t>﹞</w:t>
      </w:r>
      <w:r>
        <w:rPr>
          <w:rFonts w:ascii="宋体" w:hAnsi="宋体" w:cstheme="minorBidi"/>
          <w:szCs w:val="21"/>
        </w:rPr>
        <w:t>46 号）的规定，本</w:t>
      </w:r>
      <w:r>
        <w:rPr>
          <w:rFonts w:ascii="宋体" w:hAnsi="宋体" w:cstheme="minorBidi" w:hint="eastAsia"/>
          <w:szCs w:val="21"/>
        </w:rPr>
        <w:t>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全部由符合政策要求的中小企业</w:t>
      </w:r>
      <w:r>
        <w:rPr>
          <w:rFonts w:ascii="宋体" w:hAnsi="宋体" w:hint="eastAsia"/>
          <w:szCs w:val="21"/>
        </w:rPr>
        <w:t>承接</w:t>
      </w:r>
      <w:r>
        <w:rPr>
          <w:rFonts w:ascii="宋体" w:hAnsi="宋体"/>
          <w:szCs w:val="21"/>
        </w:rPr>
        <w:t>。相关企业的具体情况如下：</w:t>
      </w:r>
    </w:p>
    <w:p>
      <w:pPr>
        <w:ind w:firstLine="420" w:firstLineChars="200"/>
        <w:outlineLvl w:val="3"/>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w:t>
      </w:r>
      <w:r>
        <w:rPr>
          <w:rFonts w:ascii="宋体" w:hAnsi="宋体" w:hint="eastAsia"/>
          <w:szCs w:val="21"/>
        </w:rPr>
        <w:t>承接企业</w:t>
      </w:r>
      <w:r>
        <w:rPr>
          <w:rFonts w:ascii="宋体" w:hAnsi="宋体"/>
          <w:szCs w:val="21"/>
        </w:rPr>
        <w:t>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szCs w:val="21"/>
        </w:rPr>
        <w:t xml:space="preserve">； </w:t>
      </w:r>
    </w:p>
    <w:p>
      <w:pPr>
        <w:ind w:firstLine="420" w:firstLineChars="200"/>
        <w:outlineLvl w:val="3"/>
        <w:rPr>
          <w:rFonts w:ascii="宋体" w:hAnsi="宋体"/>
          <w:szCs w:val="21"/>
          <w:u w:val="single"/>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，属于</w:t>
      </w:r>
      <w:r>
        <w:rPr>
          <w:rFonts w:ascii="宋体" w:hAnsi="宋体"/>
          <w:b/>
          <w:bCs/>
          <w:szCs w:val="21"/>
          <w:u w:val="single"/>
        </w:rPr>
        <w:t>（</w:t>
      </w:r>
      <w:r>
        <w:rPr>
          <w:rFonts w:ascii="宋体" w:hAnsi="宋体" w:hint="eastAsia"/>
          <w:b/>
          <w:bCs/>
          <w:szCs w:val="21"/>
          <w:u w:val="single"/>
        </w:rPr>
        <w:t>招标</w:t>
      </w:r>
      <w:r>
        <w:rPr>
          <w:rFonts w:ascii="宋体" w:hAnsi="宋体"/>
          <w:b/>
          <w:bCs/>
          <w:szCs w:val="21"/>
          <w:u w:val="single"/>
        </w:rPr>
        <w:t xml:space="preserve">文件中明确的所属行业） </w:t>
      </w:r>
      <w:r>
        <w:rPr>
          <w:rFonts w:ascii="宋体" w:hAnsi="宋体"/>
          <w:szCs w:val="21"/>
        </w:rPr>
        <w:t>行业；</w:t>
      </w:r>
      <w:r>
        <w:rPr>
          <w:rFonts w:ascii="宋体" w:hAnsi="宋体" w:hint="eastAsia"/>
          <w:szCs w:val="21"/>
        </w:rPr>
        <w:t>承接企业</w:t>
      </w:r>
      <w:r>
        <w:rPr>
          <w:rFonts w:ascii="宋体" w:hAnsi="宋体"/>
          <w:szCs w:val="21"/>
        </w:rPr>
        <w:t>为</w:t>
      </w:r>
      <w:r>
        <w:rPr>
          <w:rFonts w:ascii="宋体" w:hAnsi="宋体"/>
          <w:b/>
          <w:bCs/>
          <w:szCs w:val="21"/>
          <w:u w:val="single"/>
        </w:rPr>
        <w:t>（企业名称）</w:t>
      </w:r>
      <w:r>
        <w:rPr>
          <w:rFonts w:ascii="宋体" w:hAnsi="宋体"/>
          <w:szCs w:val="21"/>
        </w:rPr>
        <w:t>，从业人员</w:t>
      </w:r>
      <w:r>
        <w:rPr>
          <w:rFonts w:ascii="宋体" w:hAnsi="宋体"/>
          <w:b/>
          <w:bCs/>
          <w:szCs w:val="21"/>
          <w:u w:val="single"/>
        </w:rPr>
        <w:t xml:space="preserve">  </w:t>
      </w:r>
      <w:r>
        <w:rPr>
          <w:rFonts w:ascii="宋体" w:hAnsi="宋体"/>
          <w:szCs w:val="21"/>
        </w:rPr>
        <w:t>人，营业收入为</w:t>
      </w:r>
      <w:r>
        <w:rPr>
          <w:rFonts w:ascii="宋体" w:hAnsi="宋体"/>
          <w:b/>
          <w:bCs/>
          <w:szCs w:val="21"/>
          <w:u w:val="single"/>
        </w:rPr>
        <w:t xml:space="preserve">  </w:t>
      </w:r>
      <w:r>
        <w:rPr>
          <w:rFonts w:ascii="宋体" w:hAnsi="宋体"/>
          <w:szCs w:val="21"/>
        </w:rPr>
        <w:t>万元，资产总额为</w:t>
      </w:r>
      <w:r>
        <w:rPr>
          <w:rFonts w:ascii="宋体" w:hAnsi="宋体" w:hint="eastAsia"/>
          <w:b/>
          <w:bCs/>
          <w:szCs w:val="21"/>
          <w:u w:val="single"/>
        </w:rPr>
        <w:t xml:space="preserve"> </w:t>
      </w:r>
      <w:r>
        <w:rPr>
          <w:rFonts w:ascii="宋体" w:hAnsi="宋体"/>
          <w:b/>
          <w:bCs/>
          <w:szCs w:val="21"/>
          <w:u w:val="single"/>
        </w:rPr>
        <w:t xml:space="preserve"> </w:t>
      </w:r>
      <w:r>
        <w:rPr>
          <w:rFonts w:ascii="宋体" w:hAnsi="宋体"/>
          <w:szCs w:val="21"/>
        </w:rPr>
        <w:t>万元 ，属于</w:t>
      </w:r>
      <w:r>
        <w:rPr>
          <w:rFonts w:ascii="宋体" w:hAnsi="宋体"/>
          <w:b/>
          <w:bCs/>
          <w:szCs w:val="21"/>
          <w:u w:val="single"/>
        </w:rPr>
        <w:t>（中型企业、小型企业、微型企业）</w:t>
      </w:r>
      <w:r>
        <w:rPr>
          <w:rFonts w:ascii="宋体" w:hAnsi="宋体" w:hint="eastAsia"/>
          <w:szCs w:val="21"/>
        </w:rPr>
        <w:t>；</w:t>
      </w:r>
    </w:p>
    <w:p>
      <w:pPr>
        <w:ind w:firstLine="420" w:firstLineChars="200"/>
        <w:outlineLvl w:val="3"/>
        <w:rPr>
          <w:rFonts w:ascii="宋体" w:hAnsi="宋体"/>
          <w:szCs w:val="21"/>
        </w:rPr>
      </w:pPr>
      <w:r>
        <w:rPr>
          <w:rFonts w:ascii="宋体" w:hAnsi="宋体"/>
          <w:szCs w:val="21"/>
        </w:rPr>
        <w:t xml:space="preserve">…… </w:t>
      </w:r>
    </w:p>
    <w:p>
      <w:pPr>
        <w:ind w:firstLine="420" w:firstLineChars="200"/>
        <w:outlineLvl w:val="3"/>
        <w:rPr>
          <w:rFonts w:ascii="宋体" w:hAnsi="宋体"/>
          <w:szCs w:val="21"/>
        </w:rPr>
      </w:pPr>
      <w:r>
        <w:rPr>
          <w:rFonts w:ascii="宋体" w:hAnsi="宋体"/>
          <w:szCs w:val="21"/>
        </w:rPr>
        <w:t>以上企业，不属于大企业的分支机构，不存在控股股东为大企业的情形，也不存在与大企业的负责人为同一人的情形。</w:t>
      </w:r>
    </w:p>
    <w:p>
      <w:pPr>
        <w:ind w:firstLine="420" w:firstLineChars="200"/>
        <w:outlineLvl w:val="3"/>
      </w:pPr>
      <w:bookmarkStart w:id="46" w:name="_Hlk73562275"/>
      <w:r>
        <w:rPr>
          <w:rFonts w:hint="eastAsia"/>
        </w:rPr>
        <w:t>本</w:t>
      </w:r>
      <w:r>
        <w:t>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w:t>
      </w:r>
      <w:r>
        <w:rPr>
          <w:rFonts w:hint="eastAsia"/>
        </w:rPr>
        <w:t>投标人</w:t>
      </w:r>
      <w:r>
        <w:t>按照本办法规定提供声明函内容不实的，属于提供虚假材料谋取中标，依照《政府采购法》等政府采购有关法律法规规定追究相应责任</w:t>
      </w:r>
      <w:r>
        <w:rPr>
          <w:rFonts w:hint="eastAsia"/>
        </w:rPr>
        <w:t>。</w:t>
      </w:r>
      <w:bookmarkEnd w:id="46"/>
    </w:p>
    <w:p>
      <w:pPr>
        <w:ind w:firstLine="420" w:firstLineChars="200"/>
      </w:pPr>
    </w:p>
    <w:p>
      <w:pPr>
        <w:jc w:val="center"/>
        <w:outlineLvl w:val="3"/>
        <w:rPr>
          <w:b/>
          <w:sz w:val="24"/>
        </w:rPr>
      </w:pPr>
      <w:r>
        <w:rPr>
          <w:rFonts w:hint="eastAsia"/>
          <w:b/>
          <w:sz w:val="24"/>
        </w:rPr>
        <w:t>2、残疾人福利性单位声明函（服务类）</w:t>
      </w:r>
    </w:p>
    <w:p>
      <w:pPr>
        <w:rPr>
          <w:b/>
          <w:bCs/>
        </w:rPr>
      </w:pP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hint="eastAsia"/>
          <w:szCs w:val="21"/>
        </w:rPr>
        <w:t>郑重声明，根据《财政部民政部中国残疾人联合会关于促进残疾人就业政府采购政策的通知》（财库〔</w:t>
      </w:r>
      <w:r>
        <w:rPr>
          <w:rFonts w:ascii="宋体" w:hAnsi="宋体"/>
          <w:szCs w:val="21"/>
        </w:rPr>
        <w:t>2017</w:t>
      </w:r>
      <w:r>
        <w:rPr>
          <w:rFonts w:ascii="宋体" w:hAnsi="宋体" w:hint="eastAsia"/>
          <w:szCs w:val="21"/>
        </w:rPr>
        <w:t>〕</w:t>
      </w:r>
      <w:r>
        <w:rPr>
          <w:rFonts w:ascii="宋体" w:hAnsi="宋体"/>
          <w:szCs w:val="21"/>
        </w:rPr>
        <w:t xml:space="preserve">141 </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残疾人福利性单位承接</w:t>
      </w:r>
      <w:r>
        <w:rPr>
          <w:rFonts w:ascii="宋体" w:hAnsi="宋体"/>
          <w:szCs w:val="21"/>
        </w:rPr>
        <w:t>。相关</w:t>
      </w:r>
      <w:r>
        <w:rPr>
          <w:rFonts w:ascii="宋体" w:hAnsi="宋体" w:hint="eastAsia"/>
          <w:szCs w:val="21"/>
        </w:rPr>
        <w:t>残疾人福利性单位</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，承接企业</w:t>
      </w:r>
      <w:r>
        <w:rPr>
          <w:rFonts w:ascii="宋体" w:hAnsi="宋体"/>
          <w:szCs w:val="21"/>
        </w:rPr>
        <w:t>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，承接企业</w:t>
      </w:r>
      <w:r>
        <w:rPr>
          <w:rFonts w:ascii="宋体" w:hAnsi="宋体"/>
          <w:szCs w:val="21"/>
        </w:rPr>
        <w:t>为</w:t>
      </w:r>
      <w:r>
        <w:rPr>
          <w:rFonts w:ascii="宋体" w:hAnsi="宋体"/>
          <w:b/>
          <w:bCs/>
          <w:szCs w:val="21"/>
          <w:u w:val="single"/>
        </w:rPr>
        <w:t>（</w:t>
      </w:r>
      <w:r>
        <w:rPr>
          <w:rFonts w:ascii="宋体" w:hAnsi="宋体" w:hint="eastAsia"/>
          <w:b/>
          <w:bCs/>
          <w:szCs w:val="21"/>
          <w:u w:val="single"/>
        </w:rPr>
        <w:t>单位</w:t>
      </w:r>
      <w:r>
        <w:rPr>
          <w:rFonts w:ascii="宋体" w:hAnsi="宋体"/>
          <w:b/>
          <w:bCs/>
          <w:szCs w:val="21"/>
          <w:u w:val="single"/>
        </w:rPr>
        <w:t>名称）</w:t>
      </w:r>
      <w:r>
        <w:rPr>
          <w:rFonts w:ascii="宋体" w:hAnsi="宋体"/>
          <w:szCs w:val="21"/>
        </w:rPr>
        <w:t>，属于</w:t>
      </w:r>
      <w:r>
        <w:rPr>
          <w:rFonts w:ascii="宋体" w:hAnsi="宋体" w:hint="eastAsia"/>
          <w:b/>
          <w:bCs/>
          <w:szCs w:val="21"/>
          <w:u w:val="single"/>
        </w:rPr>
        <w:t>残疾人福利性单位</w:t>
      </w:r>
      <w:r>
        <w:rPr>
          <w:rFonts w:ascii="宋体" w:hAnsi="宋体" w:hint="eastAsia"/>
          <w:szCs w:val="21"/>
        </w:rPr>
        <w:t>。</w:t>
      </w:r>
    </w:p>
    <w:p>
      <w:pPr>
        <w:ind w:firstLine="420" w:firstLineChars="200"/>
        <w:outlineLvl w:val="3"/>
        <w:rPr>
          <w:rFonts w:ascii="宋体" w:hAnsi="宋体"/>
          <w:szCs w:val="21"/>
        </w:rPr>
      </w:pPr>
      <w:r>
        <w:rPr>
          <w:rFonts w:ascii="宋体" w:hAnsi="宋体"/>
          <w:szCs w:val="21"/>
        </w:rPr>
        <w:t xml:space="preserve">…… </w:t>
      </w:r>
    </w:p>
    <w:p>
      <w:pPr>
        <w:ind w:firstLine="420" w:firstLineChars="200"/>
        <w:rPr>
          <w:rFonts w:ascii="宋体" w:hAnsi="宋体"/>
          <w:szCs w:val="21"/>
        </w:rPr>
      </w:pPr>
      <w:r>
        <w:rPr>
          <w:rFonts w:hint="eastAsia"/>
        </w:rPr>
        <w:t>本</w:t>
      </w:r>
      <w:r>
        <w:t>投标人</w:t>
      </w:r>
      <w:r>
        <w:rPr>
          <w:rFonts w:hint="eastAsia"/>
        </w:rPr>
        <w:t>已</w:t>
      </w:r>
      <w:r>
        <w:t>知悉</w:t>
      </w:r>
      <w:r>
        <w:rPr>
          <w:rFonts w:hint="eastAsia"/>
        </w:rPr>
        <w:t>《财政部民政部中国残疾人联合会关于促进残疾人就业政府采购政策的通知》（财库〔2017〕141 号）</w:t>
      </w:r>
      <w:r>
        <w:t>的规定，承诺提供的声明函内容是真实的，如提供声明函内容不实，则依法追究相关法律责任</w:t>
      </w:r>
      <w:r>
        <w:rPr>
          <w:rFonts w:hint="eastAsia"/>
        </w:rPr>
        <w:t>。</w:t>
      </w:r>
    </w:p>
    <w:p>
      <w:pPr>
        <w:ind w:firstLine="420" w:firstLineChars="200"/>
        <w:rPr>
          <w:rFonts w:ascii="宋体" w:hAnsi="宋体"/>
          <w:szCs w:val="21"/>
        </w:rPr>
      </w:pPr>
    </w:p>
    <w:p>
      <w:pPr>
        <w:ind w:firstLine="420" w:firstLineChars="200"/>
        <w:rPr>
          <w:rFonts w:ascii="宋体" w:hAnsi="宋体"/>
          <w:szCs w:val="21"/>
        </w:rPr>
      </w:pPr>
    </w:p>
    <w:p>
      <w:pPr>
        <w:jc w:val="center"/>
        <w:outlineLvl w:val="3"/>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pPr>
        <w:ind w:firstLine="420" w:firstLineChars="200"/>
        <w:rPr>
          <w:rFonts w:ascii="宋体" w:hAnsi="宋体"/>
          <w:szCs w:val="21"/>
        </w:rPr>
      </w:pPr>
      <w:r>
        <w:rPr>
          <w:rFonts w:ascii="宋体" w:hAnsi="宋体" w:hint="eastAsia"/>
          <w:szCs w:val="21"/>
        </w:rPr>
        <w:t>本投标人郑重声明，根据《财政部司法部关于政府采购支持监狱企业发展有关问题的通知》（财库〔</w:t>
      </w:r>
      <w:r>
        <w:rPr>
          <w:rFonts w:ascii="宋体" w:hAnsi="宋体"/>
          <w:szCs w:val="21"/>
        </w:rPr>
        <w:t>2014</w:t>
      </w:r>
      <w:r>
        <w:rPr>
          <w:rFonts w:ascii="宋体" w:hAnsi="宋体" w:hint="eastAsia"/>
          <w:szCs w:val="21"/>
        </w:rPr>
        <w:t>〕</w:t>
      </w:r>
      <w:r>
        <w:rPr>
          <w:rFonts w:ascii="宋体" w:hAnsi="宋体"/>
          <w:szCs w:val="21"/>
        </w:rPr>
        <w:t>68</w:t>
      </w:r>
      <w:r>
        <w:rPr>
          <w:rFonts w:ascii="宋体" w:hAnsi="宋体" w:hint="eastAsia"/>
          <w:szCs w:val="21"/>
        </w:rPr>
        <w:t>号）的规定，本投标人</w:t>
      </w:r>
      <w:r>
        <w:rPr>
          <w:rFonts w:ascii="宋体" w:hAnsi="宋体" w:cstheme="minorBidi"/>
          <w:szCs w:val="21"/>
        </w:rPr>
        <w:t>参加</w:t>
      </w:r>
      <w:r>
        <w:rPr>
          <w:rFonts w:ascii="宋体" w:hAnsi="宋体"/>
          <w:b/>
          <w:bCs/>
          <w:szCs w:val="21"/>
          <w:u w:val="single"/>
        </w:rPr>
        <w:t>（</w:t>
      </w:r>
      <w:r>
        <w:rPr>
          <w:rFonts w:ascii="宋体" w:hAnsi="宋体" w:hint="eastAsia"/>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ascii="宋体" w:hAnsi="宋体" w:hint="eastAsia"/>
          <w:szCs w:val="21"/>
        </w:rPr>
        <w:t>服务</w:t>
      </w:r>
      <w:r>
        <w:rPr>
          <w:rFonts w:ascii="宋体" w:hAnsi="宋体"/>
          <w:szCs w:val="21"/>
        </w:rPr>
        <w:t>全部由符合政策要求的</w:t>
      </w:r>
      <w:r>
        <w:rPr>
          <w:rFonts w:ascii="宋体" w:hAnsi="宋体" w:hint="eastAsia"/>
          <w:szCs w:val="21"/>
        </w:rPr>
        <w:t>监狱企业承接</w:t>
      </w:r>
      <w:r>
        <w:rPr>
          <w:rFonts w:ascii="宋体" w:hAnsi="宋体"/>
          <w:szCs w:val="21"/>
        </w:rPr>
        <w:t>。相关</w:t>
      </w:r>
      <w:r>
        <w:rPr>
          <w:rFonts w:ascii="宋体" w:hAnsi="宋体" w:hint="eastAsia"/>
          <w:szCs w:val="21"/>
        </w:rPr>
        <w:t>监狱企业</w:t>
      </w:r>
      <w:r>
        <w:rPr>
          <w:rFonts w:ascii="宋体" w:hAnsi="宋体"/>
          <w:szCs w:val="21"/>
        </w:rPr>
        <w:t>的具体情况如下：</w:t>
      </w:r>
    </w:p>
    <w:p>
      <w:pPr>
        <w:ind w:firstLine="420" w:firstLineChars="200"/>
        <w:rPr>
          <w:rFonts w:ascii="宋体" w:hAnsi="宋体"/>
          <w:szCs w:val="21"/>
        </w:rPr>
      </w:pPr>
      <w:r>
        <w:rPr>
          <w:rFonts w:ascii="宋体" w:hAnsi="宋体"/>
          <w:szCs w:val="21"/>
        </w:rPr>
        <w:t>1.</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szCs w:val="21"/>
        </w:rPr>
        <w:t>；</w:t>
      </w:r>
    </w:p>
    <w:p>
      <w:pPr>
        <w:ind w:firstLine="420" w:firstLineChars="200"/>
        <w:rPr>
          <w:rFonts w:ascii="宋体" w:hAnsi="宋体"/>
          <w:szCs w:val="21"/>
        </w:rPr>
      </w:pPr>
      <w:r>
        <w:rPr>
          <w:rFonts w:ascii="宋体" w:hAnsi="宋体"/>
          <w:szCs w:val="21"/>
        </w:rPr>
        <w:t>2.</w:t>
      </w:r>
      <w:r>
        <w:rPr>
          <w:rFonts w:ascii="宋体" w:hAnsi="宋体"/>
          <w:b/>
          <w:bCs/>
          <w:szCs w:val="21"/>
          <w:u w:val="single"/>
        </w:rPr>
        <w:t xml:space="preserve"> （标的名称）</w:t>
      </w:r>
      <w:r>
        <w:rPr>
          <w:rFonts w:ascii="宋体" w:hAnsi="宋体"/>
          <w:szCs w:val="21"/>
        </w:rPr>
        <w:t xml:space="preserve"> </w:t>
      </w:r>
      <w:r>
        <w:rPr>
          <w:rFonts w:ascii="宋体" w:hAnsi="宋体" w:hint="eastAsia"/>
          <w:szCs w:val="21"/>
        </w:rPr>
        <w:t>，承接单位</w:t>
      </w:r>
      <w:r>
        <w:rPr>
          <w:rFonts w:ascii="宋体" w:hAnsi="宋体"/>
          <w:szCs w:val="21"/>
        </w:rPr>
        <w:t>为</w:t>
      </w:r>
      <w:r>
        <w:rPr>
          <w:rFonts w:ascii="宋体" w:hAnsi="宋体"/>
          <w:b/>
          <w:bCs/>
          <w:szCs w:val="21"/>
          <w:u w:val="single"/>
        </w:rPr>
        <w:t>（</w:t>
      </w:r>
      <w:r>
        <w:rPr>
          <w:rFonts w:ascii="宋体" w:hAnsi="宋体" w:hint="eastAsia"/>
          <w:b/>
          <w:bCs/>
          <w:szCs w:val="21"/>
          <w:u w:val="single"/>
        </w:rPr>
        <w:t>企业</w:t>
      </w:r>
      <w:r>
        <w:rPr>
          <w:rFonts w:ascii="宋体" w:hAnsi="宋体"/>
          <w:b/>
          <w:bCs/>
          <w:szCs w:val="21"/>
          <w:u w:val="single"/>
        </w:rPr>
        <w:t>名称）</w:t>
      </w:r>
      <w:r>
        <w:rPr>
          <w:rFonts w:ascii="宋体" w:hAnsi="宋体"/>
          <w:szCs w:val="21"/>
        </w:rPr>
        <w:t>，属于</w:t>
      </w:r>
      <w:r>
        <w:rPr>
          <w:rFonts w:ascii="宋体" w:hAnsi="宋体" w:hint="eastAsia"/>
          <w:b/>
          <w:bCs/>
          <w:szCs w:val="21"/>
          <w:u w:val="single"/>
        </w:rPr>
        <w:t>监狱企业</w:t>
      </w:r>
      <w:r>
        <w:rPr>
          <w:rFonts w:ascii="宋体" w:hAnsi="宋体" w:hint="eastAsia"/>
          <w:szCs w:val="21"/>
        </w:rPr>
        <w:t>。</w:t>
      </w:r>
    </w:p>
    <w:p>
      <w:pPr>
        <w:ind w:firstLine="420" w:firstLineChars="200"/>
        <w:outlineLvl w:val="3"/>
        <w:rPr>
          <w:rFonts w:ascii="宋体" w:hAnsi="宋体"/>
          <w:szCs w:val="21"/>
        </w:rPr>
      </w:pPr>
      <w:r>
        <w:rPr>
          <w:rFonts w:ascii="宋体" w:hAnsi="宋体"/>
          <w:szCs w:val="21"/>
        </w:rPr>
        <w:t xml:space="preserve">…… </w:t>
      </w:r>
    </w:p>
    <w:p>
      <w:pPr>
        <w:ind w:firstLine="420" w:firstLineChars="200"/>
        <w:rPr>
          <w:rFonts w:ascii="宋体" w:hAnsi="宋体"/>
          <w:szCs w:val="21"/>
        </w:rPr>
      </w:pPr>
      <w:r>
        <w:rPr>
          <w:rFonts w:ascii="宋体" w:hAnsi="宋体" w:cstheme="minorBidi"/>
          <w:szCs w:val="21"/>
        </w:rPr>
        <w:t>本</w:t>
      </w:r>
      <w:r>
        <w:rPr>
          <w:rFonts w:ascii="宋体" w:hAnsi="宋体" w:cstheme="minorBidi" w:hint="eastAsia"/>
          <w:szCs w:val="21"/>
        </w:rPr>
        <w:t>投标人</w:t>
      </w:r>
      <w:r>
        <w:rPr>
          <w:rFonts w:ascii="宋体" w:hAnsi="宋体"/>
          <w:szCs w:val="21"/>
        </w:rPr>
        <w:t>对上述声明内容的真实性负责。如有虚假，将依法承担相应责任。</w:t>
      </w:r>
    </w:p>
    <w:p>
      <w:pPr>
        <w:ind w:firstLine="420" w:firstLineChars="200"/>
        <w:rPr>
          <w:rFonts w:ascii="宋体" w:hAnsi="宋体"/>
          <w:szCs w:val="21"/>
        </w:rPr>
      </w:pPr>
      <w:r>
        <w:rPr>
          <w:rFonts w:ascii="宋体" w:hAnsi="宋体" w:hint="eastAsia"/>
          <w:szCs w:val="21"/>
        </w:rPr>
        <w:t>附：省级以上监狱管理局、戒毒管理局（含新疆生产建设兵团）出具的监狱企业证明文件。</w:t>
      </w:r>
    </w:p>
    <w:p>
      <w:pPr>
        <w:ind w:left="723" w:hanging="630" w:hangingChars="300"/>
        <w:rPr>
          <w:b/>
          <w:sz w:val="24"/>
        </w:rPr>
      </w:pPr>
    </w:p>
    <w:p>
      <w:pPr>
        <w:spacing w:after="60" w:afterLines="25" w:line="300" w:lineRule="auto"/>
        <w:rPr>
          <w:rFonts w:ascii="宋体" w:eastAsia="宋体" w:hAnsi="宋体" w:cs="宋体" w:hint="eastAsia"/>
          <w:sz w:val="21"/>
          <w:szCs w:val="21"/>
        </w:rPr>
      </w:pPr>
      <w:r>
        <w:rPr>
          <w:rFonts w:ascii="宋体" w:eastAsia="宋体" w:hAnsi="宋体" w:cs="宋体" w:hint="eastAsia"/>
          <w:sz w:val="21"/>
          <w:szCs w:val="21"/>
        </w:rPr>
        <w:t xml:space="preserve"> </w:t>
      </w:r>
    </w:p>
    <w:p>
      <w:pPr>
        <w:ind w:left="723" w:hanging="630" w:hangingChars="300"/>
        <w:rPr>
          <w:b/>
          <w:sz w:val="24"/>
        </w:rPr>
      </w:pPr>
    </w:p>
    <w:p>
      <w:pPr>
        <w:rPr>
          <w:rFonts w:ascii="黑体" w:eastAsia="黑体" w:hint="eastAsia"/>
          <w:b w:val="0"/>
          <w:sz w:val="24"/>
          <w:szCs w:val="24"/>
        </w:rPr>
      </w:pPr>
      <w:r>
        <w:rPr>
          <w:rFonts w:ascii="黑体" w:eastAsia="黑体" w:hint="eastAsia"/>
          <w:b w:val="0"/>
          <w:sz w:val="24"/>
          <w:szCs w:val="24"/>
        </w:rPr>
        <w:br w:type="page"/>
      </w:r>
    </w:p>
    <w:p>
      <w:pPr>
        <w:pStyle w:val="Heading3"/>
        <w:jc w:val="center"/>
        <w:rPr>
          <w:rFonts w:ascii="黑体" w:eastAsia="黑体"/>
          <w:b w:val="0"/>
          <w:sz w:val="24"/>
          <w:szCs w:val="24"/>
        </w:rPr>
      </w:pPr>
      <w:r>
        <w:rPr>
          <w:rFonts w:ascii="黑体" w:eastAsia="黑体" w:hint="eastAsia"/>
          <w:b w:val="0"/>
          <w:sz w:val="24"/>
          <w:szCs w:val="24"/>
        </w:rPr>
        <w:t>四、项目详细报价</w:t>
      </w:r>
    </w:p>
    <w:p>
      <w:pPr>
        <w:tabs>
          <w:tab w:val="left" w:pos="720"/>
        </w:tabs>
        <w:ind w:firstLine="2730" w:firstLineChars="1300"/>
        <w:rPr>
          <w:b/>
          <w:sz w:val="24"/>
        </w:rPr>
      </w:pPr>
      <w:r>
        <w:rPr>
          <w:rFonts w:hint="eastAsia"/>
          <w:b/>
          <w:sz w:val="24"/>
        </w:rPr>
        <w:t>（一）分项报价表</w:t>
      </w:r>
    </w:p>
    <w:tbl>
      <w:tblPr>
        <w:tblStyle w:val="TableNormal"/>
        <w:tblW w:w="8613" w:type="dxa"/>
        <w:tblInd w:w="0"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
      <w:tblGrid>
        <w:gridCol w:w="4444"/>
        <w:gridCol w:w="2320"/>
        <w:gridCol w:w="1762"/>
      </w:tblGrid>
      <w:tr>
        <w:tblPrEx>
          <w:tblW w:w="8613" w:type="dxa"/>
          <w:tblInd w:w="0" w:type="dxa"/>
          <w:tblBorders>
            <w:top w:val="single" w:sz="4" w:space="0" w:color="auto"/>
            <w:left w:val="single" w:sz="4" w:space="0" w:color="auto"/>
            <w:bottom w:val="single" w:sz="4" w:space="0" w:color="auto"/>
            <w:right w:val="single" w:sz="4" w:space="0" w:color="auto"/>
            <w:insideH w:val="nil"/>
            <w:insideV w:val="nil"/>
          </w:tblBorders>
          <w:tblLayout w:type="fixed"/>
          <w:tblCellMar>
            <w:top w:w="0" w:type="dxa"/>
            <w:left w:w="108" w:type="dxa"/>
            <w:bottom w:w="0" w:type="dxa"/>
            <w:right w:w="108" w:type="dxa"/>
          </w:tblCellMar>
        </w:tblPrEx>
        <w:trPr>
          <w:trHeight w:val="285"/>
        </w:trPr>
        <w:tc>
          <w:tcPr>
            <w:tcW w:w="4444" w:type="dxa"/>
            <w:tcBorders>
              <w:bottom w:val="single" w:sz="4" w:space="0" w:color="auto"/>
              <w:right w:val="single" w:sz="4" w:space="0" w:color="auto"/>
            </w:tcBorders>
            <w:shd w:val="clear" w:color="000000" w:fill="E7E6E6"/>
            <w:vAlign w:val="center"/>
          </w:tcPr>
          <w:p>
            <w:pPr>
              <w:pageBreakBefore w:val="0"/>
              <w:widowControl/>
              <w:kinsoku/>
              <w:overflowPunct/>
              <w:topLinePunct w:val="0"/>
              <w:autoSpaceDE/>
              <w:autoSpaceDN/>
              <w:bidi w:val="0"/>
              <w:adjustRightInd/>
              <w:spacing w:line="240" w:lineRule="auto"/>
              <w:jc w:val="center"/>
              <w:textAlignment w:val="auto"/>
              <w:rPr>
                <w:rFonts w:asciiTheme="minorEastAsia" w:eastAsiaTheme="minorEastAsia" w:hAnsiTheme="minorEastAsia" w:cstheme="minorEastAsia" w:hint="eastAsia"/>
                <w:b/>
                <w:bCs/>
                <w:kern w:val="0"/>
                <w:sz w:val="24"/>
                <w:szCs w:val="24"/>
                <w:lang w:eastAsia="zh-CN"/>
              </w:rPr>
            </w:pPr>
            <w:r>
              <w:rPr>
                <w:rFonts w:asciiTheme="minorEastAsia" w:eastAsiaTheme="minorEastAsia" w:hAnsiTheme="minorEastAsia" w:cstheme="minorEastAsia" w:hint="eastAsia"/>
                <w:b/>
                <w:bCs/>
                <w:kern w:val="0"/>
                <w:sz w:val="24"/>
                <w:szCs w:val="24"/>
                <w:lang w:eastAsia="zh-CN"/>
              </w:rPr>
              <w:t>项目名称</w:t>
            </w:r>
          </w:p>
        </w:tc>
        <w:tc>
          <w:tcPr>
            <w:tcW w:w="2320" w:type="dxa"/>
            <w:tcBorders>
              <w:left w:val="nil"/>
              <w:bottom w:val="single" w:sz="4" w:space="0" w:color="auto"/>
              <w:right w:val="single" w:sz="4" w:space="0" w:color="auto"/>
            </w:tcBorders>
            <w:shd w:val="clear" w:color="000000" w:fill="E7E6E6"/>
            <w:vAlign w:val="center"/>
          </w:tcPr>
          <w:p>
            <w:pPr>
              <w:pageBreakBefore w:val="0"/>
              <w:widowControl/>
              <w:kinsoku/>
              <w:overflowPunct/>
              <w:topLinePunct w:val="0"/>
              <w:autoSpaceDE/>
              <w:autoSpaceDN/>
              <w:bidi w:val="0"/>
              <w:adjustRightInd/>
              <w:spacing w:line="240" w:lineRule="auto"/>
              <w:jc w:val="center"/>
              <w:textAlignment w:val="auto"/>
              <w:rPr>
                <w:rFonts w:asciiTheme="minorEastAsia" w:eastAsiaTheme="minorEastAsia" w:hAnsiTheme="minorEastAsia" w:cstheme="minorEastAsia" w:hint="eastAsia"/>
                <w:b/>
                <w:bCs/>
                <w:kern w:val="0"/>
                <w:sz w:val="24"/>
                <w:szCs w:val="24"/>
                <w:lang w:eastAsia="zh-CN"/>
              </w:rPr>
            </w:pPr>
            <w:r>
              <w:rPr>
                <w:rFonts w:asciiTheme="minorEastAsia" w:eastAsiaTheme="minorEastAsia" w:hAnsiTheme="minorEastAsia" w:cstheme="minorEastAsia" w:hint="eastAsia"/>
                <w:b/>
                <w:bCs/>
                <w:kern w:val="0"/>
                <w:sz w:val="24"/>
                <w:szCs w:val="24"/>
                <w:lang w:eastAsia="zh-CN"/>
              </w:rPr>
              <w:t>投标报价</w:t>
            </w:r>
          </w:p>
        </w:tc>
        <w:tc>
          <w:tcPr>
            <w:tcW w:w="1762" w:type="dxa"/>
            <w:tcBorders>
              <w:left w:val="nil"/>
              <w:bottom w:val="single" w:sz="4" w:space="0" w:color="auto"/>
            </w:tcBorders>
            <w:shd w:val="clear" w:color="000000" w:fill="E7E6E6"/>
            <w:vAlign w:val="center"/>
          </w:tcPr>
          <w:p>
            <w:pPr>
              <w:pageBreakBefore w:val="0"/>
              <w:widowControl/>
              <w:kinsoku/>
              <w:overflowPunct/>
              <w:topLinePunct w:val="0"/>
              <w:autoSpaceDE/>
              <w:autoSpaceDN/>
              <w:bidi w:val="0"/>
              <w:adjustRightInd/>
              <w:spacing w:line="240" w:lineRule="auto"/>
              <w:jc w:val="center"/>
              <w:textAlignment w:val="auto"/>
              <w:rPr>
                <w:rFonts w:asciiTheme="minorEastAsia" w:eastAsiaTheme="minorEastAsia" w:hAnsiTheme="minorEastAsia" w:cstheme="minorEastAsia" w:hint="eastAsia"/>
                <w:b/>
                <w:bCs/>
                <w:kern w:val="0"/>
                <w:sz w:val="24"/>
                <w:szCs w:val="24"/>
              </w:rPr>
            </w:pPr>
            <w:r>
              <w:rPr>
                <w:rFonts w:asciiTheme="minorEastAsia" w:eastAsiaTheme="minorEastAsia" w:hAnsiTheme="minorEastAsia" w:cstheme="minorEastAsia" w:hint="eastAsia"/>
                <w:b/>
                <w:bCs/>
                <w:kern w:val="0"/>
                <w:sz w:val="24"/>
                <w:szCs w:val="24"/>
              </w:rPr>
              <w:t>说明</w:t>
            </w:r>
          </w:p>
        </w:tc>
      </w:tr>
      <w:tr>
        <w:tblPrEx>
          <w:tblW w:w="8613" w:type="dxa"/>
          <w:tblInd w:w="0" w:type="dxa"/>
          <w:tblLayout w:type="fixed"/>
          <w:tblCellMar>
            <w:top w:w="0" w:type="dxa"/>
            <w:left w:w="108" w:type="dxa"/>
            <w:bottom w:w="0" w:type="dxa"/>
            <w:right w:w="108" w:type="dxa"/>
          </w:tblCellMar>
        </w:tblPrEx>
        <w:trPr>
          <w:trHeight w:val="285"/>
        </w:trPr>
        <w:tc>
          <w:tcPr>
            <w:tcW w:w="4444" w:type="dxa"/>
            <w:tcBorders>
              <w:top w:val="single" w:sz="4" w:space="0" w:color="auto"/>
              <w:right w:val="single" w:sz="4" w:space="0" w:color="auto"/>
            </w:tcBorders>
            <w:shd w:val="clear" w:color="auto" w:fill="auto"/>
            <w:vAlign w:val="center"/>
          </w:tcPr>
          <w:p>
            <w:pPr>
              <w:pageBreakBefore w:val="0"/>
              <w:kinsoku/>
              <w:overflowPunct/>
              <w:topLinePunct w:val="0"/>
              <w:autoSpaceDE/>
              <w:autoSpaceDN/>
              <w:bidi w:val="0"/>
              <w:adjustRightInd/>
              <w:spacing w:line="240" w:lineRule="auto"/>
              <w:jc w:val="both"/>
              <w:textAlignment w:val="auto"/>
              <w:rPr>
                <w:rFonts w:asciiTheme="minorEastAsia" w:eastAsiaTheme="minorEastAsia" w:hAnsiTheme="minorEastAsia" w:cstheme="minorEastAsia" w:hint="eastAsia"/>
                <w:b w:val="0"/>
                <w:bCs/>
                <w:color w:val="auto"/>
                <w:kern w:val="2"/>
                <w:sz w:val="24"/>
                <w:szCs w:val="24"/>
                <w:lang w:val="en-US" w:eastAsia="zh-CN" w:bidi="ar-SA"/>
              </w:rPr>
            </w:pPr>
            <w:r>
              <w:rPr>
                <w:rFonts w:asciiTheme="minorEastAsia" w:eastAsiaTheme="minorEastAsia" w:hAnsiTheme="minorEastAsia" w:cstheme="minorEastAsia" w:hint="eastAsia"/>
                <w:b w:val="0"/>
                <w:bCs/>
                <w:color w:val="auto"/>
                <w:kern w:val="2"/>
                <w:sz w:val="24"/>
                <w:szCs w:val="24"/>
                <w:lang w:val="en-US" w:eastAsia="zh-CN" w:bidi="ar-SA"/>
              </w:rPr>
              <w:t>大鹏新区坝光片区城市风貌与建筑空间咨询服务项目</w:t>
            </w:r>
          </w:p>
        </w:tc>
        <w:tc>
          <w:tcPr>
            <w:tcW w:w="2320" w:type="dxa"/>
            <w:tcBorders>
              <w:top w:val="single" w:sz="4" w:space="0" w:color="auto"/>
              <w:left w:val="nil"/>
              <w:right w:val="single" w:sz="4" w:space="0" w:color="auto"/>
            </w:tcBorders>
            <w:shd w:val="clear" w:color="000000" w:fill="FFFFFF"/>
            <w:vAlign w:val="center"/>
          </w:tcPr>
          <w:p>
            <w:pPr>
              <w:pageBreakBefore w:val="0"/>
              <w:widowControl/>
              <w:kinsoku/>
              <w:overflowPunct/>
              <w:topLinePunct w:val="0"/>
              <w:autoSpaceDE/>
              <w:autoSpaceDN/>
              <w:bidi w:val="0"/>
              <w:adjustRightInd/>
              <w:spacing w:line="240" w:lineRule="auto"/>
              <w:jc w:val="right"/>
              <w:textAlignment w:val="auto"/>
              <w:rPr>
                <w:rFonts w:asciiTheme="minorEastAsia" w:eastAsiaTheme="minorEastAsia" w:hAnsiTheme="minorEastAsia" w:cstheme="minorEastAsia" w:hint="eastAsia"/>
                <w:kern w:val="0"/>
                <w:sz w:val="24"/>
                <w:szCs w:val="24"/>
              </w:rPr>
            </w:pPr>
          </w:p>
        </w:tc>
        <w:tc>
          <w:tcPr>
            <w:tcW w:w="1762" w:type="dxa"/>
            <w:tcBorders>
              <w:top w:val="single" w:sz="4" w:space="0" w:color="auto"/>
              <w:left w:val="nil"/>
            </w:tcBorders>
            <w:shd w:val="clear" w:color="auto" w:fill="auto"/>
            <w:vAlign w:val="center"/>
          </w:tcPr>
          <w:p>
            <w:pPr>
              <w:pageBreakBefore w:val="0"/>
              <w:widowControl/>
              <w:kinsoku/>
              <w:overflowPunct/>
              <w:topLinePunct w:val="0"/>
              <w:autoSpaceDE/>
              <w:autoSpaceDN/>
              <w:bidi w:val="0"/>
              <w:adjustRightInd/>
              <w:spacing w:line="240" w:lineRule="auto"/>
              <w:jc w:val="left"/>
              <w:textAlignment w:val="auto"/>
              <w:rPr>
                <w:rFonts w:asciiTheme="minorEastAsia" w:eastAsiaTheme="minorEastAsia" w:hAnsiTheme="minorEastAsia" w:cstheme="minorEastAsia" w:hint="eastAsia"/>
                <w:kern w:val="0"/>
                <w:sz w:val="24"/>
                <w:szCs w:val="24"/>
              </w:rPr>
            </w:pPr>
          </w:p>
        </w:tc>
      </w:tr>
    </w:tbl>
    <w:p>
      <w:pPr>
        <w:pageBreakBefore w:val="0"/>
        <w:kinsoku/>
        <w:overflowPunct/>
        <w:topLinePunct w:val="0"/>
        <w:autoSpaceDE/>
        <w:autoSpaceDN/>
        <w:bidi w:val="0"/>
        <w:adjustRightInd/>
        <w:spacing w:line="240" w:lineRule="auto"/>
        <w:jc w:val="left"/>
        <w:textAlignment w:val="auto"/>
        <w:rPr>
          <w:rFonts w:asciiTheme="minorEastAsia" w:eastAsiaTheme="minorEastAsia" w:hAnsiTheme="minorEastAsia" w:cstheme="minorEastAsia" w:hint="eastAsia"/>
          <w:b w:val="0"/>
          <w:bCs/>
          <w:color w:val="auto"/>
          <w:sz w:val="24"/>
          <w:szCs w:val="24"/>
          <w:lang w:val="en-US" w:eastAsia="zh-CN"/>
        </w:rPr>
      </w:pPr>
      <w:r>
        <w:rPr>
          <w:rFonts w:asciiTheme="minorEastAsia" w:eastAsiaTheme="minorEastAsia" w:hAnsiTheme="minorEastAsia" w:cstheme="minorEastAsia" w:hint="eastAsia"/>
          <w:b w:val="0"/>
          <w:bCs/>
          <w:color w:val="auto"/>
          <w:sz w:val="24"/>
          <w:szCs w:val="24"/>
          <w:lang w:val="en-US" w:eastAsia="zh-CN"/>
        </w:rPr>
        <w:t>备注:</w:t>
      </w:r>
    </w:p>
    <w:p>
      <w:pPr>
        <w:pageBreakBefore w:val="0"/>
        <w:kinsoku/>
        <w:overflowPunct/>
        <w:topLinePunct w:val="0"/>
        <w:autoSpaceDE/>
        <w:autoSpaceDN/>
        <w:bidi w:val="0"/>
        <w:adjustRightInd/>
        <w:spacing w:line="240" w:lineRule="auto"/>
        <w:jc w:val="left"/>
        <w:textAlignment w:val="auto"/>
        <w:rPr>
          <w:rFonts w:asciiTheme="minorEastAsia" w:eastAsiaTheme="minorEastAsia" w:hAnsiTheme="minorEastAsia" w:cstheme="minorEastAsia" w:hint="eastAsia"/>
          <w:b w:val="0"/>
          <w:bCs/>
          <w:color w:val="auto"/>
          <w:sz w:val="24"/>
          <w:szCs w:val="24"/>
          <w:lang w:val="en-US" w:eastAsia="zh-CN"/>
        </w:rPr>
      </w:pPr>
      <w:r>
        <w:rPr>
          <w:rFonts w:asciiTheme="minorEastAsia" w:eastAsiaTheme="minorEastAsia" w:hAnsiTheme="minorEastAsia" w:cstheme="minorEastAsia" w:hint="eastAsia"/>
          <w:b w:val="0"/>
          <w:bCs/>
          <w:color w:val="auto"/>
          <w:sz w:val="24"/>
          <w:szCs w:val="24"/>
          <w:lang w:val="en-US" w:eastAsia="zh-CN"/>
        </w:rPr>
        <w:t>1.本次招标不涉及具体投标金额（无须投标人在投标文件中填报具体投标金额），投标人只需在投标一览表“投标总价”一栏里报填报唯一的“折扣率”，投标人应根据自身成本自行填报“折扣率”，但不得以低于其成本。</w:t>
      </w:r>
    </w:p>
    <w:p>
      <w:pPr>
        <w:pageBreakBefore w:val="0"/>
        <w:kinsoku/>
        <w:overflowPunct/>
        <w:topLinePunct w:val="0"/>
        <w:autoSpaceDE/>
        <w:autoSpaceDN/>
        <w:bidi w:val="0"/>
        <w:adjustRightInd/>
        <w:spacing w:line="240" w:lineRule="auto"/>
        <w:jc w:val="left"/>
        <w:textAlignment w:val="auto"/>
        <w:rPr>
          <w:rFonts w:asciiTheme="minorEastAsia" w:eastAsiaTheme="minorEastAsia" w:hAnsiTheme="minorEastAsia" w:cstheme="minorEastAsia" w:hint="eastAsia"/>
          <w:b w:val="0"/>
          <w:bCs/>
          <w:color w:val="auto"/>
          <w:sz w:val="24"/>
          <w:szCs w:val="24"/>
          <w:lang w:val="en-US" w:eastAsia="zh-CN"/>
        </w:rPr>
      </w:pPr>
      <w:r>
        <w:rPr>
          <w:rFonts w:asciiTheme="minorEastAsia" w:eastAsiaTheme="minorEastAsia" w:hAnsiTheme="minorEastAsia" w:cstheme="minorEastAsia" w:hint="eastAsia"/>
          <w:b w:val="0"/>
          <w:bCs/>
          <w:color w:val="auto"/>
          <w:sz w:val="24"/>
          <w:szCs w:val="24"/>
          <w:lang w:val="en-US" w:eastAsia="zh-CN"/>
        </w:rPr>
        <w:t>2.“折扣率”填写要求</w:t>
      </w:r>
    </w:p>
    <w:p>
      <w:pPr>
        <w:pageBreakBefore w:val="0"/>
        <w:kinsoku/>
        <w:overflowPunct/>
        <w:topLinePunct w:val="0"/>
        <w:autoSpaceDE/>
        <w:autoSpaceDN/>
        <w:bidi w:val="0"/>
        <w:adjustRightInd/>
        <w:spacing w:line="240" w:lineRule="auto"/>
        <w:jc w:val="left"/>
        <w:textAlignment w:val="auto"/>
        <w:rPr>
          <w:rFonts w:asciiTheme="minorEastAsia" w:eastAsiaTheme="minorEastAsia" w:hAnsiTheme="minorEastAsia" w:cstheme="minorEastAsia" w:hint="eastAsia"/>
          <w:b w:val="0"/>
          <w:bCs/>
          <w:color w:val="auto"/>
          <w:sz w:val="24"/>
          <w:szCs w:val="24"/>
          <w:lang w:val="en-US" w:eastAsia="zh-CN"/>
        </w:rPr>
      </w:pPr>
      <w:r>
        <w:rPr>
          <w:rFonts w:asciiTheme="minorEastAsia" w:eastAsiaTheme="minorEastAsia" w:hAnsiTheme="minorEastAsia" w:cstheme="minorEastAsia" w:hint="eastAsia"/>
          <w:b w:val="0"/>
          <w:bCs/>
          <w:color w:val="auto"/>
          <w:sz w:val="24"/>
          <w:szCs w:val="24"/>
          <w:lang w:val="en-US" w:eastAsia="zh-CN"/>
        </w:rPr>
        <w:t>（1）填写要求： 0＜折扣率≤1，未按此要求填写将作投标无效处理。</w:t>
      </w:r>
    </w:p>
    <w:p>
      <w:pPr>
        <w:pageBreakBefore w:val="0"/>
        <w:kinsoku/>
        <w:overflowPunct/>
        <w:topLinePunct w:val="0"/>
        <w:autoSpaceDE/>
        <w:autoSpaceDN/>
        <w:bidi w:val="0"/>
        <w:adjustRightInd/>
        <w:spacing w:line="240" w:lineRule="auto"/>
        <w:jc w:val="left"/>
        <w:textAlignment w:val="auto"/>
        <w:rPr>
          <w:rFonts w:asciiTheme="minorEastAsia" w:eastAsiaTheme="minorEastAsia" w:hAnsiTheme="minorEastAsia" w:cstheme="minorEastAsia" w:hint="eastAsia"/>
          <w:b w:val="0"/>
          <w:bCs/>
          <w:color w:val="auto"/>
          <w:sz w:val="24"/>
          <w:szCs w:val="24"/>
          <w:lang w:val="en-US" w:eastAsia="zh-CN"/>
        </w:rPr>
      </w:pPr>
      <w:r>
        <w:rPr>
          <w:rFonts w:asciiTheme="minorEastAsia" w:eastAsiaTheme="minorEastAsia" w:hAnsiTheme="minorEastAsia" w:cstheme="minorEastAsia" w:hint="eastAsia"/>
          <w:b w:val="0"/>
          <w:bCs/>
          <w:color w:val="auto"/>
          <w:sz w:val="24"/>
          <w:szCs w:val="24"/>
          <w:lang w:val="en-US" w:eastAsia="zh-CN"/>
        </w:rPr>
        <w:t>（2）填写的“折扣率”应为小数，（如：0.9000、0.80、0.78， 对小数点后位数不作要求）；</w:t>
      </w:r>
    </w:p>
    <w:p>
      <w:pPr>
        <w:pageBreakBefore w:val="0"/>
        <w:kinsoku/>
        <w:overflowPunct/>
        <w:topLinePunct w:val="0"/>
        <w:autoSpaceDE/>
        <w:autoSpaceDN/>
        <w:bidi w:val="0"/>
        <w:adjustRightInd/>
        <w:spacing w:line="240" w:lineRule="auto"/>
        <w:jc w:val="left"/>
        <w:textAlignment w:val="auto"/>
        <w:rPr>
          <w:rFonts w:asciiTheme="minorEastAsia" w:eastAsiaTheme="minorEastAsia" w:hAnsiTheme="minorEastAsia" w:cstheme="minorEastAsia" w:hint="eastAsia"/>
          <w:b w:val="0"/>
          <w:bCs/>
          <w:color w:val="auto"/>
          <w:sz w:val="24"/>
          <w:szCs w:val="24"/>
          <w:lang w:val="en-US" w:eastAsia="zh-CN"/>
        </w:rPr>
      </w:pPr>
      <w:r>
        <w:rPr>
          <w:rFonts w:asciiTheme="minorEastAsia" w:eastAsiaTheme="minorEastAsia" w:hAnsiTheme="minorEastAsia" w:cstheme="minorEastAsia" w:hint="eastAsia"/>
          <w:b w:val="0"/>
          <w:bCs/>
          <w:color w:val="auto"/>
          <w:sz w:val="24"/>
          <w:szCs w:val="24"/>
          <w:lang w:val="en-US" w:eastAsia="zh-CN"/>
        </w:rPr>
        <w:t>（3）投标人参与投标只允许填报一个“折扣率”，不允许填报2个（或以上）的“折扣率”；填报了2个或以上“折扣率”的，其投标将直接作投标无效处理；</w:t>
      </w:r>
    </w:p>
    <w:p>
      <w:pPr>
        <w:keepNext w:val="0"/>
        <w:keepLines w:val="0"/>
        <w:pageBreakBefore w:val="0"/>
        <w:widowControl w:val="0"/>
        <w:kinsoku/>
        <w:wordWrap/>
        <w:overflowPunct/>
        <w:topLinePunct w:val="0"/>
        <w:autoSpaceDE/>
        <w:autoSpaceDN/>
        <w:bidi w:val="0"/>
        <w:adjustRightInd/>
        <w:snapToGrid/>
        <w:ind w:firstLine="0" w:firstLineChars="0"/>
        <w:textAlignment w:val="auto"/>
        <w:rPr>
          <w:rFonts w:eastAsia="宋体" w:hAnsi="宋体" w:hint="default"/>
          <w:b/>
          <w:bCs/>
          <w:sz w:val="24"/>
          <w:lang w:val="en-US" w:eastAsia="zh-CN"/>
        </w:rPr>
      </w:pPr>
    </w:p>
    <w:p>
      <w:pPr>
        <w:tabs>
          <w:tab w:val="left" w:pos="720"/>
        </w:tabs>
        <w:jc w:val="center"/>
        <w:rPr>
          <w:b/>
          <w:sz w:val="24"/>
        </w:rPr>
      </w:pPr>
      <w:r>
        <w:rPr>
          <w:rFonts w:hint="eastAsia"/>
          <w:b/>
          <w:sz w:val="24"/>
        </w:rPr>
        <w:t>（二）</w:t>
      </w:r>
      <w:bookmarkStart w:id="47" w:name="_Hlk72073235"/>
      <w:r>
        <w:rPr>
          <w:rFonts w:hint="eastAsia"/>
          <w:b/>
          <w:sz w:val="24"/>
        </w:rPr>
        <w:t>投标人认为需要涉及的其他内容报价清单</w:t>
      </w:r>
      <w:bookmarkEnd w:id="47"/>
    </w:p>
    <w:p>
      <w:pPr>
        <w:pStyle w:val="BodyText2"/>
      </w:pPr>
    </w:p>
    <w:p>
      <w:pPr>
        <w:ind w:firstLine="630" w:firstLineChars="300"/>
      </w:pPr>
    </w:p>
    <w:p>
      <w:pPr>
        <w:ind w:firstLine="630" w:firstLineChars="300"/>
      </w:pPr>
    </w:p>
    <w:p>
      <w:pPr>
        <w:pStyle w:val="Heading3"/>
        <w:numPr>
          <w:ilvl w:val="0"/>
          <w:numId w:val="7"/>
        </w:numPr>
        <w:ind w:left="0" w:firstLine="420" w:leftChars="0" w:firstLineChars="0"/>
        <w:jc w:val="center"/>
        <w:rPr>
          <w:rFonts w:ascii="黑体" w:eastAsia="黑体" w:hint="eastAsia"/>
          <w:b w:val="0"/>
          <w:sz w:val="24"/>
          <w:szCs w:val="24"/>
        </w:rPr>
      </w:pPr>
      <w:r>
        <w:rPr>
          <w:rFonts w:ascii="黑体" w:eastAsia="黑体" w:hint="eastAsia"/>
          <w:b w:val="0"/>
          <w:sz w:val="24"/>
          <w:szCs w:val="24"/>
        </w:rPr>
        <w:t>有效业绩</w:t>
      </w:r>
    </w:p>
    <w:p>
      <w:pPr>
        <w:pStyle w:val="Heading3"/>
        <w:numPr>
          <w:ilvl w:val="0"/>
          <w:numId w:val="7"/>
        </w:numPr>
        <w:ind w:left="0" w:firstLine="420" w:leftChars="0" w:firstLineChars="0"/>
        <w:jc w:val="center"/>
        <w:rPr>
          <w:rFonts w:ascii="黑体" w:eastAsia="黑体" w:hint="eastAsia"/>
          <w:b w:val="0"/>
          <w:sz w:val="24"/>
          <w:szCs w:val="24"/>
        </w:rPr>
      </w:pPr>
      <w:r>
        <w:rPr>
          <w:rFonts w:ascii="黑体" w:eastAsia="黑体" w:hint="eastAsia"/>
          <w:b w:val="0"/>
          <w:sz w:val="24"/>
          <w:szCs w:val="24"/>
        </w:rPr>
        <w:t>服务承诺</w:t>
      </w:r>
    </w:p>
    <w:p>
      <w:pPr>
        <w:pStyle w:val="Heading3"/>
        <w:numPr>
          <w:ilvl w:val="0"/>
          <w:numId w:val="7"/>
        </w:numPr>
        <w:ind w:left="0" w:firstLine="420" w:leftChars="0" w:firstLineChars="0"/>
        <w:jc w:val="center"/>
        <w:rPr>
          <w:rFonts w:ascii="黑体" w:eastAsia="黑体" w:hint="eastAsia"/>
          <w:b w:val="0"/>
          <w:sz w:val="24"/>
          <w:szCs w:val="24"/>
        </w:rPr>
      </w:pPr>
      <w:r>
        <w:rPr>
          <w:rFonts w:ascii="黑体" w:eastAsia="黑体" w:hint="eastAsia"/>
          <w:b w:val="0"/>
          <w:sz w:val="24"/>
          <w:szCs w:val="24"/>
        </w:rPr>
        <w:t>投标人获奖情况</w:t>
      </w:r>
    </w:p>
    <w:p>
      <w:pPr>
        <w:pStyle w:val="Heading3"/>
        <w:numPr>
          <w:ilvl w:val="0"/>
          <w:numId w:val="7"/>
        </w:numPr>
        <w:ind w:left="0" w:firstLine="420" w:leftChars="0" w:firstLineChars="0"/>
        <w:jc w:val="center"/>
        <w:rPr>
          <w:rFonts w:ascii="黑体" w:eastAsia="黑体" w:hint="eastAsia"/>
          <w:b w:val="0"/>
          <w:sz w:val="24"/>
          <w:szCs w:val="24"/>
        </w:rPr>
      </w:pPr>
      <w:r>
        <w:rPr>
          <w:rFonts w:ascii="黑体" w:eastAsia="黑体" w:hint="eastAsia"/>
          <w:b w:val="0"/>
          <w:sz w:val="24"/>
          <w:szCs w:val="24"/>
          <w:lang w:val="en-US" w:eastAsia="zh-CN"/>
        </w:rPr>
        <w:t>资质</w:t>
      </w:r>
      <w:r>
        <w:rPr>
          <w:rFonts w:ascii="黑体" w:eastAsia="黑体" w:hint="eastAsia"/>
          <w:b w:val="0"/>
          <w:sz w:val="24"/>
          <w:szCs w:val="24"/>
        </w:rPr>
        <w:t>证书</w:t>
      </w:r>
    </w:p>
    <w:p>
      <w:pPr>
        <w:pStyle w:val="Heading3"/>
        <w:numPr>
          <w:ilvl w:val="0"/>
          <w:numId w:val="7"/>
        </w:numPr>
        <w:ind w:left="0" w:firstLine="420" w:leftChars="0" w:firstLineChars="0"/>
        <w:jc w:val="center"/>
        <w:rPr>
          <w:rFonts w:ascii="黑体" w:eastAsia="黑体" w:hint="eastAsia"/>
          <w:b w:val="0"/>
          <w:sz w:val="24"/>
          <w:szCs w:val="24"/>
          <w:lang w:eastAsia="zh-CN"/>
        </w:rPr>
      </w:pPr>
      <w:r>
        <w:rPr>
          <w:rFonts w:ascii="黑体" w:eastAsia="黑体" w:hint="eastAsia"/>
          <w:b w:val="0"/>
          <w:sz w:val="24"/>
          <w:szCs w:val="24"/>
        </w:rPr>
        <w:t>投标人认为需要加以说明的其他内容</w:t>
      </w:r>
      <w:r>
        <w:rPr>
          <w:rFonts w:ascii="黑体" w:eastAsia="黑体" w:hint="eastAsia"/>
          <w:b w:val="0"/>
          <w:sz w:val="24"/>
          <w:szCs w:val="24"/>
          <w:lang w:eastAsia="zh-CN"/>
        </w:rPr>
        <w:t>（公开部分）</w:t>
      </w:r>
    </w:p>
    <w:p/>
    <w:p/>
    <w:p>
      <w:pPr>
        <w:ind w:firstLine="1260" w:firstLineChars="600"/>
        <w:rPr>
          <w:b/>
          <w:color w:val="FF0000"/>
          <w:sz w:val="24"/>
        </w:rPr>
      </w:pPr>
      <w:r>
        <w:rPr>
          <w:rFonts w:hint="eastAsia"/>
          <w:b/>
          <w:color w:val="FF0000"/>
          <w:sz w:val="24"/>
        </w:rPr>
        <w:t>（信息公开部分的内容到此为止！以下为信息不公开部分。）</w:t>
      </w: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jc w:val="center"/>
        <w:rPr>
          <w:b/>
          <w:sz w:val="32"/>
          <w:szCs w:val="32"/>
        </w:rPr>
      </w:pPr>
    </w:p>
    <w:p>
      <w:pPr>
        <w:outlineLvl w:val="9"/>
        <w:rPr>
          <w:rFonts w:ascii="宋体" w:hAnsi="宋体"/>
          <w:b/>
          <w:color w:val="FF0000"/>
          <w:sz w:val="28"/>
          <w:szCs w:val="28"/>
        </w:rPr>
      </w:pPr>
      <w:r>
        <w:rPr>
          <w:rFonts w:ascii="宋体" w:hAnsi="宋体" w:hint="eastAsia"/>
          <w:b/>
          <w:color w:val="FF0000"/>
          <w:sz w:val="28"/>
          <w:szCs w:val="28"/>
        </w:rPr>
        <w:t>投标文件附件（信息不公开部分）</w:t>
      </w:r>
    </w:p>
    <w:p>
      <w:pPr>
        <w:pStyle w:val="Heading3"/>
        <w:jc w:val="center"/>
        <w:rPr>
          <w:rFonts w:ascii="黑体" w:eastAsia="黑体"/>
          <w:b w:val="0"/>
          <w:sz w:val="24"/>
        </w:rPr>
      </w:pPr>
      <w:r>
        <w:rPr>
          <w:rFonts w:ascii="黑体" w:eastAsia="黑体" w:hint="eastAsia"/>
          <w:b w:val="0"/>
          <w:sz w:val="24"/>
        </w:rPr>
        <w:t>一、</w:t>
      </w:r>
      <w:bookmarkStart w:id="48" w:name="_Hlk72092499"/>
      <w:r>
        <w:rPr>
          <w:rFonts w:ascii="黑体" w:eastAsia="黑体" w:hint="eastAsia"/>
          <w:b w:val="0"/>
          <w:sz w:val="24"/>
        </w:rPr>
        <w:t>法定代表人（负责人）证明书</w:t>
      </w:r>
      <w:bookmarkEnd w:id="48"/>
    </w:p>
    <w:p>
      <w:pPr>
        <w:rPr>
          <w:sz w:val="24"/>
        </w:rPr>
      </w:pPr>
    </w:p>
    <w:p>
      <w:pPr>
        <w:spacing w:line="360" w:lineRule="auto"/>
        <w:rPr>
          <w:szCs w:val="21"/>
        </w:rPr>
      </w:pPr>
      <w:r>
        <w:rPr>
          <w:rFonts w:hint="eastAsia"/>
          <w:szCs w:val="21"/>
        </w:rPr>
        <w:t xml:space="preserve">   </w:t>
      </w:r>
      <w:r>
        <w:rPr>
          <w:rFonts w:hint="eastAsia"/>
          <w:szCs w:val="21"/>
          <w:u w:val="single"/>
        </w:rPr>
        <w:t xml:space="preserve">         </w:t>
      </w:r>
      <w:r>
        <w:rPr>
          <w:rFonts w:hint="eastAsia"/>
          <w:szCs w:val="21"/>
        </w:rPr>
        <w:t>同志，现任我单位</w:t>
      </w:r>
      <w:r>
        <w:rPr>
          <w:rFonts w:hint="eastAsia"/>
          <w:szCs w:val="21"/>
          <w:u w:val="single"/>
        </w:rPr>
        <w:t xml:space="preserve">         </w:t>
      </w:r>
      <w:r>
        <w:rPr>
          <w:rFonts w:hint="eastAsia"/>
          <w:szCs w:val="21"/>
        </w:rPr>
        <w:t xml:space="preserve">职务，为法定代表人（负责人），身份证号：   </w:t>
      </w:r>
      <w:r>
        <w:rPr>
          <w:rFonts w:hint="eastAsia"/>
          <w:szCs w:val="21"/>
          <w:u w:val="single"/>
        </w:rPr>
        <w:t xml:space="preserve">                                  </w:t>
      </w:r>
      <w:r>
        <w:rPr>
          <w:rFonts w:hint="eastAsia"/>
          <w:szCs w:val="21"/>
        </w:rPr>
        <w:t>联系电话：         特此证明。</w:t>
      </w:r>
    </w:p>
    <w:p>
      <w:pPr>
        <w:spacing w:line="360" w:lineRule="auto"/>
        <w:rPr>
          <w:szCs w:val="21"/>
        </w:rPr>
      </w:pPr>
      <w:r>
        <w:rPr>
          <w:rFonts w:hint="eastAsia"/>
          <w:szCs w:val="21"/>
        </w:rPr>
        <w:t xml:space="preserve">         </w:t>
      </w:r>
    </w:p>
    <w:p>
      <w:pPr>
        <w:spacing w:line="360" w:lineRule="auto"/>
        <w:rPr>
          <w:szCs w:val="21"/>
        </w:rPr>
      </w:pPr>
      <w:r>
        <w:rPr>
          <w:rFonts w:hint="eastAsia"/>
          <w:szCs w:val="21"/>
        </w:rPr>
        <w:t>说明：1、法定代表人为投标人（企业事业单位、国家机关、社会团体）的主要行政负责人。</w:t>
      </w:r>
    </w:p>
    <w:p>
      <w:pPr>
        <w:spacing w:line="360" w:lineRule="auto"/>
        <w:ind w:firstLine="0" w:firstLineChars="0"/>
        <w:rPr>
          <w:rFonts w:hint="eastAsia"/>
          <w:szCs w:val="21"/>
        </w:rPr>
      </w:pPr>
      <w:r>
        <w:rPr>
          <w:rFonts w:hint="eastAsia"/>
          <w:szCs w:val="21"/>
        </w:rPr>
        <w:t xml:space="preserve">     </w:t>
      </w:r>
      <w:r>
        <w:rPr>
          <w:rFonts w:hint="eastAsia"/>
          <w:b/>
          <w:bCs/>
          <w:color w:val="FF0000"/>
          <w:szCs w:val="21"/>
        </w:rPr>
        <w:t xml:space="preserve"> 2、本证明书要求投标供应商同时提供法定代表人（负责人）的身份证扫描件（正反两面）作为附件方为有效</w:t>
      </w:r>
      <w:r>
        <w:rPr>
          <w:rFonts w:hint="eastAsia"/>
          <w:b/>
          <w:bCs/>
          <w:color w:val="FF0000"/>
          <w:szCs w:val="21"/>
          <w:lang w:eastAsia="zh-CN"/>
        </w:rPr>
        <w:t>。</w:t>
      </w:r>
      <w:r>
        <w:rPr>
          <w:rFonts w:hint="eastAsia"/>
          <w:b/>
          <w:bCs/>
          <w:color w:val="FF0000"/>
          <w:szCs w:val="21"/>
        </w:rPr>
        <w:t xml:space="preserve">  </w:t>
      </w:r>
      <w:r>
        <w:rPr>
          <w:rFonts w:hint="eastAsia"/>
          <w:szCs w:val="21"/>
        </w:rPr>
        <w:t xml:space="preserve">  </w:t>
      </w:r>
    </w:p>
    <w:p>
      <w:pPr>
        <w:spacing w:line="360" w:lineRule="auto"/>
        <w:ind w:firstLine="630" w:firstLineChars="300"/>
        <w:rPr>
          <w:rFonts w:hint="eastAsia"/>
          <w:szCs w:val="21"/>
        </w:rPr>
      </w:pPr>
      <w:r>
        <w:rPr>
          <w:rFonts w:hint="eastAsia"/>
          <w:szCs w:val="21"/>
        </w:rPr>
        <w:t>3、</w:t>
      </w:r>
      <w:r>
        <w:rPr>
          <w:rFonts w:hint="eastAsia"/>
          <w:szCs w:val="21"/>
        </w:rPr>
        <w:t>本项目投标授权代表为法定代表人（负责人）的，无需提供</w:t>
      </w:r>
      <w:r>
        <w:rPr>
          <w:rFonts w:hint="eastAsia"/>
          <w:szCs w:val="21"/>
        </w:rPr>
        <w:t>《投标文件签署授权委托书》</w:t>
      </w:r>
      <w:r>
        <w:rPr>
          <w:rFonts w:hint="eastAsia"/>
          <w:szCs w:val="21"/>
        </w:rPr>
        <w:t>。</w:t>
      </w:r>
    </w:p>
    <w:p>
      <w:pPr>
        <w:spacing w:line="360" w:lineRule="auto"/>
        <w:ind w:firstLine="630" w:firstLineChars="300"/>
        <w:rPr>
          <w:szCs w:val="21"/>
        </w:rPr>
      </w:pPr>
      <w:r>
        <w:rPr>
          <w:rFonts w:hint="eastAsia"/>
          <w:szCs w:val="21"/>
          <w:lang w:val="en-US" w:eastAsia="zh-CN"/>
        </w:rPr>
        <w:t>4、</w:t>
      </w:r>
      <w:r>
        <w:rPr>
          <w:rFonts w:hint="eastAsia"/>
          <w:szCs w:val="21"/>
        </w:rPr>
        <w:t>内容必须填写真实、清楚，涂改无效，不得转让、买卖。</w:t>
      </w:r>
    </w:p>
    <w:p>
      <w:pPr>
        <w:rPr>
          <w:sz w:val="24"/>
        </w:rPr>
      </w:pPr>
    </w:p>
    <w:p>
      <w:pPr>
        <w:rPr>
          <w:b/>
          <w:bCs/>
          <w:sz w:val="24"/>
        </w:rPr>
      </w:pPr>
    </w:p>
    <w:p>
      <w:pPr>
        <w:pStyle w:val="Heading3"/>
        <w:spacing w:before="120" w:after="120"/>
        <w:jc w:val="center"/>
        <w:rPr>
          <w:rFonts w:ascii="黑体" w:eastAsia="黑体"/>
          <w:b w:val="0"/>
          <w:sz w:val="24"/>
        </w:rPr>
      </w:pPr>
      <w:r>
        <w:rPr>
          <w:rFonts w:ascii="黑体" w:eastAsia="黑体" w:hint="eastAsia"/>
          <w:b w:val="0"/>
          <w:sz w:val="24"/>
        </w:rPr>
        <w:t>二、投标文件签署授权委托书</w:t>
      </w:r>
    </w:p>
    <w:p>
      <w:pPr>
        <w:spacing w:line="360" w:lineRule="auto"/>
        <w:ind w:firstLine="420" w:firstLineChars="200"/>
        <w:rPr>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pPr>
        <w:pStyle w:val="NormalIndent"/>
        <w:spacing w:line="360" w:lineRule="auto"/>
        <w:rPr>
          <w:szCs w:val="21"/>
        </w:rPr>
      </w:pPr>
      <w:r>
        <w:rPr>
          <w:rFonts w:hint="eastAsia"/>
          <w:szCs w:val="21"/>
        </w:rPr>
        <w:t>代理人无转委托权，特此委托。</w:t>
      </w:r>
    </w:p>
    <w:p>
      <w:pPr>
        <w:pStyle w:val="NormalIndent"/>
        <w:spacing w:line="360" w:lineRule="auto"/>
        <w:rPr>
          <w:szCs w:val="21"/>
        </w:rPr>
      </w:pPr>
    </w:p>
    <w:p>
      <w:pPr>
        <w:spacing w:line="360" w:lineRule="auto"/>
        <w:ind w:left="540" w:leftChars="257"/>
        <w:rPr>
          <w:szCs w:val="21"/>
          <w:u w:val="single"/>
        </w:rPr>
      </w:pPr>
      <w:r>
        <w:rPr>
          <w:rFonts w:hint="eastAsia"/>
          <w:szCs w:val="21"/>
        </w:rPr>
        <w:t>代理人：</w:t>
      </w:r>
      <w:r>
        <w:rPr>
          <w:rFonts w:hint="eastAsia"/>
          <w:szCs w:val="21"/>
          <w:u w:val="single"/>
        </w:rPr>
        <w:t xml:space="preserve">             </w:t>
      </w:r>
    </w:p>
    <w:p>
      <w:pPr>
        <w:spacing w:line="360" w:lineRule="auto"/>
        <w:ind w:left="540" w:leftChars="257"/>
        <w:rPr>
          <w:szCs w:val="21"/>
        </w:rPr>
      </w:pPr>
      <w:r>
        <w:rPr>
          <w:rFonts w:hint="eastAsia"/>
          <w:szCs w:val="21"/>
        </w:rPr>
        <w:t>联系电话：</w:t>
      </w:r>
      <w:r>
        <w:rPr>
          <w:rFonts w:hint="eastAsia"/>
          <w:szCs w:val="21"/>
          <w:u w:val="single"/>
        </w:rPr>
        <w:t xml:space="preserve">            </w:t>
      </w:r>
      <w:r>
        <w:rPr>
          <w:rFonts w:hint="eastAsia"/>
          <w:szCs w:val="21"/>
        </w:rPr>
        <w:t xml:space="preserve">  手机：</w:t>
      </w:r>
      <w:r>
        <w:rPr>
          <w:rFonts w:hint="eastAsia"/>
          <w:szCs w:val="21"/>
          <w:u w:val="single"/>
        </w:rPr>
        <w:t xml:space="preserve">                   </w:t>
      </w:r>
    </w:p>
    <w:p>
      <w:pPr>
        <w:spacing w:line="360" w:lineRule="auto"/>
        <w:ind w:left="540" w:leftChars="257"/>
        <w:rPr>
          <w:szCs w:val="21"/>
          <w:u w:val="single"/>
        </w:rPr>
      </w:pPr>
      <w:r>
        <w:rPr>
          <w:rFonts w:hint="eastAsia"/>
          <w:szCs w:val="21"/>
        </w:rPr>
        <w:t>身份证号码：</w:t>
      </w:r>
      <w:r>
        <w:rPr>
          <w:rFonts w:hint="eastAsia"/>
          <w:szCs w:val="21"/>
          <w:u w:val="single"/>
        </w:rPr>
        <w:t xml:space="preserve">                        </w:t>
      </w:r>
      <w:r>
        <w:rPr>
          <w:rFonts w:hint="eastAsia"/>
          <w:szCs w:val="21"/>
        </w:rPr>
        <w:t>职务：</w:t>
      </w:r>
      <w:r>
        <w:rPr>
          <w:rFonts w:hint="eastAsia"/>
          <w:szCs w:val="21"/>
          <w:u w:val="single"/>
        </w:rPr>
        <w:t xml:space="preserve">       </w:t>
      </w:r>
    </w:p>
    <w:p>
      <w:pPr>
        <w:spacing w:line="360" w:lineRule="auto"/>
        <w:ind w:left="540" w:leftChars="257"/>
        <w:rPr>
          <w:szCs w:val="21"/>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p>
    <w:p/>
    <w:p>
      <w:pPr>
        <w:spacing w:line="360" w:lineRule="auto"/>
        <w:ind w:firstLine="420" w:firstLineChars="200"/>
        <w:rPr>
          <w:b/>
          <w:color w:val="FF0000"/>
          <w:szCs w:val="21"/>
        </w:rPr>
      </w:pPr>
      <w:r>
        <w:rPr>
          <w:rFonts w:hint="eastAsia"/>
          <w:b/>
          <w:color w:val="FF0000"/>
          <w:szCs w:val="21"/>
        </w:rPr>
        <w:t>附： 1、请提供代理人身份证扫描件（正反两面）；非中国国籍管辖范围人员，可提供公安部门认可的身份证明材料扫描件。</w:t>
      </w:r>
    </w:p>
    <w:p>
      <w:pPr>
        <w:rPr>
          <w:rFonts w:ascii="黑体" w:eastAsia="黑体" w:hint="eastAsia"/>
          <w:b w:val="0"/>
          <w:kern w:val="0"/>
          <w:sz w:val="24"/>
          <w:szCs w:val="24"/>
        </w:rPr>
      </w:pPr>
      <w:r>
        <w:rPr>
          <w:rFonts w:ascii="黑体" w:eastAsia="黑体" w:hint="eastAsia"/>
          <w:b w:val="0"/>
          <w:kern w:val="0"/>
          <w:sz w:val="24"/>
          <w:szCs w:val="24"/>
        </w:rPr>
        <w:br w:type="page"/>
      </w:r>
    </w:p>
    <w:p>
      <w:pPr>
        <w:pStyle w:val="Heading3"/>
        <w:jc w:val="center"/>
        <w:rPr>
          <w:rFonts w:ascii="黑体" w:eastAsia="黑体"/>
          <w:b w:val="0"/>
          <w:kern w:val="0"/>
          <w:sz w:val="24"/>
          <w:szCs w:val="24"/>
        </w:rPr>
      </w:pPr>
      <w:r>
        <w:rPr>
          <w:rFonts w:ascii="黑体" w:eastAsia="黑体" w:hint="eastAsia"/>
          <w:b w:val="0"/>
          <w:kern w:val="0"/>
          <w:sz w:val="24"/>
          <w:szCs w:val="24"/>
        </w:rPr>
        <w:t>三、</w:t>
      </w:r>
      <w:bookmarkStart w:id="49" w:name="_Hlk72092634"/>
      <w:r>
        <w:rPr>
          <w:rFonts w:ascii="黑体" w:eastAsia="黑体" w:hint="eastAsia"/>
          <w:b w:val="0"/>
          <w:kern w:val="0"/>
          <w:sz w:val="24"/>
          <w:szCs w:val="24"/>
        </w:rPr>
        <w:t>实质性条款响应情况表</w:t>
      </w:r>
      <w:bookmarkEnd w:id="49"/>
    </w:p>
    <w:tbl>
      <w:tblPr>
        <w:tblStyle w:val="TableNormal"/>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30"/>
        <w:gridCol w:w="2766"/>
        <w:gridCol w:w="1648"/>
        <w:gridCol w:w="1911"/>
        <w:gridCol w:w="1471"/>
      </w:tblGrid>
      <w:tr>
        <w:tblPrEx>
          <w:tblW w:w="4998"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31"/>
        </w:trPr>
        <w:tc>
          <w:tcPr>
            <w:tcW w:w="428" w:type="pct"/>
            <w:vAlign w:val="center"/>
          </w:tcPr>
          <w:p>
            <w:pPr>
              <w:adjustRightInd w:val="0"/>
              <w:snapToGrid w:val="0"/>
              <w:spacing w:line="360" w:lineRule="auto"/>
              <w:jc w:val="center"/>
              <w:rPr>
                <w:rFonts w:ascii="宋体" w:hAnsi="宋体"/>
                <w:kern w:val="0"/>
                <w:szCs w:val="21"/>
              </w:rPr>
            </w:pPr>
            <w:bookmarkStart w:id="50" w:name="_Hlk72092651"/>
            <w:r>
              <w:rPr>
                <w:rFonts w:ascii="宋体" w:hAnsi="宋体" w:hint="eastAsia"/>
                <w:kern w:val="0"/>
                <w:szCs w:val="21"/>
              </w:rPr>
              <w:t>序号</w:t>
            </w:r>
          </w:p>
        </w:tc>
        <w:tc>
          <w:tcPr>
            <w:tcW w:w="1621" w:type="pct"/>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实质性条款具体内容</w:t>
            </w:r>
          </w:p>
        </w:tc>
        <w:tc>
          <w:tcPr>
            <w:tcW w:w="966" w:type="pct"/>
            <w:vAlign w:val="center"/>
          </w:tcPr>
          <w:p>
            <w:pPr>
              <w:adjustRightInd w:val="0"/>
              <w:snapToGrid w:val="0"/>
              <w:spacing w:line="360" w:lineRule="auto"/>
              <w:jc w:val="center"/>
              <w:rPr>
                <w:rFonts w:ascii="宋体" w:hAnsi="宋体"/>
                <w:kern w:val="0"/>
                <w:szCs w:val="21"/>
              </w:rPr>
            </w:pPr>
            <w:r>
              <w:rPr>
                <w:rFonts w:hint="eastAsia"/>
              </w:rPr>
              <w:t>投标响应</w:t>
            </w:r>
          </w:p>
        </w:tc>
        <w:tc>
          <w:tcPr>
            <w:tcW w:w="1120" w:type="pct"/>
            <w:vAlign w:val="center"/>
          </w:tcPr>
          <w:p>
            <w:pPr>
              <w:adjustRightInd w:val="0"/>
              <w:snapToGrid w:val="0"/>
              <w:spacing w:line="360" w:lineRule="auto"/>
              <w:jc w:val="center"/>
              <w:rPr>
                <w:rFonts w:ascii="宋体" w:hAnsi="宋体"/>
                <w:kern w:val="0"/>
                <w:szCs w:val="21"/>
              </w:rPr>
            </w:pPr>
            <w:r>
              <w:rPr>
                <w:rFonts w:hint="eastAsia"/>
              </w:rPr>
              <w:t>偏离情况</w:t>
            </w:r>
          </w:p>
        </w:tc>
        <w:tc>
          <w:tcPr>
            <w:tcW w:w="862" w:type="pct"/>
            <w:vAlign w:val="center"/>
          </w:tcPr>
          <w:p>
            <w:pPr>
              <w:adjustRightInd w:val="0"/>
              <w:snapToGrid w:val="0"/>
              <w:spacing w:line="360" w:lineRule="auto"/>
              <w:jc w:val="center"/>
              <w:rPr>
                <w:rFonts w:ascii="宋体" w:hAnsi="宋体"/>
                <w:kern w:val="0"/>
                <w:szCs w:val="21"/>
              </w:rPr>
            </w:pPr>
            <w:r>
              <w:rPr>
                <w:rFonts w:hint="eastAsia"/>
              </w:rPr>
              <w:t>说明</w:t>
            </w:r>
          </w:p>
        </w:tc>
      </w:tr>
      <w:tr>
        <w:tblPrEx>
          <w:tblW w:w="4998" w:type="pct"/>
          <w:tblInd w:w="0" w:type="dxa"/>
          <w:tblCellMar>
            <w:top w:w="0" w:type="dxa"/>
            <w:left w:w="108" w:type="dxa"/>
            <w:bottom w:w="0" w:type="dxa"/>
            <w:right w:w="108" w:type="dxa"/>
          </w:tblCellMar>
        </w:tblPrEx>
        <w:tc>
          <w:tcPr>
            <w:tcW w:w="428" w:type="pct"/>
          </w:tcPr>
          <w:p>
            <w:pPr>
              <w:adjustRightInd w:val="0"/>
              <w:snapToGrid w:val="0"/>
              <w:spacing w:line="360" w:lineRule="auto"/>
              <w:rPr>
                <w:rFonts w:ascii="宋体" w:hAnsi="宋体"/>
                <w:kern w:val="0"/>
                <w:szCs w:val="21"/>
              </w:rPr>
            </w:pPr>
            <w:bookmarkEnd w:id="50"/>
            <w:r>
              <w:rPr>
                <w:rFonts w:ascii="宋体" w:hAnsi="宋体" w:hint="eastAsia"/>
                <w:kern w:val="0"/>
                <w:szCs w:val="21"/>
              </w:rPr>
              <w:t>1</w:t>
            </w:r>
          </w:p>
        </w:tc>
        <w:tc>
          <w:tcPr>
            <w:tcW w:w="1621" w:type="pct"/>
            <w:vAlign w:val="center"/>
          </w:tcPr>
          <w:p>
            <w:pPr>
              <w:adjustRightInd w:val="0"/>
              <w:snapToGrid w:val="0"/>
              <w:spacing w:line="360" w:lineRule="auto"/>
              <w:jc w:val="center"/>
              <w:rPr>
                <w:rFonts w:hAnsi="宋体"/>
                <w:kern w:val="0"/>
                <w:szCs w:val="21"/>
              </w:rPr>
            </w:pPr>
            <w:r>
              <w:rPr>
                <w:rFonts w:hAnsi="宋体" w:hint="eastAsia"/>
                <w:kern w:val="0"/>
                <w:szCs w:val="21"/>
              </w:rPr>
              <w:t>（填写相关内容）</w:t>
            </w:r>
          </w:p>
        </w:tc>
        <w:tc>
          <w:tcPr>
            <w:tcW w:w="966" w:type="pct"/>
          </w:tcPr>
          <w:p>
            <w:pPr>
              <w:adjustRightInd w:val="0"/>
              <w:snapToGrid w:val="0"/>
              <w:spacing w:line="360" w:lineRule="auto"/>
              <w:rPr>
                <w:rFonts w:ascii="宋体" w:hAnsi="宋体"/>
                <w:kern w:val="0"/>
                <w:szCs w:val="21"/>
              </w:rPr>
            </w:pPr>
          </w:p>
        </w:tc>
        <w:tc>
          <w:tcPr>
            <w:tcW w:w="1120" w:type="pct"/>
          </w:tcPr>
          <w:p>
            <w:pPr>
              <w:adjustRightInd w:val="0"/>
              <w:snapToGrid w:val="0"/>
              <w:spacing w:line="360" w:lineRule="auto"/>
              <w:rPr>
                <w:rFonts w:ascii="宋体" w:hAnsi="宋体"/>
                <w:kern w:val="0"/>
                <w:szCs w:val="21"/>
              </w:rPr>
            </w:pPr>
          </w:p>
        </w:tc>
        <w:tc>
          <w:tcPr>
            <w:tcW w:w="862" w:type="pct"/>
          </w:tcPr>
          <w:p>
            <w:pPr>
              <w:adjustRightInd w:val="0"/>
              <w:snapToGrid w:val="0"/>
              <w:spacing w:line="360" w:lineRule="auto"/>
              <w:rPr>
                <w:rFonts w:ascii="宋体" w:hAnsi="宋体"/>
                <w:kern w:val="0"/>
                <w:szCs w:val="21"/>
              </w:rPr>
            </w:pPr>
          </w:p>
        </w:tc>
      </w:tr>
      <w:tr>
        <w:tblPrEx>
          <w:tblW w:w="4998" w:type="pct"/>
          <w:tblInd w:w="0" w:type="dxa"/>
          <w:tblCellMar>
            <w:top w:w="0" w:type="dxa"/>
            <w:left w:w="108" w:type="dxa"/>
            <w:bottom w:w="0" w:type="dxa"/>
            <w:right w:w="108" w:type="dxa"/>
          </w:tblCellMar>
        </w:tblPrEx>
        <w:tc>
          <w:tcPr>
            <w:tcW w:w="428" w:type="pct"/>
          </w:tcPr>
          <w:p>
            <w:pPr>
              <w:adjustRightInd w:val="0"/>
              <w:snapToGrid w:val="0"/>
              <w:spacing w:line="360" w:lineRule="auto"/>
              <w:rPr>
                <w:rFonts w:ascii="宋体" w:hAnsi="宋体"/>
                <w:kern w:val="0"/>
                <w:szCs w:val="21"/>
              </w:rPr>
            </w:pPr>
            <w:r>
              <w:rPr>
                <w:rFonts w:ascii="宋体" w:hAnsi="宋体" w:hint="eastAsia"/>
                <w:kern w:val="0"/>
                <w:szCs w:val="21"/>
              </w:rPr>
              <w:t>2</w:t>
            </w:r>
          </w:p>
        </w:tc>
        <w:tc>
          <w:tcPr>
            <w:tcW w:w="1621" w:type="pct"/>
            <w:vAlign w:val="center"/>
          </w:tcPr>
          <w:p>
            <w:pPr>
              <w:adjustRightInd w:val="0"/>
              <w:snapToGrid w:val="0"/>
              <w:spacing w:line="360" w:lineRule="auto"/>
              <w:jc w:val="center"/>
              <w:rPr>
                <w:rFonts w:hAnsi="宋体"/>
                <w:kern w:val="0"/>
                <w:szCs w:val="21"/>
              </w:rPr>
            </w:pPr>
            <w:r>
              <w:rPr>
                <w:rFonts w:hAnsi="宋体" w:hint="eastAsia"/>
                <w:kern w:val="0"/>
                <w:szCs w:val="21"/>
              </w:rPr>
              <w:t>（填写相关内容）</w:t>
            </w:r>
          </w:p>
        </w:tc>
        <w:tc>
          <w:tcPr>
            <w:tcW w:w="966" w:type="pct"/>
          </w:tcPr>
          <w:p>
            <w:pPr>
              <w:adjustRightInd w:val="0"/>
              <w:snapToGrid w:val="0"/>
              <w:spacing w:line="360" w:lineRule="auto"/>
              <w:rPr>
                <w:rFonts w:ascii="宋体" w:hAnsi="宋体"/>
                <w:kern w:val="0"/>
                <w:szCs w:val="21"/>
              </w:rPr>
            </w:pPr>
          </w:p>
        </w:tc>
        <w:tc>
          <w:tcPr>
            <w:tcW w:w="1120" w:type="pct"/>
          </w:tcPr>
          <w:p>
            <w:pPr>
              <w:adjustRightInd w:val="0"/>
              <w:snapToGrid w:val="0"/>
              <w:spacing w:line="360" w:lineRule="auto"/>
              <w:rPr>
                <w:rFonts w:ascii="宋体" w:hAnsi="宋体"/>
                <w:kern w:val="0"/>
                <w:szCs w:val="21"/>
              </w:rPr>
            </w:pPr>
          </w:p>
        </w:tc>
        <w:tc>
          <w:tcPr>
            <w:tcW w:w="862" w:type="pct"/>
          </w:tcPr>
          <w:p>
            <w:pPr>
              <w:adjustRightInd w:val="0"/>
              <w:snapToGrid w:val="0"/>
              <w:spacing w:line="360" w:lineRule="auto"/>
              <w:rPr>
                <w:rFonts w:ascii="宋体" w:hAnsi="宋体"/>
                <w:kern w:val="0"/>
                <w:szCs w:val="21"/>
              </w:rPr>
            </w:pPr>
          </w:p>
        </w:tc>
      </w:tr>
      <w:tr>
        <w:tblPrEx>
          <w:tblW w:w="4998" w:type="pct"/>
          <w:tblInd w:w="0" w:type="dxa"/>
          <w:tblCellMar>
            <w:top w:w="0" w:type="dxa"/>
            <w:left w:w="108" w:type="dxa"/>
            <w:bottom w:w="0" w:type="dxa"/>
            <w:right w:w="108" w:type="dxa"/>
          </w:tblCellMar>
        </w:tblPrEx>
        <w:tc>
          <w:tcPr>
            <w:tcW w:w="428" w:type="pct"/>
          </w:tcPr>
          <w:p>
            <w:pPr>
              <w:adjustRightInd w:val="0"/>
              <w:snapToGrid w:val="0"/>
              <w:spacing w:line="360" w:lineRule="auto"/>
              <w:rPr>
                <w:rFonts w:ascii="宋体" w:hAnsi="宋体"/>
                <w:kern w:val="0"/>
                <w:szCs w:val="21"/>
              </w:rPr>
            </w:pPr>
            <w:r>
              <w:rPr>
                <w:rFonts w:ascii="宋体" w:hAnsi="宋体" w:hint="eastAsia"/>
                <w:kern w:val="0"/>
                <w:szCs w:val="21"/>
              </w:rPr>
              <w:t>3</w:t>
            </w:r>
          </w:p>
        </w:tc>
        <w:tc>
          <w:tcPr>
            <w:tcW w:w="1621" w:type="pct"/>
            <w:vAlign w:val="center"/>
          </w:tcPr>
          <w:p>
            <w:pPr>
              <w:adjustRightInd w:val="0"/>
              <w:snapToGrid w:val="0"/>
              <w:spacing w:line="360" w:lineRule="auto"/>
              <w:jc w:val="center"/>
              <w:rPr>
                <w:rFonts w:ascii="宋体" w:hAnsi="宋体"/>
                <w:kern w:val="0"/>
                <w:szCs w:val="21"/>
              </w:rPr>
            </w:pPr>
            <w:r>
              <w:rPr>
                <w:rFonts w:ascii="宋体" w:hAnsi="宋体" w:hint="eastAsia"/>
                <w:kern w:val="0"/>
                <w:szCs w:val="21"/>
              </w:rPr>
              <w:t>…………</w:t>
            </w:r>
          </w:p>
        </w:tc>
        <w:tc>
          <w:tcPr>
            <w:tcW w:w="966" w:type="pct"/>
          </w:tcPr>
          <w:p>
            <w:pPr>
              <w:adjustRightInd w:val="0"/>
              <w:snapToGrid w:val="0"/>
              <w:spacing w:line="360" w:lineRule="auto"/>
              <w:rPr>
                <w:rFonts w:ascii="宋体" w:hAnsi="宋体"/>
                <w:kern w:val="0"/>
                <w:szCs w:val="21"/>
              </w:rPr>
            </w:pPr>
          </w:p>
        </w:tc>
        <w:tc>
          <w:tcPr>
            <w:tcW w:w="1120" w:type="pct"/>
          </w:tcPr>
          <w:p>
            <w:pPr>
              <w:adjustRightInd w:val="0"/>
              <w:snapToGrid w:val="0"/>
              <w:spacing w:line="360" w:lineRule="auto"/>
              <w:rPr>
                <w:rFonts w:ascii="宋体" w:hAnsi="宋体"/>
                <w:kern w:val="0"/>
                <w:szCs w:val="21"/>
              </w:rPr>
            </w:pPr>
          </w:p>
        </w:tc>
        <w:tc>
          <w:tcPr>
            <w:tcW w:w="862" w:type="pct"/>
          </w:tcPr>
          <w:p>
            <w:pPr>
              <w:adjustRightInd w:val="0"/>
              <w:snapToGrid w:val="0"/>
              <w:spacing w:line="360" w:lineRule="auto"/>
              <w:rPr>
                <w:rFonts w:ascii="宋体" w:hAnsi="宋体"/>
                <w:kern w:val="0"/>
                <w:szCs w:val="21"/>
              </w:rPr>
            </w:pPr>
          </w:p>
        </w:tc>
      </w:tr>
    </w:tbl>
    <w:p>
      <w:pPr>
        <w:ind w:firstLine="420" w:firstLineChars="200"/>
        <w:rPr>
          <w:b/>
          <w:sz w:val="24"/>
          <w:szCs w:val="22"/>
        </w:rPr>
      </w:pPr>
    </w:p>
    <w:p>
      <w:pPr>
        <w:ind w:firstLine="420" w:firstLineChars="200"/>
        <w:rPr>
          <w:b/>
          <w:sz w:val="21"/>
          <w:szCs w:val="21"/>
        </w:rPr>
      </w:pPr>
      <w:r>
        <w:rPr>
          <w:rFonts w:hint="eastAsia"/>
          <w:b/>
          <w:sz w:val="21"/>
          <w:szCs w:val="21"/>
        </w:rPr>
        <w:t>注：1. 上表所列各项均为不可负偏离条款。</w:t>
      </w:r>
    </w:p>
    <w:p>
      <w:pPr>
        <w:ind w:firstLine="420" w:firstLineChars="200"/>
        <w:rPr>
          <w:b/>
          <w:sz w:val="21"/>
          <w:szCs w:val="21"/>
        </w:rPr>
      </w:pPr>
      <w:r>
        <w:rPr>
          <w:rFonts w:hint="eastAsia"/>
          <w:b/>
          <w:sz w:val="21"/>
          <w:szCs w:val="21"/>
        </w:rPr>
        <w:t>2.“投标响应”一栏应当详细填写投标人自身响应情况，而不能不合理照搬照抄招实质性条款具体内容。</w:t>
      </w:r>
    </w:p>
    <w:p>
      <w:pPr>
        <w:ind w:firstLine="420" w:firstLineChars="200"/>
        <w:rPr>
          <w:b/>
          <w:sz w:val="21"/>
          <w:szCs w:val="21"/>
        </w:rPr>
      </w:pPr>
      <w:r>
        <w:rPr>
          <w:rFonts w:hint="eastAsia"/>
          <w:b/>
          <w:sz w:val="21"/>
          <w:szCs w:val="21"/>
        </w:rPr>
        <w:t>3</w:t>
      </w:r>
      <w:r>
        <w:rPr>
          <w:b/>
          <w:sz w:val="21"/>
          <w:szCs w:val="21"/>
        </w:rPr>
        <w:t>.</w:t>
      </w:r>
      <w:r>
        <w:rPr>
          <w:rFonts w:hint="eastAsia"/>
          <w:b/>
          <w:sz w:val="21"/>
          <w:szCs w:val="21"/>
        </w:rPr>
        <w:t>“偏离情况”一栏应填写“正偏离”、“负偏离”或“无偏离”，“正偏离”表示“投标响应优于实质性条款具体内容要求”，“负偏离”表示“投标响应不满足实质性条款具体内容要求”，“无偏离”表示“投标响应与实质性条款具体内容要求一致”。</w:t>
      </w:r>
    </w:p>
    <w:p>
      <w:pPr>
        <w:ind w:firstLine="420" w:firstLineChars="200"/>
        <w:rPr>
          <w:b/>
          <w:sz w:val="21"/>
          <w:szCs w:val="21"/>
        </w:rPr>
      </w:pPr>
      <w:r>
        <w:rPr>
          <w:b/>
          <w:sz w:val="21"/>
          <w:szCs w:val="21"/>
        </w:rPr>
        <w:t>4.</w:t>
      </w:r>
      <w:r>
        <w:rPr>
          <w:rFonts w:hint="eastAsia"/>
          <w:b/>
          <w:sz w:val="21"/>
          <w:szCs w:val="21"/>
        </w:rPr>
        <w:t>评审委员会有权对投标响应情况作出判断（作出评审结论）。</w:t>
      </w:r>
    </w:p>
    <w:p>
      <w:pPr>
        <w:ind w:firstLine="420" w:firstLineChars="200"/>
        <w:rPr>
          <w:sz w:val="21"/>
          <w:szCs w:val="21"/>
        </w:rPr>
      </w:pPr>
      <w:r>
        <w:rPr>
          <w:b/>
          <w:sz w:val="21"/>
          <w:szCs w:val="21"/>
        </w:rPr>
        <w:t>5</w:t>
      </w:r>
      <w:r>
        <w:rPr>
          <w:rFonts w:hint="eastAsia"/>
          <w:b/>
          <w:sz w:val="21"/>
          <w:szCs w:val="21"/>
        </w:rPr>
        <w:t>.实质性响应条款“投标响应情况”与投标文件其它内容冲突的，以实质性响应条款“投标响应情况”为准。</w:t>
      </w:r>
    </w:p>
    <w:p>
      <w:pPr>
        <w:ind w:firstLine="420" w:firstLineChars="200"/>
        <w:rPr>
          <w:sz w:val="21"/>
          <w:szCs w:val="21"/>
        </w:rPr>
      </w:pPr>
      <w:r>
        <w:rPr>
          <w:rFonts w:hint="eastAsia"/>
          <w:b/>
          <w:sz w:val="21"/>
          <w:szCs w:val="21"/>
        </w:rPr>
        <w:t>6.</w:t>
      </w:r>
      <w:r>
        <w:rPr>
          <w:rFonts w:hint="eastAsia"/>
          <w:sz w:val="21"/>
          <w:szCs w:val="21"/>
        </w:rPr>
        <w:t xml:space="preserve"> </w:t>
      </w:r>
      <w:r>
        <w:rPr>
          <w:rFonts w:hint="eastAsia"/>
          <w:b/>
          <w:sz w:val="21"/>
          <w:szCs w:val="21"/>
        </w:rPr>
        <w:t>要求提供证明资料，在“说明”一栏中列明证明资料的位置,以便评审；未要求提供证明材料的，投标人可以不提供。</w:t>
      </w:r>
    </w:p>
    <w:p>
      <w:pPr>
        <w:rPr>
          <w:b/>
          <w:bCs/>
          <w:sz w:val="24"/>
        </w:rPr>
      </w:pPr>
    </w:p>
    <w:p>
      <w:pPr>
        <w:rPr>
          <w:rFonts w:ascii="黑体" w:eastAsia="黑体" w:hint="eastAsia"/>
          <w:b w:val="0"/>
          <w:bCs w:val="0"/>
          <w:sz w:val="24"/>
          <w:szCs w:val="20"/>
        </w:rPr>
      </w:pPr>
      <w:r>
        <w:rPr>
          <w:rFonts w:ascii="黑体" w:eastAsia="黑体" w:hint="eastAsia"/>
          <w:b w:val="0"/>
          <w:bCs w:val="0"/>
          <w:sz w:val="24"/>
          <w:szCs w:val="20"/>
        </w:rPr>
        <w:br w:type="page"/>
      </w:r>
    </w:p>
    <w:p>
      <w:pPr>
        <w:pStyle w:val="Heading3"/>
        <w:numPr>
          <w:ilvl w:val="0"/>
          <w:numId w:val="8"/>
        </w:numPr>
        <w:ind w:left="0" w:firstLine="420" w:leftChars="0" w:firstLineChars="0"/>
        <w:jc w:val="center"/>
        <w:rPr>
          <w:rFonts w:ascii="黑体" w:eastAsia="黑体" w:hint="eastAsia"/>
          <w:b w:val="0"/>
          <w:kern w:val="0"/>
          <w:sz w:val="24"/>
          <w:szCs w:val="24"/>
        </w:rPr>
      </w:pPr>
      <w:r>
        <w:rPr>
          <w:rFonts w:ascii="黑体" w:eastAsia="黑体" w:hint="eastAsia"/>
          <w:b w:val="0"/>
          <w:kern w:val="0"/>
          <w:sz w:val="24"/>
          <w:szCs w:val="24"/>
        </w:rPr>
        <w:t>项目服务方案</w:t>
      </w:r>
    </w:p>
    <w:p>
      <w:pPr>
        <w:pStyle w:val="Heading3"/>
        <w:numPr>
          <w:ilvl w:val="0"/>
          <w:numId w:val="8"/>
        </w:numPr>
        <w:ind w:left="0" w:firstLine="420" w:leftChars="0" w:firstLineChars="0"/>
        <w:jc w:val="center"/>
        <w:rPr>
          <w:rFonts w:ascii="黑体" w:eastAsia="黑体" w:hint="eastAsia"/>
          <w:b w:val="0"/>
          <w:kern w:val="0"/>
          <w:sz w:val="24"/>
          <w:szCs w:val="24"/>
        </w:rPr>
      </w:pPr>
      <w:r>
        <w:rPr>
          <w:rFonts w:ascii="黑体" w:eastAsia="黑体" w:hint="eastAsia"/>
          <w:b w:val="0"/>
          <w:kern w:val="0"/>
          <w:sz w:val="24"/>
          <w:szCs w:val="24"/>
        </w:rPr>
        <w:t>项目重点难点分析、应对措施及相关的合理化建议</w:t>
      </w:r>
    </w:p>
    <w:p>
      <w:pPr>
        <w:pStyle w:val="Heading3"/>
        <w:numPr>
          <w:ilvl w:val="0"/>
          <w:numId w:val="8"/>
        </w:numPr>
        <w:ind w:left="0" w:firstLine="420" w:leftChars="0" w:firstLineChars="0"/>
        <w:jc w:val="center"/>
        <w:rPr>
          <w:rFonts w:ascii="黑体" w:eastAsia="黑体" w:hint="eastAsia"/>
          <w:b w:val="0"/>
          <w:kern w:val="0"/>
          <w:sz w:val="24"/>
          <w:szCs w:val="24"/>
        </w:rPr>
      </w:pPr>
      <w:r>
        <w:rPr>
          <w:rFonts w:ascii="黑体" w:eastAsia="黑体" w:hint="eastAsia"/>
          <w:b w:val="0"/>
          <w:kern w:val="0"/>
          <w:sz w:val="24"/>
          <w:szCs w:val="24"/>
        </w:rPr>
        <w:t>质量保障措施</w:t>
      </w:r>
    </w:p>
    <w:p>
      <w:pPr>
        <w:pStyle w:val="Heading3"/>
        <w:numPr>
          <w:ilvl w:val="0"/>
          <w:numId w:val="8"/>
        </w:numPr>
        <w:ind w:left="0" w:firstLine="420" w:leftChars="0" w:firstLineChars="0"/>
        <w:jc w:val="center"/>
        <w:rPr>
          <w:rFonts w:ascii="黑体" w:eastAsia="黑体" w:hint="eastAsia"/>
          <w:b w:val="0"/>
          <w:kern w:val="0"/>
          <w:sz w:val="24"/>
          <w:szCs w:val="24"/>
        </w:rPr>
      </w:pPr>
      <w:r>
        <w:rPr>
          <w:rFonts w:ascii="黑体" w:eastAsia="黑体" w:hint="eastAsia"/>
          <w:b w:val="0"/>
          <w:kern w:val="0"/>
          <w:sz w:val="24"/>
          <w:szCs w:val="24"/>
        </w:rPr>
        <w:t>拟安排的项目负责人情况</w:t>
      </w:r>
    </w:p>
    <w:p>
      <w:pPr>
        <w:pStyle w:val="Heading3"/>
        <w:numPr>
          <w:ilvl w:val="0"/>
          <w:numId w:val="8"/>
        </w:numPr>
        <w:ind w:left="0" w:firstLine="420" w:leftChars="0" w:firstLineChars="0"/>
        <w:jc w:val="center"/>
        <w:rPr>
          <w:rFonts w:ascii="黑体" w:eastAsia="黑体" w:hint="eastAsia"/>
          <w:b w:val="0"/>
          <w:kern w:val="0"/>
          <w:sz w:val="24"/>
          <w:szCs w:val="24"/>
        </w:rPr>
      </w:pPr>
      <w:r>
        <w:rPr>
          <w:rFonts w:ascii="黑体" w:eastAsia="黑体" w:hint="eastAsia"/>
          <w:b w:val="0"/>
          <w:kern w:val="0"/>
          <w:sz w:val="24"/>
          <w:szCs w:val="24"/>
        </w:rPr>
        <w:t>拟安排的项目团队成员情况（项目负责人除外）</w:t>
      </w:r>
    </w:p>
    <w:p>
      <w:pPr>
        <w:pStyle w:val="Heading3"/>
        <w:numPr>
          <w:ilvl w:val="0"/>
          <w:numId w:val="8"/>
        </w:numPr>
        <w:ind w:left="0" w:firstLine="420" w:leftChars="0" w:firstLineChars="0"/>
        <w:jc w:val="center"/>
        <w:rPr>
          <w:rFonts w:ascii="黑体" w:eastAsia="黑体" w:hint="eastAsia"/>
          <w:b w:val="0"/>
          <w:kern w:val="0"/>
          <w:sz w:val="24"/>
          <w:szCs w:val="24"/>
        </w:rPr>
      </w:pPr>
      <w:r>
        <w:rPr>
          <w:rFonts w:ascii="黑体" w:eastAsia="黑体" w:hint="eastAsia"/>
          <w:b w:val="0"/>
          <w:kern w:val="0"/>
          <w:sz w:val="24"/>
          <w:szCs w:val="24"/>
        </w:rPr>
        <w:t>投标人认为需要加以说明的其他内容（不公开部分）</w:t>
      </w:r>
    </w:p>
    <w:p>
      <w:pPr>
        <w:widowControl/>
        <w:jc w:val="center"/>
        <w:rPr>
          <w:rFonts w:ascii="黑体" w:eastAsia="黑体" w:hAnsi="宋体"/>
          <w:kern w:val="0"/>
          <w:sz w:val="24"/>
          <w:szCs w:val="20"/>
        </w:rPr>
      </w:pPr>
      <w:r>
        <w:rPr>
          <w:rFonts w:ascii="黑体" w:eastAsia="黑体" w:hAnsi="宋体" w:hint="eastAsia"/>
          <w:kern w:val="0"/>
          <w:sz w:val="24"/>
          <w:szCs w:val="20"/>
        </w:rPr>
        <w:t>（一）</w:t>
      </w:r>
      <w:r>
        <w:rPr>
          <w:rFonts w:ascii="黑体" w:eastAsia="黑体" w:hAnsi="宋体" w:hint="eastAsia"/>
          <w:kern w:val="0"/>
          <w:sz w:val="24"/>
          <w:szCs w:val="20"/>
          <w:highlight w:val="yellow"/>
        </w:rPr>
        <w:t>政府采购违法行为风险知悉确认书</w:t>
      </w:r>
    </w:p>
    <w:p>
      <w:pPr>
        <w:widowControl/>
        <w:jc w:val="center"/>
        <w:rPr>
          <w:rFonts w:ascii="黑体" w:eastAsia="黑体" w:hAnsi="宋体"/>
          <w:kern w:val="0"/>
          <w:sz w:val="24"/>
          <w:szCs w:val="20"/>
        </w:rPr>
      </w:pPr>
    </w:p>
    <w:p>
      <w:pPr>
        <w:ind w:firstLine="420" w:firstLineChars="200"/>
      </w:pPr>
      <w:r>
        <w:rPr>
          <w:rFonts w:hint="eastAsia"/>
        </w:rPr>
        <w:t>本公司在投标前已充分知悉以下情形为参与政府采购活动时的重大风险事项，并承诺已对下述风险提示事项重点排查，做到严谨、诚信、依法依规参与政府采购活动。</w:t>
      </w:r>
    </w:p>
    <w:p>
      <w:pPr>
        <w:ind w:firstLine="420" w:firstLineChars="200"/>
        <w:rPr>
          <w:b/>
        </w:rPr>
      </w:pPr>
      <w:r>
        <w:rPr>
          <w:rFonts w:hint="eastAsia"/>
          <w:b/>
        </w:rPr>
        <w:t>一、本公司已充分知悉“隐瞒真实情况，提供虚假资料”的法定情形，相关情形包括但不限于：</w:t>
      </w:r>
    </w:p>
    <w:p>
      <w:pPr>
        <w:ind w:firstLine="420" w:firstLineChars="200"/>
      </w:pPr>
      <w:r>
        <w:rPr>
          <w:rFonts w:hint="eastAsia"/>
        </w:rPr>
        <w:t>（一）通过转让或者租借等方式从其他单位获取资格或者资质证书投标的。</w:t>
      </w:r>
    </w:p>
    <w:p>
      <w:pPr>
        <w:ind w:firstLine="420" w:firstLineChars="200"/>
      </w:pPr>
      <w:r>
        <w:rPr>
          <w:rFonts w:hint="eastAsia"/>
        </w:rPr>
        <w:t>（二）由其他单位或者其他单位负责人在投标供应商编制的投标文件上加盖印章或者签字的。</w:t>
      </w:r>
    </w:p>
    <w:p>
      <w:pPr>
        <w:ind w:firstLine="420" w:firstLineChars="200"/>
      </w:pPr>
      <w:r>
        <w:rPr>
          <w:rFonts w:hint="eastAsia"/>
        </w:rPr>
        <w:t>（三）项目负责人或者主要技术人员不是本单位人员的。</w:t>
      </w:r>
    </w:p>
    <w:p>
      <w:pPr>
        <w:ind w:firstLine="420" w:firstLineChars="200"/>
      </w:pPr>
      <w:r>
        <w:rPr>
          <w:rFonts w:hint="eastAsia"/>
        </w:rPr>
        <w:t>（四）投标保证金不是从投标供应商基本账户转出的。</w:t>
      </w:r>
    </w:p>
    <w:p>
      <w:pPr>
        <w:ind w:firstLine="420" w:firstLineChars="200"/>
      </w:pPr>
      <w:r>
        <w:rPr>
          <w:rFonts w:hint="eastAsia"/>
        </w:rPr>
        <w:t>（五）其他隐瞒真实情况、提供虚假资料的行为。</w:t>
      </w:r>
    </w:p>
    <w:p>
      <w:pPr>
        <w:ind w:firstLine="420" w:firstLineChars="200"/>
        <w:rPr>
          <w:b/>
        </w:rPr>
      </w:pPr>
      <w:r>
        <w:rPr>
          <w:rFonts w:hint="eastAsia"/>
          <w:b/>
        </w:rPr>
        <w:t>二、本公司已充分知悉“与其他采购参加人串通投标”的法定情形，相关情形包括但不限于：</w:t>
      </w:r>
    </w:p>
    <w:p>
      <w:pPr>
        <w:ind w:firstLine="420" w:firstLineChars="200"/>
      </w:pPr>
      <w:r>
        <w:rPr>
          <w:rFonts w:hint="eastAsia"/>
        </w:rPr>
        <w:t>（一）投标供应商之间相互约定给予未中标的供应商利益补偿。</w:t>
      </w:r>
    </w:p>
    <w:p>
      <w:pPr>
        <w:ind w:firstLine="420" w:firstLineChars="200"/>
      </w:pPr>
      <w:r>
        <w:rPr>
          <w:rFonts w:hint="eastAsia"/>
        </w:rPr>
        <w:t>（二）不同投标供应商的法定代表人、主要经营负责人、项目投标授权代表人、项目负责人、主要技术人员为同一人、属同一单位或者在同一单位缴纳社会保险。</w:t>
      </w:r>
    </w:p>
    <w:p>
      <w:pPr>
        <w:ind w:firstLine="420" w:firstLineChars="200"/>
      </w:pPr>
      <w:r>
        <w:rPr>
          <w:rFonts w:hint="eastAsia"/>
        </w:rPr>
        <w:t>（三）不同投标供应商的投标文件由同一单位或者同一人编制，或者由同一人分阶段参与编制的。</w:t>
      </w:r>
    </w:p>
    <w:p>
      <w:pPr>
        <w:ind w:firstLine="420" w:firstLineChars="200"/>
      </w:pPr>
      <w:r>
        <w:rPr>
          <w:rFonts w:hint="eastAsia"/>
        </w:rPr>
        <w:t>（四）不同投标供应商的投标文件或部分投标文件相互混装。</w:t>
      </w:r>
    </w:p>
    <w:p>
      <w:pPr>
        <w:ind w:firstLine="420" w:firstLineChars="200"/>
      </w:pPr>
      <w:r>
        <w:rPr>
          <w:rFonts w:hint="eastAsia"/>
        </w:rPr>
        <w:t>（五）不同投标供应商的投标文件内容存在非正常一致。</w:t>
      </w:r>
    </w:p>
    <w:p>
      <w:pPr>
        <w:ind w:firstLine="420" w:firstLineChars="200"/>
      </w:pPr>
      <w:r>
        <w:rPr>
          <w:rFonts w:hint="eastAsia"/>
        </w:rPr>
        <w:t>（六）由同一单位工作人员为两家以上（含两家）供应商进行同一项投标活动的。</w:t>
      </w:r>
    </w:p>
    <w:p>
      <w:pPr>
        <w:ind w:firstLine="420" w:firstLineChars="200"/>
      </w:pPr>
      <w:r>
        <w:rPr>
          <w:rFonts w:hint="eastAsia"/>
        </w:rPr>
        <w:t>（七）不同投标人的投标报价呈规律性差异。</w:t>
      </w:r>
    </w:p>
    <w:p>
      <w:pPr>
        <w:ind w:firstLine="420" w:firstLineChars="200"/>
      </w:pPr>
      <w:r>
        <w:rPr>
          <w:rFonts w:hint="eastAsia"/>
        </w:rPr>
        <w:t>（八）不同投标人的投标保证金从同一单位或者个人的账户转出。</w:t>
      </w:r>
    </w:p>
    <w:p>
      <w:pPr>
        <w:ind w:firstLine="420" w:firstLineChars="200"/>
      </w:pPr>
      <w:r>
        <w:rPr>
          <w:rFonts w:hint="eastAsia"/>
        </w:rPr>
        <w:t>（九）主管部门依照法律、法规认定的其他情形。</w:t>
      </w:r>
    </w:p>
    <w:p>
      <w:pPr>
        <w:ind w:firstLine="420" w:firstLineChars="200"/>
        <w:rPr>
          <w:b/>
        </w:rPr>
      </w:pPr>
      <w:r>
        <w:rPr>
          <w:rFonts w:hint="eastAsia"/>
          <w:b/>
        </w:rPr>
        <w:t>三、本公司已充分知悉下列情形所对应的法律风险，并在投标前已对相关风险事项进行排查。</w:t>
      </w:r>
    </w:p>
    <w:p>
      <w:pPr>
        <w:ind w:firstLine="420" w:firstLineChars="200"/>
        <w:rPr>
          <w:b/>
        </w:rPr>
      </w:pPr>
      <w:r>
        <w:rPr>
          <w:rFonts w:hint="eastAsia"/>
        </w:rPr>
        <w:t>（一）对于从其他主体获取的投标资料，供应商应审慎核查，确保投标资料的真实性。</w:t>
      </w:r>
      <w:r>
        <w:rPr>
          <w:rFonts w:hint="eastAsia"/>
          <w:b/>
        </w:rPr>
        <w:t>如主管部门查实投标文件中存在虚假资料的，无论相关资料是否由第三方或本公司员工提供，均不影响主管部门对供应商存在“隐瞒真实情况，提供虚假资料”违法行为的认定。</w:t>
      </w:r>
    </w:p>
    <w:p>
      <w:pPr>
        <w:ind w:firstLine="420" w:firstLineChars="200"/>
      </w:pPr>
      <w:r>
        <w:rPr>
          <w:rFonts w:hint="eastAsia"/>
        </w:rPr>
        <w:t>（二）对于涉及国家机关出具的公文、证件、证明材料等文件，一旦涉嫌虚假，经查实，主管部门将依法从严处理，并移送有关部门追究法律责任；涉嫌犯罪的，主管部门将一并移送司法机关追究法律责任。</w:t>
      </w:r>
    </w:p>
    <w:p>
      <w:pPr>
        <w:ind w:firstLine="420" w:firstLineChars="200"/>
      </w:pPr>
      <w:r>
        <w:rPr>
          <w:rFonts w:hint="eastAsia"/>
        </w:rPr>
        <w:t>（三）对于涉及安全生产、特种作业、抢险救灾、防疫等政府采购项目，供应商实施提供虚假资料、串通投标等违法行为的，主管部门将依法从严处理。</w:t>
      </w:r>
    </w:p>
    <w:p>
      <w:pPr>
        <w:ind w:firstLine="420" w:firstLineChars="200"/>
      </w:pPr>
      <w:r>
        <w:rPr>
          <w:rFonts w:hint="eastAsia"/>
        </w:rPr>
        <w:t>（四）供应商应严格规范项目授权代表、员工参与招标投标的行为，加强对投标文件的审核。项目授权代表、员工编制、上传投标文件等行为违反政府采购法律法规或招标文件要求的，投标供应商应当依法承担相应法律责任。</w:t>
      </w:r>
    </w:p>
    <w:p>
      <w:pPr>
        <w:ind w:firstLine="420" w:firstLineChars="200"/>
      </w:pPr>
      <w:r>
        <w:rPr>
          <w:rFonts w:hint="eastAsia"/>
        </w:rPr>
        <w:t>（五）供应商对投标电子密钥负有妥善保管、及时变更和续期等主体责任。供应商使用电子密钥在深圳政府采购网站进行的活动，均具有法律效力，须承担相应的法律后果。供应商擅自将投标密钥出借他人使用所造成的法律后果，由供应商自行承担。</w:t>
      </w:r>
    </w:p>
    <w:p>
      <w:pPr>
        <w:ind w:firstLine="420" w:firstLineChars="200"/>
      </w:pPr>
      <w:r>
        <w:rPr>
          <w:rFonts w:hint="eastAsia"/>
        </w:rPr>
        <w:t>（六）单位负责人为同一人或者存在直接控股、管理关系的不同供应商，不得参加同一合同项下的政府采购活动。相关情形如查实，依法作投标无效处理；涉嫌串通投标等违法行为的，主管部门将依法调查处理。</w:t>
      </w:r>
    </w:p>
    <w:p>
      <w:pPr>
        <w:ind w:firstLine="420" w:firstLineChars="200"/>
        <w:rPr>
          <w:b/>
        </w:rPr>
      </w:pPr>
      <w:r>
        <w:rPr>
          <w:rFonts w:hint="eastAsia"/>
          <w:b/>
        </w:rPr>
        <w:t>四、本公司已充分知悉政府采购违法、违规行为的法律后果。</w:t>
      </w:r>
    </w:p>
    <w:p>
      <w:pPr>
        <w:ind w:firstLine="420" w:firstLineChars="200"/>
      </w:pPr>
      <w:r>
        <w:rPr>
          <w:rFonts w:hint="eastAsia"/>
        </w:rPr>
        <w:t>经查实，若投标供应商存在政府采购违法、违规行为，主管部门将依据《深圳经济特区政府采购条例》第五十七条的规定，处以一至三年内禁止参与本市政府采购，并由主管部门记入供应商诚信档案，处采购金额千分之十以上千分之二十以下罚款；情节严重的，取消参与本市政府采购资格，处采购金额千分之二十以上千分之三十以下罚款，并由市场监管部门依法吊销营业执照。</w:t>
      </w:r>
    </w:p>
    <w:p>
      <w:pPr>
        <w:ind w:firstLine="420" w:firstLineChars="200"/>
      </w:pPr>
      <w:r>
        <w:rPr>
          <w:rFonts w:hint="eastAsia"/>
          <w:highlight w:val="yellow"/>
        </w:rPr>
        <w:t>以下文字请投标供应商抄写并确认：“本公司已仔细阅读《政府采购违法行为风险知悉确认书》，充分知悉违法行为的法律后果，并承诺将严谨、诚信、依法依规参与政府采购活动”。</w:t>
      </w:r>
    </w:p>
    <w:tbl>
      <w:tblPr>
        <w:tblStyle w:val="14"/>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
      <w:tblGrid>
        <w:gridCol w:w="8529"/>
      </w:tblGrid>
      <w:tr>
        <w:tblPrEx>
          <w:tblW w:w="8529" w:type="dxa"/>
          <w:tblInd w:w="0" w:type="dxa"/>
          <w:tblBorders>
            <w:top w:val="nil"/>
            <w:left w:val="nil"/>
            <w:bottom w:val="single" w:sz="4" w:space="0" w:color="auto"/>
            <w:right w:val="nil"/>
            <w:insideH w:val="nil"/>
            <w:insideV w:val="nil"/>
          </w:tblBorders>
          <w:tblLayout w:type="fixed"/>
          <w:tblCellMar>
            <w:top w:w="0" w:type="dxa"/>
            <w:left w:w="108" w:type="dxa"/>
            <w:bottom w:w="0" w:type="dxa"/>
            <w:right w:w="108" w:type="dxa"/>
          </w:tblCellMar>
        </w:tblPrEx>
        <w:trPr>
          <w:trHeight w:val="304"/>
        </w:trPr>
        <w:tc>
          <w:tcPr>
            <w:tcW w:w="8529" w:type="dxa"/>
            <w:tcBorders>
              <w:top w:val="nil"/>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000000"/>
              <w:right w:val="nil"/>
            </w:tcBorders>
          </w:tcPr>
          <w:p>
            <w:pPr>
              <w:autoSpaceDE w:val="0"/>
              <w:autoSpaceDN w:val="0"/>
              <w:spacing w:line="400" w:lineRule="exact"/>
              <w:ind w:firstLine="1866"/>
              <w:rPr>
                <w:rFonts w:ascii="宋体" w:hAnsi="宋体" w:eastAsiaTheme="minorEastAsia"/>
                <w:spacing w:val="-4"/>
                <w:kern w:val="0"/>
                <w:szCs w:val="21"/>
              </w:rPr>
            </w:pPr>
          </w:p>
        </w:tc>
      </w:tr>
      <w:tr>
        <w:tblPrEx>
          <w:tblW w:w="8529" w:type="dxa"/>
          <w:tblInd w:w="0" w:type="dxa"/>
          <w:tblLayout w:type="fixed"/>
          <w:tblCellMar>
            <w:top w:w="0" w:type="dxa"/>
            <w:left w:w="108" w:type="dxa"/>
            <w:bottom w:w="0" w:type="dxa"/>
            <w:right w:w="108" w:type="dxa"/>
          </w:tblCellMar>
        </w:tblPrEx>
        <w:tc>
          <w:tcPr>
            <w:tcW w:w="8529" w:type="dxa"/>
            <w:tcBorders>
              <w:top w:val="single" w:sz="8" w:space="0" w:color="000000"/>
              <w:left w:val="nil"/>
              <w:bottom w:val="single" w:sz="8" w:space="0" w:color="auto"/>
              <w:right w:val="nil"/>
            </w:tcBorders>
          </w:tcPr>
          <w:p>
            <w:pPr>
              <w:autoSpaceDE w:val="0"/>
              <w:autoSpaceDN w:val="0"/>
              <w:spacing w:line="400" w:lineRule="exact"/>
              <w:ind w:firstLine="1866"/>
              <w:rPr>
                <w:rFonts w:ascii="宋体" w:hAnsi="宋体" w:eastAsiaTheme="minorEastAsia"/>
                <w:spacing w:val="-4"/>
                <w:kern w:val="0"/>
                <w:szCs w:val="21"/>
              </w:rPr>
            </w:pPr>
          </w:p>
        </w:tc>
      </w:tr>
    </w:tbl>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负责人/投标授权代表签名：</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知悉人（公章）：</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808" w:firstLine="420" w:firstLineChars="200"/>
        <w:jc w:val="right"/>
        <w:rPr>
          <w:rFonts w:ascii="宋体" w:hAnsi="宋体" w:eastAsiaTheme="minorEastAsia"/>
          <w:spacing w:val="-4"/>
          <w:kern w:val="0"/>
          <w:szCs w:val="21"/>
          <w:u w:val="single"/>
        </w:rPr>
      </w:pPr>
      <w:r>
        <w:rPr>
          <w:rFonts w:ascii="宋体" w:hAnsi="宋体" w:eastAsiaTheme="minorEastAsia" w:hint="eastAsia"/>
          <w:spacing w:val="-4"/>
          <w:kern w:val="0"/>
          <w:szCs w:val="21"/>
        </w:rPr>
        <w:t xml:space="preserve">     日期：</w:t>
      </w:r>
      <w:r>
        <w:rPr>
          <w:rFonts w:ascii="宋体" w:hAnsi="宋体" w:eastAsiaTheme="minorEastAsia" w:hint="eastAsia"/>
          <w:spacing w:val="-4"/>
          <w:kern w:val="0"/>
          <w:szCs w:val="21"/>
          <w:u w:val="single"/>
        </w:rPr>
        <w:t xml:space="preserve">              </w:t>
      </w:r>
    </w:p>
    <w:p>
      <w:pPr>
        <w:widowControl/>
        <w:wordWrap w:val="0"/>
        <w:autoSpaceDE w:val="0"/>
        <w:autoSpaceDN w:val="0"/>
        <w:spacing w:line="400" w:lineRule="exact"/>
        <w:ind w:right="1414" w:firstLine="420" w:firstLineChars="200"/>
        <w:jc w:val="right"/>
        <w:rPr>
          <w:rFonts w:ascii="宋体" w:hAnsi="宋体" w:eastAsiaTheme="minorEastAsia"/>
          <w:spacing w:val="-4"/>
          <w:kern w:val="0"/>
          <w:szCs w:val="21"/>
        </w:rPr>
      </w:pPr>
      <w:r>
        <w:rPr>
          <w:rFonts w:ascii="宋体" w:hAnsi="宋体" w:eastAsiaTheme="minorEastAsia" w:hint="eastAsia"/>
          <w:spacing w:val="-4"/>
          <w:kern w:val="0"/>
          <w:szCs w:val="21"/>
        </w:rPr>
        <w:t xml:space="preserve">     </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注：</w:t>
      </w:r>
    </w:p>
    <w:p>
      <w:pPr>
        <w:widowControl/>
        <w:autoSpaceDE w:val="0"/>
        <w:autoSpaceDN w:val="0"/>
        <w:spacing w:line="400" w:lineRule="exact"/>
        <w:ind w:firstLine="420" w:firstLineChars="200"/>
        <w:jc w:val="left"/>
        <w:rPr>
          <w:rFonts w:ascii="宋体" w:hAnsi="宋体" w:eastAsiaTheme="minorEastAsia"/>
          <w:b/>
          <w:bCs/>
          <w:color w:val="FF0000"/>
          <w:spacing w:val="-4"/>
          <w:kern w:val="0"/>
          <w:szCs w:val="21"/>
        </w:rPr>
      </w:pPr>
      <w:r>
        <w:rPr>
          <w:rFonts w:ascii="宋体" w:hAnsi="宋体" w:eastAsiaTheme="minorEastAsia" w:hint="eastAsia"/>
          <w:b/>
          <w:bCs/>
          <w:color w:val="FF0000"/>
          <w:spacing w:val="-4"/>
          <w:kern w:val="0"/>
          <w:szCs w:val="21"/>
        </w:rPr>
        <w:t>1.</w:t>
      </w:r>
      <w:r>
        <w:rPr>
          <w:rFonts w:hint="eastAsia"/>
        </w:rPr>
        <w:t xml:space="preserve"> </w:t>
      </w:r>
      <w:r>
        <w:rPr>
          <w:rFonts w:ascii="宋体" w:hAnsi="宋体" w:eastAsiaTheme="minorEastAsia" w:hint="eastAsia"/>
          <w:b/>
          <w:bCs/>
          <w:color w:val="FF0000"/>
          <w:spacing w:val="-4"/>
          <w:kern w:val="0"/>
          <w:szCs w:val="21"/>
        </w:rPr>
        <w:t>根据《深圳市财政局关于采购文件增加风险告知有关事项的通知》（深财购〔2022〕22 号），该风险知悉确认书用于对供应商违法行为的警示，不作为供应商资格性审查及符合性审查条件。</w:t>
      </w:r>
    </w:p>
    <w:p>
      <w:pPr>
        <w:widowControl/>
        <w:autoSpaceDE w:val="0"/>
        <w:autoSpaceDN w:val="0"/>
        <w:spacing w:line="400" w:lineRule="exact"/>
        <w:ind w:firstLine="420" w:firstLineChars="200"/>
        <w:jc w:val="left"/>
        <w:rPr>
          <w:rFonts w:ascii="宋体" w:hAnsi="宋体" w:eastAsiaTheme="minorEastAsia"/>
          <w:color w:val="FF0000"/>
          <w:spacing w:val="-4"/>
          <w:kern w:val="0"/>
          <w:szCs w:val="21"/>
        </w:rPr>
      </w:pPr>
      <w:r>
        <w:rPr>
          <w:rFonts w:ascii="宋体" w:hAnsi="宋体" w:eastAsiaTheme="minorEastAsia" w:hint="eastAsia"/>
          <w:b/>
          <w:bCs/>
          <w:color w:val="FF0000"/>
          <w:spacing w:val="-4"/>
          <w:kern w:val="0"/>
          <w:szCs w:val="21"/>
        </w:rPr>
        <w:t>2.投标供应商负责人或投标授权代表签字</w:t>
      </w:r>
      <w:r>
        <w:rPr>
          <w:rFonts w:ascii="宋体" w:hAnsi="宋体" w:eastAsiaTheme="minorEastAsia" w:hint="eastAsia"/>
          <w:b/>
          <w:bCs/>
          <w:color w:val="FF0000"/>
          <w:spacing w:val="-4"/>
          <w:kern w:val="0"/>
          <w:szCs w:val="21"/>
          <w:highlight w:val="yellow"/>
        </w:rPr>
        <w:t>并加盖单位公章</w:t>
      </w:r>
      <w:r>
        <w:rPr>
          <w:rFonts w:ascii="宋体" w:hAnsi="宋体" w:eastAsiaTheme="minorEastAsia" w:hint="eastAsia"/>
          <w:b/>
          <w:bCs/>
          <w:color w:val="FF0000"/>
          <w:spacing w:val="-4"/>
          <w:kern w:val="0"/>
          <w:szCs w:val="21"/>
        </w:rPr>
        <w:t>后，扫描上传至投标文件一并提交。</w:t>
      </w:r>
    </w:p>
    <w:p>
      <w:pPr>
        <w:widowControl/>
        <w:autoSpaceDE w:val="0"/>
        <w:autoSpaceDN w:val="0"/>
        <w:spacing w:line="400" w:lineRule="exact"/>
        <w:ind w:right="1414" w:firstLine="420" w:firstLineChars="200"/>
        <w:jc w:val="right"/>
        <w:rPr>
          <w:rFonts w:eastAsiaTheme="minorEastAsia"/>
          <w:kern w:val="0"/>
          <w:sz w:val="24"/>
        </w:rPr>
      </w:pPr>
    </w:p>
    <w:p>
      <w:pPr>
        <w:widowControl/>
        <w:autoSpaceDE w:val="0"/>
        <w:autoSpaceDN w:val="0"/>
        <w:spacing w:line="400" w:lineRule="exact"/>
        <w:ind w:right="1414" w:firstLine="420" w:firstLineChars="200"/>
        <w:jc w:val="right"/>
        <w:rPr>
          <w:rFonts w:eastAsiaTheme="minorEastAsia"/>
          <w:kern w:val="0"/>
          <w:sz w:val="24"/>
        </w:rPr>
      </w:pPr>
    </w:p>
    <w:p>
      <w:pPr>
        <w:ind w:firstLine="630" w:firstLineChars="300"/>
        <w:rPr>
          <w:sz w:val="24"/>
        </w:rPr>
      </w:pPr>
    </w:p>
    <w:p>
      <w:pPr>
        <w:widowControl/>
        <w:spacing w:line="360" w:lineRule="auto"/>
        <w:jc w:val="left"/>
        <w:rPr>
          <w:rFonts w:eastAsiaTheme="minorEastAsia"/>
          <w:b/>
          <w:bCs/>
          <w:kern w:val="0"/>
          <w:sz w:val="24"/>
        </w:rPr>
      </w:pPr>
    </w:p>
    <w:p>
      <w:pPr>
        <w:widowControl/>
        <w:jc w:val="center"/>
        <w:rPr>
          <w:rFonts w:ascii="黑体" w:eastAsia="黑体" w:hAnsi="宋体"/>
          <w:kern w:val="0"/>
          <w:sz w:val="24"/>
          <w:szCs w:val="20"/>
        </w:rPr>
      </w:pPr>
      <w:r>
        <w:rPr>
          <w:rFonts w:ascii="黑体" w:eastAsia="黑体" w:hAnsi="宋体" w:hint="eastAsia"/>
          <w:kern w:val="0"/>
          <w:sz w:val="24"/>
          <w:szCs w:val="20"/>
        </w:rPr>
        <w:t>（二）投标人认为需要加以说明的其他内容（格式自定）</w:t>
      </w:r>
    </w:p>
    <w:p>
      <w:pPr>
        <w:jc w:val="center"/>
        <w:rPr>
          <w:rFonts w:ascii="黑体" w:eastAsia="黑体" w:hAnsi="宋体"/>
          <w:bCs/>
          <w:kern w:val="0"/>
          <w:sz w:val="24"/>
        </w:rPr>
      </w:pPr>
    </w:p>
    <w:p/>
    <w:p>
      <w:pPr>
        <w:rPr>
          <w:rFonts w:hint="eastAsia"/>
        </w:rPr>
      </w:pPr>
      <w:r>
        <w:rPr>
          <w:rFonts w:hint="eastAsia"/>
        </w:rPr>
        <w:br w:type="page"/>
      </w:r>
    </w:p>
    <w:p>
      <w:pPr>
        <w:pStyle w:val="Heading2"/>
      </w:pPr>
      <w:r>
        <w:rPr>
          <w:rFonts w:hint="eastAsia"/>
        </w:rPr>
        <w:t>第五章  合同条款及格式</w:t>
      </w:r>
    </w:p>
    <w:p>
      <w:pPr>
        <w:ind w:firstLine="412" w:firstLineChars="196"/>
      </w:pPr>
    </w:p>
    <w:p>
      <w:pPr>
        <w:jc w:val="center"/>
        <w:outlineLvl w:val="0"/>
      </w:pPr>
      <w:r>
        <w:rPr>
          <w:rFonts w:hint="eastAsia"/>
          <w:b/>
          <w:sz w:val="24"/>
        </w:rPr>
        <w:t>（仅供参考，具体以项目需求及采购结果为准）</w:t>
      </w:r>
    </w:p>
    <w:p>
      <w:pPr>
        <w:rPr>
          <w:rFonts w:ascii="宋体" w:hAnsi="宋体"/>
          <w:b/>
          <w:bCs/>
          <w:szCs w:val="21"/>
        </w:rPr>
      </w:pPr>
      <w:r>
        <w:rPr>
          <w:rFonts w:ascii="宋体" w:hAnsi="宋体" w:hint="eastAsia"/>
          <w:b/>
          <w:bCs/>
          <w:szCs w:val="21"/>
        </w:rPr>
        <w:t>甲方：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b/>
          <w:bCs/>
          <w:szCs w:val="21"/>
        </w:rPr>
      </w:pPr>
      <w:r>
        <w:rPr>
          <w:rFonts w:ascii="宋体" w:hAnsi="宋体"/>
          <w:b/>
          <w:bCs/>
          <w:szCs w:val="21"/>
        </w:rPr>
        <w:t xml:space="preserve"> </w:t>
      </w:r>
      <w:r>
        <w:rPr>
          <w:rFonts w:ascii="宋体" w:hAnsi="宋体" w:hint="eastAsia"/>
          <w:b/>
          <w:bCs/>
          <w:szCs w:val="21"/>
        </w:rPr>
        <w:t xml:space="preserve"> </w:t>
      </w:r>
      <w:r>
        <w:rPr>
          <w:rFonts w:ascii="宋体" w:hAnsi="宋体"/>
          <w:b/>
          <w:bCs/>
          <w:szCs w:val="21"/>
        </w:rPr>
        <w:t xml:space="preserve"> </w:t>
      </w:r>
    </w:p>
    <w:p>
      <w:pPr>
        <w:rPr>
          <w:rFonts w:ascii="宋体" w:hAnsi="宋体"/>
          <w:b/>
          <w:bCs/>
          <w:szCs w:val="21"/>
        </w:rPr>
      </w:pPr>
      <w:r>
        <w:rPr>
          <w:rFonts w:ascii="宋体" w:hAnsi="宋体" w:hint="eastAsia"/>
          <w:b/>
          <w:bCs/>
          <w:szCs w:val="21"/>
        </w:rPr>
        <w:t>乙方：</w:t>
      </w:r>
    </w:p>
    <w:p>
      <w:pPr>
        <w:rPr>
          <w:rFonts w:ascii="宋体" w:hAnsi="宋体"/>
          <w:szCs w:val="21"/>
        </w:rPr>
      </w:pPr>
      <w:r>
        <w:rPr>
          <w:rFonts w:ascii="宋体" w:hAnsi="宋体" w:hint="eastAsia"/>
          <w:szCs w:val="21"/>
        </w:rPr>
        <w:t>地址：</w:t>
      </w:r>
    </w:p>
    <w:p>
      <w:pPr>
        <w:rPr>
          <w:rFonts w:ascii="宋体" w:hAnsi="宋体"/>
          <w:szCs w:val="21"/>
        </w:rPr>
      </w:pPr>
      <w:r>
        <w:rPr>
          <w:rFonts w:ascii="宋体" w:hAnsi="宋体" w:hint="eastAsia"/>
          <w:szCs w:val="21"/>
        </w:rPr>
        <w:t>联系人：</w:t>
      </w:r>
      <w:r>
        <w:rPr>
          <w:rFonts w:ascii="宋体" w:hAnsi="宋体"/>
          <w:szCs w:val="21"/>
        </w:rPr>
        <w:t xml:space="preserve">                          </w:t>
      </w:r>
    </w:p>
    <w:p>
      <w:pPr>
        <w:rPr>
          <w:rFonts w:ascii="宋体" w:hAnsi="宋体"/>
          <w:b/>
          <w:bCs/>
          <w:szCs w:val="21"/>
        </w:rPr>
      </w:pPr>
      <w:r>
        <w:rPr>
          <w:rFonts w:ascii="宋体" w:hAnsi="宋体" w:hint="eastAsia"/>
          <w:szCs w:val="21"/>
        </w:rPr>
        <w:t>联系电话：</w:t>
      </w:r>
    </w:p>
    <w:p>
      <w:pPr>
        <w:rPr>
          <w:rFonts w:ascii="宋体" w:hAnsi="宋体"/>
          <w:szCs w:val="21"/>
        </w:rPr>
      </w:pPr>
      <w:r>
        <w:rPr>
          <w:rFonts w:ascii="宋体" w:hAnsi="宋体"/>
          <w:b/>
          <w:bCs/>
          <w:szCs w:val="21"/>
        </w:rPr>
        <w:t xml:space="preserve">            </w:t>
      </w:r>
      <w:r>
        <w:rPr>
          <w:rFonts w:ascii="宋体" w:hAnsi="宋体" w:hint="eastAsia"/>
          <w:b/>
          <w:bCs/>
          <w:szCs w:val="21"/>
        </w:rPr>
        <w:t xml:space="preserve">          </w:t>
      </w:r>
    </w:p>
    <w:p>
      <w:pPr>
        <w:rPr>
          <w:rFonts w:ascii="宋体" w:hAnsi="宋体"/>
          <w:szCs w:val="21"/>
        </w:rPr>
      </w:pPr>
    </w:p>
    <w:p>
      <w:pPr>
        <w:ind w:firstLine="420" w:firstLineChars="200"/>
        <w:rPr>
          <w:rFonts w:ascii="宋体" w:hAnsi="宋体"/>
          <w:szCs w:val="21"/>
        </w:rPr>
      </w:pPr>
      <w:r>
        <w:rPr>
          <w:rFonts w:ascii="宋体" w:hAnsi="宋体" w:hint="eastAsia"/>
          <w:szCs w:val="21"/>
        </w:rPr>
        <w:t>根据深圳公共资源交易中心（深圳交易集团有限公司*</w:t>
      </w:r>
      <w:r>
        <w:rPr>
          <w:rFonts w:ascii="宋体" w:hAnsi="宋体"/>
          <w:szCs w:val="21"/>
        </w:rPr>
        <w:t>**</w:t>
      </w:r>
      <w:r>
        <w:rPr>
          <w:rFonts w:ascii="宋体" w:hAnsi="宋体" w:hint="eastAsia"/>
          <w:szCs w:val="21"/>
        </w:rPr>
        <w:t>分公司）*</w:t>
      </w:r>
      <w:r>
        <w:rPr>
          <w:rFonts w:ascii="宋体" w:hAnsi="宋体"/>
          <w:szCs w:val="21"/>
        </w:rPr>
        <w:t>**</w:t>
      </w:r>
      <w:r>
        <w:rPr>
          <w:rFonts w:ascii="宋体" w:hAnsi="宋体" w:hint="eastAsia"/>
          <w:szCs w:val="21"/>
        </w:rPr>
        <w:t>号项目结果，*</w:t>
      </w:r>
      <w:r>
        <w:rPr>
          <w:rFonts w:ascii="宋体" w:hAnsi="宋体"/>
          <w:szCs w:val="21"/>
        </w:rPr>
        <w:t>**</w:t>
      </w:r>
      <w:r>
        <w:rPr>
          <w:rFonts w:ascii="宋体" w:hAnsi="宋体" w:hint="eastAsia"/>
          <w:szCs w:val="21"/>
        </w:rPr>
        <w:t>单位为中标人。按照《中华人民共和国民法典》（第三编 合同）》和《深圳经济特区政府采购条例》，经深圳市（以下简称甲方）和单位（以下简称乙方）协商，就甲方委托乙方承担</w:t>
      </w:r>
      <w:r>
        <w:rPr>
          <w:rFonts w:ascii="宋体" w:hAnsi="宋体" w:hint="eastAsia"/>
          <w:b/>
          <w:bCs/>
          <w:snapToGrid w:val="0"/>
          <w:kern w:val="0"/>
          <w:szCs w:val="21"/>
          <w:u w:val="single"/>
          <w:lang w:val="zh-CN"/>
        </w:rPr>
        <w:t xml:space="preserve">                      服务项目</w:t>
      </w:r>
      <w:r>
        <w:rPr>
          <w:rFonts w:ascii="宋体" w:hAnsi="宋体" w:hint="eastAsia"/>
          <w:szCs w:val="21"/>
        </w:rPr>
        <w:t>，达成以下合同条款：</w:t>
      </w:r>
    </w:p>
    <w:p>
      <w:pPr>
        <w:ind w:firstLine="420" w:firstLineChars="200"/>
        <w:rPr>
          <w:rFonts w:ascii="宋体" w:hAnsi="宋体"/>
          <w:b/>
          <w:bCs/>
          <w:szCs w:val="21"/>
        </w:rPr>
      </w:pPr>
      <w:r>
        <w:rPr>
          <w:rFonts w:ascii="宋体" w:hAnsi="宋体" w:hint="eastAsia"/>
          <w:b/>
          <w:bCs/>
          <w:szCs w:val="21"/>
        </w:rPr>
        <w:t>第一条　项目概况</w:t>
      </w:r>
    </w:p>
    <w:p>
      <w:pPr>
        <w:ind w:firstLine="420" w:firstLineChars="200"/>
        <w:rPr>
          <w:rFonts w:ascii="宋体" w:hAnsi="宋体"/>
          <w:szCs w:val="21"/>
        </w:rPr>
      </w:pPr>
      <w:r>
        <w:rPr>
          <w:rFonts w:ascii="宋体" w:hAnsi="宋体" w:hint="eastAsia"/>
          <w:szCs w:val="21"/>
        </w:rPr>
        <w:t xml:space="preserve">项目名称： </w:t>
      </w:r>
    </w:p>
    <w:p>
      <w:pPr>
        <w:ind w:firstLine="420" w:firstLineChars="200"/>
        <w:rPr>
          <w:rFonts w:ascii="宋体" w:hAnsi="宋体"/>
          <w:szCs w:val="21"/>
        </w:rPr>
      </w:pPr>
      <w:r>
        <w:rPr>
          <w:rFonts w:ascii="宋体" w:hAnsi="宋体" w:hint="eastAsia"/>
          <w:szCs w:val="21"/>
        </w:rPr>
        <w:t xml:space="preserve">项目内容： </w:t>
      </w:r>
    </w:p>
    <w:p>
      <w:pPr>
        <w:ind w:firstLine="420" w:firstLineChars="200"/>
        <w:rPr>
          <w:rFonts w:ascii="宋体" w:hAnsi="宋体"/>
          <w:szCs w:val="21"/>
        </w:rPr>
      </w:pPr>
      <w:r>
        <w:rPr>
          <w:rFonts w:ascii="宋体" w:hAnsi="宋体" w:hint="eastAsia"/>
          <w:szCs w:val="21"/>
        </w:rPr>
        <w:t xml:space="preserve">服务时间： </w:t>
      </w:r>
    </w:p>
    <w:p>
      <w:pPr>
        <w:ind w:firstLine="420" w:firstLineChars="200"/>
        <w:rPr>
          <w:rFonts w:ascii="宋体" w:hAnsi="宋体"/>
          <w:szCs w:val="21"/>
        </w:rPr>
      </w:pPr>
      <w:r>
        <w:rPr>
          <w:rFonts w:ascii="宋体" w:hAnsi="宋体" w:hint="eastAsia"/>
          <w:szCs w:val="21"/>
        </w:rPr>
        <w:t>合同价款：合同总价为元，含一切税、费。</w:t>
      </w:r>
      <w:r>
        <w:t>本合同总价包括</w:t>
      </w:r>
      <w:r>
        <w:rPr>
          <w:rFonts w:ascii="宋体" w:hAnsi="宋体" w:hint="eastAsia"/>
          <w:szCs w:val="21"/>
        </w:rPr>
        <w:t>乙方为实施本项目*</w:t>
      </w:r>
      <w:r>
        <w:rPr>
          <w:rFonts w:ascii="宋体" w:hAnsi="宋体"/>
          <w:szCs w:val="21"/>
        </w:rPr>
        <w:t>**</w:t>
      </w:r>
      <w:r>
        <w:rPr>
          <w:rFonts w:ascii="宋体" w:hAnsi="宋体" w:hint="eastAsia"/>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ascii="宋体" w:hAnsi="宋体" w:hint="eastAsia"/>
          <w:szCs w:val="21"/>
        </w:rPr>
        <w:t>乙方</w:t>
      </w:r>
      <w:r>
        <w:t>履行本合同义务所发生的一切费用和支出和以各种方式寄送技术资料到</w:t>
      </w:r>
      <w:r>
        <w:rPr>
          <w:rFonts w:hint="eastAsia"/>
        </w:rPr>
        <w:t>甲</w:t>
      </w:r>
      <w:r>
        <w:t>方办公室所发生的费用。</w:t>
      </w:r>
    </w:p>
    <w:p>
      <w:pPr>
        <w:pStyle w:val="NormalIndent"/>
        <w:rPr>
          <w:rFonts w:ascii="宋体" w:hAnsi="宋体"/>
          <w:szCs w:val="21"/>
        </w:rPr>
      </w:pPr>
      <w:r>
        <w:rPr>
          <w:rFonts w:ascii="宋体" w:hAnsi="宋体" w:hint="eastAsia"/>
          <w:szCs w:val="21"/>
        </w:rPr>
        <w:t>支付方式：分期支付。</w:t>
      </w:r>
    </w:p>
    <w:p>
      <w:pPr>
        <w:ind w:firstLine="420" w:firstLineChars="200"/>
        <w:rPr>
          <w:rFonts w:ascii="宋体" w:hAnsi="宋体"/>
          <w:b/>
          <w:bCs/>
          <w:szCs w:val="21"/>
        </w:rPr>
      </w:pPr>
      <w:r>
        <w:rPr>
          <w:rFonts w:ascii="宋体" w:hAnsi="宋体" w:hint="eastAsia"/>
          <w:b/>
          <w:bCs/>
          <w:szCs w:val="21"/>
        </w:rPr>
        <w:t>第二条  服务范围</w:t>
      </w:r>
    </w:p>
    <w:p>
      <w:pPr>
        <w:ind w:firstLine="420" w:firstLineChars="200"/>
        <w:rPr>
          <w:rFonts w:ascii="宋体" w:hAnsi="宋体"/>
          <w:szCs w:val="21"/>
        </w:rPr>
      </w:pPr>
      <w:r>
        <w:rPr>
          <w:rFonts w:ascii="宋体" w:hAnsi="宋体" w:hint="eastAsia"/>
          <w:szCs w:val="21"/>
        </w:rPr>
        <w:t xml:space="preserve">1、  </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 xml:space="preserve">3、  </w:t>
      </w:r>
    </w:p>
    <w:p>
      <w:pPr>
        <w:ind w:firstLine="420" w:firstLineChars="200"/>
        <w:rPr>
          <w:rFonts w:ascii="宋体" w:hAnsi="宋体"/>
          <w:szCs w:val="21"/>
        </w:rPr>
      </w:pPr>
      <w:r>
        <w:rPr>
          <w:rFonts w:ascii="宋体" w:hAnsi="宋体" w:hint="eastAsia"/>
          <w:szCs w:val="21"/>
        </w:rPr>
        <w:t>4、 其他合同未明示的相关工作。</w:t>
      </w:r>
    </w:p>
    <w:p>
      <w:pPr>
        <w:ind w:firstLine="420" w:firstLineChars="200"/>
        <w:rPr>
          <w:rFonts w:ascii="宋体" w:hAnsi="宋体"/>
          <w:b/>
          <w:bCs/>
          <w:szCs w:val="21"/>
        </w:rPr>
      </w:pPr>
      <w:r>
        <w:rPr>
          <w:rFonts w:ascii="宋体" w:hAnsi="宋体" w:hint="eastAsia"/>
          <w:b/>
          <w:bCs/>
          <w:szCs w:val="21"/>
        </w:rPr>
        <w:t>第三条  时间要求及阶段成果</w:t>
      </w:r>
    </w:p>
    <w:p>
      <w:pPr>
        <w:ind w:firstLine="420" w:firstLineChars="200"/>
        <w:rPr>
          <w:rFonts w:ascii="宋体" w:hAnsi="宋体"/>
          <w:szCs w:val="21"/>
        </w:rPr>
      </w:pPr>
      <w:r>
        <w:rPr>
          <w:rFonts w:ascii="宋体" w:hAnsi="宋体" w:hint="eastAsia"/>
          <w:szCs w:val="21"/>
        </w:rPr>
        <w:t>1、合同签订天内完成项目实施的准备工作，包括工作大纲和试验细则的编制；</w:t>
      </w:r>
    </w:p>
    <w:p>
      <w:pPr>
        <w:ind w:firstLine="420" w:firstLineChars="200"/>
        <w:rPr>
          <w:rFonts w:ascii="宋体" w:hAnsi="宋体"/>
          <w:szCs w:val="21"/>
        </w:rPr>
      </w:pPr>
      <w:r>
        <w:rPr>
          <w:rFonts w:ascii="宋体" w:hAnsi="宋体" w:hint="eastAsia"/>
          <w:szCs w:val="21"/>
        </w:rPr>
        <w:t xml:space="preserve">2、 </w:t>
      </w:r>
    </w:p>
    <w:p>
      <w:pPr>
        <w:ind w:firstLine="420" w:firstLineChars="200"/>
        <w:rPr>
          <w:rFonts w:ascii="宋体" w:hAnsi="宋体"/>
          <w:szCs w:val="21"/>
        </w:rPr>
      </w:pPr>
      <w:r>
        <w:rPr>
          <w:rFonts w:ascii="宋体" w:hAnsi="宋体" w:hint="eastAsia"/>
          <w:szCs w:val="21"/>
        </w:rPr>
        <w:t>3、</w:t>
      </w:r>
    </w:p>
    <w:p>
      <w:pPr>
        <w:ind w:firstLine="420" w:firstLineChars="200"/>
        <w:rPr>
          <w:rFonts w:ascii="宋体" w:hAnsi="宋体"/>
          <w:szCs w:val="21"/>
        </w:rPr>
      </w:pPr>
      <w:r>
        <w:rPr>
          <w:rFonts w:ascii="宋体" w:hAnsi="宋体" w:hint="eastAsia"/>
          <w:szCs w:val="21"/>
        </w:rPr>
        <w:t>4、</w:t>
      </w:r>
    </w:p>
    <w:p>
      <w:pPr>
        <w:ind w:firstLine="420" w:firstLineChars="200"/>
        <w:rPr>
          <w:rFonts w:ascii="宋体" w:hAnsi="宋体"/>
          <w:b/>
          <w:bCs/>
          <w:szCs w:val="21"/>
        </w:rPr>
      </w:pPr>
      <w:r>
        <w:rPr>
          <w:rFonts w:ascii="宋体" w:hAnsi="宋体" w:hint="eastAsia"/>
          <w:b/>
          <w:bCs/>
          <w:szCs w:val="21"/>
        </w:rPr>
        <w:t>第四条  咨询服务资料归属</w:t>
      </w:r>
    </w:p>
    <w:p>
      <w:pPr>
        <w:ind w:firstLine="420" w:firstLineChars="200"/>
      </w:pPr>
      <w:r>
        <w:t>1</w:t>
      </w:r>
      <w:r>
        <w:rPr>
          <w:rFonts w:hint="eastAsia"/>
        </w:rPr>
        <w:t>、</w:t>
      </w:r>
      <w:r>
        <w:t>所有提交给</w:t>
      </w:r>
      <w:r>
        <w:rPr>
          <w:rFonts w:hint="eastAsia"/>
        </w:rPr>
        <w:t>甲</w:t>
      </w:r>
      <w:r>
        <w:t>方的咨询服务</w:t>
      </w:r>
      <w:r>
        <w:rPr>
          <w:rFonts w:hint="eastAsia"/>
        </w:rPr>
        <w:t>文件</w:t>
      </w:r>
      <w:r>
        <w:t>及相关的资料的最后文本，包括为履行技术咨询服务范围所编制的图纸、计划和证明资料等，都属于</w:t>
      </w:r>
      <w:r>
        <w:rPr>
          <w:rFonts w:hint="eastAsia"/>
        </w:rPr>
        <w:t>甲</w:t>
      </w:r>
      <w:r>
        <w:t>方的财产，</w:t>
      </w:r>
      <w:r>
        <w:rPr>
          <w:rFonts w:ascii="宋体" w:hAnsi="宋体" w:hint="eastAsia"/>
          <w:szCs w:val="21"/>
        </w:rPr>
        <w:t>乙</w:t>
      </w:r>
      <w:r>
        <w:t>方在提交给</w:t>
      </w:r>
      <w:r>
        <w:rPr>
          <w:rFonts w:hint="eastAsia"/>
        </w:rPr>
        <w:t>甲</w:t>
      </w:r>
      <w:r>
        <w:t>方之前应将上述资料进行整理归类和编制索引</w:t>
      </w:r>
      <w:r>
        <w:rPr>
          <w:rFonts w:hint="eastAsia"/>
        </w:rPr>
        <w:t>。</w:t>
      </w:r>
    </w:p>
    <w:p>
      <w:pPr>
        <w:ind w:firstLine="420" w:firstLineChars="200"/>
      </w:pPr>
      <w:r>
        <w:t>2</w:t>
      </w:r>
      <w:r>
        <w:rPr>
          <w:rFonts w:hint="eastAsia"/>
        </w:rPr>
        <w:t>、</w:t>
      </w:r>
      <w:r>
        <w:rPr>
          <w:rFonts w:ascii="宋体" w:hAnsi="宋体" w:hint="eastAsia"/>
          <w:szCs w:val="21"/>
        </w:rPr>
        <w:t>乙</w:t>
      </w:r>
      <w:r>
        <w:t>方未经</w:t>
      </w:r>
      <w:r>
        <w:rPr>
          <w:rFonts w:hint="eastAsia"/>
        </w:rPr>
        <w:t>甲</w:t>
      </w:r>
      <w:r>
        <w:t>方的书面同意，不得将上述资料用于与本咨询服务项目之外的任何项目</w:t>
      </w:r>
      <w:r>
        <w:rPr>
          <w:rFonts w:hint="eastAsia"/>
        </w:rPr>
        <w:t>。</w:t>
      </w:r>
    </w:p>
    <w:p>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ascii="宋体" w:hAnsi="宋体" w:hint="eastAsia"/>
          <w:szCs w:val="21"/>
        </w:rPr>
        <w:t>乙</w:t>
      </w:r>
      <w:r>
        <w:t>方</w:t>
      </w:r>
      <w:r>
        <w:rPr>
          <w:rFonts w:hint="eastAsia"/>
        </w:rPr>
        <w:t>不得保存在</w:t>
      </w:r>
      <w:r>
        <w:t>履行合同过程中所获得或接触到的任何</w:t>
      </w:r>
      <w:r>
        <w:rPr>
          <w:rFonts w:ascii="宋体" w:hAnsi="宋体" w:hint="eastAsia"/>
          <w:szCs w:val="21"/>
        </w:rPr>
        <w:t>内部数据资料。</w:t>
      </w:r>
    </w:p>
    <w:p>
      <w:pPr>
        <w:ind w:firstLine="420" w:firstLineChars="200"/>
        <w:rPr>
          <w:rFonts w:ascii="宋体" w:hAnsi="宋体"/>
          <w:b/>
          <w:bCs/>
          <w:szCs w:val="21"/>
        </w:rPr>
      </w:pPr>
      <w:r>
        <w:rPr>
          <w:rFonts w:ascii="宋体" w:hAnsi="宋体" w:hint="eastAsia"/>
          <w:b/>
          <w:bCs/>
          <w:szCs w:val="21"/>
        </w:rPr>
        <w:t>第五条  甲方的义务</w:t>
      </w:r>
    </w:p>
    <w:p>
      <w:pPr>
        <w:ind w:firstLine="420" w:firstLineChars="200"/>
        <w:rPr>
          <w:rFonts w:ascii="宋体" w:hAnsi="宋体"/>
          <w:szCs w:val="21"/>
        </w:rPr>
      </w:pPr>
      <w:r>
        <w:rPr>
          <w:rFonts w:ascii="宋体" w:hAnsi="宋体" w:hint="eastAsia"/>
          <w:szCs w:val="21"/>
        </w:rPr>
        <w:t>1、负责与本咨询服务项目有关的第三方的协调，提供开展咨询服务工作的外部条件。</w:t>
      </w:r>
    </w:p>
    <w:p>
      <w:pPr>
        <w:ind w:firstLine="420" w:firstLineChars="200"/>
        <w:rPr>
          <w:rFonts w:ascii="宋体" w:hAnsi="宋体"/>
          <w:szCs w:val="21"/>
        </w:rPr>
      </w:pPr>
      <w:r>
        <w:rPr>
          <w:rFonts w:ascii="宋体" w:hAnsi="宋体" w:hint="eastAsia"/>
          <w:szCs w:val="21"/>
        </w:rPr>
        <w:t>2、向乙方提供与本项目咨询服务工作有关的资料。</w:t>
      </w:r>
    </w:p>
    <w:p>
      <w:pPr>
        <w:ind w:firstLine="420" w:firstLineChars="200"/>
        <w:rPr>
          <w:rFonts w:ascii="宋体" w:hAnsi="宋体"/>
          <w:szCs w:val="21"/>
        </w:rPr>
      </w:pPr>
      <w:r>
        <w:rPr>
          <w:rFonts w:ascii="宋体" w:hAnsi="宋体" w:hint="eastAsia"/>
          <w:szCs w:val="21"/>
        </w:rPr>
        <w:t>3、负责组织有关专家对项目试验成果评估报告的评审。</w:t>
      </w:r>
    </w:p>
    <w:p>
      <w:pPr>
        <w:ind w:firstLine="420" w:firstLineChars="200"/>
        <w:rPr>
          <w:rFonts w:ascii="宋体" w:hAnsi="宋体"/>
          <w:b/>
          <w:bCs/>
          <w:szCs w:val="21"/>
        </w:rPr>
      </w:pPr>
      <w:r>
        <w:rPr>
          <w:rFonts w:ascii="宋体" w:hAnsi="宋体" w:hint="eastAsia"/>
          <w:b/>
          <w:bCs/>
          <w:szCs w:val="21"/>
        </w:rPr>
        <w:t>第六条　乙方的义务</w:t>
      </w:r>
    </w:p>
    <w:p>
      <w:pPr>
        <w:ind w:firstLine="420" w:firstLineChars="200"/>
        <w:rPr>
          <w:rFonts w:ascii="宋体" w:hAnsi="宋体"/>
          <w:szCs w:val="21"/>
        </w:rPr>
      </w:pPr>
      <w:r>
        <w:rPr>
          <w:rFonts w:ascii="宋体" w:hAnsi="宋体" w:hint="eastAsia"/>
          <w:szCs w:val="21"/>
        </w:rPr>
        <w:t>１、应按照招标文件、投标文件要求按期完成本项目咨询服务工作。</w:t>
      </w:r>
    </w:p>
    <w:p>
      <w:pPr>
        <w:ind w:firstLine="420" w:firstLineChars="200"/>
        <w:rPr>
          <w:rFonts w:ascii="宋体" w:hAnsi="宋体"/>
          <w:szCs w:val="21"/>
        </w:rPr>
      </w:pPr>
      <w:r>
        <w:rPr>
          <w:rFonts w:ascii="宋体" w:hAnsi="宋体" w:hint="eastAsia"/>
          <w:szCs w:val="21"/>
        </w:rPr>
        <w:t>2、负责组织项目的实施，保证工程进度和成桥荷载试验工作质量，并满足交通部交工验收相关标准。</w:t>
      </w:r>
    </w:p>
    <w:p>
      <w:pPr>
        <w:ind w:firstLine="420" w:firstLineChars="200"/>
        <w:rPr>
          <w:rFonts w:ascii="宋体" w:hAnsi="宋体"/>
          <w:szCs w:val="21"/>
        </w:rPr>
      </w:pPr>
      <w:r>
        <w:rPr>
          <w:rFonts w:ascii="宋体" w:hAnsi="宋体" w:hint="eastAsia"/>
          <w:szCs w:val="21"/>
        </w:rPr>
        <w:t>3、</w:t>
      </w:r>
      <w:r>
        <w:rPr>
          <w:rFonts w:ascii="宋体" w:hAnsi="宋体" w:hint="eastAsia"/>
        </w:rPr>
        <w:t>向甲方提交检测资料等各套，一套电子版文件。</w:t>
      </w:r>
    </w:p>
    <w:p>
      <w:pPr>
        <w:ind w:firstLine="420" w:firstLineChars="200"/>
        <w:rPr>
          <w:rFonts w:ascii="宋体" w:hAnsi="宋体"/>
          <w:szCs w:val="21"/>
        </w:rPr>
      </w:pPr>
      <w:r>
        <w:rPr>
          <w:rFonts w:ascii="宋体" w:hAnsi="宋体" w:hint="eastAsia"/>
          <w:szCs w:val="21"/>
        </w:rPr>
        <w:t>4、在履行合同期间或合同规定期限内，不得泄露与本合同规定业务活动有关的保密资料。</w:t>
      </w:r>
    </w:p>
    <w:p>
      <w:pPr>
        <w:ind w:firstLine="420" w:firstLineChars="200"/>
        <w:rPr>
          <w:rFonts w:ascii="宋体" w:hAnsi="宋体"/>
          <w:b/>
          <w:bCs/>
          <w:szCs w:val="21"/>
        </w:rPr>
      </w:pPr>
      <w:r>
        <w:rPr>
          <w:rFonts w:ascii="宋体" w:hAnsi="宋体" w:hint="eastAsia"/>
          <w:b/>
          <w:bCs/>
          <w:szCs w:val="21"/>
        </w:rPr>
        <w:t>第七条  甲方的权利</w:t>
      </w:r>
    </w:p>
    <w:p>
      <w:pPr>
        <w:ind w:firstLine="420" w:firstLineChars="200"/>
        <w:rPr>
          <w:rFonts w:ascii="宋体" w:hAnsi="宋体"/>
          <w:szCs w:val="21"/>
        </w:rPr>
      </w:pPr>
      <w:r>
        <w:rPr>
          <w:rFonts w:ascii="宋体" w:hAnsi="宋体"/>
          <w:szCs w:val="21"/>
        </w:rPr>
        <w:t>1</w:t>
      </w:r>
      <w:r>
        <w:rPr>
          <w:rFonts w:ascii="宋体" w:hAnsi="宋体" w:hint="eastAsia"/>
          <w:szCs w:val="21"/>
        </w:rPr>
        <w:t>、有权向乙方询问工作进展情况及相关的内容。</w:t>
      </w:r>
    </w:p>
    <w:p>
      <w:pPr>
        <w:ind w:firstLine="420" w:firstLineChars="200"/>
        <w:rPr>
          <w:rFonts w:ascii="宋体" w:hAnsi="宋体"/>
          <w:szCs w:val="21"/>
        </w:rPr>
      </w:pPr>
      <w:r>
        <w:rPr>
          <w:rFonts w:ascii="宋体" w:hAnsi="宋体"/>
          <w:szCs w:val="21"/>
        </w:rPr>
        <w:t>2</w:t>
      </w:r>
      <w:r>
        <w:rPr>
          <w:rFonts w:ascii="宋体" w:hAnsi="宋体" w:hint="eastAsia"/>
          <w:szCs w:val="21"/>
        </w:rPr>
        <w:t>、有权阐述对具体问题的意见和建议。</w:t>
      </w:r>
    </w:p>
    <w:p>
      <w:pPr>
        <w:ind w:firstLine="420" w:firstLineChars="200"/>
        <w:rPr>
          <w:rFonts w:ascii="宋体" w:hAnsi="宋体"/>
          <w:szCs w:val="21"/>
        </w:rPr>
      </w:pPr>
      <w:r>
        <w:rPr>
          <w:rFonts w:ascii="宋体" w:hAnsi="宋体"/>
          <w:szCs w:val="21"/>
        </w:rPr>
        <w:t>3</w:t>
      </w:r>
      <w:r>
        <w:rPr>
          <w:rFonts w:ascii="宋体" w:hAnsi="宋体" w:hint="eastAsia"/>
          <w:szCs w:val="21"/>
        </w:rPr>
        <w:t>、当甲方认定乙方人员不按合同履行其职责，或与第三人串通给甲方造成经济损失的，甲方有权要求更换人员，直至终止合同并要求乙方承担相应的赔偿责任。</w:t>
      </w:r>
    </w:p>
    <w:p>
      <w:pPr>
        <w:ind w:firstLine="420" w:firstLineChars="200"/>
        <w:rPr>
          <w:rFonts w:ascii="宋体" w:hAnsi="宋体"/>
          <w:b/>
          <w:bCs/>
          <w:szCs w:val="21"/>
        </w:rPr>
      </w:pPr>
      <w:r>
        <w:rPr>
          <w:rFonts w:ascii="宋体" w:hAnsi="宋体" w:hint="eastAsia"/>
          <w:b/>
          <w:bCs/>
          <w:szCs w:val="21"/>
        </w:rPr>
        <w:t>第八条  乙方的权利</w:t>
      </w:r>
    </w:p>
    <w:p>
      <w:pPr>
        <w:ind w:firstLine="420" w:firstLineChars="200"/>
        <w:rPr>
          <w:rFonts w:ascii="宋体" w:hAnsi="宋体"/>
          <w:szCs w:val="21"/>
        </w:rPr>
      </w:pPr>
      <w:r>
        <w:rPr>
          <w:rFonts w:ascii="宋体" w:hAnsi="宋体"/>
          <w:szCs w:val="21"/>
        </w:rPr>
        <w:t>1</w:t>
      </w:r>
      <w:r>
        <w:rPr>
          <w:rFonts w:ascii="宋体" w:hAnsi="宋体" w:hint="eastAsia"/>
          <w:szCs w:val="21"/>
        </w:rPr>
        <w:t>、乙方在本项目服务过程中，如甲方提供的资料不明确时可向甲方提出书面报告。</w:t>
      </w:r>
    </w:p>
    <w:p>
      <w:pPr>
        <w:ind w:firstLine="420" w:firstLineChars="200"/>
        <w:rPr>
          <w:rFonts w:ascii="宋体" w:hAnsi="宋体"/>
          <w:szCs w:val="21"/>
        </w:rPr>
      </w:pPr>
      <w:r>
        <w:rPr>
          <w:rFonts w:ascii="宋体" w:hAnsi="宋体"/>
          <w:szCs w:val="21"/>
        </w:rPr>
        <w:t>2</w:t>
      </w:r>
      <w:r>
        <w:rPr>
          <w:rFonts w:ascii="宋体" w:hAnsi="宋体" w:hint="eastAsia"/>
          <w:szCs w:val="21"/>
        </w:rPr>
        <w:t>、乙方在本项目服务过程中，有权对第三方提出与本咨询服务业务有关的问题进行核对或查问。</w:t>
      </w:r>
    </w:p>
    <w:p>
      <w:pPr>
        <w:ind w:firstLine="420" w:firstLineChars="200"/>
        <w:rPr>
          <w:rFonts w:ascii="宋体" w:hAnsi="宋体"/>
          <w:szCs w:val="21"/>
        </w:rPr>
      </w:pPr>
      <w:r>
        <w:rPr>
          <w:rFonts w:ascii="宋体" w:hAnsi="宋体"/>
          <w:szCs w:val="21"/>
        </w:rPr>
        <w:t>3</w:t>
      </w:r>
      <w:r>
        <w:rPr>
          <w:rFonts w:ascii="宋体" w:hAnsi="宋体" w:hint="eastAsia"/>
          <w:szCs w:val="21"/>
        </w:rPr>
        <w:t>、乙方在本项目服务过程中，有到工程现场勘察的权利。</w:t>
      </w:r>
    </w:p>
    <w:p>
      <w:pPr>
        <w:ind w:firstLine="420" w:firstLineChars="200"/>
        <w:rPr>
          <w:rFonts w:ascii="宋体" w:hAnsi="宋体"/>
          <w:b/>
          <w:bCs/>
          <w:szCs w:val="21"/>
        </w:rPr>
      </w:pPr>
      <w:r>
        <w:rPr>
          <w:rFonts w:ascii="宋体" w:hAnsi="宋体" w:hint="eastAsia"/>
          <w:b/>
          <w:bCs/>
          <w:szCs w:val="21"/>
        </w:rPr>
        <w:t>第九条  甲方的责任</w:t>
      </w:r>
    </w:p>
    <w:p>
      <w:pPr>
        <w:ind w:firstLine="420" w:firstLineChars="200"/>
        <w:rPr>
          <w:rFonts w:ascii="宋体" w:hAnsi="宋体"/>
          <w:szCs w:val="21"/>
        </w:rPr>
      </w:pPr>
      <w:r>
        <w:rPr>
          <w:rFonts w:ascii="宋体" w:hAnsi="宋体" w:hint="eastAsia"/>
          <w:szCs w:val="21"/>
        </w:rPr>
        <w:t>1、应当履行本合同约定的义务，如有违反则应当承担违约责任，赔偿给乙方造成的损失。</w:t>
      </w:r>
    </w:p>
    <w:p>
      <w:pPr>
        <w:ind w:firstLine="420" w:firstLineChars="200"/>
        <w:rPr>
          <w:rFonts w:ascii="宋体" w:hAnsi="宋体"/>
          <w:szCs w:val="21"/>
        </w:rPr>
      </w:pPr>
      <w:r>
        <w:rPr>
          <w:rFonts w:ascii="宋体" w:hAnsi="宋体" w:hint="eastAsia"/>
          <w:szCs w:val="21"/>
        </w:rPr>
        <w:t>2、甲方向乙方提出赔偿要求不能成立时，则应补偿由于该赔偿或其他要求所导致乙方的各种费用的支出。</w:t>
      </w:r>
    </w:p>
    <w:p>
      <w:pPr>
        <w:ind w:firstLine="420" w:firstLineChars="200"/>
        <w:rPr>
          <w:rFonts w:ascii="宋体" w:hAnsi="宋体"/>
          <w:b/>
          <w:bCs/>
          <w:szCs w:val="21"/>
        </w:rPr>
      </w:pPr>
      <w:r>
        <w:rPr>
          <w:rFonts w:ascii="宋体" w:hAnsi="宋体" w:hint="eastAsia"/>
          <w:b/>
          <w:bCs/>
          <w:szCs w:val="21"/>
        </w:rPr>
        <w:t>第十条  乙方的责任</w:t>
      </w:r>
    </w:p>
    <w:p>
      <w:pPr>
        <w:ind w:firstLine="420" w:firstLineChars="200"/>
        <w:rPr>
          <w:rFonts w:ascii="宋体" w:hAnsi="宋体"/>
          <w:szCs w:val="21"/>
        </w:rPr>
      </w:pPr>
      <w:r>
        <w:rPr>
          <w:rFonts w:ascii="宋体" w:hAnsi="宋体" w:hint="eastAsia"/>
          <w:szCs w:val="21"/>
        </w:rPr>
        <w:t>1、乙方的责任期即本合同有效期。如因非乙方的责任造成进度的推迟或延误而超过约定的日期，双方应进一步约定相应延长合同有效期。</w:t>
      </w:r>
    </w:p>
    <w:p>
      <w:pPr>
        <w:ind w:firstLine="420" w:firstLineChars="200"/>
        <w:rPr>
          <w:rFonts w:ascii="宋体" w:hAnsi="宋体"/>
          <w:szCs w:val="21"/>
        </w:rPr>
      </w:pPr>
      <w:r>
        <w:rPr>
          <w:rFonts w:ascii="宋体" w:hAnsi="宋体" w:hint="eastAsia"/>
          <w:szCs w:val="21"/>
        </w:rPr>
        <w:t>2、乙方的责任期内，应当履行本合同中约定的义务，因乙方的单方过失造成的经济损失，应当向甲方进行赔偿。</w:t>
      </w:r>
    </w:p>
    <w:p>
      <w:pPr>
        <w:ind w:firstLine="420" w:firstLineChars="200"/>
        <w:rPr>
          <w:rFonts w:ascii="宋体" w:hAnsi="宋体"/>
          <w:szCs w:val="21"/>
        </w:rPr>
      </w:pPr>
      <w:r>
        <w:rPr>
          <w:rFonts w:ascii="宋体" w:hAnsi="宋体" w:hint="eastAsia"/>
          <w:szCs w:val="21"/>
        </w:rPr>
        <w:t>3、乙方对甲方或第三方所提出的问题不能及时核对或答复，导致合同不能全部或部分履行，乙方应承担责任。</w:t>
      </w:r>
    </w:p>
    <w:p>
      <w:pPr>
        <w:ind w:firstLine="420" w:firstLineChars="200"/>
        <w:rPr>
          <w:rFonts w:ascii="宋体" w:hAnsi="宋体"/>
          <w:szCs w:val="21"/>
        </w:rPr>
      </w:pPr>
      <w:r>
        <w:rPr>
          <w:rFonts w:ascii="宋体" w:hAnsi="宋体" w:hint="eastAsia"/>
          <w:szCs w:val="21"/>
        </w:rPr>
        <w:t>4、乙方向甲方提出赔偿要求不能成立时，则应补偿由于该赔偿或其他要求所导致甲方的各种费用的支出。</w:t>
      </w:r>
    </w:p>
    <w:p>
      <w:pPr>
        <w:ind w:firstLine="420" w:firstLineChars="200"/>
        <w:rPr>
          <w:rFonts w:ascii="宋体" w:hAnsi="宋体"/>
          <w:b/>
          <w:bCs/>
          <w:szCs w:val="21"/>
        </w:rPr>
      </w:pPr>
      <w:r>
        <w:rPr>
          <w:rFonts w:ascii="宋体" w:hAnsi="宋体" w:hint="eastAsia"/>
          <w:b/>
          <w:bCs/>
          <w:szCs w:val="21"/>
        </w:rPr>
        <w:t>第十一条  人员要求</w:t>
      </w:r>
    </w:p>
    <w:p>
      <w:pPr>
        <w:ind w:firstLine="420" w:firstLineChars="200"/>
        <w:rPr>
          <w:rFonts w:ascii="宋体" w:hAnsi="宋体"/>
          <w:szCs w:val="21"/>
        </w:rPr>
      </w:pPr>
      <w:r>
        <w:rPr>
          <w:rFonts w:ascii="宋体" w:hAnsi="宋体" w:hint="eastAsia"/>
          <w:szCs w:val="21"/>
        </w:rPr>
        <w:t>1、参加本项目试验的人员必须具有国家和有关部门规定的相应资质。</w:t>
      </w:r>
    </w:p>
    <w:p>
      <w:pPr>
        <w:ind w:firstLine="420" w:firstLineChars="200"/>
        <w:rPr>
          <w:rFonts w:ascii="宋体" w:hAnsi="宋体"/>
          <w:szCs w:val="21"/>
        </w:rPr>
      </w:pPr>
      <w:r>
        <w:rPr>
          <w:rFonts w:ascii="宋体" w:hAnsi="宋体" w:hint="eastAsia"/>
          <w:szCs w:val="21"/>
        </w:rPr>
        <w:t>2、 参加本项目的试验人员的配置必须与投标文件中的服务承诺书和试验服务组织实施方案一致。</w:t>
      </w:r>
    </w:p>
    <w:p>
      <w:pPr>
        <w:ind w:firstLine="420" w:firstLineChars="200"/>
        <w:rPr>
          <w:rFonts w:ascii="宋体" w:hAnsi="宋体"/>
          <w:szCs w:val="21"/>
        </w:rPr>
      </w:pPr>
      <w:r>
        <w:rPr>
          <w:rFonts w:ascii="宋体" w:hAnsi="宋体" w:hint="eastAsia"/>
          <w:szCs w:val="21"/>
        </w:rPr>
        <w:t>3、必须以直属试验人员参与本项目服务，不得使用挂靠队伍。</w:t>
      </w:r>
    </w:p>
    <w:p>
      <w:pPr>
        <w:ind w:firstLine="420" w:firstLineChars="200"/>
        <w:rPr>
          <w:rFonts w:ascii="宋体" w:hAnsi="宋体"/>
          <w:b/>
          <w:bCs/>
          <w:szCs w:val="21"/>
        </w:rPr>
      </w:pPr>
      <w:r>
        <w:rPr>
          <w:rFonts w:ascii="宋体" w:hAnsi="宋体" w:hint="eastAsia"/>
          <w:b/>
          <w:bCs/>
          <w:szCs w:val="21"/>
        </w:rPr>
        <w:t>第十二条  乙方咨询服务工具要求</w:t>
      </w:r>
    </w:p>
    <w:p>
      <w:pPr>
        <w:ind w:firstLine="420" w:firstLineChars="200"/>
        <w:rPr>
          <w:rFonts w:ascii="宋体" w:hAnsi="宋体"/>
          <w:szCs w:val="21"/>
        </w:rPr>
      </w:pPr>
      <w:r>
        <w:rPr>
          <w:rFonts w:ascii="宋体" w:hAnsi="宋体" w:hint="eastAsia"/>
          <w:szCs w:val="21"/>
        </w:rPr>
        <w:t>1、乙方应配备中标项目所需的足够数量的仪器、仪表以及工具等设备。用户不需向乙方提供施工工具和仪器、仪表。</w:t>
      </w:r>
    </w:p>
    <w:p>
      <w:pPr>
        <w:ind w:firstLine="420" w:firstLineChars="200"/>
        <w:rPr>
          <w:rFonts w:ascii="宋体" w:hAnsi="宋体"/>
          <w:szCs w:val="21"/>
        </w:rPr>
      </w:pPr>
      <w:r>
        <w:rPr>
          <w:rFonts w:ascii="宋体" w:hAnsi="宋体" w:hint="eastAsia"/>
          <w:szCs w:val="21"/>
        </w:rPr>
        <w:t>2、乙方在提供服务过程中应自备车辆。</w:t>
      </w:r>
    </w:p>
    <w:p>
      <w:pPr>
        <w:ind w:firstLine="420" w:firstLineChars="200"/>
        <w:rPr>
          <w:rFonts w:ascii="宋体" w:hAnsi="宋体"/>
          <w:b/>
          <w:bCs/>
          <w:szCs w:val="21"/>
        </w:rPr>
      </w:pPr>
      <w:r>
        <w:rPr>
          <w:rFonts w:ascii="宋体" w:hAnsi="宋体" w:hint="eastAsia"/>
          <w:b/>
          <w:bCs/>
          <w:szCs w:val="21"/>
        </w:rPr>
        <w:t>第十三条  保密要求</w:t>
      </w:r>
    </w:p>
    <w:p>
      <w:pPr>
        <w:ind w:firstLine="420" w:firstLineChars="200"/>
        <w:rPr>
          <w:rFonts w:ascii="宋体" w:hAnsi="宋体"/>
          <w:szCs w:val="21"/>
        </w:rPr>
      </w:pPr>
      <w:r>
        <w:rPr>
          <w:rFonts w:ascii="宋体" w:hAnsi="宋体" w:hint="eastAsia"/>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pPr>
        <w:ind w:firstLine="420" w:firstLineChars="200"/>
        <w:rPr>
          <w:rFonts w:ascii="宋体" w:hAnsi="宋体"/>
          <w:szCs w:val="21"/>
        </w:rPr>
      </w:pPr>
      <w:r>
        <w:rPr>
          <w:rFonts w:ascii="宋体" w:hAnsi="宋体" w:hint="eastAsia"/>
          <w:szCs w:val="21"/>
        </w:rPr>
        <w:t>2、</w:t>
      </w:r>
      <w:r>
        <w:rPr>
          <w:rFonts w:ascii="宋体" w:hAnsi="宋体"/>
          <w:szCs w:val="21"/>
        </w:rPr>
        <w:t>乙方在履行合同过程中所获得或接触到的任何</w:t>
      </w:r>
      <w:r>
        <w:rPr>
          <w:rFonts w:ascii="宋体" w:hAnsi="宋体" w:hint="eastAsia"/>
          <w:szCs w:val="21"/>
        </w:rPr>
        <w:t>内部数据资料，未经甲方同意，不得向第三方透露。</w:t>
      </w:r>
    </w:p>
    <w:p>
      <w:pPr>
        <w:ind w:firstLine="420" w:firstLineChars="200"/>
        <w:rPr>
          <w:rFonts w:ascii="宋体" w:hAnsi="宋体"/>
          <w:szCs w:val="21"/>
        </w:rPr>
      </w:pPr>
      <w:r>
        <w:rPr>
          <w:rFonts w:ascii="宋体" w:hAnsi="宋体" w:hint="eastAsia"/>
          <w:szCs w:val="21"/>
        </w:rPr>
        <w:t>3、</w:t>
      </w:r>
      <w:r>
        <w:rPr>
          <w:rFonts w:ascii="宋体" w:hAnsi="宋体"/>
          <w:szCs w:val="21"/>
        </w:rPr>
        <w:t>乙方</w:t>
      </w:r>
      <w:r>
        <w:rPr>
          <w:rFonts w:ascii="宋体" w:hAnsi="宋体" w:hint="eastAsia"/>
          <w:szCs w:val="21"/>
        </w:rPr>
        <w:t>实施项目的一切程序都应符合国家安全、保密的有关规定和标准。</w:t>
      </w:r>
    </w:p>
    <w:p>
      <w:pPr>
        <w:ind w:firstLine="420" w:firstLineChars="200"/>
        <w:rPr>
          <w:rFonts w:ascii="宋体" w:hAnsi="宋体"/>
          <w:szCs w:val="21"/>
        </w:rPr>
      </w:pPr>
      <w:r>
        <w:rPr>
          <w:rFonts w:ascii="宋体" w:hAnsi="宋体" w:hint="eastAsia"/>
          <w:szCs w:val="21"/>
        </w:rPr>
        <w:t>4、</w:t>
      </w:r>
      <w:r>
        <w:rPr>
          <w:rFonts w:ascii="宋体" w:hAnsi="宋体"/>
          <w:szCs w:val="21"/>
        </w:rPr>
        <w:t>乙方</w:t>
      </w:r>
      <w:r>
        <w:rPr>
          <w:rFonts w:ascii="宋体" w:hAnsi="宋体" w:hint="eastAsia"/>
          <w:szCs w:val="21"/>
        </w:rPr>
        <w:t>参加项目的有关人员均需同甲方签订保密协议。</w:t>
      </w:r>
    </w:p>
    <w:p>
      <w:pPr>
        <w:ind w:firstLine="420" w:firstLineChars="200"/>
        <w:rPr>
          <w:rFonts w:ascii="宋体" w:hAnsi="宋体"/>
          <w:b/>
          <w:bCs/>
          <w:szCs w:val="21"/>
        </w:rPr>
      </w:pPr>
      <w:r>
        <w:rPr>
          <w:rFonts w:ascii="宋体" w:hAnsi="宋体" w:hint="eastAsia"/>
          <w:b/>
          <w:bCs/>
          <w:szCs w:val="21"/>
        </w:rPr>
        <w:t xml:space="preserve">第十四条  验收     </w:t>
      </w:r>
    </w:p>
    <w:p>
      <w:pPr>
        <w:ind w:firstLine="420" w:firstLineChars="200"/>
        <w:rPr>
          <w:rFonts w:ascii="宋体" w:hAnsi="宋体"/>
          <w:szCs w:val="21"/>
        </w:rPr>
      </w:pPr>
      <w:r>
        <w:rPr>
          <w:rFonts w:ascii="宋体" w:hAnsi="宋体" w:hint="eastAsia"/>
          <w:szCs w:val="21"/>
        </w:rPr>
        <w:t>1、下列文件的验收分为</w:t>
      </w:r>
      <w:r>
        <w:rPr>
          <w:rFonts w:ascii="宋体" w:hAnsi="宋体" w:hint="eastAsia"/>
          <w:szCs w:val="21"/>
          <w:u w:val="single"/>
        </w:rPr>
        <w:t xml:space="preserve">          三</w:t>
      </w:r>
      <w:r>
        <w:rPr>
          <w:rFonts w:ascii="宋体" w:hAnsi="宋体" w:hint="eastAsia"/>
          <w:szCs w:val="21"/>
        </w:rPr>
        <w:t>个阶段:</w:t>
      </w:r>
    </w:p>
    <w:p>
      <w:pPr>
        <w:ind w:firstLine="420" w:firstLineChars="200"/>
        <w:rPr>
          <w:rFonts w:ascii="宋体" w:hAnsi="宋体"/>
          <w:szCs w:val="21"/>
        </w:rPr>
      </w:pPr>
      <w:r>
        <w:rPr>
          <w:rFonts w:ascii="宋体" w:hAnsi="宋体" w:hint="eastAsia"/>
          <w:szCs w:val="21"/>
        </w:rPr>
        <w:t>2、其余文件和工作由用户组织有关技术人员根据国家和行业有关规范、规程、标准和用户需求直接验收。</w:t>
      </w:r>
    </w:p>
    <w:p>
      <w:pPr>
        <w:ind w:firstLine="420" w:firstLineChars="200"/>
        <w:rPr>
          <w:rFonts w:ascii="宋体" w:hAnsi="宋体"/>
          <w:szCs w:val="21"/>
        </w:rPr>
      </w:pPr>
      <w:r>
        <w:rPr>
          <w:rFonts w:ascii="宋体" w:hAnsi="宋体" w:hint="eastAsia"/>
          <w:szCs w:val="21"/>
        </w:rPr>
        <w:t>3、验收依据为招标文件、投标文件，国家和行业有关规范、规程和标准。</w:t>
      </w:r>
    </w:p>
    <w:p>
      <w:pPr>
        <w:ind w:firstLine="420" w:firstLineChars="200"/>
        <w:rPr>
          <w:rFonts w:ascii="宋体" w:hAnsi="宋体"/>
          <w:b/>
          <w:bCs/>
          <w:szCs w:val="21"/>
        </w:rPr>
      </w:pPr>
      <w:r>
        <w:rPr>
          <w:rFonts w:ascii="宋体" w:hAnsi="宋体" w:hint="eastAsia"/>
          <w:b/>
          <w:bCs/>
          <w:szCs w:val="21"/>
        </w:rPr>
        <w:t>第十五条  付款方式</w:t>
      </w:r>
    </w:p>
    <w:p>
      <w:pPr>
        <w:ind w:firstLine="420" w:firstLineChars="200"/>
        <w:rPr>
          <w:rFonts w:ascii="宋体" w:hAnsi="宋体"/>
          <w:szCs w:val="21"/>
        </w:rPr>
      </w:pPr>
      <w:r>
        <w:rPr>
          <w:rFonts w:ascii="宋体" w:hAnsi="宋体" w:hint="eastAsia"/>
          <w:szCs w:val="21"/>
        </w:rPr>
        <w:t>1、合同签订后   天内乙方向甲方开具合法有效的发票后，甲方于   天内向乙方支付合同总价%的款项。</w:t>
      </w:r>
    </w:p>
    <w:p>
      <w:pPr>
        <w:ind w:firstLine="420" w:firstLineChars="200"/>
        <w:rPr>
          <w:rFonts w:ascii="宋体" w:hAnsi="宋体"/>
          <w:szCs w:val="21"/>
        </w:rPr>
      </w:pPr>
      <w:r>
        <w:rPr>
          <w:rFonts w:ascii="宋体" w:hAnsi="宋体" w:hint="eastAsia"/>
          <w:szCs w:val="21"/>
        </w:rPr>
        <w:t>2、检测完成并提交评估报告后  天内，乙方向甲方开具合法有效发票后 天，甲方向乙方支付合同总价%的款项。</w:t>
      </w:r>
    </w:p>
    <w:p>
      <w:pPr>
        <w:ind w:firstLine="420" w:firstLineChars="200"/>
        <w:rPr>
          <w:rFonts w:ascii="宋体" w:hAnsi="宋体"/>
          <w:szCs w:val="21"/>
        </w:rPr>
      </w:pPr>
      <w:r>
        <w:rPr>
          <w:rFonts w:ascii="宋体" w:hAnsi="宋体" w:hint="eastAsia"/>
          <w:szCs w:val="21"/>
        </w:rPr>
        <w:t>3、报告通过专家评审后，甲方向乙方支付合同总价%的款项。</w:t>
      </w:r>
    </w:p>
    <w:p>
      <w:pPr>
        <w:ind w:firstLine="420" w:firstLineChars="200"/>
        <w:rPr>
          <w:rFonts w:ascii="宋体" w:hAnsi="宋体"/>
          <w:b/>
          <w:bCs/>
          <w:szCs w:val="21"/>
        </w:rPr>
      </w:pPr>
      <w:r>
        <w:rPr>
          <w:rFonts w:ascii="宋体" w:hAnsi="宋体" w:hint="eastAsia"/>
          <w:b/>
          <w:bCs/>
          <w:szCs w:val="21"/>
        </w:rPr>
        <w:t>第十六条  争议解决办法</w:t>
      </w:r>
    </w:p>
    <w:p>
      <w:pPr>
        <w:ind w:firstLine="420" w:firstLineChars="200"/>
        <w:rPr>
          <w:rFonts w:ascii="宋体" w:hAnsi="宋体"/>
          <w:szCs w:val="21"/>
        </w:rPr>
      </w:pPr>
      <w:r>
        <w:rPr>
          <w:rFonts w:ascii="宋体" w:hAnsi="宋体" w:hint="eastAsia"/>
          <w:szCs w:val="21"/>
        </w:rPr>
        <w:t>执行本合同发生的争议，由甲乙双方协商解决，如协商不成的，应提交甲方所在地人民法院诉讼解决。</w:t>
      </w:r>
    </w:p>
    <w:p>
      <w:pPr>
        <w:ind w:firstLine="420" w:firstLineChars="200"/>
        <w:rPr>
          <w:rFonts w:ascii="宋体" w:hAnsi="宋体"/>
          <w:b/>
          <w:bCs/>
          <w:szCs w:val="21"/>
        </w:rPr>
      </w:pPr>
      <w:r>
        <w:rPr>
          <w:rFonts w:ascii="宋体" w:hAnsi="宋体" w:hint="eastAsia"/>
          <w:b/>
          <w:bCs/>
          <w:szCs w:val="21"/>
        </w:rPr>
        <w:t>第十七条  风险责任</w:t>
      </w:r>
    </w:p>
    <w:p>
      <w:pPr>
        <w:ind w:firstLine="420" w:firstLineChars="200"/>
        <w:rPr>
          <w:rFonts w:ascii="宋体" w:hAnsi="宋体"/>
          <w:szCs w:val="21"/>
        </w:rPr>
      </w:pPr>
      <w:r>
        <w:rPr>
          <w:rFonts w:ascii="宋体" w:hAnsi="宋体" w:hint="eastAsia"/>
          <w:szCs w:val="21"/>
        </w:rPr>
        <w:t>１、乙方应完全地按照招标文件的要求和乙方投标文件的承诺完成本项目，出于自身财务、技术、人力等原因导致项目失败的，应承担全部责任。</w:t>
      </w:r>
    </w:p>
    <w:p>
      <w:pPr>
        <w:ind w:firstLine="420" w:firstLineChars="200"/>
        <w:rPr>
          <w:rFonts w:ascii="宋体" w:hAnsi="宋体"/>
          <w:szCs w:val="21"/>
        </w:rPr>
      </w:pPr>
      <w:r>
        <w:rPr>
          <w:rFonts w:ascii="宋体" w:hAnsi="宋体" w:hint="eastAsia"/>
          <w:szCs w:val="21"/>
        </w:rPr>
        <w:t>2、乙方在实施荷载试验过程中应对自身的安全生产负责，若非因甲方原因发生的各种事故甲方不承担任何责任。</w:t>
      </w:r>
    </w:p>
    <w:p>
      <w:pPr>
        <w:ind w:firstLine="420" w:firstLineChars="200"/>
        <w:rPr>
          <w:rFonts w:ascii="宋体" w:hAnsi="宋体"/>
          <w:b/>
          <w:bCs/>
          <w:szCs w:val="21"/>
        </w:rPr>
      </w:pPr>
      <w:r>
        <w:rPr>
          <w:rFonts w:ascii="宋体" w:hAnsi="宋体" w:hint="eastAsia"/>
          <w:b/>
          <w:bCs/>
          <w:szCs w:val="21"/>
        </w:rPr>
        <w:t>第十八条  违约责任</w:t>
      </w:r>
    </w:p>
    <w:p>
      <w:pPr>
        <w:pStyle w:val="BodyTextIndent"/>
        <w:spacing w:line="240" w:lineRule="auto"/>
        <w:rPr>
          <w:rFonts w:ascii="宋体" w:hAnsi="宋体"/>
          <w:szCs w:val="21"/>
        </w:rPr>
      </w:pPr>
      <w:r>
        <w:rPr>
          <w:rFonts w:ascii="宋体" w:hAnsi="宋体" w:hint="eastAsia"/>
          <w:szCs w:val="21"/>
        </w:rPr>
        <w:t>１、因乙方原因，未能按规定时间完成有关工作的，每延误一天，甲方可在支付合同余款中扣除合同价款千分之一。</w:t>
      </w:r>
    </w:p>
    <w:p>
      <w:pPr>
        <w:ind w:firstLine="420" w:firstLineChars="200"/>
        <w:rPr>
          <w:rFonts w:ascii="宋体" w:hAnsi="宋体"/>
          <w:szCs w:val="21"/>
        </w:rPr>
      </w:pPr>
      <w:r>
        <w:rPr>
          <w:rFonts w:ascii="宋体" w:hAnsi="宋体" w:hint="eastAsia"/>
          <w:szCs w:val="21"/>
        </w:rPr>
        <w:t>2、由于乙方原因造成试验成果质量低劣，不能满足大纲要求时，应继续完善试验工作，其费用由乙方承担。</w:t>
      </w:r>
    </w:p>
    <w:p>
      <w:pPr>
        <w:ind w:firstLine="420" w:firstLineChars="200"/>
        <w:rPr>
          <w:rFonts w:ascii="宋体" w:hAnsi="宋体"/>
          <w:szCs w:val="21"/>
        </w:rPr>
      </w:pPr>
      <w:r>
        <w:rPr>
          <w:rFonts w:ascii="宋体" w:hAnsi="宋体" w:hint="eastAsia"/>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pPr>
        <w:ind w:firstLine="420" w:firstLineChars="200"/>
        <w:rPr>
          <w:rFonts w:ascii="宋体" w:hAnsi="宋体"/>
          <w:szCs w:val="21"/>
        </w:rPr>
      </w:pPr>
      <w:r>
        <w:rPr>
          <w:rFonts w:ascii="宋体" w:hAnsi="宋体" w:hint="eastAsia"/>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pPr>
        <w:ind w:firstLine="420" w:firstLineChars="200"/>
        <w:rPr>
          <w:rFonts w:ascii="宋体" w:hAnsi="宋体"/>
          <w:szCs w:val="21"/>
        </w:rPr>
      </w:pPr>
      <w:r>
        <w:rPr>
          <w:rFonts w:ascii="宋体" w:hAnsi="宋体" w:hint="eastAsia"/>
          <w:szCs w:val="21"/>
        </w:rPr>
        <w:t>5、乙方或其工作人员违反本合同约定的保密义务，甲方有权要求乙方按合同总额   %支付违约金；造成不良影响或对甲方造成损失的，甲方有权要求乙方消除影响，承担赔偿责任，并有权解除合同。</w:t>
      </w:r>
    </w:p>
    <w:p>
      <w:pPr>
        <w:ind w:firstLine="420" w:firstLineChars="200"/>
        <w:rPr>
          <w:rFonts w:ascii="宋体" w:hAnsi="宋体"/>
          <w:szCs w:val="21"/>
        </w:rPr>
      </w:pPr>
      <w:r>
        <w:rPr>
          <w:rFonts w:ascii="宋体" w:hAnsi="宋体" w:hint="eastAsia"/>
          <w:szCs w:val="21"/>
        </w:rPr>
        <w:t>6、因乙方提供的服务成果受到侵权指控或者引发法律纠纷，影响甲方使用服务成果或者导致合同目的不能实现的，甲方有权要求乙方按合同总额   %支付违约金，并有权解除合同。</w:t>
      </w:r>
    </w:p>
    <w:p>
      <w:pPr>
        <w:ind w:firstLine="420" w:firstLineChars="200"/>
        <w:rPr>
          <w:rFonts w:ascii="宋体" w:hAnsi="宋体"/>
          <w:b/>
          <w:bCs/>
          <w:szCs w:val="21"/>
        </w:rPr>
      </w:pPr>
      <w:r>
        <w:rPr>
          <w:rFonts w:ascii="宋体" w:hAnsi="宋体" w:hint="eastAsia"/>
          <w:b/>
          <w:bCs/>
          <w:szCs w:val="21"/>
        </w:rPr>
        <w:t>第十九条  其他</w:t>
      </w:r>
    </w:p>
    <w:p>
      <w:pPr>
        <w:ind w:firstLine="420" w:firstLineChars="200"/>
        <w:rPr>
          <w:rFonts w:ascii="宋体" w:hAnsi="宋体"/>
          <w:szCs w:val="21"/>
        </w:rPr>
      </w:pPr>
      <w:r>
        <w:rPr>
          <w:rFonts w:ascii="宋体" w:hAnsi="宋体" w:hint="eastAsia"/>
          <w:szCs w:val="21"/>
        </w:rPr>
        <w:t>1、本合同与招标文件、乙方投标文件如有抵触之处，以本合同条款为准。</w:t>
      </w:r>
    </w:p>
    <w:p>
      <w:pPr>
        <w:ind w:firstLine="420" w:firstLineChars="200"/>
        <w:rPr>
          <w:rFonts w:ascii="宋体" w:hAnsi="宋体"/>
          <w:szCs w:val="21"/>
        </w:rPr>
      </w:pPr>
      <w:r>
        <w:rPr>
          <w:rFonts w:ascii="宋体" w:hAnsi="宋体" w:hint="eastAsia"/>
          <w:szCs w:val="21"/>
        </w:rPr>
        <w:t>2、下列文件均为本合同的组成部分：</w:t>
      </w:r>
    </w:p>
    <w:p>
      <w:pPr>
        <w:ind w:firstLine="420" w:firstLineChars="200"/>
        <w:rPr>
          <w:rFonts w:ascii="宋体" w:hAnsi="宋体"/>
          <w:szCs w:val="21"/>
        </w:rPr>
      </w:pPr>
      <w:r>
        <w:rPr>
          <w:rFonts w:ascii="宋体" w:hAnsi="宋体" w:hint="eastAsia"/>
          <w:szCs w:val="21"/>
        </w:rPr>
        <w:t>（1）号招标文件、答疑及补充通知；</w:t>
      </w:r>
    </w:p>
    <w:p>
      <w:pPr>
        <w:ind w:firstLine="420" w:firstLineChars="200"/>
        <w:rPr>
          <w:rFonts w:ascii="宋体" w:hAnsi="宋体"/>
          <w:szCs w:val="21"/>
        </w:rPr>
      </w:pPr>
      <w:r>
        <w:rPr>
          <w:rFonts w:ascii="宋体" w:hAnsi="宋体" w:hint="eastAsia"/>
          <w:szCs w:val="21"/>
        </w:rPr>
        <w:t>（2）投标文件；</w:t>
      </w:r>
    </w:p>
    <w:p>
      <w:pPr>
        <w:ind w:firstLine="420" w:firstLineChars="200"/>
        <w:rPr>
          <w:rFonts w:ascii="宋体" w:hAnsi="宋体"/>
          <w:szCs w:val="21"/>
        </w:rPr>
      </w:pPr>
      <w:r>
        <w:rPr>
          <w:rFonts w:ascii="宋体" w:hAnsi="宋体" w:hint="eastAsia"/>
          <w:szCs w:val="21"/>
        </w:rPr>
        <w:t>（3）本合同执行中共同签署的补充与修正文件。</w:t>
      </w:r>
    </w:p>
    <w:p>
      <w:pPr>
        <w:ind w:firstLine="420" w:firstLineChars="200"/>
        <w:rPr>
          <w:rFonts w:ascii="宋体" w:hAnsi="宋体"/>
          <w:szCs w:val="21"/>
        </w:rPr>
      </w:pPr>
      <w:r>
        <w:rPr>
          <w:rFonts w:ascii="宋体" w:hAnsi="宋体" w:hint="eastAsia"/>
          <w:szCs w:val="21"/>
        </w:rPr>
        <w:t>本合同一式份，甲、乙方双方各执份，具有同等法律效力。本合同自双方法人代表签字（盖章）认可之日起生效。</w:t>
      </w:r>
    </w:p>
    <w:p>
      <w:pPr>
        <w:ind w:firstLine="420" w:firstLineChars="200"/>
        <w:rPr>
          <w:rFonts w:ascii="宋体" w:hAnsi="宋体"/>
          <w:szCs w:val="21"/>
        </w:rPr>
      </w:pPr>
      <w:r>
        <w:rPr>
          <w:rFonts w:ascii="宋体" w:hAnsi="宋体" w:hint="eastAsia"/>
          <w:szCs w:val="21"/>
        </w:rPr>
        <w:t>本合同未尽事宜，双方友好协商，达成解决方案，经双方签字后，可作为本合同的有效附件。</w:t>
      </w:r>
    </w:p>
    <w:p>
      <w:pPr>
        <w:ind w:firstLine="420" w:firstLineChars="200"/>
        <w:rPr>
          <w:rFonts w:ascii="宋体" w:hAnsi="宋体"/>
          <w:szCs w:val="21"/>
        </w:rPr>
      </w:pPr>
    </w:p>
    <w:p>
      <w:pPr>
        <w:ind w:firstLine="420" w:firstLineChars="200"/>
        <w:rPr>
          <w:rFonts w:ascii="宋体" w:hAnsi="宋体"/>
          <w:szCs w:val="21"/>
        </w:rPr>
      </w:pPr>
    </w:p>
    <w:p>
      <w:pPr>
        <w:spacing w:line="360" w:lineRule="auto"/>
        <w:ind w:firstLine="560"/>
        <w:jc w:val="left"/>
        <w:rPr>
          <w:rFonts w:ascii="宋体" w:hAnsi="宋体"/>
          <w:szCs w:val="21"/>
        </w:rPr>
      </w:pPr>
      <w:r>
        <w:rPr>
          <w:rFonts w:ascii="宋体" w:hAnsi="宋体" w:hint="eastAsia"/>
          <w:szCs w:val="21"/>
        </w:rPr>
        <w:t>甲方（采购人）：   （盖章）       乙方（供应商）：    （盖章）</w:t>
      </w:r>
    </w:p>
    <w:p>
      <w:pPr>
        <w:spacing w:line="360" w:lineRule="auto"/>
        <w:ind w:firstLine="560"/>
        <w:jc w:val="left"/>
        <w:rPr>
          <w:rFonts w:ascii="宋体" w:hAnsi="宋体"/>
          <w:szCs w:val="21"/>
        </w:rPr>
      </w:pPr>
      <w:r>
        <w:rPr>
          <w:rFonts w:ascii="宋体" w:hAnsi="宋体" w:hint="eastAsia"/>
          <w:szCs w:val="21"/>
        </w:rPr>
        <w:t xml:space="preserve">法定代表人：                     法定代表人： </w:t>
      </w:r>
    </w:p>
    <w:p>
      <w:pPr>
        <w:spacing w:line="360" w:lineRule="auto"/>
        <w:ind w:firstLine="560"/>
        <w:jc w:val="left"/>
        <w:rPr>
          <w:rFonts w:ascii="宋体" w:hAnsi="宋体"/>
          <w:szCs w:val="21"/>
        </w:rPr>
      </w:pPr>
      <w:r>
        <w:rPr>
          <w:rFonts w:ascii="宋体" w:hAnsi="宋体" w:hint="eastAsia"/>
          <w:szCs w:val="21"/>
        </w:rPr>
        <w:t>委托代理人：                     委托代理人：</w:t>
      </w:r>
    </w:p>
    <w:p>
      <w:pPr>
        <w:ind w:firstLine="420" w:firstLineChars="200"/>
        <w:rPr>
          <w:rFonts w:ascii="宋体" w:hAnsi="宋体"/>
          <w:szCs w:val="21"/>
        </w:rPr>
      </w:pPr>
      <w:r>
        <w:rPr>
          <w:rFonts w:ascii="宋体" w:hAnsi="宋体" w:hint="eastAsia"/>
          <w:szCs w:val="21"/>
        </w:rPr>
        <w:t>日期：   年     月    日         日期：   年     月    日</w:t>
      </w:r>
    </w:p>
    <w:p>
      <w:pPr>
        <w:ind w:firstLine="420" w:firstLineChars="200"/>
        <w:rPr>
          <w:rFonts w:ascii="宋体" w:hAnsi="宋体"/>
          <w:szCs w:val="21"/>
        </w:rPr>
      </w:pPr>
    </w:p>
    <w:p>
      <w:pPr>
        <w:widowControl/>
        <w:jc w:val="left"/>
        <w:rPr>
          <w:rFonts w:ascii="宋体" w:hAnsi="宋体"/>
          <w:szCs w:val="21"/>
        </w:rPr>
      </w:pPr>
      <w:r>
        <w:rPr>
          <w:rFonts w:ascii="宋体" w:hAnsi="宋体"/>
          <w:szCs w:val="21"/>
        </w:rPr>
        <w:br w:type="page"/>
      </w:r>
    </w:p>
    <w:p>
      <w:pPr>
        <w:pStyle w:val="Heading2"/>
        <w:spacing w:before="120" w:beforeLines="50" w:after="120" w:afterLines="50"/>
        <w:ind w:left="562"/>
        <w:rPr>
          <w:sz w:val="28"/>
          <w:szCs w:val="28"/>
        </w:rPr>
      </w:pPr>
      <w:r>
        <w:rPr>
          <w:rFonts w:hint="eastAsia"/>
          <w:sz w:val="28"/>
          <w:szCs w:val="28"/>
        </w:rPr>
        <w:t>第二册  通用条款（公开招标）</w:t>
      </w:r>
    </w:p>
    <w:p>
      <w:pPr>
        <w:pStyle w:val="Heading2"/>
        <w:numPr>
          <w:ilvl w:val="0"/>
          <w:numId w:val="9"/>
        </w:numPr>
        <w:spacing w:before="120" w:beforeLines="50" w:after="120" w:afterLines="50"/>
        <w:ind w:left="562" w:hanging="562"/>
        <w:rPr>
          <w:sz w:val="28"/>
          <w:szCs w:val="28"/>
        </w:rPr>
      </w:pPr>
      <w:bookmarkStart w:id="51" w:name="_Hlk72399513"/>
      <w:r>
        <w:rPr>
          <w:rFonts w:hint="eastAsia"/>
          <w:sz w:val="28"/>
          <w:szCs w:val="28"/>
        </w:rPr>
        <w:t>总则</w:t>
      </w:r>
    </w:p>
    <w:p>
      <w:pPr>
        <w:rPr>
          <w:rFonts w:ascii="黑体" w:eastAsia="黑体" w:hAnsi="宋体"/>
          <w:sz w:val="24"/>
        </w:rPr>
      </w:pPr>
      <w:bookmarkEnd w:id="51"/>
      <w:r>
        <w:rPr>
          <w:rFonts w:ascii="黑体" w:eastAsia="黑体" w:hAnsi="宋体" w:hint="eastAsia"/>
          <w:sz w:val="24"/>
        </w:rPr>
        <w:t>1. 通用条款说明</w:t>
      </w:r>
    </w:p>
    <w:p>
      <w:pPr>
        <w:ind w:firstLine="412" w:firstLineChars="196"/>
        <w:rPr>
          <w:rFonts w:ascii="宋体" w:hAnsi="宋体"/>
          <w:szCs w:val="21"/>
        </w:rPr>
      </w:pPr>
      <w:r>
        <w:rPr>
          <w:rFonts w:ascii="宋体" w:hAnsi="宋体" w:hint="eastAsia"/>
          <w:szCs w:val="21"/>
        </w:rPr>
        <w:t>1.1政府集中采购机构发出招标文件通用条款版本，列出深圳市政府采购项目进行招标采购所适用的通用条款内容。</w:t>
      </w:r>
      <w:bookmarkStart w:id="52" w:name="_Hlk72399729"/>
      <w:r>
        <w:rPr>
          <w:rFonts w:ascii="宋体" w:hAnsi="宋体" w:hint="eastAsia"/>
          <w:szCs w:val="21"/>
        </w:rPr>
        <w:t>如有需要，政府集中采购机构可以对通用条款的内容进行补充。</w:t>
      </w:r>
      <w:bookmarkEnd w:id="52"/>
    </w:p>
    <w:p>
      <w:pPr>
        <w:ind w:firstLine="412" w:firstLineChars="196"/>
        <w:rPr>
          <w:rFonts w:ascii="宋体" w:hAnsi="宋体"/>
          <w:szCs w:val="21"/>
        </w:rPr>
      </w:pPr>
      <w:r>
        <w:rPr>
          <w:rFonts w:ascii="宋体" w:hAnsi="宋体" w:hint="eastAsia"/>
          <w:szCs w:val="21"/>
        </w:rPr>
        <w:t>1.2招标文件分为第一册“专用条款”和第二册“通用条款”。</w:t>
      </w:r>
    </w:p>
    <w:p>
      <w:pPr>
        <w:ind w:firstLine="412" w:firstLineChars="196"/>
        <w:rPr>
          <w:rFonts w:ascii="宋体" w:hAnsi="宋体"/>
          <w:szCs w:val="21"/>
        </w:rPr>
      </w:pPr>
      <w:r>
        <w:rPr>
          <w:rFonts w:ascii="宋体" w:hAnsi="宋体" w:hint="eastAsia"/>
          <w:szCs w:val="21"/>
        </w:rPr>
        <w:t>1.3“专用条款”是对本次采购项目的具体要求，包含招标公告、对通用条款的补充内容及其他关键信息、用户需求书、投标文件格式及附件、合同条款及格式等内容。</w:t>
      </w:r>
    </w:p>
    <w:p>
      <w:pPr>
        <w:ind w:firstLine="412" w:firstLineChars="196"/>
        <w:rPr>
          <w:rFonts w:ascii="宋体" w:hAnsi="宋体"/>
          <w:szCs w:val="21"/>
        </w:rPr>
      </w:pPr>
      <w:r>
        <w:rPr>
          <w:rFonts w:ascii="宋体" w:hAnsi="宋体" w:hint="eastAsia"/>
          <w:szCs w:val="21"/>
        </w:rPr>
        <w:t>1.4“通用条款”是适用于政府采购公开招标项目的基础性条款，具有普遍性和通用性。</w:t>
      </w:r>
    </w:p>
    <w:p>
      <w:pPr>
        <w:ind w:firstLine="412" w:firstLineChars="196"/>
        <w:rPr>
          <w:rFonts w:ascii="宋体" w:hAnsi="宋体"/>
          <w:szCs w:val="21"/>
        </w:rPr>
      </w:pPr>
      <w:r>
        <w:rPr>
          <w:rFonts w:ascii="宋体" w:hAnsi="宋体" w:hint="eastAsia"/>
          <w:szCs w:val="21"/>
        </w:rPr>
        <w:t>1.5 “专用条款”和“通用条款”表述不一致或有冲突时，以“专用条款”为准。</w:t>
      </w:r>
    </w:p>
    <w:p>
      <w:pPr>
        <w:rPr>
          <w:rFonts w:ascii="黑体" w:eastAsia="黑体" w:hAnsi="宋体"/>
          <w:sz w:val="24"/>
        </w:rPr>
      </w:pPr>
      <w:r>
        <w:rPr>
          <w:rFonts w:ascii="黑体" w:eastAsia="黑体" w:hAnsi="宋体" w:hint="eastAsia"/>
          <w:sz w:val="24"/>
        </w:rPr>
        <w:t>2</w:t>
      </w:r>
      <w:r>
        <w:rPr>
          <w:rFonts w:ascii="黑体" w:eastAsia="黑体" w:hAnsi="宋体"/>
          <w:sz w:val="24"/>
        </w:rPr>
        <w:t>．</w:t>
      </w:r>
      <w:r>
        <w:rPr>
          <w:rFonts w:ascii="黑体" w:eastAsia="黑体" w:hAnsi="宋体" w:hint="eastAsia"/>
          <w:sz w:val="24"/>
        </w:rPr>
        <w:t>招标说明</w:t>
      </w:r>
    </w:p>
    <w:p>
      <w:pPr>
        <w:ind w:firstLine="412" w:firstLineChars="196"/>
        <w:rPr>
          <w:rFonts w:ascii="宋体" w:hAnsi="宋体"/>
          <w:szCs w:val="21"/>
        </w:rPr>
      </w:pPr>
      <w:r>
        <w:rPr>
          <w:rFonts w:ascii="宋体" w:hAnsi="宋体" w:hint="eastAsia"/>
          <w:szCs w:val="21"/>
        </w:rPr>
        <w:t>本项目按照《深圳经济特区政府采购条例》、《深圳经济特区政府采购条例实施细则》及政府采购其他法律法规，通过公开招标方式确定中标供应商。</w:t>
      </w:r>
    </w:p>
    <w:p>
      <w:pPr>
        <w:rPr>
          <w:rFonts w:ascii="黑体" w:eastAsia="黑体" w:hAnsi="宋体"/>
          <w:sz w:val="24"/>
        </w:rPr>
      </w:pPr>
      <w:r>
        <w:rPr>
          <w:rFonts w:ascii="黑体" w:eastAsia="黑体" w:hAnsi="宋体" w:hint="eastAsia"/>
          <w:sz w:val="24"/>
        </w:rPr>
        <w:t>3．定义</w:t>
      </w:r>
    </w:p>
    <w:p>
      <w:pPr>
        <w:ind w:firstLine="420" w:firstLineChars="200"/>
        <w:rPr>
          <w:rFonts w:ascii="宋体" w:hAnsi="宋体"/>
          <w:szCs w:val="21"/>
        </w:rPr>
      </w:pPr>
      <w:r>
        <w:rPr>
          <w:rFonts w:ascii="宋体" w:hAnsi="宋体"/>
          <w:szCs w:val="21"/>
        </w:rPr>
        <w:t>招标文件中下列术语应解释为：</w:t>
      </w:r>
    </w:p>
    <w:p>
      <w:pPr>
        <w:ind w:firstLine="412" w:firstLineChars="196"/>
        <w:rPr>
          <w:rFonts w:ascii="宋体" w:hAnsi="宋体"/>
          <w:szCs w:val="21"/>
        </w:rPr>
      </w:pPr>
      <w:r>
        <w:rPr>
          <w:rFonts w:ascii="宋体" w:hAnsi="宋体" w:hint="eastAsia"/>
          <w:szCs w:val="21"/>
        </w:rPr>
        <w:t>3.</w:t>
      </w:r>
      <w:r>
        <w:rPr>
          <w:rFonts w:ascii="宋体" w:hAnsi="宋体"/>
          <w:szCs w:val="21"/>
        </w:rPr>
        <w:t>1</w:t>
      </w:r>
      <w:r>
        <w:rPr>
          <w:rFonts w:ascii="宋体" w:hAnsi="宋体" w:hint="eastAsia"/>
          <w:szCs w:val="21"/>
        </w:rPr>
        <w:t>“采购人”：指利用财政性资金依法进行政府采购的国家机关、事业单位、团体组织；</w:t>
      </w:r>
      <w:r>
        <w:rPr>
          <w:rFonts w:ascii="宋体" w:hAnsi="宋体"/>
          <w:szCs w:val="21"/>
        </w:rPr>
        <w:t xml:space="preserve"> </w:t>
      </w:r>
    </w:p>
    <w:p>
      <w:pPr>
        <w:ind w:firstLine="412" w:firstLineChars="196"/>
        <w:rPr>
          <w:rFonts w:ascii="宋体" w:hAnsi="宋体"/>
          <w:szCs w:val="21"/>
        </w:rPr>
      </w:pPr>
      <w:r>
        <w:rPr>
          <w:rFonts w:ascii="宋体" w:hAnsi="宋体" w:hint="eastAsia"/>
          <w:szCs w:val="21"/>
        </w:rPr>
        <w:t>3.2 “政府集中采购机构”</w:t>
      </w:r>
      <w:r>
        <w:rPr>
          <w:rFonts w:ascii="Arial" w:hAnsi="Arial" w:cs="Arial" w:hint="eastAsia"/>
          <w:szCs w:val="21"/>
          <w:shd w:val="clear" w:color="auto" w:fill="FFFFFF"/>
        </w:rPr>
        <w:t>是指市政府设立的，组织实施政府采购项目，并对政府采购活动提供服务的专门机构；</w:t>
      </w:r>
      <w:r>
        <w:rPr>
          <w:rFonts w:ascii="宋体" w:hAnsi="宋体" w:hint="eastAsia"/>
          <w:szCs w:val="21"/>
        </w:rPr>
        <w:t>本文件所述的“政府集中采购机构”</w:t>
      </w:r>
      <w:r>
        <w:rPr>
          <w:rFonts w:ascii="宋体" w:hAnsi="宋体"/>
          <w:szCs w:val="21"/>
        </w:rPr>
        <w:t>指</w:t>
      </w:r>
      <w:r>
        <w:rPr>
          <w:rFonts w:ascii="宋体" w:hAnsi="宋体" w:hint="eastAsia"/>
          <w:b/>
          <w:bCs/>
          <w:szCs w:val="21"/>
        </w:rPr>
        <w:t>深圳公共资源交易中心</w:t>
      </w:r>
      <w:r>
        <w:rPr>
          <w:rFonts w:ascii="宋体" w:hAnsi="宋体" w:hint="eastAsia"/>
          <w:szCs w:val="21"/>
        </w:rPr>
        <w:t>；</w:t>
      </w:r>
    </w:p>
    <w:p>
      <w:pPr>
        <w:ind w:firstLine="412" w:firstLineChars="196"/>
        <w:rPr>
          <w:rFonts w:ascii="宋体" w:hAnsi="宋体"/>
          <w:szCs w:val="21"/>
        </w:rPr>
      </w:pPr>
      <w:r>
        <w:rPr>
          <w:rFonts w:ascii="宋体" w:hAnsi="宋体" w:hint="eastAsia"/>
          <w:szCs w:val="21"/>
        </w:rPr>
        <w:t>3.3“投标人”，即供应商，指参加投标竞争并愿意按照招标文件要求向采购人提供货物、工程或者服务的依法成立的法人、其他组织或者自然人；</w:t>
      </w:r>
    </w:p>
    <w:p>
      <w:pPr>
        <w:ind w:firstLine="412" w:firstLineChars="196"/>
        <w:rPr>
          <w:rFonts w:ascii="宋体" w:hAnsi="宋体"/>
          <w:szCs w:val="21"/>
        </w:rPr>
      </w:pPr>
      <w:r>
        <w:rPr>
          <w:rFonts w:ascii="宋体" w:hAnsi="宋体" w:hint="eastAsia"/>
          <w:szCs w:val="21"/>
        </w:rPr>
        <w:t>3.4“评审委员会”是依据《深圳经济特区政府采购条例》、《深圳经济特区政府采购条例实施细则》等有关规定组建的专门负责本次招标其评审工作的临时性机构；</w:t>
      </w:r>
    </w:p>
    <w:p>
      <w:pPr>
        <w:ind w:firstLine="412" w:firstLineChars="196"/>
        <w:rPr>
          <w:rFonts w:ascii="宋体" w:hAnsi="宋体"/>
          <w:szCs w:val="21"/>
        </w:rPr>
      </w:pPr>
      <w:r>
        <w:rPr>
          <w:rFonts w:ascii="宋体" w:hAnsi="宋体" w:hint="eastAsia"/>
          <w:szCs w:val="21"/>
        </w:rPr>
        <w:t>3.5“日期”</w:t>
      </w:r>
      <w:r>
        <w:rPr>
          <w:rFonts w:ascii="宋体" w:hAnsi="宋体"/>
          <w:szCs w:val="21"/>
        </w:rPr>
        <w:t>指</w:t>
      </w:r>
      <w:r>
        <w:rPr>
          <w:rFonts w:ascii="宋体" w:hAnsi="宋体" w:hint="eastAsia"/>
          <w:szCs w:val="21"/>
        </w:rPr>
        <w:t>公历日；</w:t>
      </w:r>
    </w:p>
    <w:p>
      <w:pPr>
        <w:ind w:firstLine="412" w:firstLineChars="196"/>
        <w:rPr>
          <w:rFonts w:ascii="宋体" w:hAnsi="宋体"/>
          <w:szCs w:val="21"/>
        </w:rPr>
      </w:pPr>
      <w:r>
        <w:rPr>
          <w:rFonts w:ascii="宋体" w:hAnsi="宋体" w:hint="eastAsia"/>
          <w:szCs w:val="21"/>
        </w:rPr>
        <w:t>3.6“合同”指由本次招标所产生的合同或合约文件；</w:t>
      </w:r>
    </w:p>
    <w:p>
      <w:pPr>
        <w:ind w:firstLine="412" w:firstLineChars="196"/>
        <w:rPr>
          <w:rFonts w:ascii="宋体" w:hAnsi="宋体"/>
          <w:szCs w:val="21"/>
        </w:rPr>
      </w:pPr>
      <w:r>
        <w:rPr>
          <w:rFonts w:ascii="宋体" w:hAnsi="宋体" w:hint="eastAsia"/>
          <w:szCs w:val="21"/>
        </w:rPr>
        <w:t>3.7“电子投标文件”指利用</w:t>
      </w:r>
      <w:r>
        <w:rPr>
          <w:rFonts w:ascii="宋体" w:hAnsi="宋体" w:hint="eastAsia"/>
          <w:b/>
          <w:bCs/>
          <w:szCs w:val="21"/>
        </w:rPr>
        <w:t>深圳公共资源交易中心（深圳交易集团有限公司</w:t>
      </w:r>
      <w:r>
        <w:rPr>
          <w:rFonts w:ascii="宋体" w:hAnsi="宋体" w:hint="eastAsia"/>
          <w:b/>
          <w:bCs/>
          <w:szCs w:val="21"/>
          <w:lang w:val="en-US" w:eastAsia="zh-CN"/>
        </w:rPr>
        <w:t>大鹏</w:t>
      </w:r>
      <w:r>
        <w:rPr>
          <w:rFonts w:ascii="宋体" w:hAnsi="宋体" w:hint="eastAsia"/>
          <w:b/>
          <w:bCs/>
          <w:szCs w:val="21"/>
        </w:rPr>
        <w:t>分公司）</w:t>
      </w:r>
      <w:r>
        <w:rPr>
          <w:rFonts w:ascii="宋体" w:hAnsi="宋体" w:hint="eastAsia"/>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53" w:name="_Hlk72398581"/>
      <w:r>
        <w:rPr>
          <w:rFonts w:ascii="宋体" w:hAnsi="宋体" w:hint="eastAsia"/>
          <w:szCs w:val="21"/>
        </w:rPr>
        <w:t>；</w:t>
      </w:r>
      <w:bookmarkEnd w:id="53"/>
    </w:p>
    <w:p>
      <w:pPr>
        <w:ind w:firstLine="412" w:firstLineChars="196"/>
        <w:rPr>
          <w:rFonts w:ascii="宋体" w:hAnsi="宋体"/>
          <w:szCs w:val="21"/>
        </w:rPr>
      </w:pPr>
      <w:r>
        <w:rPr>
          <w:rFonts w:ascii="宋体" w:hAnsi="宋体" w:hint="eastAsia"/>
          <w:szCs w:val="21"/>
        </w:rPr>
        <w:t>3.8“网上投标”指通过</w:t>
      </w:r>
      <w:r>
        <w:rPr>
          <w:rFonts w:ascii="宋体" w:hAnsi="宋体" w:hint="eastAsia"/>
          <w:b/>
          <w:bCs/>
          <w:szCs w:val="21"/>
        </w:rPr>
        <w:t>深圳公共资源交易中心（深圳交易集团有限公司</w:t>
      </w:r>
      <w:r>
        <w:rPr>
          <w:rFonts w:ascii="宋体" w:hAnsi="宋体" w:hint="eastAsia"/>
          <w:b/>
          <w:bCs/>
          <w:szCs w:val="21"/>
          <w:lang w:val="en-US" w:eastAsia="zh-CN"/>
        </w:rPr>
        <w:t>大鹏</w:t>
      </w:r>
      <w:r>
        <w:rPr>
          <w:rFonts w:ascii="宋体" w:hAnsi="宋体" w:hint="eastAsia"/>
          <w:b/>
          <w:bCs/>
          <w:szCs w:val="21"/>
        </w:rPr>
        <w:t>分公司）</w:t>
      </w:r>
      <w:r>
        <w:rPr>
          <w:rFonts w:ascii="宋体" w:hAnsi="宋体" w:hint="eastAsia"/>
          <w:szCs w:val="21"/>
        </w:rPr>
        <w:t>网站上传电子投标文件；</w:t>
      </w:r>
    </w:p>
    <w:p>
      <w:pPr>
        <w:ind w:firstLine="412" w:firstLineChars="196"/>
        <w:rPr>
          <w:rFonts w:ascii="宋体" w:hAnsi="宋体"/>
          <w:szCs w:val="21"/>
        </w:rPr>
      </w:pPr>
      <w:r>
        <w:rPr>
          <w:rFonts w:ascii="宋体" w:hAnsi="宋体" w:hint="eastAsia"/>
          <w:szCs w:val="21"/>
        </w:rPr>
        <w:t>3.9招标文件中的标题或题名仅起引导作用，而不应视为对招标文件内容的理解和解释。</w:t>
      </w:r>
    </w:p>
    <w:p>
      <w:pPr>
        <w:rPr>
          <w:rFonts w:ascii="黑体" w:eastAsia="黑体" w:hAnsi="宋体"/>
          <w:sz w:val="24"/>
        </w:rPr>
      </w:pPr>
      <w:r>
        <w:rPr>
          <w:rFonts w:ascii="黑体" w:eastAsia="黑体" w:hAnsi="宋体" w:hint="eastAsia"/>
          <w:sz w:val="24"/>
        </w:rPr>
        <w:t xml:space="preserve">4. </w:t>
      </w:r>
      <w:bookmarkStart w:id="54" w:name="_Hlk72398643"/>
      <w:r>
        <w:rPr>
          <w:rFonts w:ascii="黑体" w:eastAsia="黑体" w:hAnsi="宋体" w:hint="eastAsia"/>
          <w:sz w:val="24"/>
        </w:rPr>
        <w:t>政府采购供应商责任</w:t>
      </w:r>
    </w:p>
    <w:p>
      <w:pPr>
        <w:ind w:firstLine="412" w:firstLineChars="196"/>
        <w:rPr>
          <w:rFonts w:ascii="宋体" w:hAnsi="宋体"/>
          <w:szCs w:val="21"/>
        </w:rPr>
      </w:pPr>
      <w:r>
        <w:rPr>
          <w:rFonts w:ascii="宋体" w:hAnsi="宋体" w:hint="eastAsia"/>
          <w:szCs w:val="21"/>
        </w:rPr>
        <w:t>4.1欢迎诚信、有实力和有社会责任心的供应商参与政府采购事业。</w:t>
      </w:r>
    </w:p>
    <w:p>
      <w:pPr>
        <w:ind w:firstLine="412" w:firstLineChars="196"/>
        <w:rPr>
          <w:rFonts w:ascii="宋体" w:hAnsi="宋体"/>
          <w:szCs w:val="21"/>
        </w:rPr>
      </w:pPr>
      <w:r>
        <w:rPr>
          <w:rFonts w:ascii="宋体" w:hAnsi="宋体" w:hint="eastAsia"/>
          <w:szCs w:val="21"/>
        </w:rPr>
        <w:t>4.2投标人应当遵循公平竞争的原则，不得恶意串通，不得妨碍其他投标人的竞争行为，不得损害采购人或者其他投标人的合法权益。如违反上述要求，经核实后，供应商的投标无效。</w:t>
      </w:r>
    </w:p>
    <w:p>
      <w:pPr>
        <w:rPr>
          <w:rFonts w:ascii="黑体" w:eastAsia="黑体" w:hAnsi="宋体"/>
          <w:sz w:val="24"/>
        </w:rPr>
      </w:pPr>
      <w:r>
        <w:rPr>
          <w:rFonts w:ascii="黑体" w:eastAsia="黑体" w:hAnsi="宋体" w:hint="eastAsia"/>
          <w:sz w:val="24"/>
        </w:rPr>
        <w:t>5．投标人参加政府采购的条件</w:t>
      </w:r>
    </w:p>
    <w:p>
      <w:pPr>
        <w:ind w:firstLine="412" w:firstLineChars="196"/>
        <w:rPr>
          <w:rFonts w:ascii="宋体" w:hAnsi="宋体"/>
          <w:szCs w:val="21"/>
        </w:rPr>
      </w:pPr>
      <w:r>
        <w:rPr>
          <w:rFonts w:ascii="宋体" w:hAnsi="宋体" w:hint="eastAsia"/>
          <w:szCs w:val="21"/>
        </w:rPr>
        <w:t>5.1投标人应在投标前到</w:t>
      </w:r>
      <w:r>
        <w:rPr>
          <w:rFonts w:ascii="宋体" w:hAnsi="宋体" w:hint="eastAsia"/>
          <w:b/>
          <w:bCs/>
          <w:szCs w:val="21"/>
        </w:rPr>
        <w:t>深圳公共资源交易中心（具体在深圳交易集团有限公司政府采购业务分公司进行办理）</w:t>
      </w:r>
      <w:r>
        <w:rPr>
          <w:rFonts w:ascii="宋体" w:hAnsi="宋体" w:hint="eastAsia"/>
          <w:szCs w:val="21"/>
        </w:rPr>
        <w:t>进行注册并办理电子密钥。《供应商注册及信息变更指引》详见www.szggzy.com网站“交易服务指南-政府采购”</w:t>
      </w:r>
      <w:r>
        <w:rPr>
          <w:rFonts w:ascii="宋体" w:hAnsi="宋体" w:hint="eastAsia"/>
          <w:szCs w:val="21"/>
          <w:lang w:val="en-US" w:eastAsia="zh-CN"/>
        </w:rPr>
        <w:t>。</w:t>
      </w:r>
      <w:r>
        <w:rPr>
          <w:rFonts w:ascii="宋体" w:hAnsi="宋体" w:hint="eastAsia"/>
          <w:szCs w:val="21"/>
        </w:rPr>
        <w:t>。</w:t>
      </w:r>
    </w:p>
    <w:p>
      <w:pPr>
        <w:ind w:firstLine="412" w:firstLineChars="196"/>
        <w:rPr>
          <w:rFonts w:ascii="宋体" w:hAnsi="宋体"/>
          <w:szCs w:val="21"/>
        </w:rPr>
      </w:pPr>
      <w:r>
        <w:rPr>
          <w:rFonts w:ascii="宋体" w:hAnsi="宋体" w:hint="eastAsia"/>
          <w:szCs w:val="21"/>
        </w:rPr>
        <w:t>5.2投标人资格要求</w:t>
      </w:r>
    </w:p>
    <w:p>
      <w:pPr>
        <w:ind w:firstLine="412" w:firstLineChars="196"/>
        <w:rPr>
          <w:rFonts w:ascii="宋体" w:hAnsi="宋体"/>
          <w:szCs w:val="21"/>
        </w:rPr>
      </w:pPr>
      <w:r>
        <w:rPr>
          <w:rFonts w:ascii="宋体" w:hAnsi="宋体" w:hint="eastAsia"/>
          <w:szCs w:val="21"/>
        </w:rPr>
        <w:t>参加本项目的投标人应具备的资格条件详见本项目招标公告中 “投标人资格要求”（即申请人的资格要求）的内容。</w:t>
      </w:r>
    </w:p>
    <w:p>
      <w:pPr>
        <w:ind w:firstLine="412" w:firstLineChars="196"/>
        <w:rPr>
          <w:rFonts w:ascii="宋体" w:hAnsi="宋体"/>
          <w:szCs w:val="21"/>
        </w:rPr>
      </w:pPr>
      <w:r>
        <w:rPr>
          <w:rFonts w:ascii="宋体" w:hAnsi="宋体" w:hint="eastAsia"/>
          <w:szCs w:val="21"/>
        </w:rPr>
        <w:t>5.3联合体投标</w:t>
      </w:r>
    </w:p>
    <w:p>
      <w:pPr>
        <w:ind w:firstLine="412" w:firstLineChars="196"/>
        <w:rPr>
          <w:rFonts w:ascii="宋体" w:hAnsi="宋体"/>
          <w:szCs w:val="21"/>
        </w:rPr>
      </w:pPr>
      <w:r>
        <w:rPr>
          <w:rFonts w:ascii="宋体" w:hAnsi="宋体" w:hint="eastAsia"/>
          <w:szCs w:val="21"/>
        </w:rPr>
        <w:t>5.3.1　以下有关联合体投标的条款仅适用于允许投标人组成联合体投标的项目。</w:t>
      </w:r>
    </w:p>
    <w:p>
      <w:pPr>
        <w:ind w:firstLine="412" w:firstLineChars="196"/>
        <w:rPr>
          <w:rFonts w:ascii="宋体" w:hAnsi="宋体"/>
          <w:szCs w:val="21"/>
        </w:rPr>
      </w:pPr>
      <w:r>
        <w:rPr>
          <w:rFonts w:ascii="宋体" w:hAnsi="宋体" w:hint="eastAsia"/>
          <w:szCs w:val="21"/>
        </w:rPr>
        <w:t>5.3.2  由两个或两个以上的自然人、法人或者其他组织可以组成一个联合体，以一个供应商的身份共同投标时，应符合以下原则：</w:t>
      </w:r>
    </w:p>
    <w:p>
      <w:pPr>
        <w:ind w:firstLine="412" w:firstLineChars="196"/>
        <w:rPr>
          <w:rFonts w:ascii="宋体" w:hAnsi="宋体"/>
        </w:rPr>
      </w:pPr>
      <w:r>
        <w:rPr>
          <w:rFonts w:ascii="宋体" w:hAnsi="宋体" w:hint="eastAsia"/>
        </w:rPr>
        <w:t>（1）投标联合体各方参加政府采购活动应当具备下列条件：</w:t>
      </w:r>
      <w:r>
        <w:rPr>
          <w:rFonts w:ascii="宋体" w:hAnsi="宋体"/>
        </w:rPr>
        <w:t xml:space="preserve"> </w:t>
      </w:r>
    </w:p>
    <w:p>
      <w:pPr>
        <w:ind w:left="420" w:firstLine="412" w:leftChars="200" w:firstLineChars="196"/>
        <w:rPr>
          <w:rFonts w:ascii="宋体" w:hAnsi="宋体"/>
        </w:rPr>
      </w:pPr>
      <w:r>
        <w:rPr>
          <w:rFonts w:ascii="宋体" w:hAnsi="宋体" w:hint="eastAsia"/>
        </w:rPr>
        <w:t>1、具有独立承担民事责任的能力；</w:t>
      </w:r>
      <w:r>
        <w:rPr>
          <w:rFonts w:ascii="宋体" w:hAnsi="宋体"/>
        </w:rPr>
        <w:t xml:space="preserve"> </w:t>
      </w:r>
    </w:p>
    <w:p>
      <w:pPr>
        <w:ind w:left="420" w:firstLine="412" w:firstLineChars="196"/>
        <w:rPr>
          <w:rFonts w:ascii="宋体" w:hAnsi="宋体"/>
        </w:rPr>
      </w:pPr>
      <w:r>
        <w:rPr>
          <w:rFonts w:ascii="宋体" w:hAnsi="宋体" w:hint="eastAsia"/>
        </w:rPr>
        <w:t>2、有良好的商业信誉和健全的财务会计制度；</w:t>
      </w:r>
      <w:r>
        <w:rPr>
          <w:rFonts w:ascii="宋体" w:hAnsi="宋体"/>
        </w:rPr>
        <w:t xml:space="preserve"> </w:t>
      </w:r>
    </w:p>
    <w:p>
      <w:pPr>
        <w:ind w:left="420" w:firstLine="412" w:leftChars="200" w:firstLineChars="196"/>
        <w:rPr>
          <w:rFonts w:ascii="宋体" w:hAnsi="宋体"/>
        </w:rPr>
      </w:pPr>
      <w:r>
        <w:rPr>
          <w:rFonts w:ascii="宋体" w:hAnsi="宋体" w:hint="eastAsia"/>
        </w:rPr>
        <w:t>3、具有履行合同所必需的设备和专业技术能力；</w:t>
      </w:r>
      <w:r>
        <w:rPr>
          <w:rFonts w:ascii="宋体" w:hAnsi="宋体"/>
        </w:rPr>
        <w:t xml:space="preserve"> </w:t>
      </w:r>
    </w:p>
    <w:p>
      <w:pPr>
        <w:ind w:left="420" w:firstLine="412" w:leftChars="200" w:firstLineChars="196"/>
        <w:rPr>
          <w:rFonts w:ascii="宋体" w:hAnsi="宋体"/>
        </w:rPr>
      </w:pPr>
      <w:r>
        <w:rPr>
          <w:rFonts w:ascii="宋体" w:hAnsi="宋体" w:hint="eastAsia"/>
        </w:rPr>
        <w:t>4、有依法缴纳税收和社会保障资金的良好记录；</w:t>
      </w:r>
      <w:r>
        <w:rPr>
          <w:rFonts w:ascii="宋体" w:hAnsi="宋体"/>
        </w:rPr>
        <w:t xml:space="preserve"> </w:t>
      </w:r>
    </w:p>
    <w:p>
      <w:pPr>
        <w:ind w:left="420" w:firstLine="412" w:leftChars="200" w:firstLineChars="196"/>
        <w:rPr>
          <w:rFonts w:ascii="宋体" w:hAnsi="宋体"/>
        </w:rPr>
      </w:pPr>
      <w:r>
        <w:rPr>
          <w:rFonts w:ascii="宋体" w:hAnsi="宋体" w:hint="eastAsia"/>
        </w:rPr>
        <w:t>5、参加政府采购活动前三年内，在经营活动中没有重大违法记录；</w:t>
      </w:r>
      <w:r>
        <w:rPr>
          <w:rFonts w:ascii="宋体" w:hAnsi="宋体"/>
        </w:rPr>
        <w:t xml:space="preserve"> </w:t>
      </w:r>
    </w:p>
    <w:p>
      <w:pPr>
        <w:ind w:left="420" w:firstLine="412" w:leftChars="200" w:firstLineChars="196"/>
        <w:rPr>
          <w:rFonts w:ascii="宋体" w:hAnsi="宋体"/>
        </w:rPr>
      </w:pPr>
      <w:r>
        <w:rPr>
          <w:rFonts w:ascii="宋体" w:hAnsi="宋体" w:hint="eastAsia"/>
        </w:rPr>
        <w:t>6、法律、行政法规规定的其他条件。</w:t>
      </w:r>
      <w:r>
        <w:rPr>
          <w:rFonts w:ascii="宋体" w:hAnsi="宋体"/>
        </w:rPr>
        <w:t xml:space="preserve"> </w:t>
      </w:r>
    </w:p>
    <w:p>
      <w:pPr>
        <w:ind w:firstLine="412" w:firstLineChars="196"/>
        <w:rPr>
          <w:rFonts w:ascii="宋体" w:hAnsi="宋体"/>
        </w:rPr>
      </w:pPr>
      <w:r>
        <w:rPr>
          <w:rFonts w:ascii="宋体" w:hAnsi="宋体" w:hint="eastAsia"/>
        </w:rPr>
        <w:t>（2）在投标截止前，投标联合体各方均应注册成政府集中采购机构供应商；</w:t>
      </w:r>
    </w:p>
    <w:p>
      <w:pPr>
        <w:ind w:firstLine="412" w:firstLineChars="196"/>
        <w:rPr>
          <w:rFonts w:ascii="宋体" w:hAnsi="宋体"/>
        </w:rPr>
      </w:pPr>
      <w:r>
        <w:rPr>
          <w:rFonts w:ascii="宋体" w:hAnsi="宋体" w:hint="eastAsia"/>
        </w:rPr>
        <w:t>（3）联合体中有同类资质的供应商按照联合体分工承担相同工作的，应当按照资质等级较低的供应商确定资质等级；</w:t>
      </w:r>
    </w:p>
    <w:p>
      <w:pPr>
        <w:ind w:firstLine="412"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pPr>
        <w:ind w:firstLine="412" w:firstLineChars="196"/>
        <w:rPr>
          <w:rFonts w:ascii="宋体" w:hAnsi="宋体"/>
        </w:rPr>
      </w:pPr>
      <w:r>
        <w:rPr>
          <w:rFonts w:ascii="宋体" w:hAnsi="宋体" w:hint="eastAsia"/>
        </w:rPr>
        <w:t>（5）投标人的投标文件及中标后签署的合同协议对联合体各方均具法律约束力；</w:t>
      </w:r>
    </w:p>
    <w:p>
      <w:pPr>
        <w:ind w:firstLine="412" w:firstLineChars="196"/>
        <w:rPr>
          <w:rFonts w:ascii="宋体" w:hAnsi="宋体"/>
        </w:rPr>
      </w:pPr>
      <w:r>
        <w:rPr>
          <w:rFonts w:ascii="宋体" w:hAnsi="宋体" w:hint="eastAsia"/>
        </w:rPr>
        <w:t>（6）联合体各方应当签订联合体投标协议，明确约定各方拟承担的工作和责任，并将该协议随投标文件一并递交给政府集中采购机构；</w:t>
      </w:r>
    </w:p>
    <w:p>
      <w:pPr>
        <w:ind w:firstLine="412" w:firstLineChars="196"/>
        <w:rPr>
          <w:rFonts w:ascii="宋体" w:hAnsi="宋体"/>
        </w:rPr>
      </w:pPr>
      <w:r>
        <w:rPr>
          <w:rFonts w:ascii="宋体" w:hAnsi="宋体" w:hint="eastAsia"/>
        </w:rPr>
        <w:t>（7）联合体中标后，联合体各方应当共同与采购人签订合同，就中标项目向采购人承担连带责任；</w:t>
      </w:r>
    </w:p>
    <w:p>
      <w:pPr>
        <w:ind w:firstLine="412" w:firstLineChars="196"/>
        <w:rPr>
          <w:rFonts w:ascii="宋体" w:hAnsi="宋体"/>
        </w:rPr>
      </w:pPr>
      <w:r>
        <w:rPr>
          <w:rFonts w:ascii="宋体" w:hAnsi="宋体" w:hint="eastAsia"/>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pPr>
        <w:ind w:firstLine="412" w:firstLineChars="196"/>
        <w:rPr>
          <w:rFonts w:ascii="宋体" w:hAnsi="宋体"/>
          <w:szCs w:val="21"/>
        </w:rPr>
      </w:pPr>
      <w:r>
        <w:rPr>
          <w:rFonts w:ascii="宋体" w:hAnsi="宋体" w:hint="eastAsia"/>
        </w:rPr>
        <w:t>（9）本通用条款中“投标人”一词亦指联合体各方，专用条款另有规定或说明的除外。</w:t>
      </w:r>
    </w:p>
    <w:p>
      <w:pPr>
        <w:rPr>
          <w:rFonts w:ascii="黑体" w:eastAsia="黑体" w:hAnsi="宋体"/>
          <w:sz w:val="24"/>
        </w:rPr>
      </w:pPr>
      <w:r>
        <w:rPr>
          <w:rFonts w:ascii="黑体" w:eastAsia="黑体" w:hAnsi="宋体" w:hint="eastAsia"/>
          <w:sz w:val="24"/>
        </w:rPr>
        <w:t>6．政策导向</w:t>
      </w:r>
    </w:p>
    <w:p>
      <w:pPr>
        <w:ind w:firstLine="412" w:firstLineChars="196"/>
        <w:rPr>
          <w:rFonts w:ascii="宋体" w:hAnsi="宋体"/>
        </w:rPr>
      </w:pPr>
      <w:r>
        <w:rPr>
          <w:rFonts w:ascii="宋体" w:hAnsi="宋体" w:hint="eastAsia"/>
        </w:rPr>
        <w:t>6.1</w:t>
      </w:r>
      <w:r>
        <w:rPr>
          <w:rFonts w:ascii="宋体" w:hAnsi="宋体"/>
        </w:rPr>
        <w:t xml:space="preserve">  </w:t>
      </w:r>
      <w:r>
        <w:rPr>
          <w:rFonts w:ascii="宋体" w:hAnsi="宋体" w:hint="eastAsia"/>
        </w:rPr>
        <w:t>政府采购扶持贫困地区、中小企业、监狱企业和残疾人福利性单位发展，支持节能减排、环境保护。</w:t>
      </w:r>
    </w:p>
    <w:p>
      <w:pPr>
        <w:ind w:firstLine="405"/>
        <w:rPr>
          <w:shd w:val="clear" w:color="auto" w:fill="FFFFFF"/>
        </w:rPr>
      </w:pPr>
      <w:r>
        <w:rPr>
          <w:rFonts w:ascii="宋体" w:hAnsi="宋体" w:hint="eastAsia"/>
        </w:rPr>
        <w:t>6.2</w:t>
      </w:r>
      <w:r>
        <w:rPr>
          <w:rFonts w:ascii="宋体" w:hAnsi="宋体"/>
        </w:rPr>
        <w:t xml:space="preserve">  </w:t>
      </w:r>
      <w:r>
        <w:rPr>
          <w:rFonts w:ascii="宋体" w:hAnsi="宋体" w:hint="eastAsia"/>
        </w:rPr>
        <w:t>本项目落实深圳市政府采购供应商诚信管理政策要求。</w:t>
      </w:r>
    </w:p>
    <w:p>
      <w:pPr>
        <w:rPr>
          <w:rFonts w:ascii="黑体" w:eastAsia="黑体" w:hAnsi="宋体"/>
          <w:sz w:val="24"/>
        </w:rPr>
      </w:pPr>
      <w:r>
        <w:rPr>
          <w:rFonts w:ascii="黑体" w:eastAsia="黑体" w:hAnsi="宋体" w:hint="eastAsia"/>
          <w:sz w:val="24"/>
        </w:rPr>
        <w:t>7. 本项目若涉及采购货物，则合格的货物及相应服务应满足以下要求：</w:t>
      </w:r>
    </w:p>
    <w:p>
      <w:pPr>
        <w:ind w:firstLine="412" w:firstLineChars="196"/>
        <w:rPr>
          <w:rFonts w:ascii="宋体" w:hAnsi="宋体"/>
        </w:rPr>
      </w:pPr>
      <w:r>
        <w:rPr>
          <w:rFonts w:ascii="宋体" w:hAnsi="宋体" w:hint="eastAsia"/>
        </w:rPr>
        <w:t>7</w:t>
      </w:r>
      <w:r>
        <w:rPr>
          <w:rFonts w:ascii="宋体" w:hAnsi="宋体"/>
        </w:rPr>
        <w:t xml:space="preserve">.1  </w:t>
      </w:r>
      <w:r>
        <w:rPr>
          <w:rFonts w:ascii="宋体" w:hAnsi="宋体" w:hint="eastAsia"/>
        </w:rPr>
        <w:t>必须是全新、未使用过的原装合格正品（包括零部件），如安装或配置了软件的，须为正版软件。</w:t>
      </w:r>
    </w:p>
    <w:p>
      <w:pPr>
        <w:ind w:firstLine="412" w:firstLineChars="196"/>
        <w:rPr>
          <w:rFonts w:ascii="宋体" w:hAnsi="宋体"/>
        </w:rPr>
      </w:pPr>
      <w:r>
        <w:rPr>
          <w:rFonts w:ascii="宋体" w:hAnsi="宋体" w:hint="eastAsia"/>
        </w:rPr>
        <w:t>7.2  国产的货物及其有关服务必须符合中华人民共和国的设计、制造生产标准及行业标准。招标公告有其他要求的，亦应符合其要求。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3</w:t>
      </w:r>
      <w:r>
        <w:rPr>
          <w:rFonts w:ascii="宋体" w:hAnsi="宋体"/>
        </w:rPr>
        <w:t xml:space="preserve">  </w:t>
      </w:r>
      <w:r>
        <w:rPr>
          <w:rFonts w:ascii="宋体" w:hAnsi="宋体" w:hint="eastAsia"/>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pPr>
        <w:ind w:firstLine="412" w:firstLineChars="196"/>
        <w:rPr>
          <w:rFonts w:ascii="宋体" w:hAnsi="宋体"/>
        </w:rPr>
      </w:pPr>
      <w:r>
        <w:rPr>
          <w:rFonts w:ascii="宋体" w:hAnsi="宋体" w:hint="eastAsia"/>
        </w:rPr>
        <w:t>7</w:t>
      </w:r>
      <w:r>
        <w:rPr>
          <w:rFonts w:ascii="宋体" w:hAnsi="宋体"/>
        </w:rPr>
        <w:t>.</w:t>
      </w:r>
      <w:r>
        <w:rPr>
          <w:rFonts w:ascii="宋体" w:hAnsi="宋体" w:hint="eastAsia"/>
        </w:rPr>
        <w:t>4</w:t>
      </w:r>
      <w:r>
        <w:rPr>
          <w:rFonts w:ascii="宋体" w:hAnsi="宋体"/>
        </w:rPr>
        <w:t xml:space="preserve">  </w:t>
      </w:r>
      <w:r>
        <w:rPr>
          <w:rFonts w:ascii="宋体" w:hAnsi="宋体" w:hint="eastAsia"/>
        </w:rPr>
        <w:t>投标人</w:t>
      </w:r>
      <w:bookmarkStart w:id="55" w:name="_Hlk72152753"/>
      <w:r>
        <w:rPr>
          <w:rFonts w:ascii="宋体" w:hAnsi="宋体" w:hint="eastAsia"/>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55"/>
    </w:p>
    <w:p>
      <w:pPr>
        <w:ind w:firstLine="412" w:firstLineChars="196"/>
        <w:rPr>
          <w:rFonts w:ascii="宋体" w:hAnsi="宋体"/>
        </w:rPr>
      </w:pPr>
      <w:r>
        <w:rPr>
          <w:rFonts w:ascii="宋体" w:hAnsi="宋体" w:hint="eastAsia"/>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pPr>
        <w:ind w:firstLine="412" w:firstLineChars="196"/>
        <w:rPr>
          <w:rFonts w:ascii="宋体" w:hAnsi="宋体"/>
        </w:rPr>
      </w:pPr>
      <w:r>
        <w:rPr>
          <w:rFonts w:ascii="宋体" w:hAnsi="宋体" w:hint="eastAsia"/>
        </w:rPr>
        <w:t>7.6  工期要求：投标人在投标时对其所投项目应提交交货进度、交货计划等，在合同规定的时间内完成项目实施工作。</w:t>
      </w:r>
    </w:p>
    <w:p>
      <w:pPr>
        <w:ind w:firstLine="412" w:firstLineChars="196"/>
        <w:rPr>
          <w:rFonts w:ascii="宋体" w:hAnsi="宋体"/>
        </w:rPr>
      </w:pPr>
      <w:r>
        <w:rPr>
          <w:rFonts w:ascii="宋体" w:hAnsi="宋体" w:hint="eastAsia"/>
        </w:rPr>
        <w:t>7.7  投标人必须承担的设备运输、安装调试、验收检测和提供设备操作说明书、图纸等其他相关及类似的义务。</w:t>
      </w:r>
    </w:p>
    <w:p>
      <w:pPr>
        <w:rPr>
          <w:rFonts w:ascii="黑体" w:eastAsia="黑体" w:hAnsi="宋体"/>
          <w:sz w:val="24"/>
        </w:rPr>
      </w:pPr>
      <w:r>
        <w:rPr>
          <w:rFonts w:ascii="黑体" w:eastAsia="黑体" w:hAnsi="宋体" w:hint="eastAsia"/>
          <w:sz w:val="24"/>
        </w:rPr>
        <w:t>8．投标费用</w:t>
      </w:r>
    </w:p>
    <w:p>
      <w:pPr>
        <w:ind w:firstLine="412" w:firstLineChars="196"/>
        <w:rPr>
          <w:rFonts w:ascii="宋体" w:hAnsi="宋体"/>
          <w:szCs w:val="21"/>
        </w:rPr>
      </w:pPr>
      <w:r>
        <w:rPr>
          <w:rFonts w:ascii="宋体" w:hAnsi="宋体" w:hint="eastAsia"/>
          <w:szCs w:val="21"/>
        </w:rPr>
        <w:t>不论投标结果如何，投标人应承担其编制投标文件与递交投标文件所涉及的一切费用。</w:t>
      </w:r>
    </w:p>
    <w:p>
      <w:pPr>
        <w:rPr>
          <w:rFonts w:ascii="黑体" w:eastAsia="黑体" w:hAnsi="宋体"/>
          <w:sz w:val="24"/>
        </w:rPr>
      </w:pPr>
      <w:r>
        <w:rPr>
          <w:rFonts w:ascii="黑体" w:eastAsia="黑体" w:hAnsi="宋体" w:hint="eastAsia"/>
          <w:sz w:val="24"/>
        </w:rPr>
        <w:t>9．踏勘现场</w:t>
      </w:r>
    </w:p>
    <w:p>
      <w:pPr>
        <w:ind w:firstLine="412" w:firstLineChars="196"/>
        <w:rPr>
          <w:rFonts w:ascii="宋体" w:hAnsi="宋体"/>
          <w:szCs w:val="21"/>
        </w:rPr>
      </w:pPr>
      <w:r>
        <w:rPr>
          <w:rFonts w:ascii="宋体" w:hAnsi="宋体" w:hint="eastAsia"/>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pPr>
        <w:ind w:firstLine="412" w:firstLineChars="196"/>
        <w:rPr>
          <w:rFonts w:ascii="宋体" w:hAnsi="宋体"/>
        </w:rPr>
      </w:pPr>
      <w:r>
        <w:rPr>
          <w:rFonts w:ascii="宋体" w:hAnsi="宋体" w:hint="eastAsia"/>
        </w:rPr>
        <w:t>9.2投标人及其人员经过采购人的允许，可以进入采购人的项目现场踏勘。若招标文件要求投标人于统一时间地点踏勘现场的，投标人应当按时前往。</w:t>
      </w:r>
    </w:p>
    <w:p>
      <w:pPr>
        <w:ind w:firstLine="412" w:firstLineChars="196"/>
        <w:rPr>
          <w:rFonts w:ascii="宋体" w:hAnsi="宋体"/>
        </w:rPr>
      </w:pPr>
      <w:r>
        <w:rPr>
          <w:rFonts w:ascii="宋体" w:hAnsi="宋体" w:hint="eastAsia"/>
        </w:rPr>
        <w:t>9.3采购人应当通过政府集中采购机构向投标人提供有关现场的书面资料和数据。</w:t>
      </w:r>
    </w:p>
    <w:p>
      <w:pPr>
        <w:ind w:firstLine="412" w:firstLineChars="196"/>
        <w:rPr>
          <w:rFonts w:ascii="宋体" w:hAnsi="宋体"/>
        </w:rPr>
      </w:pPr>
      <w:r>
        <w:rPr>
          <w:rFonts w:ascii="宋体" w:hAnsi="宋体" w:hint="eastAsia"/>
        </w:rPr>
        <w:t>9.4任何人或任何组织在踏勘现场时向投标人提供的任何书面资料或口头承诺，未经政府集中采购机构在网上发布或书面通知，均作无效处理。</w:t>
      </w:r>
    </w:p>
    <w:p>
      <w:pPr>
        <w:ind w:firstLine="412" w:firstLineChars="196"/>
        <w:rPr>
          <w:rFonts w:ascii="宋体" w:hAnsi="宋体"/>
        </w:rPr>
      </w:pPr>
      <w:r>
        <w:rPr>
          <w:rFonts w:ascii="宋体" w:hAnsi="宋体"/>
          <w:szCs w:val="21"/>
        </w:rPr>
        <w:t>9</w:t>
      </w:r>
      <w:r>
        <w:rPr>
          <w:rFonts w:ascii="宋体" w:hAnsi="宋体" w:hint="eastAsia"/>
          <w:szCs w:val="21"/>
        </w:rPr>
        <w:t>.</w:t>
      </w:r>
      <w:r>
        <w:rPr>
          <w:rFonts w:ascii="宋体" w:hAnsi="宋体"/>
          <w:szCs w:val="21"/>
        </w:rPr>
        <w:t>5</w:t>
      </w:r>
      <w:r>
        <w:rPr>
          <w:rFonts w:ascii="宋体" w:hAnsi="宋体" w:hint="eastAsia"/>
          <w:szCs w:val="21"/>
        </w:rPr>
        <w:t>未参与踏勘现场不作为否定投标人资格的理由。</w:t>
      </w:r>
    </w:p>
    <w:p>
      <w:pPr>
        <w:rPr>
          <w:rFonts w:ascii="宋体" w:hAnsi="宋体"/>
          <w:szCs w:val="21"/>
        </w:rPr>
      </w:pPr>
      <w:r>
        <w:rPr>
          <w:rFonts w:ascii="黑体" w:eastAsia="黑体" w:hAnsi="宋体" w:hint="eastAsia"/>
          <w:sz w:val="24"/>
        </w:rPr>
        <w:t>1</w:t>
      </w:r>
      <w:r>
        <w:rPr>
          <w:rFonts w:ascii="黑体" w:eastAsia="黑体" w:hAnsi="宋体"/>
          <w:sz w:val="24"/>
        </w:rPr>
        <w:t>0</w:t>
      </w:r>
      <w:r>
        <w:rPr>
          <w:rFonts w:ascii="黑体" w:eastAsia="黑体" w:hAnsi="宋体" w:hint="eastAsia"/>
          <w:sz w:val="24"/>
        </w:rPr>
        <w:t>．标前会议</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1</w:t>
      </w:r>
      <w:r>
        <w:rPr>
          <w:rFonts w:ascii="宋体" w:hAnsi="宋体" w:hint="eastAsia"/>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pPr>
        <w:ind w:firstLine="412" w:firstLineChars="196"/>
        <w:rPr>
          <w:rFonts w:ascii="宋体" w:hAnsi="宋体"/>
          <w:szCs w:val="21"/>
        </w:rPr>
      </w:pPr>
      <w:r>
        <w:rPr>
          <w:rFonts w:ascii="宋体" w:hAnsi="宋体"/>
        </w:rPr>
        <w:t>10</w:t>
      </w:r>
      <w:r>
        <w:rPr>
          <w:rFonts w:ascii="宋体" w:hAnsi="宋体" w:hint="eastAsia"/>
        </w:rPr>
        <w:t>.</w:t>
      </w:r>
      <w:r>
        <w:rPr>
          <w:rFonts w:ascii="宋体" w:hAnsi="宋体"/>
        </w:rPr>
        <w:t>2</w:t>
      </w:r>
      <w:r>
        <w:rPr>
          <w:rFonts w:ascii="宋体" w:hAnsi="宋体" w:hint="eastAsia"/>
        </w:rPr>
        <w:t>任何人或任何组织在标前会议时向投标人提供的任何书面资料或口头承诺，未经政府集中采购机构在网上发布或书面通知，均作无效处理。</w:t>
      </w:r>
    </w:p>
    <w:p>
      <w:pPr>
        <w:ind w:firstLine="412" w:firstLineChars="196"/>
        <w:rPr>
          <w:rFonts w:ascii="宋体" w:hAnsi="宋体"/>
          <w:szCs w:val="21"/>
        </w:rPr>
      </w:pPr>
      <w:r>
        <w:rPr>
          <w:rFonts w:ascii="宋体" w:hAnsi="宋体" w:hint="eastAsia"/>
          <w:szCs w:val="21"/>
        </w:rPr>
        <w:t>1</w:t>
      </w:r>
      <w:r>
        <w:rPr>
          <w:rFonts w:ascii="宋体" w:hAnsi="宋体"/>
          <w:szCs w:val="21"/>
        </w:rPr>
        <w:t>0</w:t>
      </w:r>
      <w:r>
        <w:rPr>
          <w:rFonts w:ascii="宋体" w:hAnsi="宋体" w:hint="eastAsia"/>
          <w:szCs w:val="21"/>
        </w:rPr>
        <w:t>.</w:t>
      </w:r>
      <w:r>
        <w:rPr>
          <w:rFonts w:ascii="宋体" w:hAnsi="宋体"/>
          <w:szCs w:val="21"/>
        </w:rPr>
        <w:t>3</w:t>
      </w:r>
      <w:r>
        <w:rPr>
          <w:rFonts w:ascii="宋体" w:hAnsi="宋体" w:hint="eastAsia"/>
          <w:szCs w:val="21"/>
        </w:rPr>
        <w:t>未参与标前会议不作为否定投标人资格的理由。</w:t>
      </w:r>
    </w:p>
    <w:p>
      <w:pPr>
        <w:ind w:firstLine="412" w:firstLineChars="196"/>
        <w:rPr>
          <w:rFonts w:ascii="宋体" w:hAnsi="宋体"/>
        </w:rPr>
      </w:pPr>
      <w:bookmarkEnd w:id="54"/>
    </w:p>
    <w:p>
      <w:pPr>
        <w:pStyle w:val="Heading2"/>
        <w:numPr>
          <w:ilvl w:val="0"/>
          <w:numId w:val="9"/>
        </w:numPr>
        <w:spacing w:before="120" w:beforeLines="50" w:after="120" w:afterLines="50"/>
        <w:ind w:left="562" w:hanging="562"/>
        <w:rPr>
          <w:sz w:val="28"/>
          <w:szCs w:val="28"/>
        </w:rPr>
      </w:pPr>
      <w:r>
        <w:rPr>
          <w:rFonts w:hint="eastAsia"/>
          <w:sz w:val="28"/>
          <w:szCs w:val="28"/>
        </w:rPr>
        <w:t>招标文件</w:t>
      </w:r>
    </w:p>
    <w:p>
      <w:pPr>
        <w:rPr>
          <w:rFonts w:ascii="黑体" w:eastAsia="黑体" w:hAnsi="宋体"/>
          <w:sz w:val="24"/>
        </w:rPr>
      </w:pPr>
      <w:r>
        <w:rPr>
          <w:rFonts w:ascii="黑体" w:eastAsia="黑体" w:hAnsi="宋体" w:hint="eastAsia"/>
          <w:sz w:val="24"/>
        </w:rPr>
        <w:t>1</w:t>
      </w:r>
      <w:r>
        <w:rPr>
          <w:rFonts w:ascii="黑体" w:eastAsia="黑体" w:hAnsi="宋体"/>
          <w:sz w:val="24"/>
        </w:rPr>
        <w:t>1</w:t>
      </w:r>
      <w:r>
        <w:rPr>
          <w:rFonts w:ascii="黑体" w:eastAsia="黑体" w:hAnsi="宋体" w:hint="eastAsia"/>
          <w:sz w:val="24"/>
        </w:rPr>
        <w:t>．</w:t>
      </w:r>
      <w:bookmarkStart w:id="56" w:name="_Hlk72399819"/>
      <w:r>
        <w:rPr>
          <w:rFonts w:ascii="黑体" w:eastAsia="黑体" w:hAnsi="宋体" w:hint="eastAsia"/>
          <w:sz w:val="24"/>
        </w:rPr>
        <w:t>招标文件的编制与组成</w:t>
      </w:r>
    </w:p>
    <w:p>
      <w:pPr>
        <w:snapToGrid w:val="0"/>
        <w:ind w:firstLine="420" w:firstLineChars="200"/>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.1招标文件除以下内容外，政府集中采购机构在招标期间发出的澄清或修改等相关公告或通知内容，均是招标文件的组成部分，对投标人起约束作用；</w:t>
      </w:r>
    </w:p>
    <w:p>
      <w:pPr>
        <w:ind w:firstLine="412" w:firstLineChars="196"/>
        <w:rPr>
          <w:rFonts w:ascii="宋体" w:hAnsi="宋体"/>
          <w:szCs w:val="21"/>
        </w:rPr>
      </w:pPr>
      <w:r>
        <w:rPr>
          <w:rFonts w:ascii="宋体" w:hAnsi="宋体" w:hint="eastAsia"/>
          <w:szCs w:val="21"/>
        </w:rPr>
        <w:t>招标文件包括下列内容：</w:t>
      </w:r>
    </w:p>
    <w:p>
      <w:pPr>
        <w:ind w:left="420" w:firstLine="412" w:leftChars="200" w:firstLineChars="196"/>
        <w:rPr>
          <w:rFonts w:ascii="宋体" w:hAnsi="宋体"/>
          <w:b/>
          <w:szCs w:val="21"/>
        </w:rPr>
      </w:pPr>
      <w:r>
        <w:rPr>
          <w:rFonts w:ascii="宋体" w:hAnsi="宋体" w:hint="eastAsia"/>
          <w:b/>
          <w:szCs w:val="21"/>
        </w:rPr>
        <w:t>第一册  专用条款</w:t>
      </w:r>
    </w:p>
    <w:p>
      <w:pPr>
        <w:ind w:left="1079" w:leftChars="514"/>
        <w:rPr>
          <w:rFonts w:ascii="宋体" w:hAnsi="宋体"/>
          <w:b/>
          <w:szCs w:val="21"/>
        </w:rPr>
      </w:pPr>
      <w:r>
        <w:rPr>
          <w:rFonts w:ascii="宋体" w:hAnsi="宋体" w:hint="eastAsia"/>
          <w:b/>
          <w:szCs w:val="21"/>
        </w:rPr>
        <w:t>关键信息</w:t>
      </w:r>
    </w:p>
    <w:p>
      <w:pPr>
        <w:ind w:left="630" w:firstLine="412" w:leftChars="300" w:firstLineChars="196"/>
        <w:rPr>
          <w:rFonts w:ascii="宋体" w:hAnsi="宋体"/>
          <w:szCs w:val="21"/>
        </w:rPr>
      </w:pPr>
      <w:r>
        <w:rPr>
          <w:rFonts w:ascii="宋体" w:hAnsi="宋体" w:hint="eastAsia"/>
          <w:szCs w:val="21"/>
        </w:rPr>
        <w:t>第一章  招标公告</w:t>
      </w:r>
    </w:p>
    <w:p>
      <w:pPr>
        <w:ind w:left="630" w:firstLine="412" w:leftChars="300" w:firstLineChars="196"/>
        <w:rPr>
          <w:rFonts w:ascii="宋体" w:hAnsi="宋体"/>
          <w:szCs w:val="21"/>
        </w:rPr>
      </w:pPr>
      <w:r>
        <w:rPr>
          <w:rFonts w:ascii="宋体" w:hAnsi="宋体" w:hint="eastAsia"/>
          <w:szCs w:val="21"/>
        </w:rPr>
        <w:t>第二章  对通用条款的补充内容及其他关键信息</w:t>
      </w:r>
    </w:p>
    <w:p>
      <w:pPr>
        <w:ind w:left="630" w:firstLine="412" w:leftChars="300" w:firstLineChars="196"/>
        <w:rPr>
          <w:rFonts w:ascii="宋体" w:hAnsi="宋体"/>
          <w:szCs w:val="21"/>
        </w:rPr>
      </w:pPr>
      <w:r>
        <w:rPr>
          <w:rFonts w:ascii="宋体" w:hAnsi="宋体" w:hint="eastAsia"/>
          <w:szCs w:val="21"/>
        </w:rPr>
        <w:t>第三章  用户需求书</w:t>
      </w:r>
    </w:p>
    <w:p>
      <w:pPr>
        <w:ind w:left="630" w:firstLine="412" w:leftChars="300" w:firstLineChars="196"/>
        <w:rPr>
          <w:rFonts w:ascii="宋体" w:hAnsi="宋体"/>
          <w:szCs w:val="21"/>
        </w:rPr>
      </w:pPr>
      <w:r>
        <w:rPr>
          <w:rFonts w:hint="eastAsia"/>
        </w:rPr>
        <w:t xml:space="preserve">第四章 </w:t>
      </w:r>
      <w:r>
        <w:t xml:space="preserve"> </w:t>
      </w:r>
      <w:r>
        <w:rPr>
          <w:rFonts w:hint="eastAsia"/>
        </w:rPr>
        <w:t>投标文件格式及附件</w:t>
      </w:r>
    </w:p>
    <w:p>
      <w:pPr>
        <w:ind w:left="630" w:firstLine="412" w:leftChars="300" w:firstLineChars="196"/>
        <w:rPr>
          <w:rFonts w:ascii="宋体" w:hAnsi="宋体"/>
          <w:szCs w:val="21"/>
        </w:rPr>
      </w:pPr>
      <w:r>
        <w:rPr>
          <w:rFonts w:ascii="宋体" w:hAnsi="宋体" w:hint="eastAsia"/>
          <w:szCs w:val="21"/>
        </w:rPr>
        <w:t>第五章  合同条款及格式</w:t>
      </w:r>
    </w:p>
    <w:p>
      <w:pPr>
        <w:ind w:left="420" w:firstLine="412" w:leftChars="200" w:firstLineChars="196"/>
        <w:rPr>
          <w:rFonts w:ascii="宋体" w:hAnsi="宋体"/>
          <w:b/>
          <w:szCs w:val="21"/>
        </w:rPr>
      </w:pPr>
      <w:r>
        <w:rPr>
          <w:rFonts w:ascii="宋体" w:hAnsi="宋体" w:hint="eastAsia"/>
          <w:b/>
          <w:szCs w:val="21"/>
        </w:rPr>
        <w:t>第二册  通用条款</w:t>
      </w:r>
    </w:p>
    <w:p>
      <w:pPr>
        <w:ind w:left="630" w:firstLine="412" w:leftChars="300" w:firstLineChars="196"/>
        <w:rPr>
          <w:rFonts w:ascii="宋体" w:hAnsi="宋体"/>
          <w:szCs w:val="21"/>
        </w:rPr>
      </w:pPr>
      <w:r>
        <w:rPr>
          <w:rFonts w:ascii="宋体" w:hAnsi="宋体" w:hint="eastAsia"/>
          <w:szCs w:val="21"/>
        </w:rPr>
        <w:t>第一章  总则</w:t>
      </w:r>
    </w:p>
    <w:p>
      <w:pPr>
        <w:ind w:left="630" w:firstLine="412" w:leftChars="300" w:firstLineChars="196"/>
        <w:rPr>
          <w:rFonts w:ascii="宋体" w:hAnsi="宋体"/>
          <w:szCs w:val="21"/>
        </w:rPr>
      </w:pPr>
      <w:r>
        <w:rPr>
          <w:rFonts w:ascii="宋体" w:hAnsi="宋体" w:hint="eastAsia"/>
          <w:szCs w:val="21"/>
        </w:rPr>
        <w:t>第二章  招标文件</w:t>
      </w:r>
    </w:p>
    <w:p>
      <w:pPr>
        <w:ind w:left="630" w:firstLine="412" w:leftChars="300" w:firstLineChars="196"/>
        <w:rPr>
          <w:rFonts w:ascii="宋体" w:hAnsi="宋体"/>
          <w:szCs w:val="21"/>
        </w:rPr>
      </w:pPr>
      <w:r>
        <w:rPr>
          <w:rFonts w:ascii="宋体" w:hAnsi="宋体" w:hint="eastAsia"/>
          <w:szCs w:val="21"/>
        </w:rPr>
        <w:t>第三章  投标文件的编制</w:t>
      </w:r>
    </w:p>
    <w:p>
      <w:pPr>
        <w:ind w:left="630" w:firstLine="412" w:leftChars="300" w:firstLineChars="196"/>
        <w:rPr>
          <w:rFonts w:ascii="宋体" w:hAnsi="宋体"/>
          <w:szCs w:val="21"/>
        </w:rPr>
      </w:pPr>
      <w:r>
        <w:rPr>
          <w:rFonts w:ascii="宋体" w:hAnsi="宋体" w:hint="eastAsia"/>
          <w:szCs w:val="21"/>
        </w:rPr>
        <w:t>第四章  投标文件的递交</w:t>
      </w:r>
    </w:p>
    <w:p>
      <w:pPr>
        <w:ind w:left="630" w:firstLine="412" w:leftChars="300" w:firstLineChars="196"/>
        <w:rPr>
          <w:rFonts w:ascii="宋体" w:hAnsi="宋体"/>
          <w:szCs w:val="21"/>
        </w:rPr>
      </w:pPr>
      <w:r>
        <w:rPr>
          <w:rFonts w:ascii="宋体" w:hAnsi="宋体" w:hint="eastAsia"/>
          <w:szCs w:val="21"/>
        </w:rPr>
        <w:t>第五章  开标</w:t>
      </w:r>
    </w:p>
    <w:p>
      <w:pPr>
        <w:ind w:left="630" w:firstLine="412" w:leftChars="300" w:firstLineChars="196"/>
        <w:rPr>
          <w:rFonts w:ascii="宋体" w:hAnsi="宋体"/>
          <w:szCs w:val="21"/>
        </w:rPr>
      </w:pPr>
      <w:r>
        <w:rPr>
          <w:rFonts w:ascii="宋体" w:hAnsi="宋体" w:hint="eastAsia"/>
          <w:szCs w:val="21"/>
        </w:rPr>
        <w:t>第六章  评审要求</w:t>
      </w:r>
    </w:p>
    <w:p>
      <w:pPr>
        <w:ind w:left="630" w:firstLine="412" w:leftChars="300" w:firstLineChars="196"/>
        <w:rPr>
          <w:rFonts w:ascii="宋体" w:hAnsi="宋体"/>
          <w:szCs w:val="21"/>
        </w:rPr>
      </w:pPr>
      <w:r>
        <w:rPr>
          <w:rFonts w:ascii="宋体" w:hAnsi="宋体" w:hint="eastAsia"/>
          <w:szCs w:val="21"/>
        </w:rPr>
        <w:t>第七章  评审程序及评审方法</w:t>
      </w:r>
    </w:p>
    <w:p>
      <w:pPr>
        <w:ind w:left="630" w:firstLine="412" w:leftChars="300" w:firstLineChars="196"/>
        <w:rPr>
          <w:rFonts w:ascii="宋体" w:hAnsi="宋体"/>
          <w:szCs w:val="21"/>
        </w:rPr>
      </w:pPr>
      <w:r>
        <w:rPr>
          <w:rFonts w:ascii="宋体" w:hAnsi="宋体" w:hint="eastAsia"/>
          <w:szCs w:val="21"/>
        </w:rPr>
        <w:t>第八章  定标及公示</w:t>
      </w:r>
    </w:p>
    <w:p>
      <w:pPr>
        <w:ind w:left="630" w:firstLine="412" w:leftChars="300" w:firstLineChars="196"/>
        <w:rPr>
          <w:rFonts w:ascii="宋体" w:hAnsi="宋体"/>
          <w:szCs w:val="21"/>
        </w:rPr>
      </w:pPr>
      <w:r>
        <w:rPr>
          <w:rFonts w:ascii="宋体" w:hAnsi="宋体" w:hint="eastAsia"/>
          <w:szCs w:val="21"/>
        </w:rPr>
        <w:t>第九章  公开招标失败的后续处理</w:t>
      </w:r>
    </w:p>
    <w:p>
      <w:pPr>
        <w:ind w:left="630" w:firstLine="412" w:leftChars="300" w:firstLineChars="196"/>
        <w:rPr>
          <w:rFonts w:ascii="宋体" w:hAnsi="宋体"/>
          <w:szCs w:val="21"/>
        </w:rPr>
      </w:pPr>
      <w:r>
        <w:rPr>
          <w:rFonts w:ascii="宋体" w:hAnsi="宋体" w:hint="eastAsia"/>
          <w:szCs w:val="21"/>
        </w:rPr>
        <w:t>第十章  合同的授予与备案</w:t>
      </w:r>
    </w:p>
    <w:p>
      <w:pPr>
        <w:ind w:left="630" w:firstLine="412" w:leftChars="300" w:firstLineChars="196"/>
        <w:rPr>
          <w:rFonts w:ascii="宋体" w:hAnsi="宋体"/>
          <w:szCs w:val="21"/>
        </w:rPr>
      </w:pPr>
      <w:r>
        <w:rPr>
          <w:rFonts w:ascii="宋体" w:hAnsi="宋体" w:hint="eastAsia"/>
          <w:szCs w:val="21"/>
        </w:rPr>
        <w:t>第十一章  质疑处理</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pPr>
        <w:ind w:firstLine="412" w:firstLineChars="196"/>
        <w:rPr>
          <w:rFonts w:ascii="宋体" w:hAnsi="宋体"/>
          <w:szCs w:val="21"/>
        </w:rPr>
      </w:pPr>
      <w:r>
        <w:rPr>
          <w:rFonts w:ascii="宋体" w:hAnsi="宋体" w:hint="eastAsia"/>
          <w:szCs w:val="21"/>
        </w:rPr>
        <w:t>1</w:t>
      </w:r>
      <w:r>
        <w:rPr>
          <w:rFonts w:ascii="宋体" w:hAnsi="宋体"/>
          <w:szCs w:val="21"/>
        </w:rPr>
        <w:t>1</w:t>
      </w:r>
      <w:r>
        <w:rPr>
          <w:rFonts w:ascii="宋体" w:hAnsi="宋体" w:hint="eastAsia"/>
          <w:szCs w:val="21"/>
        </w:rPr>
        <w:t>.3</w:t>
      </w:r>
      <w:r>
        <w:rPr>
          <w:rFonts w:ascii="宋体" w:hAnsi="宋体" w:hint="eastAsia"/>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pPr>
        <w:rPr>
          <w:rFonts w:ascii="黑体" w:eastAsia="黑体" w:hAnsi="宋体"/>
          <w:sz w:val="24"/>
        </w:rPr>
      </w:pPr>
      <w:r>
        <w:rPr>
          <w:rFonts w:ascii="黑体" w:eastAsia="黑体" w:hAnsi="宋体" w:hint="eastAsia"/>
          <w:sz w:val="24"/>
        </w:rPr>
        <w:t>1</w:t>
      </w:r>
      <w:r>
        <w:rPr>
          <w:rFonts w:ascii="黑体" w:eastAsia="黑体" w:hAnsi="宋体"/>
          <w:sz w:val="24"/>
        </w:rPr>
        <w:t>2</w:t>
      </w:r>
      <w:r>
        <w:rPr>
          <w:rFonts w:ascii="黑体" w:eastAsia="黑体" w:hAnsi="宋体" w:hint="eastAsia"/>
          <w:sz w:val="24"/>
        </w:rPr>
        <w:t>．招标文件的澄清</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.1招标文件澄清的目的是澄清、解答投标人在查阅招标文件后或现场踏勘中可能提出的与投标有关的疑问或询问。</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.2投标人如对招标文件内容有疑问，应当在招标公告规定的澄清（提问）截止时间前以网上提问的形式通过网上政府采购系统提交政府集中采购机构。</w:t>
      </w:r>
    </w:p>
    <w:p>
      <w:pPr>
        <w:ind w:firstLine="412" w:firstLineChars="196"/>
        <w:rPr>
          <w:rFonts w:ascii="宋体" w:hAnsi="宋体"/>
          <w:szCs w:val="21"/>
        </w:rPr>
      </w:pPr>
      <w:r>
        <w:rPr>
          <w:rFonts w:ascii="宋体" w:hAnsi="宋体" w:hint="eastAsia"/>
          <w:szCs w:val="21"/>
        </w:rPr>
        <w:t>1</w:t>
      </w:r>
      <w:r>
        <w:rPr>
          <w:rFonts w:ascii="宋体" w:hAnsi="宋体"/>
          <w:szCs w:val="21"/>
        </w:rPr>
        <w:t>2</w:t>
      </w:r>
      <w:r>
        <w:rPr>
          <w:rFonts w:ascii="宋体" w:hAnsi="宋体" w:hint="eastAsia"/>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ascii="宋体" w:hAnsi="宋体" w:hint="eastAsia"/>
          <w:szCs w:val="21"/>
        </w:rPr>
        <w:t>、1</w:t>
      </w:r>
      <w:r>
        <w:rPr>
          <w:rFonts w:ascii="宋体" w:hAnsi="宋体"/>
          <w:szCs w:val="21"/>
        </w:rPr>
        <w:t>3.4</w:t>
      </w:r>
      <w:r>
        <w:rPr>
          <w:rFonts w:ascii="宋体" w:hAnsi="宋体" w:hint="eastAsia"/>
          <w:szCs w:val="21"/>
        </w:rPr>
        <w:t>款规定执行。</w:t>
      </w:r>
    </w:p>
    <w:p>
      <w:pPr>
        <w:rPr>
          <w:rFonts w:ascii="黑体" w:eastAsia="黑体" w:hAnsi="宋体"/>
          <w:sz w:val="24"/>
        </w:rPr>
      </w:pPr>
      <w:r>
        <w:rPr>
          <w:rFonts w:ascii="黑体" w:eastAsia="黑体" w:hAnsi="宋体"/>
          <w:sz w:val="24"/>
        </w:rPr>
        <w:t>1</w:t>
      </w:r>
      <w:r>
        <w:rPr>
          <w:rFonts w:ascii="黑体" w:eastAsia="黑体" w:hAnsi="宋体" w:hint="eastAsia"/>
          <w:sz w:val="24"/>
        </w:rPr>
        <w:t>3．招标文件的修改</w:t>
      </w:r>
    </w:p>
    <w:p>
      <w:pPr>
        <w:ind w:firstLine="412" w:firstLineChars="196"/>
        <w:rPr>
          <w:rFonts w:ascii="宋体" w:hAnsi="宋体"/>
          <w:szCs w:val="21"/>
        </w:rPr>
      </w:pPr>
      <w:r>
        <w:rPr>
          <w:rFonts w:ascii="宋体" w:hAnsi="宋体"/>
          <w:szCs w:val="21"/>
        </w:rPr>
        <w:t>1</w:t>
      </w:r>
      <w:r>
        <w:rPr>
          <w:rFonts w:ascii="宋体" w:hAnsi="宋体" w:hint="eastAsia"/>
          <w:szCs w:val="21"/>
        </w:rPr>
        <w:t>3.1招标文件发出后，在投标截止日期前任何时候，确需要变更招标文件内容的，政府集中采购机构可主动或在解答投标人提出的澄清问题时对招标文件进行修改。</w:t>
      </w:r>
    </w:p>
    <w:p>
      <w:pPr>
        <w:ind w:firstLine="412" w:firstLineChars="196"/>
        <w:rPr>
          <w:rFonts w:ascii="宋体" w:hAnsi="宋体"/>
          <w:szCs w:val="21"/>
        </w:rPr>
      </w:pPr>
      <w:r>
        <w:rPr>
          <w:rFonts w:ascii="宋体" w:hAnsi="宋体"/>
          <w:szCs w:val="21"/>
        </w:rPr>
        <w:t>1</w:t>
      </w:r>
      <w:r>
        <w:rPr>
          <w:rFonts w:ascii="宋体" w:hAnsi="宋体" w:hint="eastAsia"/>
          <w:szCs w:val="21"/>
        </w:rPr>
        <w:t>3.2招标文件的修改以书面形式（包括政府集中采购机构网站发布方式，如更正公告等）发送给所有投标人，招标文件的修改内容作为招标文件的组成部分，并具有约束力。</w:t>
      </w:r>
    </w:p>
    <w:p>
      <w:pPr>
        <w:ind w:firstLine="412" w:firstLineChars="196"/>
        <w:rPr>
          <w:rFonts w:ascii="宋体" w:hAnsi="宋体"/>
          <w:szCs w:val="21"/>
        </w:rPr>
      </w:pPr>
      <w:r>
        <w:rPr>
          <w:rFonts w:ascii="宋体" w:hAnsi="宋体"/>
          <w:szCs w:val="21"/>
        </w:rPr>
        <w:t>1</w:t>
      </w:r>
      <w:r>
        <w:rPr>
          <w:rFonts w:ascii="宋体" w:hAnsi="宋体" w:hint="eastAsia"/>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pPr>
        <w:ind w:firstLine="412" w:firstLineChars="196"/>
        <w:rPr>
          <w:rFonts w:ascii="宋体" w:hAnsi="宋体"/>
          <w:szCs w:val="21"/>
        </w:rPr>
      </w:pPr>
      <w:r>
        <w:rPr>
          <w:rFonts w:ascii="宋体" w:hAnsi="宋体"/>
          <w:szCs w:val="21"/>
        </w:rPr>
        <w:t>1</w:t>
      </w:r>
      <w:r>
        <w:rPr>
          <w:rFonts w:ascii="宋体" w:hAnsi="宋体" w:hint="eastAsia"/>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56"/>
    </w:p>
    <w:p>
      <w:pPr>
        <w:rPr>
          <w:rFonts w:ascii="宋体" w:hAnsi="宋体"/>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投标文件的编制</w:t>
      </w:r>
    </w:p>
    <w:p>
      <w:pPr>
        <w:rPr>
          <w:rFonts w:ascii="黑体" w:eastAsia="黑体" w:hAnsi="宋体"/>
          <w:sz w:val="24"/>
        </w:rPr>
      </w:pPr>
      <w:r>
        <w:rPr>
          <w:rFonts w:ascii="黑体" w:eastAsia="黑体" w:hAnsi="宋体" w:hint="eastAsia"/>
          <w:sz w:val="24"/>
        </w:rPr>
        <w:t>14．</w:t>
      </w:r>
      <w:bookmarkStart w:id="57" w:name="_Hlk72400236"/>
      <w:r>
        <w:rPr>
          <w:rFonts w:ascii="黑体" w:eastAsia="黑体" w:hAnsi="宋体" w:hint="eastAsia"/>
          <w:sz w:val="24"/>
        </w:rPr>
        <w:t>投标文件的语言及度量单位</w:t>
      </w:r>
    </w:p>
    <w:p>
      <w:pPr>
        <w:ind w:firstLine="412" w:firstLineChars="196"/>
        <w:rPr>
          <w:rFonts w:ascii="宋体" w:hAnsi="宋体"/>
          <w:szCs w:val="21"/>
        </w:rPr>
      </w:pPr>
      <w:r>
        <w:rPr>
          <w:rFonts w:ascii="宋体" w:hAnsi="宋体" w:hint="eastAsia"/>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但翻译错误的除外。</w:t>
      </w:r>
    </w:p>
    <w:p>
      <w:pPr>
        <w:ind w:firstLine="412" w:firstLineChars="196"/>
        <w:rPr>
          <w:rFonts w:ascii="宋体" w:hAnsi="宋体"/>
          <w:szCs w:val="21"/>
        </w:rPr>
      </w:pPr>
      <w:r>
        <w:rPr>
          <w:rFonts w:ascii="宋体" w:hAnsi="宋体" w:hint="eastAsia"/>
          <w:szCs w:val="21"/>
        </w:rPr>
        <w:t>14.2 除技术规范另有规定外，投标文件使用的度量单位，均采用中华人民共和国法定计量单位。</w:t>
      </w:r>
    </w:p>
    <w:p>
      <w:pPr>
        <w:rPr>
          <w:rFonts w:ascii="黑体" w:eastAsia="黑体" w:hAnsi="宋体"/>
          <w:sz w:val="24"/>
        </w:rPr>
      </w:pPr>
      <w:bookmarkEnd w:id="57"/>
      <w:r>
        <w:rPr>
          <w:rFonts w:ascii="黑体" w:eastAsia="黑体" w:hAnsi="宋体" w:hint="eastAsia"/>
          <w:sz w:val="24"/>
        </w:rPr>
        <w:t>15．</w:t>
      </w:r>
      <w:bookmarkStart w:id="58" w:name="_Hlk72401567"/>
      <w:r>
        <w:rPr>
          <w:rFonts w:ascii="黑体" w:eastAsia="黑体" w:hAnsi="宋体" w:hint="eastAsia"/>
          <w:sz w:val="24"/>
        </w:rPr>
        <w:t>投标文件的组成</w:t>
      </w:r>
    </w:p>
    <w:p>
      <w:pPr>
        <w:ind w:firstLine="412" w:firstLineChars="196"/>
        <w:rPr>
          <w:rFonts w:ascii="宋体" w:hAnsi="宋体"/>
          <w:szCs w:val="21"/>
        </w:rPr>
      </w:pPr>
      <w:r>
        <w:rPr>
          <w:rFonts w:ascii="宋体" w:hAnsi="宋体" w:hint="eastAsia"/>
          <w:szCs w:val="21"/>
        </w:rPr>
        <w:t>具体内容在招标文件专用条款中进行规定。</w:t>
      </w:r>
    </w:p>
    <w:p>
      <w:pPr>
        <w:rPr>
          <w:rFonts w:ascii="黑体" w:eastAsia="黑体" w:hAnsi="宋体"/>
          <w:sz w:val="24"/>
        </w:rPr>
      </w:pPr>
      <w:r>
        <w:rPr>
          <w:rFonts w:ascii="黑体" w:eastAsia="黑体" w:hAnsi="宋体"/>
          <w:sz w:val="24"/>
        </w:rPr>
        <w:t>16．投标文件格式</w:t>
      </w:r>
    </w:p>
    <w:p>
      <w:pPr>
        <w:ind w:firstLine="412" w:firstLineChars="196"/>
        <w:rPr>
          <w:rFonts w:ascii="宋体" w:hAnsi="宋体"/>
          <w:szCs w:val="21"/>
        </w:rPr>
      </w:pPr>
      <w:r>
        <w:rPr>
          <w:rFonts w:ascii="宋体" w:hAnsi="宋体" w:hint="eastAsia"/>
          <w:szCs w:val="21"/>
        </w:rPr>
        <w:t>投标文件包括本通用条款第</w:t>
      </w:r>
      <w:r>
        <w:rPr>
          <w:rFonts w:ascii="宋体" w:hAnsi="宋体"/>
          <w:szCs w:val="21"/>
        </w:rPr>
        <w:t>15条中规定的内容。如招标文件提供了投标文件格式，则</w:t>
      </w:r>
      <w:r>
        <w:rPr>
          <w:rFonts w:ascii="宋体" w:hAnsi="宋体" w:hint="eastAsia"/>
          <w:b/>
          <w:bCs/>
          <w:szCs w:val="21"/>
        </w:rPr>
        <w:t>投标人提交的投标文件应毫无例外地使用招标文件所提供的相应格式</w:t>
      </w:r>
      <w:r>
        <w:rPr>
          <w:rFonts w:ascii="宋体" w:hAnsi="宋体" w:hint="eastAsia"/>
          <w:szCs w:val="21"/>
        </w:rPr>
        <w:t>（表格均可按同样格式扩展）。</w:t>
      </w:r>
    </w:p>
    <w:p>
      <w:pPr>
        <w:rPr>
          <w:rFonts w:ascii="黑体" w:eastAsia="黑体" w:hAnsi="宋体"/>
          <w:sz w:val="24"/>
        </w:rPr>
      </w:pPr>
      <w:r>
        <w:rPr>
          <w:rFonts w:ascii="黑体" w:eastAsia="黑体" w:hAnsi="宋体" w:hint="eastAsia"/>
          <w:sz w:val="24"/>
        </w:rPr>
        <w:t>17．投标货币</w:t>
      </w:r>
    </w:p>
    <w:p>
      <w:pPr>
        <w:ind w:firstLine="412" w:firstLineChars="196"/>
        <w:rPr>
          <w:rFonts w:ascii="宋体" w:hAnsi="宋体"/>
          <w:szCs w:val="21"/>
        </w:rPr>
      </w:pPr>
      <w:r>
        <w:rPr>
          <w:rFonts w:ascii="宋体" w:hAnsi="宋体" w:hint="eastAsia"/>
          <w:szCs w:val="21"/>
        </w:rPr>
        <w:t>本项目的投标报价应以人民币计。</w:t>
      </w:r>
    </w:p>
    <w:p>
      <w:pPr>
        <w:rPr>
          <w:rFonts w:ascii="黑体" w:eastAsia="黑体" w:hAnsi="宋体"/>
          <w:sz w:val="24"/>
        </w:rPr>
      </w:pPr>
      <w:bookmarkEnd w:id="58"/>
      <w:r>
        <w:rPr>
          <w:rFonts w:ascii="黑体" w:eastAsia="黑体" w:hAnsi="宋体" w:hint="eastAsia"/>
          <w:sz w:val="24"/>
        </w:rPr>
        <w:t>18．</w:t>
      </w:r>
      <w:bookmarkStart w:id="59" w:name="_Hlk72401735"/>
      <w:r>
        <w:rPr>
          <w:rFonts w:ascii="黑体" w:eastAsia="黑体" w:hAnsi="宋体" w:hint="eastAsia"/>
          <w:sz w:val="24"/>
        </w:rPr>
        <w:t>证明投标文件投标技术方案的合格性和符合招标文件规定的文件要求</w:t>
      </w:r>
    </w:p>
    <w:p>
      <w:pPr>
        <w:ind w:firstLine="412" w:firstLineChars="196"/>
        <w:rPr>
          <w:rFonts w:ascii="宋体" w:hAnsi="宋体"/>
          <w:szCs w:val="21"/>
        </w:rPr>
      </w:pPr>
      <w:r>
        <w:rPr>
          <w:rFonts w:ascii="宋体" w:hAnsi="宋体" w:hint="eastAsia"/>
          <w:szCs w:val="21"/>
        </w:rPr>
        <w:t>18</w:t>
      </w:r>
      <w:r>
        <w:rPr>
          <w:rFonts w:ascii="宋体" w:hAnsi="宋体"/>
          <w:szCs w:val="21"/>
        </w:rPr>
        <w:t xml:space="preserve">.1 </w:t>
      </w:r>
      <w:r>
        <w:rPr>
          <w:rFonts w:ascii="宋体" w:hAnsi="宋体" w:hint="eastAsia"/>
          <w:szCs w:val="21"/>
        </w:rPr>
        <w:t>投标人应提交证明文件，证明其投标技术方案项下的货物和服务的合格性符合招标文件规定。该投标技术方案及其证明文件均作为投标文件组成部分。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 xml:space="preserve">.2 </w:t>
      </w:r>
      <w:r>
        <w:rPr>
          <w:rFonts w:ascii="宋体" w:hAnsi="宋体" w:hint="eastAsia"/>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pPr>
        <w:ind w:firstLine="412" w:firstLineChars="196"/>
        <w:rPr>
          <w:rFonts w:ascii="宋体" w:hAnsi="宋体"/>
          <w:szCs w:val="21"/>
        </w:rPr>
      </w:pPr>
      <w:r>
        <w:rPr>
          <w:rFonts w:ascii="宋体" w:hAnsi="宋体" w:hint="eastAsia"/>
          <w:szCs w:val="21"/>
        </w:rPr>
        <w:t>18.2.1主要技术指标和性能的详细说明。</w:t>
      </w:r>
    </w:p>
    <w:p>
      <w:pPr>
        <w:ind w:firstLine="412" w:firstLineChars="196"/>
        <w:rPr>
          <w:rFonts w:ascii="宋体" w:hAnsi="宋体"/>
          <w:szCs w:val="21"/>
        </w:rPr>
      </w:pPr>
      <w:r>
        <w:rPr>
          <w:rFonts w:ascii="宋体" w:hAnsi="宋体" w:hint="eastAsia"/>
          <w:szCs w:val="21"/>
        </w:rPr>
        <w:t>18.2.</w:t>
      </w:r>
      <w:r>
        <w:rPr>
          <w:rFonts w:ascii="宋体" w:hAnsi="宋体"/>
          <w:szCs w:val="21"/>
        </w:rPr>
        <w:t>2</w:t>
      </w:r>
      <w:r>
        <w:rPr>
          <w:rFonts w:ascii="宋体" w:hAnsi="宋体" w:hint="eastAsia"/>
          <w:szCs w:val="21"/>
        </w:rPr>
        <w:t>投标产品从采购人开始使用至招标文件中规定的周期内正常、连续地使用所必须的备件和专用工具清单，包括备件和专用工具的货源及现行价格。</w:t>
      </w:r>
    </w:p>
    <w:p>
      <w:pPr>
        <w:ind w:firstLine="412" w:firstLineChars="196"/>
        <w:rPr>
          <w:rFonts w:ascii="宋体" w:hAnsi="宋体"/>
          <w:szCs w:val="21"/>
        </w:rPr>
      </w:pPr>
      <w:r>
        <w:rPr>
          <w:rFonts w:ascii="宋体" w:hAnsi="宋体" w:hint="eastAsia"/>
          <w:szCs w:val="21"/>
        </w:rPr>
        <w:t>18.2.</w:t>
      </w:r>
      <w:r>
        <w:rPr>
          <w:rFonts w:ascii="宋体" w:hAnsi="宋体"/>
          <w:szCs w:val="21"/>
        </w:rPr>
        <w:t>3</w:t>
      </w:r>
      <w:r>
        <w:rPr>
          <w:rFonts w:ascii="宋体" w:hAnsi="宋体" w:hint="eastAsia"/>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pPr>
        <w:ind w:firstLine="412" w:firstLineChars="196"/>
        <w:rPr>
          <w:rFonts w:ascii="宋体" w:hAnsi="宋体"/>
          <w:szCs w:val="21"/>
        </w:rPr>
      </w:pPr>
      <w:r>
        <w:rPr>
          <w:rFonts w:ascii="宋体" w:hAnsi="宋体" w:hint="eastAsia"/>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ascii="宋体" w:hAnsi="宋体" w:hint="eastAsia"/>
          <w:szCs w:val="21"/>
        </w:rPr>
        <w:t>；</w:t>
      </w:r>
    </w:p>
    <w:p>
      <w:pPr>
        <w:ind w:firstLine="412" w:firstLineChars="196"/>
        <w:rPr>
          <w:rFonts w:ascii="宋体" w:hAnsi="宋体"/>
          <w:szCs w:val="21"/>
        </w:rPr>
      </w:pPr>
      <w:r>
        <w:rPr>
          <w:rFonts w:ascii="宋体" w:hAnsi="宋体" w:hint="eastAsia"/>
          <w:szCs w:val="21"/>
        </w:rPr>
        <w:t>18.2.5我国政府机构出具的产品检验和核准证件应为证件正面、背面和附件标注的全部具体内容；产品检验和核准证件的尺寸和清晰度应该能够在电脑上被阅读、识别和判断，提供原件扫描件。</w:t>
      </w:r>
    </w:p>
    <w:p>
      <w:pPr>
        <w:ind w:firstLine="412" w:firstLineChars="196"/>
        <w:rPr>
          <w:rFonts w:ascii="宋体" w:hAnsi="宋体"/>
          <w:szCs w:val="21"/>
        </w:rPr>
      </w:pPr>
      <w:r>
        <w:rPr>
          <w:rFonts w:ascii="宋体" w:hAnsi="宋体" w:hint="eastAsia"/>
          <w:szCs w:val="21"/>
        </w:rPr>
        <w:t>18.3相关资料不符合18.2款要求的，评审委员会有权认定为投标技术方案不合格响应，其相关分数予以扣减或作投标无效处理。</w:t>
      </w:r>
    </w:p>
    <w:p>
      <w:pPr>
        <w:ind w:firstLine="412" w:firstLineChars="196"/>
        <w:rPr>
          <w:rFonts w:ascii="宋体" w:hAnsi="宋体"/>
          <w:szCs w:val="21"/>
        </w:rPr>
      </w:pPr>
      <w:r>
        <w:rPr>
          <w:rFonts w:ascii="宋体" w:hAnsi="宋体"/>
          <w:szCs w:val="21"/>
        </w:rPr>
        <w:t>1</w:t>
      </w:r>
      <w:r>
        <w:rPr>
          <w:rFonts w:ascii="宋体" w:hAnsi="宋体" w:hint="eastAsia"/>
          <w:szCs w:val="21"/>
        </w:rPr>
        <w:t>8</w:t>
      </w:r>
      <w:r>
        <w:rPr>
          <w:rFonts w:ascii="宋体" w:hAnsi="宋体"/>
          <w:szCs w:val="21"/>
        </w:rPr>
        <w:t>.</w:t>
      </w:r>
      <w:r>
        <w:rPr>
          <w:rFonts w:ascii="宋体" w:hAnsi="宋体" w:hint="eastAsia"/>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ascii="宋体" w:hAnsi="宋体" w:hint="eastAsia"/>
          <w:szCs w:val="21"/>
        </w:rPr>
        <w:t>，由评审委员会来评判。</w:t>
      </w:r>
    </w:p>
    <w:p>
      <w:pPr>
        <w:ind w:firstLine="412" w:firstLineChars="196"/>
        <w:rPr>
          <w:rFonts w:ascii="宋体" w:hAnsi="宋体"/>
          <w:szCs w:val="21"/>
        </w:rPr>
      </w:pPr>
      <w:r>
        <w:rPr>
          <w:rFonts w:ascii="宋体" w:hAnsi="宋体" w:hint="eastAsia"/>
          <w:szCs w:val="21"/>
        </w:rPr>
        <w:t>18.5除非另有规定或说明，投标人对同一项目投标时，不得同时提供两套或两套以上的投标方案。</w:t>
      </w:r>
    </w:p>
    <w:p>
      <w:pPr>
        <w:rPr>
          <w:rFonts w:ascii="黑体" w:eastAsia="黑体" w:hAnsi="宋体"/>
          <w:sz w:val="24"/>
        </w:rPr>
      </w:pPr>
      <w:bookmarkEnd w:id="59"/>
      <w:r>
        <w:rPr>
          <w:rFonts w:ascii="黑体" w:eastAsia="黑体" w:hAnsi="宋体" w:hint="eastAsia"/>
          <w:sz w:val="24"/>
        </w:rPr>
        <w:t>19．</w:t>
      </w:r>
      <w:bookmarkStart w:id="60" w:name="_Hlk72402034"/>
      <w:r>
        <w:rPr>
          <w:rFonts w:ascii="黑体" w:eastAsia="黑体" w:hAnsi="宋体" w:hint="eastAsia"/>
          <w:sz w:val="24"/>
        </w:rPr>
        <w:t>投标文件其他证明文件的要求</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color w:val="FF0000"/>
          <w:szCs w:val="21"/>
        </w:rPr>
      </w:pPr>
      <w:r>
        <w:rPr>
          <w:rFonts w:ascii="宋体" w:hAnsi="宋体" w:hint="eastAsia"/>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若投标人未按要求提供证明材料或提供的是部分证明材料或提供不清晰的扫描件（或照片）的，评审委员会有权认定其投标文件未对招标文件有关需求进行响应，涉及资格性检查或符合性检查的予以投标无效处理，涉及《评标信息》打分项的则该项评分予以0分处理。评审委员会对供应商投标资料是否异常、是否有效问题进行核查和判定，如认为供应商投标资料有异常或无效的，若涉及资格性审查或符合性审查条款的，则应作投标无效处理；若涉及评分的，则作不得分处理。</w:t>
      </w:r>
      <w:bookmarkStart w:id="61" w:name="_Hlk71407299"/>
    </w:p>
    <w:p>
      <w:pPr>
        <w:ind w:firstLine="412" w:firstLineChars="196"/>
        <w:rPr>
          <w:rFonts w:ascii="宋体" w:hAnsi="宋体"/>
          <w:szCs w:val="21"/>
        </w:rPr>
      </w:pPr>
      <w:bookmarkEnd w:id="61"/>
      <w:r>
        <w:rPr>
          <w:rFonts w:ascii="宋体" w:hAnsi="宋体" w:hint="eastAsia"/>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pPr>
        <w:rPr>
          <w:rFonts w:ascii="黑体" w:eastAsia="黑体" w:hAnsi="宋体"/>
          <w:sz w:val="24"/>
        </w:rPr>
      </w:pPr>
      <w:r>
        <w:rPr>
          <w:rFonts w:ascii="黑体" w:eastAsia="黑体" w:hAnsi="宋体" w:hint="eastAsia"/>
          <w:sz w:val="24"/>
        </w:rPr>
        <w:t>20．投标有效期</w:t>
      </w:r>
    </w:p>
    <w:p>
      <w:pPr>
        <w:ind w:firstLine="412" w:firstLineChars="196"/>
        <w:rPr>
          <w:rFonts w:ascii="宋体" w:hAnsi="宋体"/>
          <w:szCs w:val="21"/>
        </w:rPr>
      </w:pPr>
      <w:bookmarkEnd w:id="60"/>
      <w:bookmarkStart w:id="62" w:name="_Hlk72402214"/>
      <w:r>
        <w:rPr>
          <w:rFonts w:ascii="宋体" w:hAnsi="宋体" w:hint="eastAsia"/>
          <w:szCs w:val="21"/>
        </w:rPr>
        <w:t>20.1 投标有效期为</w:t>
      </w:r>
      <w:r>
        <w:rPr>
          <w:rFonts w:ascii="Arial" w:hAnsi="Arial" w:cs="Arial" w:hint="eastAsia"/>
          <w:szCs w:val="21"/>
        </w:rPr>
        <w:t>从投标截止之日算起的日历天数。</w:t>
      </w:r>
      <w:r>
        <w:rPr>
          <w:rFonts w:ascii="宋体" w:hAnsi="宋体" w:hint="eastAsia"/>
          <w:szCs w:val="21"/>
        </w:rPr>
        <w:t>在此期限内，所有投标文件均保持有效。</w:t>
      </w:r>
    </w:p>
    <w:p>
      <w:pPr>
        <w:ind w:firstLine="412" w:firstLineChars="196"/>
        <w:rPr>
          <w:rFonts w:ascii="宋体" w:hAnsi="宋体"/>
          <w:szCs w:val="21"/>
        </w:rPr>
      </w:pPr>
      <w:r>
        <w:rPr>
          <w:rFonts w:ascii="宋体" w:hAnsi="宋体" w:hint="eastAsia"/>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pPr>
        <w:ind w:firstLine="412" w:firstLineChars="196"/>
        <w:rPr>
          <w:rFonts w:ascii="宋体" w:hAnsi="宋体"/>
          <w:szCs w:val="21"/>
        </w:rPr>
      </w:pPr>
      <w:r>
        <w:rPr>
          <w:rFonts w:ascii="宋体" w:hAnsi="宋体" w:hint="eastAsia"/>
          <w:szCs w:val="21"/>
        </w:rPr>
        <w:t>20</w:t>
      </w:r>
      <w:r>
        <w:rPr>
          <w:rFonts w:ascii="宋体" w:hAnsi="宋体"/>
          <w:szCs w:val="21"/>
        </w:rPr>
        <w:t>.3</w:t>
      </w:r>
      <w:r>
        <w:rPr>
          <w:rFonts w:ascii="宋体" w:hAnsi="宋体" w:hint="eastAsia"/>
          <w:szCs w:val="21"/>
        </w:rPr>
        <w:t xml:space="preserve"> 中标供应商的投标文件有效期，截止于完成本招标文件规定的全部项目内容，并通过竣工验收及保修期结束。</w:t>
      </w:r>
    </w:p>
    <w:p>
      <w:pPr>
        <w:rPr>
          <w:rFonts w:ascii="黑体" w:eastAsia="黑体" w:hAnsi="宋体"/>
          <w:sz w:val="24"/>
        </w:rPr>
      </w:pPr>
      <w:bookmarkEnd w:id="62"/>
      <w:r>
        <w:rPr>
          <w:rFonts w:ascii="黑体" w:eastAsia="黑体" w:hAnsi="宋体" w:hint="eastAsia"/>
          <w:sz w:val="24"/>
        </w:rPr>
        <w:t>21．</w:t>
      </w:r>
      <w:bookmarkStart w:id="63" w:name="_Hlk72402325"/>
      <w:r>
        <w:rPr>
          <w:rFonts w:ascii="黑体" w:eastAsia="黑体" w:hAnsi="宋体" w:hint="eastAsia"/>
          <w:sz w:val="24"/>
        </w:rPr>
        <w:t xml:space="preserve">关于投标保证金 </w:t>
      </w:r>
    </w:p>
    <w:p>
      <w:pPr>
        <w:rPr>
          <w:rFonts w:ascii="宋体" w:hAnsi="宋体"/>
          <w:szCs w:val="21"/>
        </w:rPr>
      </w:pPr>
      <w:r>
        <w:rPr>
          <w:rFonts w:ascii="宋体" w:hAnsi="宋体" w:hint="eastAsia"/>
          <w:szCs w:val="21"/>
        </w:rPr>
        <w:t xml:space="preserve">    21.1 </w:t>
      </w:r>
      <w:r>
        <w:rPr>
          <w:rFonts w:hint="eastAsia"/>
        </w:rPr>
        <w:t>根据《深圳市财政局关于调整政府采购投标（响应）保证金管理政策的通知》（深财购〔2021〕51号）文的规定，本项目不收取投标保证金。</w:t>
      </w:r>
    </w:p>
    <w:p>
      <w:pPr>
        <w:rPr>
          <w:rFonts w:ascii="黑体" w:eastAsia="黑体" w:hAnsi="宋体"/>
          <w:sz w:val="24"/>
        </w:rPr>
      </w:pPr>
      <w:r>
        <w:rPr>
          <w:rFonts w:ascii="黑体" w:eastAsia="黑体" w:hAnsi="宋体" w:hint="eastAsia"/>
          <w:sz w:val="24"/>
        </w:rPr>
        <w:t>22．投标人的替代方案</w:t>
      </w:r>
    </w:p>
    <w:p>
      <w:pPr>
        <w:ind w:firstLine="412" w:firstLineChars="196"/>
        <w:rPr>
          <w:rFonts w:ascii="宋体" w:hAnsi="宋体"/>
          <w:szCs w:val="21"/>
        </w:rPr>
      </w:pPr>
      <w:r>
        <w:rPr>
          <w:rFonts w:ascii="宋体" w:hAnsi="宋体" w:hint="eastAsia"/>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pPr>
        <w:ind w:firstLine="412" w:firstLineChars="196"/>
        <w:rPr>
          <w:rFonts w:ascii="宋体" w:hAnsi="宋体"/>
          <w:szCs w:val="21"/>
        </w:rPr>
      </w:pPr>
      <w:r>
        <w:rPr>
          <w:rFonts w:ascii="宋体" w:hAnsi="宋体" w:hint="eastAsia"/>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p>
      <w:pPr>
        <w:rPr>
          <w:rFonts w:ascii="黑体" w:eastAsia="黑体" w:hAnsi="宋体"/>
          <w:sz w:val="24"/>
        </w:rPr>
      </w:pPr>
      <w:bookmarkEnd w:id="63"/>
      <w:r>
        <w:rPr>
          <w:rFonts w:ascii="黑体" w:eastAsia="黑体" w:hAnsi="宋体" w:hint="eastAsia"/>
          <w:sz w:val="24"/>
        </w:rPr>
        <w:t>23．</w:t>
      </w:r>
      <w:bookmarkStart w:id="64" w:name="_Hlk72402860"/>
      <w:r>
        <w:rPr>
          <w:rFonts w:ascii="黑体" w:eastAsia="黑体" w:hAnsi="宋体"/>
          <w:sz w:val="24"/>
        </w:rPr>
        <w:t>投标文件的</w:t>
      </w:r>
      <w:r>
        <w:rPr>
          <w:rFonts w:ascii="黑体" w:eastAsia="黑体" w:hAnsi="宋体" w:hint="eastAsia"/>
          <w:sz w:val="24"/>
        </w:rPr>
        <w:t>制作</w:t>
      </w:r>
      <w:r>
        <w:rPr>
          <w:rFonts w:ascii="黑体" w:eastAsia="黑体" w:hAnsi="宋体"/>
          <w:sz w:val="24"/>
        </w:rPr>
        <w:t>要求</w:t>
      </w:r>
    </w:p>
    <w:p>
      <w:pPr>
        <w:ind w:firstLine="412" w:firstLineChars="196"/>
        <w:rPr>
          <w:rFonts w:ascii="宋体" w:hAnsi="宋体"/>
        </w:rPr>
      </w:pPr>
      <w:r>
        <w:rPr>
          <w:rFonts w:ascii="宋体" w:hAnsi="宋体" w:hint="eastAsia"/>
        </w:rPr>
        <w:t>23.1投标人应准备所投项目的电子投标文件一份。此电子投标文件须由投标人根据政府集中采购机构提供的后缀名为.</w:t>
      </w:r>
      <w:r>
        <w:rPr>
          <w:rFonts w:ascii="宋体" w:hAnsi="宋体"/>
        </w:rPr>
        <w:t>szczf</w:t>
      </w:r>
      <w:r>
        <w:rPr>
          <w:rFonts w:ascii="宋体" w:hAnsi="宋体" w:hint="eastAsia"/>
        </w:rPr>
        <w:t>的电子招标文件，下载并使用相应的深圳智慧采购平台投标文件制作专用软件打开招标文件（.szczf格式）【下载地址：</w:t>
      </w:r>
      <w:r>
        <w:rPr>
          <w:rFonts w:ascii="宋体" w:hAnsi="宋体"/>
        </w:rPr>
        <w:t>http://zfcg.szggzy.com:8081/cgxy/013002/list.html</w:t>
      </w:r>
      <w:r>
        <w:rPr>
          <w:rFonts w:ascii="宋体" w:hAnsi="宋体" w:hint="eastAsia"/>
        </w:rPr>
        <w:t>深圳智慧采购平台投标文件制作专用软件.zip】。</w:t>
      </w:r>
    </w:p>
    <w:p>
      <w:pPr>
        <w:ind w:firstLine="412" w:firstLineChars="196"/>
        <w:rPr>
          <w:rFonts w:ascii="宋体" w:hAnsi="宋体"/>
        </w:rPr>
      </w:pPr>
      <w:r>
        <w:rPr>
          <w:rFonts w:ascii="宋体" w:hAnsi="宋体" w:hint="eastAsia"/>
        </w:rPr>
        <w:t>23.2投标人在使用《投标书编制软件》编制投标书时须注意：</w:t>
      </w:r>
    </w:p>
    <w:p>
      <w:pPr>
        <w:ind w:firstLine="412" w:firstLineChars="196"/>
        <w:rPr>
          <w:rFonts w:ascii="宋体" w:hAnsi="宋体"/>
        </w:rPr>
      </w:pPr>
      <w:r>
        <w:rPr>
          <w:rFonts w:ascii="宋体" w:hAnsi="宋体" w:hint="eastAsia"/>
        </w:rPr>
        <w:t>23.2.1导入《投标书编制软件》的招标文件项目编号、包号应与以此制作的投标文件项目编号、包号一致。例如，不能将甲项目A包的招标书导入《投标书编制软件》，制作乙项目B包的投标书。</w:t>
      </w:r>
    </w:p>
    <w:p>
      <w:pPr>
        <w:ind w:firstLine="412" w:firstLineChars="196"/>
        <w:rPr>
          <w:rFonts w:ascii="宋体" w:hAnsi="宋体"/>
        </w:rPr>
      </w:pPr>
      <w:r>
        <w:rPr>
          <w:rFonts w:ascii="宋体" w:hAnsi="宋体" w:hint="eastAsia"/>
        </w:rPr>
        <w:t>23.2.2不能用非本公司的电子密钥加密本公司的投标文件，或者用其它公司的登录用户上传本公司的投标文件。</w:t>
      </w:r>
    </w:p>
    <w:p>
      <w:pPr>
        <w:ind w:firstLine="412" w:firstLineChars="196"/>
        <w:rPr>
          <w:rFonts w:ascii="宋体" w:hAnsi="宋体"/>
        </w:rPr>
      </w:pPr>
      <w:r>
        <w:rPr>
          <w:rFonts w:ascii="宋体" w:hAnsi="宋体" w:hint="eastAsia"/>
        </w:rPr>
        <w:t>23.2.3要求用《投标书编制软件》编制投标书的包，不能用其它方式编制投标书。编制投标文件时，电脑须连通互联网。</w:t>
      </w:r>
    </w:p>
    <w:p>
      <w:pPr>
        <w:ind w:firstLine="412" w:firstLineChars="196"/>
        <w:rPr>
          <w:rFonts w:ascii="宋体" w:hAnsi="宋体"/>
        </w:rPr>
      </w:pPr>
      <w:r>
        <w:rPr>
          <w:rFonts w:ascii="宋体" w:hAnsi="宋体" w:hint="eastAsia"/>
        </w:rPr>
        <w:t>23.2.4投标文件不能带病毒。政府集中采购机构将用专业杀毒软件对投标文件进行病毒检测，如果这两种软件均报告发现病毒，则政府集中采购机构认为该投标文件带病毒。</w:t>
      </w:r>
    </w:p>
    <w:p>
      <w:pPr>
        <w:ind w:firstLine="412" w:firstLineChars="196"/>
        <w:rPr>
          <w:rFonts w:ascii="宋体" w:hAnsi="宋体"/>
        </w:rPr>
      </w:pPr>
      <w:r>
        <w:rPr>
          <w:rFonts w:ascii="宋体" w:hAnsi="宋体" w:hint="eastAsia"/>
        </w:rPr>
        <w:t>23.2.5完整填写“投标关键信息”，如下图所示：</w:t>
      </w:r>
    </w:p>
    <w:p>
      <w:pPr>
        <w:rPr>
          <w:rFonts w:ascii="宋体" w:hAnsi="宋体"/>
        </w:rPr>
      </w:pPr>
      <w:r>
        <w:rPr>
          <w:rFonts w:ascii="宋体" w:hAnsi="宋体"/>
        </w:rPr>
        <w:drawing>
          <wp:inline distT="0" distB="0" distL="0" distR="0">
            <wp:extent cx="5279390" cy="2719070"/>
            <wp:effectExtent l="0" t="0" r="3810" b="1143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b/>
        </w:rPr>
      </w:pPr>
      <w:r>
        <w:rPr>
          <w:rFonts w:ascii="宋体" w:hAnsi="宋体" w:hint="eastAsia"/>
          <w:b/>
        </w:rPr>
        <w:t>备注：上述“开标一览表”中的“投标</w:t>
      </w:r>
      <w:r>
        <w:rPr>
          <w:rFonts w:ascii="宋体" w:hAnsi="宋体" w:hint="eastAsia"/>
          <w:b/>
          <w:lang w:val="en-US" w:eastAsia="zh-CN"/>
        </w:rPr>
        <w:t>报价</w:t>
      </w:r>
      <w:r>
        <w:rPr>
          <w:rFonts w:ascii="宋体" w:hAnsi="宋体" w:hint="eastAsia"/>
          <w:b/>
        </w:rPr>
        <w:t>”将作为价格分计算依据；其它信息仅是对投标文件相关内容的概括性表述，不作为评审依据。</w:t>
      </w:r>
    </w:p>
    <w:p>
      <w:pPr>
        <w:ind w:firstLine="412" w:firstLineChars="196"/>
        <w:rPr>
          <w:rFonts w:ascii="宋体" w:hAnsi="宋体"/>
        </w:rPr>
      </w:pPr>
      <w:r>
        <w:rPr>
          <w:rFonts w:ascii="宋体" w:hAnsi="宋体" w:hint="eastAsia"/>
        </w:rPr>
        <w:t>23.2.6投标人在编辑投标文件时，</w:t>
      </w:r>
      <w:r>
        <w:rPr>
          <w:rFonts w:ascii="宋体" w:hAnsi="宋体" w:hint="eastAsia"/>
          <w:b/>
        </w:rPr>
        <w:t>在投标文件目录中属于本节点内容的必须在本节点中填写，填写到其他节点或附件，</w:t>
      </w:r>
      <w:r>
        <w:rPr>
          <w:rFonts w:ascii="宋体" w:hAnsi="宋体" w:hint="eastAsia"/>
        </w:rPr>
        <w:t>一切后果由供应商自行承担。</w:t>
      </w:r>
    </w:p>
    <w:p>
      <w:pPr>
        <w:ind w:firstLine="412" w:firstLineChars="196"/>
        <w:rPr>
          <w:rFonts w:ascii="宋体" w:hAnsi="宋体"/>
        </w:rPr>
      </w:pPr>
      <w:r>
        <w:rPr>
          <w:rFonts w:ascii="宋体" w:hAnsi="宋体" w:hint="eastAsia"/>
        </w:rPr>
        <w:t>23.2.7投标文件编写完成后，</w:t>
      </w:r>
      <w:r>
        <w:rPr>
          <w:rFonts w:ascii="宋体" w:hAnsi="宋体" w:hint="eastAsia"/>
          <w:b/>
        </w:rPr>
        <w:t>必须用属于投标人的电子密钥</w:t>
      </w:r>
      <w:r>
        <w:rPr>
          <w:rFonts w:ascii="宋体" w:hAnsi="宋体" w:hint="eastAsia"/>
          <w:b/>
          <w:lang w:val="en-US" w:eastAsia="zh-CN"/>
        </w:rPr>
        <w:t>或电子营业执照</w:t>
      </w:r>
      <w:r>
        <w:rPr>
          <w:rFonts w:ascii="宋体" w:hAnsi="宋体" w:hint="eastAsia"/>
          <w:b/>
        </w:rPr>
        <w:t>进行加密，否则视同未盖公章，将导致投标文件无效。</w:t>
      </w:r>
    </w:p>
    <w:p>
      <w:pPr>
        <w:ind w:firstLine="412" w:firstLineChars="196"/>
        <w:rPr>
          <w:rFonts w:ascii="宋体" w:hAnsi="宋体"/>
        </w:rPr>
      </w:pPr>
      <w:r>
        <w:rPr>
          <w:rFonts w:ascii="宋体" w:hAnsi="宋体" w:hint="eastAsia"/>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pPr>
        <w:ind w:firstLine="412" w:firstLineChars="196"/>
        <w:rPr>
          <w:rFonts w:ascii="宋体" w:hAnsi="宋体"/>
        </w:rPr>
      </w:pPr>
      <w:r>
        <w:rPr>
          <w:rFonts w:ascii="宋体" w:hAnsi="宋体" w:hint="eastAsia"/>
        </w:rPr>
        <w:t>23.2.9如果开标时出现网络故障、技术故障，影响了政府采购活动，政府集中采购机构有权采取措施如延期、接受无法从网上上传的投标书等，以保障政府采购活动的公开、公平和公正。</w:t>
      </w:r>
    </w:p>
    <w:p>
      <w:pPr>
        <w:ind w:firstLine="412" w:firstLineChars="196"/>
        <w:rPr>
          <w:rFonts w:ascii="宋体" w:hAnsi="宋体"/>
        </w:rPr>
      </w:pPr>
      <w:r>
        <w:rPr>
          <w:rFonts w:ascii="宋体" w:hAnsi="宋体" w:hint="eastAsia"/>
        </w:rPr>
        <w:t>23.3电报、电话、传真形式的投标概不接受。</w:t>
      </w:r>
    </w:p>
    <w:p>
      <w:pPr>
        <w:ind w:firstLine="412" w:firstLineChars="196"/>
        <w:rPr>
          <w:rFonts w:ascii="宋体" w:hAnsi="宋体"/>
          <w:b/>
        </w:rPr>
      </w:pPr>
      <w:r>
        <w:rPr>
          <w:rFonts w:ascii="宋体" w:hAnsi="宋体" w:hint="eastAsia"/>
          <w:b/>
        </w:rPr>
        <w:t>23.4经投标人电子密钥</w:t>
      </w:r>
      <w:r>
        <w:rPr>
          <w:rFonts w:ascii="宋体" w:hAnsi="宋体" w:hint="eastAsia"/>
          <w:b/>
          <w:lang w:val="en-US" w:eastAsia="zh-CN"/>
        </w:rPr>
        <w:t>或电子营业执照</w:t>
      </w:r>
      <w:r>
        <w:rPr>
          <w:rFonts w:ascii="宋体" w:hAnsi="宋体" w:hint="eastAsia"/>
          <w:b/>
        </w:rPr>
        <w:t>加密的投标文件无须盖章或签字，</w:t>
      </w:r>
      <w:r>
        <w:rPr>
          <w:rFonts w:ascii="宋体" w:hAnsi="宋体" w:hint="eastAsia"/>
        </w:rPr>
        <w:t>专用条款另有要求的除外。</w:t>
      </w:r>
    </w:p>
    <w:p>
      <w:pPr>
        <w:ind w:firstLine="412" w:firstLineChars="196"/>
        <w:rPr>
          <w:rFonts w:ascii="宋体" w:hAnsi="宋体"/>
        </w:rPr>
      </w:pPr>
      <w:r>
        <w:rPr>
          <w:rFonts w:ascii="宋体" w:hAnsi="宋体" w:hint="eastAsia"/>
          <w:b/>
        </w:rPr>
        <w:t>23.5</w:t>
      </w:r>
      <w:r>
        <w:rPr>
          <w:rFonts w:ascii="宋体" w:hAnsi="宋体" w:hint="eastAsia"/>
        </w:rPr>
        <w:t xml:space="preserve"> 各类资格（资质）文件提供扫描件，专用条款另有要求的除外。</w:t>
      </w:r>
      <w:bookmarkEnd w:id="64"/>
    </w:p>
    <w:p>
      <w:pPr>
        <w:ind w:firstLine="412" w:firstLineChars="196"/>
        <w:rPr>
          <w:rFonts w:ascii="宋体" w:hAnsi="宋体"/>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投标文件的递交</w:t>
      </w:r>
    </w:p>
    <w:p>
      <w:pPr>
        <w:rPr>
          <w:rFonts w:ascii="黑体" w:eastAsia="黑体" w:hAnsi="宋体"/>
          <w:sz w:val="24"/>
        </w:rPr>
      </w:pPr>
      <w:bookmarkStart w:id="65" w:name="_Hlk72405459"/>
      <w:r>
        <w:rPr>
          <w:rFonts w:ascii="黑体" w:eastAsia="黑体" w:hAnsi="宋体" w:hint="eastAsia"/>
          <w:sz w:val="24"/>
        </w:rPr>
        <w:t>24．投标文件的保密</w:t>
      </w:r>
    </w:p>
    <w:p>
      <w:pPr>
        <w:ind w:firstLine="412" w:firstLineChars="196"/>
        <w:rPr>
          <w:rFonts w:ascii="宋体" w:hAnsi="宋体"/>
        </w:rPr>
      </w:pPr>
      <w:r>
        <w:rPr>
          <w:rFonts w:ascii="宋体" w:hAnsi="宋体" w:hint="eastAsia"/>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ascii="宋体" w:hAnsi="宋体" w:hint="eastAsia"/>
          <w:lang w:val="en-US" w:eastAsia="zh-CN"/>
        </w:rPr>
        <w:t>投</w:t>
      </w:r>
      <w:r>
        <w:rPr>
          <w:rFonts w:ascii="宋体" w:hAnsi="宋体" w:hint="eastAsia"/>
        </w:rPr>
        <w:t>标文件自动进行加密，此加密程序确保投标文件在到达投标截止时间后才能解密查看。在加密过程中，请按照软件提示进行操作。加密界面如下图所示：</w:t>
      </w:r>
    </w:p>
    <w:p>
      <w:pPr>
        <w:ind w:firstLine="412" w:firstLineChars="196"/>
        <w:rPr>
          <w:rFonts w:ascii="宋体" w:hAnsi="宋体"/>
        </w:rPr>
      </w:pPr>
    </w:p>
    <w:p>
      <w:pPr>
        <w:rPr>
          <w:rFonts w:ascii="宋体" w:hAnsi="宋体"/>
        </w:rPr>
      </w:pPr>
      <w:r>
        <w:rPr>
          <w:rFonts w:ascii="宋体" w:hAnsi="宋体"/>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xmlns:r="http://schemas.openxmlformats.org/officeDocument/2006/relationships" r:embed="rId8"/>
                    <a:stretch>
                      <a:fillRect/>
                    </a:stretch>
                  </pic:blipFill>
                  <pic:spPr>
                    <a:xfrm>
                      <a:off x="0" y="0"/>
                      <a:ext cx="5279390" cy="2719070"/>
                    </a:xfrm>
                    <a:prstGeom prst="rect">
                      <a:avLst/>
                    </a:prstGeom>
                    <a:noFill/>
                    <a:ln w="9525">
                      <a:noFill/>
                      <a:miter lim="800000"/>
                      <a:headEnd/>
                      <a:tailEnd/>
                    </a:ln>
                  </pic:spPr>
                </pic:pic>
              </a:graphicData>
            </a:graphic>
          </wp:inline>
        </w:drawing>
      </w:r>
    </w:p>
    <w:p>
      <w:pPr>
        <w:ind w:firstLine="412" w:firstLineChars="196"/>
        <w:rPr>
          <w:rFonts w:ascii="宋体" w:hAnsi="宋体"/>
        </w:rPr>
      </w:pPr>
    </w:p>
    <w:p>
      <w:pPr>
        <w:rPr>
          <w:rFonts w:ascii="宋体" w:hAnsi="宋体"/>
        </w:rPr>
      </w:pPr>
      <w:r>
        <w:rPr>
          <w:rFonts w:ascii="宋体" w:hAnsi="宋体"/>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xmlns:r="http://schemas.openxmlformats.org/officeDocument/2006/relationships" r:embed="rId9"/>
                    <a:stretch>
                      <a:fillRect/>
                    </a:stretch>
                  </pic:blipFill>
                  <pic:spPr>
                    <a:xfrm>
                      <a:off x="0" y="0"/>
                      <a:ext cx="5279390" cy="2727325"/>
                    </a:xfrm>
                    <a:prstGeom prst="rect">
                      <a:avLst/>
                    </a:prstGeom>
                    <a:noFill/>
                    <a:ln w="9525">
                      <a:noFill/>
                      <a:miter lim="800000"/>
                      <a:headEnd/>
                      <a:tailEnd/>
                    </a:ln>
                  </pic:spPr>
                </pic:pic>
              </a:graphicData>
            </a:graphic>
          </wp:inline>
        </w:drawing>
      </w:r>
    </w:p>
    <w:p>
      <w:pPr>
        <w:widowControl/>
        <w:jc w:val="left"/>
        <w:rPr>
          <w:sz w:val="24"/>
        </w:rPr>
      </w:pP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b/>
        </w:rPr>
      </w:pPr>
      <w:r>
        <w:rPr>
          <w:rFonts w:ascii="宋体" w:hAnsi="宋体" w:hint="eastAsia"/>
          <w:b/>
        </w:rPr>
        <w:t>24.2若采购项目出现延期情况：</w:t>
      </w:r>
    </w:p>
    <w:p>
      <w:pPr>
        <w:ind w:firstLine="420" w:firstLineChars="200"/>
        <w:rPr>
          <w:rFonts w:ascii="黑体" w:eastAsia="黑体" w:hAnsi="宋体"/>
          <w:b/>
          <w:sz w:val="24"/>
        </w:rPr>
      </w:pPr>
      <w:r>
        <w:rPr>
          <w:rFonts w:ascii="宋体" w:hAnsi="宋体" w:hint="eastAsia"/>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pPr>
        <w:rPr>
          <w:rFonts w:ascii="黑体" w:eastAsia="黑体" w:hAnsi="宋体"/>
          <w:sz w:val="24"/>
        </w:rPr>
      </w:pPr>
      <w:r>
        <w:rPr>
          <w:rFonts w:ascii="黑体" w:eastAsia="黑体" w:hAnsi="宋体" w:hint="eastAsia"/>
          <w:sz w:val="24"/>
        </w:rPr>
        <w:t>25．上传投标文件及投标截止日期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1实行网上投标，</w:t>
      </w:r>
      <w:r>
        <w:rPr>
          <w:rFonts w:ascii="宋体" w:hAnsi="宋体"/>
        </w:rPr>
        <w:t>投标人必须</w:t>
      </w:r>
      <w:r>
        <w:rPr>
          <w:rFonts w:ascii="宋体" w:hAnsi="宋体" w:hint="eastAsia"/>
        </w:rPr>
        <w:t>在招标</w:t>
      </w:r>
      <w:r>
        <w:rPr>
          <w:rFonts w:ascii="宋体" w:hAnsi="宋体"/>
        </w:rPr>
        <w:t>文件规定的投标截止时间前</w:t>
      </w:r>
      <w:r>
        <w:rPr>
          <w:rFonts w:ascii="宋体" w:hAnsi="宋体" w:hint="eastAsia"/>
        </w:rPr>
        <w:t>用电子密钥登录“深圳政府采购智慧平台用户网上办事子系统（http://zfcg.szggzy.com/TPBidder/memberLogin）”，用“【我的项目】→【项目流程】→【递交投标(应答)文件】”功能点上传投标文件。如上传过程中遇到问题，可拨打</w:t>
      </w:r>
      <w:r>
        <w:rPr>
          <w:rFonts w:ascii="宋体" w:hAnsi="宋体" w:hint="eastAsia"/>
          <w:lang w:val="en-US" w:eastAsia="zh-CN"/>
        </w:rPr>
        <w:t>采购公告中的技术支持电话</w:t>
      </w:r>
      <w:r>
        <w:rPr>
          <w:rFonts w:ascii="宋体" w:hAnsi="宋体" w:hint="eastAsia"/>
        </w:rPr>
        <w:t>。</w:t>
      </w:r>
    </w:p>
    <w:p>
      <w:pPr>
        <w:ind w:firstLine="412" w:firstLineChars="196"/>
        <w:rPr>
          <w:rFonts w:ascii="宋体" w:hAnsi="宋体"/>
        </w:rPr>
      </w:pPr>
      <w:r>
        <w:rPr>
          <w:rFonts w:ascii="宋体" w:hAnsi="宋体" w:hint="eastAsia"/>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pPr>
        <w:ind w:firstLine="412" w:firstLineChars="196"/>
        <w:rPr>
          <w:rFonts w:ascii="宋体" w:hAnsi="宋体"/>
        </w:rPr>
      </w:pPr>
      <w:r>
        <w:rPr>
          <w:rFonts w:ascii="宋体" w:hAnsi="宋体" w:hint="eastAsia"/>
        </w:rPr>
        <w:t>25</w:t>
      </w:r>
      <w:r>
        <w:rPr>
          <w:rFonts w:ascii="宋体" w:hAnsi="宋体"/>
        </w:rPr>
        <w:t>.</w:t>
      </w:r>
      <w:r>
        <w:rPr>
          <w:rFonts w:ascii="宋体" w:hAnsi="宋体" w:hint="eastAsia"/>
        </w:rPr>
        <w:t>3投标截止时间以后不得上传投标文件。</w:t>
      </w:r>
    </w:p>
    <w:p>
      <w:pPr>
        <w:ind w:firstLine="412" w:firstLineChars="196"/>
        <w:rPr>
          <w:rFonts w:ascii="宋体" w:hAnsi="宋体"/>
        </w:rPr>
      </w:pPr>
    </w:p>
    <w:p>
      <w:pPr>
        <w:rPr>
          <w:rFonts w:ascii="黑体" w:eastAsia="黑体" w:hAnsi="宋体"/>
          <w:sz w:val="24"/>
        </w:rPr>
      </w:pPr>
      <w:bookmarkEnd w:id="65"/>
      <w:r>
        <w:rPr>
          <w:rFonts w:ascii="黑体" w:eastAsia="黑体" w:hAnsi="宋体" w:hint="eastAsia"/>
          <w:sz w:val="24"/>
        </w:rPr>
        <w:t>26. 样品、现场演示、方案讲解</w:t>
      </w:r>
    </w:p>
    <w:p>
      <w:pPr>
        <w:ind w:firstLine="412" w:firstLineChars="196"/>
        <w:rPr>
          <w:rFonts w:ascii="宋体" w:hAnsi="宋体"/>
          <w:szCs w:val="21"/>
        </w:rPr>
      </w:pPr>
      <w:r>
        <w:rPr>
          <w:rFonts w:ascii="宋体" w:hAnsi="宋体" w:hint="eastAsia"/>
          <w:szCs w:val="21"/>
        </w:rPr>
        <w:t>26.1 样品、现场演示、方案讲解等事项在招标文件专用条款中进行规定。</w:t>
      </w:r>
    </w:p>
    <w:p>
      <w:pPr>
        <w:rPr>
          <w:rFonts w:ascii="黑体" w:eastAsia="黑体" w:hAnsi="宋体"/>
          <w:sz w:val="24"/>
        </w:rPr>
      </w:pPr>
      <w:bookmarkStart w:id="66" w:name="_Hlk72428346"/>
      <w:r>
        <w:rPr>
          <w:rFonts w:ascii="黑体" w:eastAsia="黑体" w:hAnsi="宋体"/>
          <w:sz w:val="24"/>
        </w:rPr>
        <w:t>2</w:t>
      </w:r>
      <w:r>
        <w:rPr>
          <w:rFonts w:ascii="黑体" w:eastAsia="黑体" w:hAnsi="宋体" w:hint="eastAsia"/>
          <w:sz w:val="24"/>
        </w:rPr>
        <w:t>7．</w:t>
      </w:r>
      <w:r>
        <w:rPr>
          <w:rFonts w:ascii="黑体" w:eastAsia="黑体" w:hAnsi="宋体"/>
          <w:sz w:val="24"/>
        </w:rPr>
        <w:t>投标文件的修改和撤销</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1</w:t>
      </w:r>
      <w:r>
        <w:rPr>
          <w:rFonts w:ascii="宋体" w:hAnsi="宋体"/>
        </w:rPr>
        <w:t>投标方在提交投标文件后可对其投标文件进行修改</w:t>
      </w:r>
      <w:r>
        <w:rPr>
          <w:rFonts w:ascii="宋体" w:hAnsi="宋体" w:hint="eastAsia"/>
        </w:rPr>
        <w:t>并重新上传投标文件</w:t>
      </w:r>
      <w:r>
        <w:rPr>
          <w:rFonts w:ascii="宋体" w:hAnsi="宋体"/>
        </w:rPr>
        <w:t>或</w:t>
      </w:r>
      <w:r>
        <w:rPr>
          <w:rFonts w:ascii="宋体" w:hAnsi="宋体" w:hint="eastAsia"/>
        </w:rPr>
        <w:t>在网上进行</w:t>
      </w:r>
      <w:r>
        <w:rPr>
          <w:rFonts w:ascii="宋体" w:hAnsi="宋体"/>
        </w:rPr>
        <w:t>撤销</w:t>
      </w:r>
      <w:r>
        <w:rPr>
          <w:rFonts w:ascii="宋体" w:hAnsi="宋体" w:hint="eastAsia"/>
        </w:rPr>
        <w:t>投标的操作</w:t>
      </w:r>
      <w:r>
        <w:rPr>
          <w:rFonts w:ascii="宋体" w:hAnsi="宋体"/>
        </w:rPr>
        <w:t>。</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2</w:t>
      </w:r>
      <w:r>
        <w:rPr>
          <w:rFonts w:ascii="宋体" w:hAnsi="宋体"/>
        </w:rPr>
        <w:t>投标截止时间以后不得修改投标文件。</w:t>
      </w:r>
    </w:p>
    <w:p>
      <w:pPr>
        <w:ind w:firstLine="412" w:firstLineChars="196"/>
        <w:rPr>
          <w:rFonts w:ascii="宋体" w:hAnsi="宋体"/>
        </w:rPr>
      </w:pPr>
      <w:r>
        <w:rPr>
          <w:rFonts w:ascii="宋体" w:hAnsi="宋体"/>
        </w:rPr>
        <w:t>2</w:t>
      </w:r>
      <w:r>
        <w:rPr>
          <w:rFonts w:ascii="宋体" w:hAnsi="宋体" w:hint="eastAsia"/>
        </w:rPr>
        <w:t>7</w:t>
      </w:r>
      <w:r>
        <w:rPr>
          <w:rFonts w:ascii="宋体" w:hAnsi="宋体"/>
        </w:rPr>
        <w:t>.</w:t>
      </w:r>
      <w:r>
        <w:rPr>
          <w:rFonts w:ascii="宋体" w:hAnsi="宋体" w:hint="eastAsia"/>
        </w:rPr>
        <w:t>3从投标截止期至投标人在投标文件中确定的投标有效期之间的这段时间内，投标人不得撤回其投标。</w:t>
      </w:r>
    </w:p>
    <w:p>
      <w:pPr>
        <w:ind w:firstLine="412" w:firstLineChars="196"/>
        <w:rPr>
          <w:rFonts w:ascii="宋体" w:hAnsi="宋体"/>
          <w:szCs w:val="21"/>
        </w:rPr>
      </w:pPr>
      <w:r>
        <w:rPr>
          <w:rFonts w:ascii="宋体" w:hAnsi="宋体" w:hint="eastAsia"/>
          <w:szCs w:val="21"/>
        </w:rPr>
        <w:t>27.4政府集中采购机构不退还投标文件，专用条款另有规定的除外。</w:t>
      </w:r>
    </w:p>
    <w:p>
      <w:pPr>
        <w:pStyle w:val="Heading2"/>
        <w:numPr>
          <w:ilvl w:val="0"/>
          <w:numId w:val="9"/>
        </w:numPr>
        <w:spacing w:before="120" w:beforeLines="50" w:after="120" w:afterLines="50"/>
        <w:ind w:left="562" w:hanging="562"/>
        <w:rPr>
          <w:sz w:val="28"/>
          <w:szCs w:val="28"/>
        </w:rPr>
      </w:pPr>
      <w:bookmarkEnd w:id="66"/>
      <w:r>
        <w:rPr>
          <w:rFonts w:hint="eastAsia"/>
          <w:sz w:val="28"/>
          <w:szCs w:val="28"/>
        </w:rPr>
        <w:t>开标</w:t>
      </w:r>
    </w:p>
    <w:p>
      <w:pPr>
        <w:rPr>
          <w:rFonts w:ascii="黑体" w:eastAsia="黑体" w:hAnsi="宋体"/>
          <w:sz w:val="24"/>
        </w:rPr>
      </w:pPr>
      <w:r>
        <w:rPr>
          <w:rFonts w:ascii="黑体" w:eastAsia="黑体" w:hAnsi="宋体" w:hint="eastAsia"/>
          <w:sz w:val="24"/>
        </w:rPr>
        <w:t>28．开标</w:t>
      </w:r>
    </w:p>
    <w:p>
      <w:pPr>
        <w:ind w:firstLine="315" w:firstLineChars="150"/>
        <w:rPr>
          <w:rFonts w:ascii="宋体" w:hAnsi="宋体"/>
          <w:szCs w:val="21"/>
        </w:rPr>
      </w:pPr>
      <w:r>
        <w:rPr>
          <w:rFonts w:ascii="宋体" w:hAnsi="宋体" w:hint="eastAsia"/>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pPr>
        <w:ind w:firstLine="315" w:firstLineChars="150"/>
        <w:rPr>
          <w:rFonts w:ascii="宋体" w:hAnsi="宋体"/>
          <w:szCs w:val="21"/>
        </w:rPr>
      </w:pPr>
      <w:r>
        <w:rPr>
          <w:rFonts w:ascii="宋体" w:hAnsi="宋体" w:hint="eastAsia"/>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pPr>
        <w:ind w:firstLine="315" w:firstLineChars="150"/>
        <w:rPr>
          <w:rFonts w:ascii="宋体" w:hAnsi="宋体"/>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评审要求</w:t>
      </w:r>
    </w:p>
    <w:p>
      <w:pPr>
        <w:rPr>
          <w:rFonts w:ascii="黑体" w:eastAsia="黑体" w:hAnsi="宋体"/>
          <w:sz w:val="24"/>
        </w:rPr>
      </w:pPr>
      <w:r>
        <w:rPr>
          <w:rFonts w:ascii="黑体" w:eastAsia="黑体" w:hAnsi="宋体" w:hint="eastAsia"/>
          <w:sz w:val="24"/>
        </w:rPr>
        <w:t>29．评审委员会组成</w:t>
      </w:r>
    </w:p>
    <w:p>
      <w:pPr>
        <w:ind w:firstLine="412" w:firstLineChars="196"/>
        <w:rPr>
          <w:rFonts w:ascii="宋体" w:hAnsi="宋体"/>
        </w:rPr>
      </w:pPr>
      <w:r>
        <w:rPr>
          <w:rFonts w:ascii="宋体" w:hAnsi="宋体" w:hint="eastAsia"/>
        </w:rPr>
        <w:t>29.1网上开标结束后召开评审会议，</w:t>
      </w:r>
      <w:r>
        <w:rPr>
          <w:rFonts w:ascii="宋体" w:hAnsi="宋体" w:hint="eastAsia"/>
          <w:szCs w:val="21"/>
        </w:rPr>
        <w:t>评审委员会</w:t>
      </w:r>
      <w:r>
        <w:rPr>
          <w:rFonts w:ascii="宋体" w:hAnsi="宋体" w:hint="eastAsia"/>
        </w:rPr>
        <w:t>由政府集中采购机构依法组建，负责评审活动。</w:t>
      </w:r>
    </w:p>
    <w:p>
      <w:pPr>
        <w:ind w:firstLine="412" w:firstLineChars="196"/>
        <w:rPr>
          <w:rFonts w:ascii="宋体" w:hAnsi="宋体"/>
        </w:rPr>
      </w:pPr>
      <w:bookmarkStart w:id="67" w:name="_Hlk72436580"/>
      <w:r>
        <w:rPr>
          <w:rFonts w:ascii="宋体" w:hAnsi="宋体" w:hint="eastAsia"/>
        </w:rPr>
        <w:t>评审委员会由采购人代表和评审专家组成，成员人数应当为5人以上单数（部分条件下为7人以上单数），其中评审专家不得少于成员总数的三分之二。</w:t>
      </w:r>
      <w:bookmarkEnd w:id="67"/>
      <w:r>
        <w:rPr>
          <w:rFonts w:ascii="宋体" w:hAnsi="宋体" w:hint="eastAsia"/>
        </w:rPr>
        <w:t>评定</w:t>
      </w:r>
      <w:r>
        <w:rPr>
          <w:rFonts w:hint="eastAsia"/>
        </w:rPr>
        <w:t>分离项目</w:t>
      </w:r>
      <w:r>
        <w:t>评审专家</w:t>
      </w:r>
      <w:r>
        <w:rPr>
          <w:rFonts w:hint="eastAsia"/>
        </w:rPr>
        <w:t>均</w:t>
      </w:r>
      <w:r>
        <w:t>由</w:t>
      </w:r>
      <w:r>
        <w:rPr>
          <w:rFonts w:hint="eastAsia"/>
        </w:rPr>
        <w:t>评审专家组成。</w:t>
      </w:r>
      <w:r>
        <w:rPr>
          <w:rFonts w:ascii="宋体" w:hAnsi="宋体" w:hint="eastAsia"/>
          <w:szCs w:val="21"/>
        </w:rPr>
        <w:t>评审专家一般是</w:t>
      </w:r>
      <w:r>
        <w:rPr>
          <w:rFonts w:ascii="宋体" w:hAnsi="宋体" w:hint="eastAsia"/>
        </w:rPr>
        <w:t>从深圳市政府采购评审专家库中随机抽取。采购人代表须持本单位签发的《评审授权书》参加评审。</w:t>
      </w:r>
    </w:p>
    <w:p>
      <w:pPr>
        <w:ind w:firstLine="412" w:firstLineChars="196"/>
        <w:rPr>
          <w:rFonts w:ascii="宋体" w:hAnsi="宋体"/>
        </w:rPr>
      </w:pPr>
      <w:r>
        <w:rPr>
          <w:rFonts w:ascii="宋体" w:hAnsi="宋体" w:hint="eastAsia"/>
        </w:rPr>
        <w:t>29.2评审定标应当遵循公平、公正、科学、择优的原则。</w:t>
      </w:r>
    </w:p>
    <w:p>
      <w:pPr>
        <w:ind w:firstLine="412" w:firstLineChars="196"/>
        <w:rPr>
          <w:rFonts w:ascii="宋体" w:hAnsi="宋体"/>
        </w:rPr>
      </w:pPr>
      <w:r>
        <w:rPr>
          <w:rFonts w:ascii="宋体" w:hAnsi="宋体" w:hint="eastAsia"/>
        </w:rPr>
        <w:t>29.3评审活动依法进行，任何单位和个人不得非法干预评标过程和结果。</w:t>
      </w:r>
    </w:p>
    <w:p>
      <w:pPr>
        <w:ind w:firstLine="412" w:firstLineChars="196"/>
        <w:rPr>
          <w:rFonts w:ascii="宋体" w:hAnsi="宋体"/>
        </w:rPr>
      </w:pPr>
      <w:r>
        <w:rPr>
          <w:rFonts w:ascii="宋体" w:hAnsi="宋体" w:hint="eastAsia"/>
        </w:rPr>
        <w:t>29.4评审过程中不允许违背评标程序或采用招标文件未载明的评标方法或评标因素进行评标。</w:t>
      </w:r>
    </w:p>
    <w:p>
      <w:pPr>
        <w:ind w:firstLine="412" w:firstLineChars="196"/>
        <w:rPr>
          <w:rFonts w:ascii="宋体" w:hAnsi="宋体"/>
          <w:bCs/>
        </w:rPr>
      </w:pPr>
      <w:r>
        <w:rPr>
          <w:rFonts w:ascii="宋体" w:hAnsi="宋体" w:hint="eastAsia"/>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ascii="宋体" w:hAnsi="宋体" w:hint="eastAsia"/>
          <w:bCs/>
        </w:rPr>
        <w:t>）。</w:t>
      </w:r>
    </w:p>
    <w:p>
      <w:pPr>
        <w:rPr>
          <w:rFonts w:ascii="黑体" w:eastAsia="黑体" w:hAnsi="宋体"/>
          <w:sz w:val="24"/>
        </w:rPr>
      </w:pPr>
      <w:r>
        <w:rPr>
          <w:rFonts w:ascii="黑体" w:eastAsia="黑体" w:hAnsi="宋体" w:hint="eastAsia"/>
          <w:sz w:val="24"/>
        </w:rPr>
        <w:t>30．向评审委员会提供的资料</w:t>
      </w:r>
    </w:p>
    <w:p>
      <w:pPr>
        <w:ind w:firstLine="412" w:firstLineChars="196"/>
        <w:rPr>
          <w:rFonts w:ascii="宋体" w:hAnsi="宋体"/>
        </w:rPr>
      </w:pPr>
      <w:r>
        <w:rPr>
          <w:rFonts w:ascii="宋体" w:hAnsi="宋体" w:hint="eastAsia"/>
        </w:rPr>
        <w:t>30.1公开发布的招标文件，包括图纸、服务清单、答疑文件等；</w:t>
      </w:r>
    </w:p>
    <w:p>
      <w:pPr>
        <w:ind w:firstLine="412" w:firstLineChars="196"/>
        <w:rPr>
          <w:rFonts w:ascii="宋体" w:hAnsi="宋体"/>
        </w:rPr>
      </w:pPr>
      <w:r>
        <w:rPr>
          <w:rFonts w:ascii="宋体" w:hAnsi="宋体" w:hint="eastAsia"/>
        </w:rPr>
        <w:t>30.2其他评标必须的资料。</w:t>
      </w:r>
    </w:p>
    <w:p>
      <w:pPr>
        <w:ind w:firstLine="412" w:firstLineChars="196"/>
        <w:rPr>
          <w:rFonts w:ascii="宋体" w:hAnsi="宋体"/>
        </w:rPr>
      </w:pPr>
      <w:r>
        <w:rPr>
          <w:rFonts w:ascii="宋体" w:hAnsi="宋体" w:hint="eastAsia"/>
        </w:rPr>
        <w:t>30.3</w:t>
      </w:r>
      <w:r>
        <w:rPr>
          <w:rFonts w:ascii="宋体" w:hAnsi="宋体" w:hint="eastAsia"/>
          <w:szCs w:val="21"/>
        </w:rPr>
        <w:t>评审委员会</w:t>
      </w:r>
      <w:r>
        <w:rPr>
          <w:rFonts w:ascii="宋体" w:hAnsi="宋体" w:hint="eastAsia"/>
        </w:rPr>
        <w:t>应当认真研究招标文件，至少应了解熟悉以下内容：</w:t>
      </w:r>
    </w:p>
    <w:p>
      <w:pPr>
        <w:ind w:firstLine="412" w:firstLineChars="196"/>
        <w:rPr>
          <w:rFonts w:ascii="宋体" w:hAnsi="宋体"/>
        </w:rPr>
      </w:pPr>
      <w:r>
        <w:rPr>
          <w:rFonts w:ascii="宋体" w:hAnsi="宋体" w:hint="eastAsia"/>
        </w:rPr>
        <w:t>（1）招标的目的；</w:t>
      </w:r>
    </w:p>
    <w:p>
      <w:pPr>
        <w:ind w:firstLine="412" w:firstLineChars="196"/>
        <w:rPr>
          <w:rFonts w:ascii="宋体" w:hAnsi="宋体"/>
        </w:rPr>
      </w:pPr>
      <w:r>
        <w:rPr>
          <w:rFonts w:ascii="宋体" w:hAnsi="宋体" w:hint="eastAsia"/>
        </w:rPr>
        <w:t>（2）招标项目需求的范围和性质；</w:t>
      </w:r>
    </w:p>
    <w:p>
      <w:pPr>
        <w:ind w:firstLine="412" w:firstLineChars="196"/>
        <w:rPr>
          <w:rFonts w:ascii="宋体" w:hAnsi="宋体"/>
        </w:rPr>
      </w:pPr>
      <w:r>
        <w:rPr>
          <w:rFonts w:ascii="宋体" w:hAnsi="宋体" w:hint="eastAsia"/>
        </w:rPr>
        <w:t>（3）招标文件规定的投标人的资格、财政预算限额、商务条款；</w:t>
      </w:r>
    </w:p>
    <w:p>
      <w:pPr>
        <w:ind w:firstLine="412" w:firstLineChars="196"/>
        <w:rPr>
          <w:rFonts w:ascii="宋体" w:hAnsi="宋体"/>
        </w:rPr>
      </w:pPr>
      <w:r>
        <w:rPr>
          <w:rFonts w:ascii="宋体" w:hAnsi="宋体" w:hint="eastAsia"/>
        </w:rPr>
        <w:t>（4）招标文件规定的评标程序、评标方法和评标因素；</w:t>
      </w:r>
    </w:p>
    <w:p>
      <w:pPr>
        <w:ind w:firstLine="412" w:firstLineChars="196"/>
        <w:rPr>
          <w:rFonts w:ascii="宋体" w:hAnsi="宋体"/>
        </w:rPr>
      </w:pPr>
      <w:r>
        <w:rPr>
          <w:rFonts w:ascii="宋体" w:hAnsi="宋体" w:hint="eastAsia"/>
        </w:rPr>
        <w:t>（5）招标文件所列示的资格性审查表及符合性审查表。</w:t>
      </w:r>
    </w:p>
    <w:p>
      <w:pPr>
        <w:rPr>
          <w:rFonts w:ascii="黑体" w:eastAsia="黑体" w:hAnsi="宋体"/>
          <w:sz w:val="24"/>
        </w:rPr>
      </w:pPr>
      <w:r>
        <w:rPr>
          <w:rFonts w:ascii="黑体" w:eastAsia="黑体" w:hAnsi="宋体" w:hint="eastAsia"/>
          <w:sz w:val="24"/>
        </w:rPr>
        <w:t>31．独立评审</w:t>
      </w:r>
    </w:p>
    <w:p>
      <w:pPr>
        <w:ind w:firstLine="412" w:firstLineChars="196"/>
        <w:rPr>
          <w:rFonts w:ascii="宋体" w:hAnsi="宋体"/>
          <w:bCs/>
        </w:rPr>
      </w:pPr>
      <w:r>
        <w:rPr>
          <w:rFonts w:ascii="宋体" w:hAnsi="宋体" w:hint="eastAsia"/>
          <w:bCs/>
        </w:rPr>
        <w:t>3</w:t>
      </w:r>
      <w:r>
        <w:rPr>
          <w:rFonts w:ascii="宋体" w:hAnsi="宋体"/>
          <w:bCs/>
        </w:rPr>
        <w:t>1</w:t>
      </w:r>
      <w:r>
        <w:rPr>
          <w:rFonts w:ascii="宋体" w:hAnsi="宋体" w:hint="eastAsia"/>
          <w:bCs/>
        </w:rPr>
        <w:t>.1</w:t>
      </w:r>
      <w:r>
        <w:rPr>
          <w:rFonts w:ascii="宋体" w:hAnsi="宋体" w:hint="eastAsia"/>
          <w:szCs w:val="21"/>
        </w:rPr>
        <w:t>评审委员会</w:t>
      </w:r>
      <w:r>
        <w:rPr>
          <w:rFonts w:ascii="宋体" w:hAnsi="宋体" w:hint="eastAsia"/>
          <w:bCs/>
        </w:rPr>
        <w:t>成员的评标活动应当独立进行，并应遵循投标文件初审、澄清有关问题、比较与评价、确定中标供应商、编写评审报告的工作程序。</w:t>
      </w:r>
    </w:p>
    <w:p>
      <w:pPr>
        <w:ind w:firstLine="412" w:firstLineChars="196"/>
        <w:rPr>
          <w:rFonts w:ascii="宋体" w:hAnsi="宋体"/>
          <w:bCs/>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评审程序及评审方法</w:t>
      </w:r>
    </w:p>
    <w:p>
      <w:pPr>
        <w:rPr>
          <w:rFonts w:ascii="黑体" w:eastAsia="黑体" w:hAnsi="宋体"/>
          <w:sz w:val="24"/>
        </w:rPr>
      </w:pPr>
      <w:r>
        <w:rPr>
          <w:rFonts w:ascii="黑体" w:eastAsia="黑体" w:hAnsi="宋体" w:hint="eastAsia"/>
          <w:sz w:val="24"/>
        </w:rPr>
        <w:t>32．投标文件初审</w:t>
      </w:r>
    </w:p>
    <w:p>
      <w:pPr>
        <w:ind w:firstLine="412" w:firstLineChars="196"/>
        <w:rPr>
          <w:rFonts w:ascii="宋体" w:hAnsi="宋体"/>
        </w:rPr>
      </w:pPr>
      <w:r>
        <w:rPr>
          <w:rFonts w:ascii="宋体" w:hAnsi="宋体" w:hint="eastAsia"/>
        </w:rPr>
        <w:t>32.1投标文件初审包括资格性审查和符合性审查。</w:t>
      </w:r>
    </w:p>
    <w:p>
      <w:pPr>
        <w:ind w:firstLine="412" w:firstLineChars="196"/>
        <w:rPr>
          <w:rFonts w:ascii="宋体" w:hAnsi="宋体"/>
        </w:rPr>
      </w:pPr>
      <w:r>
        <w:rPr>
          <w:rFonts w:ascii="宋体" w:hAnsi="宋体" w:hint="eastAsia"/>
        </w:rPr>
        <w:t>资格性审查：依据法律法规和招标文件的规定，对投标文件中的资格证明等进行审查，以确定投标供应商是否具备投标资格。</w:t>
      </w:r>
    </w:p>
    <w:p>
      <w:pPr>
        <w:ind w:firstLine="412" w:firstLineChars="196"/>
        <w:rPr>
          <w:rFonts w:ascii="宋体" w:hAnsi="宋体"/>
        </w:rPr>
      </w:pPr>
      <w:r>
        <w:rPr>
          <w:rFonts w:ascii="宋体" w:hAnsi="宋体" w:hint="eastAsia"/>
        </w:rPr>
        <w:t>符合性审查：依据招标文件的规定，对投标文件的有效性、完整性和对招标文件的响应程度进行审查，以确定是否满足符合性审查的要求。</w:t>
      </w:r>
    </w:p>
    <w:p>
      <w:pPr>
        <w:ind w:firstLine="412" w:firstLineChars="196"/>
        <w:rPr>
          <w:rFonts w:ascii="宋体" w:hAnsi="宋体"/>
        </w:rPr>
      </w:pPr>
      <w:r>
        <w:rPr>
          <w:rFonts w:ascii="宋体" w:hAnsi="宋体" w:hint="eastAsia"/>
        </w:rPr>
        <w:t>32.2 投标文件初审内容请详见《资格性审查表》和《符合性审查表》部分。投标人若有一条审查不通过则按投标无效处理。</w:t>
      </w:r>
    </w:p>
    <w:p>
      <w:pPr>
        <w:ind w:firstLine="412" w:firstLineChars="196"/>
        <w:rPr>
          <w:rFonts w:ascii="宋体" w:hAnsi="宋体"/>
          <w:bCs/>
        </w:rPr>
      </w:pPr>
      <w:r>
        <w:rPr>
          <w:rFonts w:ascii="宋体" w:hAnsi="宋体" w:hint="eastAsia"/>
          <w:bCs/>
        </w:rPr>
        <w:t>32.3 投标文件初审中关于供应商家数的计算:</w:t>
      </w:r>
    </w:p>
    <w:p>
      <w:pPr>
        <w:ind w:firstLine="412" w:firstLineChars="196"/>
        <w:rPr>
          <w:rFonts w:ascii="宋体" w:hAnsi="宋体"/>
          <w:bCs/>
        </w:rPr>
      </w:pPr>
      <w:r>
        <w:rPr>
          <w:rFonts w:ascii="宋体" w:hAnsi="宋体" w:hint="eastAsia"/>
          <w:bCs/>
        </w:rPr>
        <w:t>32.3.1采用最低评标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pPr>
        <w:ind w:firstLine="412" w:firstLineChars="196"/>
        <w:rPr>
          <w:rFonts w:ascii="宋体" w:hAnsi="宋体"/>
          <w:bCs/>
        </w:rPr>
      </w:pPr>
      <w:r>
        <w:rPr>
          <w:rFonts w:ascii="宋体" w:hAnsi="宋体" w:hint="eastAsia"/>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ascii="宋体" w:hAnsi="宋体" w:hint="eastAsia"/>
          <w:bCs/>
          <w:szCs w:val="21"/>
        </w:rPr>
        <w:t>评审委员会</w:t>
      </w:r>
      <w:r>
        <w:rPr>
          <w:rFonts w:ascii="宋体" w:hAnsi="宋体" w:hint="eastAsia"/>
          <w:bCs/>
        </w:rPr>
        <w:t>按照招标文件规定的方式确定一个投标人获得中标人推荐资格，招标文件未规定的采取随机抽取方式确定，其他同品牌投标人不作为中标候选人。</w:t>
      </w:r>
    </w:p>
    <w:p>
      <w:pPr>
        <w:ind w:firstLine="412" w:firstLineChars="196"/>
        <w:rPr>
          <w:rFonts w:ascii="宋体" w:hAnsi="宋体"/>
          <w:bCs/>
        </w:rPr>
      </w:pPr>
      <w:r>
        <w:rPr>
          <w:rFonts w:ascii="宋体" w:hAnsi="宋体" w:hint="eastAsia"/>
          <w:bCs/>
        </w:rPr>
        <w:t>32.3.3非单一产品采购项目，采购人应当根据采购项目技术构成、产品价格比重等合理确定核心产品，并在招标文件中载明。多家投标人提供的核心产品品牌相同的，按前两款规定处理。</w:t>
      </w:r>
    </w:p>
    <w:p>
      <w:pPr>
        <w:ind w:firstLine="412" w:firstLineChars="196"/>
        <w:rPr>
          <w:rFonts w:ascii="宋体" w:hAnsi="宋体"/>
        </w:rPr>
      </w:pPr>
      <w:r>
        <w:rPr>
          <w:rFonts w:ascii="宋体" w:hAnsi="宋体" w:hint="eastAsia"/>
        </w:rPr>
        <w:t>32.4投标人投标文件作无效处理的情形，具体包括但不限于以下：</w:t>
      </w:r>
    </w:p>
    <w:p>
      <w:pPr>
        <w:ind w:firstLine="412" w:firstLineChars="196"/>
      </w:pPr>
      <w:r>
        <w:rPr>
          <w:rFonts w:ascii="宋体" w:hAnsi="宋体" w:hint="eastAsia"/>
        </w:rPr>
        <w:t>32.4.1</w:t>
      </w:r>
      <w:r>
        <w:rPr>
          <w:rFonts w:hint="eastAsia"/>
        </w:rPr>
        <w:t>不同投标人的投标文件由同一单位或者同一个人编制，或者由同一个人分阶段参与编制；</w:t>
      </w:r>
    </w:p>
    <w:p>
      <w:pPr>
        <w:ind w:firstLine="412" w:firstLineChars="196"/>
      </w:pPr>
      <w:r>
        <w:rPr>
          <w:rFonts w:ascii="宋体" w:hAnsi="宋体"/>
        </w:rPr>
        <w:t>32.4.</w:t>
      </w:r>
      <w:r>
        <w:rPr>
          <w:rFonts w:ascii="宋体" w:hAnsi="宋体" w:hint="eastAsia"/>
        </w:rPr>
        <w:t>2</w:t>
      </w:r>
      <w:r>
        <w:rPr>
          <w:rFonts w:hint="eastAsia"/>
        </w:rPr>
        <w:t>不同投标人委托同一单位或者个人办理投标事宜；</w:t>
      </w:r>
    </w:p>
    <w:p>
      <w:pPr>
        <w:ind w:firstLine="412" w:firstLineChars="196"/>
        <w:rPr>
          <w:rFonts w:ascii="宋体" w:hAnsi="宋体"/>
        </w:rPr>
      </w:pPr>
      <w:r>
        <w:rPr>
          <w:rFonts w:ascii="宋体" w:hAnsi="宋体" w:hint="eastAsia"/>
        </w:rPr>
        <w:t>32.4.3不同投标人的投标文件载明的项目管理成员或者联系人员为同一人；</w:t>
      </w:r>
    </w:p>
    <w:p>
      <w:pPr>
        <w:ind w:firstLine="412" w:firstLineChars="196"/>
        <w:rPr>
          <w:rFonts w:ascii="宋体" w:hAnsi="宋体"/>
        </w:rPr>
      </w:pPr>
      <w:r>
        <w:rPr>
          <w:rFonts w:ascii="宋体" w:hAnsi="宋体" w:hint="eastAsia"/>
        </w:rPr>
        <w:t>32.4.4不同投标人的投标文件异常一致或者投标报价呈规律性差异；</w:t>
      </w:r>
    </w:p>
    <w:p>
      <w:pPr>
        <w:ind w:firstLine="412" w:firstLineChars="196"/>
        <w:rPr>
          <w:rFonts w:ascii="宋体" w:hAnsi="宋体"/>
        </w:rPr>
      </w:pPr>
      <w:r>
        <w:rPr>
          <w:rFonts w:ascii="宋体" w:hAnsi="宋体" w:hint="eastAsia"/>
        </w:rPr>
        <w:t>32.4.5</w:t>
      </w:r>
      <w:r>
        <w:rPr>
          <w:rFonts w:ascii="宋体" w:hAnsi="宋体"/>
        </w:rPr>
        <w:t>不同投标供应商的投标文件或部分投标文件相互混装</w:t>
      </w:r>
      <w:r>
        <w:rPr>
          <w:rFonts w:ascii="宋体" w:hAnsi="宋体" w:hint="eastAsia"/>
        </w:rPr>
        <w:t>；</w:t>
      </w:r>
    </w:p>
    <w:p>
      <w:pPr>
        <w:ind w:firstLine="412" w:firstLineChars="196"/>
        <w:rPr>
          <w:rFonts w:ascii="宋体" w:hAnsi="宋体"/>
        </w:rPr>
      </w:pPr>
      <w:r>
        <w:rPr>
          <w:rFonts w:ascii="宋体" w:hAnsi="宋体" w:hint="eastAsia"/>
        </w:rPr>
        <w:t>32.4.6投标供应商之间相互约定给予未中标的供应商利益补偿；</w:t>
      </w:r>
    </w:p>
    <w:p>
      <w:pPr>
        <w:ind w:firstLine="412" w:firstLineChars="196"/>
        <w:rPr>
          <w:rFonts w:ascii="宋体" w:hAnsi="宋体"/>
        </w:rPr>
      </w:pPr>
      <w:r>
        <w:rPr>
          <w:rFonts w:ascii="宋体" w:hAnsi="宋体" w:hint="eastAsia"/>
        </w:rPr>
        <w:t>32.4.7不同投标供应商的法定代表人、主要经营负责人、项目投标授权代表人、项目负责人、主要技术人员为同一人、属同一单位或者同一单位缴纳社会保险；</w:t>
      </w:r>
    </w:p>
    <w:p>
      <w:pPr>
        <w:ind w:firstLine="412" w:firstLineChars="196"/>
        <w:rPr>
          <w:rFonts w:ascii="宋体" w:hAnsi="宋体"/>
        </w:rPr>
      </w:pPr>
      <w:r>
        <w:rPr>
          <w:rFonts w:ascii="宋体" w:hAnsi="宋体" w:hint="eastAsia"/>
        </w:rPr>
        <w:t>32.4.8不同投标供应商的投标文件内容存在非正常一致；</w:t>
      </w:r>
    </w:p>
    <w:p>
      <w:pPr>
        <w:ind w:firstLine="412" w:firstLineChars="196"/>
        <w:rPr>
          <w:rFonts w:ascii="宋体" w:hAnsi="宋体"/>
        </w:rPr>
      </w:pPr>
      <w:r>
        <w:rPr>
          <w:rFonts w:ascii="宋体" w:hAnsi="宋体" w:hint="eastAsia"/>
        </w:rPr>
        <w:t>32.4.9在同一单位工作人员为两家以上（含两家）供应商进行同一项投标活动；</w:t>
      </w:r>
    </w:p>
    <w:p>
      <w:pPr>
        <w:ind w:firstLine="412" w:firstLineChars="196"/>
        <w:rPr>
          <w:rFonts w:ascii="宋体" w:hAnsi="宋体"/>
        </w:rPr>
      </w:pPr>
      <w:r>
        <w:rPr>
          <w:rFonts w:ascii="宋体" w:hAnsi="宋体" w:hint="eastAsia"/>
        </w:rPr>
        <w:t>32.4.10主管部门依照法律、法规认定的其他情形。</w:t>
      </w:r>
    </w:p>
    <w:p>
      <w:pPr>
        <w:ind w:firstLine="412" w:firstLineChars="196"/>
        <w:rPr>
          <w:rFonts w:ascii="宋体" w:hAnsi="宋体"/>
        </w:rPr>
      </w:pPr>
      <w:r>
        <w:rPr>
          <w:rFonts w:ascii="宋体" w:hAnsi="宋体" w:hint="eastAsia"/>
        </w:rPr>
        <w:t>32.5对不属于《资格性审查表》和《符合性审查表》所列的其他情形，除专用条款另有规定和32.4条款所列情形外，不得作为投标无效的理由。</w:t>
      </w:r>
    </w:p>
    <w:p>
      <w:pPr>
        <w:rPr>
          <w:rFonts w:ascii="黑体" w:eastAsia="黑体" w:hAnsi="宋体"/>
          <w:sz w:val="24"/>
        </w:rPr>
      </w:pPr>
      <w:r>
        <w:rPr>
          <w:rFonts w:ascii="黑体" w:eastAsia="黑体" w:hAnsi="宋体" w:hint="eastAsia"/>
          <w:sz w:val="24"/>
        </w:rPr>
        <w:t>33．澄清有关问题</w:t>
      </w:r>
    </w:p>
    <w:p>
      <w:pPr>
        <w:ind w:firstLine="412" w:firstLineChars="196"/>
        <w:rPr>
          <w:rFonts w:ascii="宋体" w:hAnsi="宋体"/>
        </w:rPr>
      </w:pPr>
      <w:bookmarkStart w:id="68" w:name="_Hlk71407321"/>
      <w:r>
        <w:rPr>
          <w:rFonts w:ascii="宋体" w:hAnsi="宋体" w:hint="eastAsia"/>
        </w:rPr>
        <w:t>3</w:t>
      </w:r>
      <w:r>
        <w:rPr>
          <w:rFonts w:ascii="宋体" w:hAnsi="宋体"/>
        </w:rPr>
        <w:t>3.1</w:t>
      </w:r>
      <w:r>
        <w:rPr>
          <w:rFonts w:ascii="宋体" w:hAnsi="宋体" w:hint="eastAsia"/>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ascii="宋体" w:hAnsi="宋体" w:hint="eastAsia"/>
        </w:rPr>
        <w:t>，评审委员会有权进行评判，但对同一条款的评判应适用于每个投标人。</w:t>
      </w:r>
      <w:bookmarkEnd w:id="68"/>
    </w:p>
    <w:p>
      <w:pPr>
        <w:ind w:firstLine="412" w:firstLineChars="196"/>
        <w:rPr>
          <w:rFonts w:ascii="宋体" w:hAnsi="宋体"/>
        </w:rPr>
      </w:pPr>
      <w:r>
        <w:rPr>
          <w:rFonts w:ascii="宋体" w:hAnsi="宋体" w:hint="eastAsia"/>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pPr>
        <w:ind w:firstLine="412" w:firstLineChars="196"/>
        <w:rPr>
          <w:rFonts w:ascii="宋体" w:hAnsi="宋体"/>
        </w:rPr>
      </w:pPr>
      <w:r>
        <w:rPr>
          <w:rFonts w:ascii="宋体" w:hAnsi="宋体"/>
        </w:rPr>
        <w:t>33.3</w:t>
      </w:r>
      <w:r>
        <w:rPr>
          <w:rFonts w:ascii="宋体" w:hAnsi="宋体" w:hint="eastAsia"/>
        </w:rPr>
        <w:t>对于投标文件中含义不明确、同类问题表述不一致或者有明显文字和计算错误的内容，评审委员会应当以书面形式要求投标人作出必要的澄清、说明或者补正。</w:t>
      </w:r>
    </w:p>
    <w:p>
      <w:pPr>
        <w:ind w:firstLine="412" w:firstLineChars="196"/>
        <w:rPr>
          <w:rFonts w:ascii="宋体" w:hAnsi="宋体"/>
        </w:rPr>
      </w:pPr>
      <w:r>
        <w:rPr>
          <w:rFonts w:ascii="宋体" w:hAnsi="宋体" w:hint="eastAsia"/>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pPr>
        <w:ind w:firstLine="412" w:firstLineChars="196"/>
        <w:rPr>
          <w:rFonts w:ascii="宋体" w:hAnsi="宋体"/>
          <w:szCs w:val="21"/>
        </w:rPr>
      </w:pPr>
      <w:r>
        <w:rPr>
          <w:rFonts w:ascii="宋体" w:hAnsi="宋体" w:hint="eastAsia"/>
          <w:szCs w:val="21"/>
        </w:rPr>
        <w:t>根据本通用条款第34条，凡属于评审委员会在评审中发现的算术错误进行核实的修改不在此列。</w:t>
      </w:r>
    </w:p>
    <w:p>
      <w:pPr>
        <w:rPr>
          <w:rFonts w:ascii="黑体" w:eastAsia="黑体" w:hAnsi="宋体"/>
          <w:sz w:val="24"/>
        </w:rPr>
      </w:pPr>
      <w:bookmarkStart w:id="69" w:name="_Toc73518151"/>
      <w:bookmarkStart w:id="70" w:name="_Toc100052400"/>
      <w:bookmarkStart w:id="71" w:name="_Toc73521581"/>
      <w:bookmarkStart w:id="72" w:name="_Toc73517673"/>
      <w:bookmarkStart w:id="73" w:name="_Toc73521669"/>
      <w:r>
        <w:rPr>
          <w:rFonts w:ascii="黑体" w:eastAsia="黑体" w:hAnsi="宋体" w:hint="eastAsia"/>
          <w:sz w:val="24"/>
        </w:rPr>
        <w:t>34．错误的修正</w:t>
      </w:r>
      <w:bookmarkEnd w:id="69"/>
      <w:bookmarkEnd w:id="70"/>
      <w:bookmarkEnd w:id="71"/>
      <w:bookmarkEnd w:id="72"/>
      <w:bookmarkEnd w:id="73"/>
    </w:p>
    <w:p>
      <w:pPr>
        <w:ind w:firstLine="412" w:firstLineChars="196"/>
        <w:rPr>
          <w:rFonts w:ascii="宋体" w:hAnsi="宋体"/>
          <w:szCs w:val="21"/>
        </w:rPr>
      </w:pPr>
      <w:r>
        <w:rPr>
          <w:rFonts w:ascii="宋体" w:hAnsi="宋体" w:hint="eastAsia"/>
          <w:szCs w:val="21"/>
        </w:rPr>
        <w:t>投标文件报价出现前后不一致的，除专用条款另有规定外，按照下列规定修正：</w:t>
      </w:r>
    </w:p>
    <w:p>
      <w:pPr>
        <w:ind w:firstLine="412" w:firstLineChars="196"/>
        <w:rPr>
          <w:rFonts w:ascii="宋体" w:hAnsi="宋体"/>
          <w:szCs w:val="21"/>
        </w:rPr>
      </w:pPr>
      <w:r>
        <w:rPr>
          <w:rFonts w:ascii="宋体" w:hAnsi="宋体" w:hint="eastAsia"/>
          <w:szCs w:val="21"/>
        </w:rPr>
        <w:t>34.1投标文件中开标一览表投标报价内容与投标文件中投标报价相应内容不一致的，以开标一览表为准；</w:t>
      </w:r>
    </w:p>
    <w:p>
      <w:pPr>
        <w:ind w:firstLine="412" w:firstLineChars="196"/>
        <w:rPr>
          <w:rFonts w:ascii="宋体" w:hAnsi="宋体"/>
          <w:szCs w:val="21"/>
        </w:rPr>
      </w:pPr>
      <w:r>
        <w:rPr>
          <w:rFonts w:ascii="宋体" w:hAnsi="宋体" w:hint="eastAsia"/>
          <w:szCs w:val="21"/>
        </w:rPr>
        <w:t>34.2大写金额和小写金额不一致的，以大写金额为准；</w:t>
      </w:r>
    </w:p>
    <w:p>
      <w:pPr>
        <w:ind w:firstLine="412" w:firstLineChars="196"/>
        <w:rPr>
          <w:rFonts w:ascii="宋体" w:hAnsi="宋体"/>
          <w:szCs w:val="21"/>
        </w:rPr>
      </w:pPr>
      <w:r>
        <w:rPr>
          <w:rFonts w:ascii="宋体" w:hAnsi="宋体" w:hint="eastAsia"/>
          <w:szCs w:val="21"/>
        </w:rPr>
        <w:t>34.3单价金额小数点或者百分比有明显错位，以开标一览表的总价为准，并修改单价；</w:t>
      </w:r>
    </w:p>
    <w:p>
      <w:pPr>
        <w:ind w:firstLine="412" w:firstLineChars="196"/>
        <w:rPr>
          <w:rFonts w:ascii="宋体" w:hAnsi="宋体"/>
          <w:szCs w:val="21"/>
        </w:rPr>
      </w:pPr>
      <w:r>
        <w:rPr>
          <w:rFonts w:ascii="宋体" w:hAnsi="宋体" w:hint="eastAsia"/>
          <w:szCs w:val="21"/>
        </w:rPr>
        <w:t>34.4总价金额与按单价汇总金额不一致的，以单价金额计算结果为准。</w:t>
      </w:r>
    </w:p>
    <w:p>
      <w:pPr>
        <w:ind w:firstLine="412" w:firstLineChars="196"/>
        <w:rPr>
          <w:rFonts w:ascii="宋体" w:hAnsi="宋体"/>
          <w:szCs w:val="21"/>
        </w:rPr>
      </w:pPr>
      <w:r>
        <w:rPr>
          <w:rFonts w:ascii="宋体" w:hAnsi="宋体" w:hint="eastAsia"/>
          <w:szCs w:val="21"/>
        </w:rPr>
        <w:t>34.5同时出现两种以上不一致的，按照前款规定的顺序修正。修正后的报价按照本通用条款33条的规定，经投标人确认后产生约束力，投标人不确认的，其投标无效。</w:t>
      </w:r>
    </w:p>
    <w:p>
      <w:pPr>
        <w:rPr>
          <w:rFonts w:ascii="黑体" w:eastAsia="黑体" w:hAnsi="宋体"/>
          <w:sz w:val="24"/>
        </w:rPr>
      </w:pPr>
      <w:r>
        <w:rPr>
          <w:rFonts w:ascii="黑体" w:eastAsia="黑体" w:hAnsi="宋体" w:hint="eastAsia"/>
          <w:sz w:val="24"/>
        </w:rPr>
        <w:t>35．投标文件的比较与评价</w:t>
      </w:r>
    </w:p>
    <w:p>
      <w:pPr>
        <w:ind w:firstLine="412" w:firstLineChars="196"/>
        <w:rPr>
          <w:rFonts w:ascii="宋体" w:hAnsi="宋体"/>
          <w:szCs w:val="21"/>
        </w:rPr>
      </w:pPr>
      <w:r>
        <w:rPr>
          <w:rFonts w:ascii="宋体" w:hAnsi="宋体" w:hint="eastAsia"/>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pPr>
        <w:ind w:firstLine="412" w:firstLineChars="196"/>
        <w:rPr>
          <w:rFonts w:ascii="宋体" w:hAnsi="宋体"/>
          <w:szCs w:val="21"/>
        </w:rPr>
      </w:pPr>
      <w:r>
        <w:rPr>
          <w:rFonts w:ascii="宋体" w:hAnsi="宋体" w:hint="eastAsia"/>
          <w:szCs w:val="21"/>
        </w:rPr>
        <w:t>评审委员会成员对需要共同认定的事项存在争议的，应当按照少数服从多数的原则作出结论。持不同意见的评审委员会成员应当书面作出说明，否则视为无异议。</w:t>
      </w:r>
    </w:p>
    <w:p>
      <w:pPr>
        <w:rPr>
          <w:rFonts w:ascii="黑体" w:eastAsia="黑体" w:hAnsi="宋体"/>
          <w:sz w:val="24"/>
        </w:rPr>
      </w:pPr>
      <w:r>
        <w:rPr>
          <w:rFonts w:ascii="黑体" w:eastAsia="黑体" w:hAnsi="宋体" w:hint="eastAsia"/>
          <w:sz w:val="24"/>
        </w:rPr>
        <w:t>36. 实地考察或资料查验</w:t>
      </w:r>
    </w:p>
    <w:p>
      <w:pPr>
        <w:ind w:firstLine="412" w:firstLineChars="196"/>
        <w:rPr>
          <w:rFonts w:ascii="宋体" w:hAnsi="宋体"/>
          <w:szCs w:val="21"/>
        </w:rPr>
      </w:pPr>
      <w:r>
        <w:rPr>
          <w:rFonts w:ascii="宋体" w:hAnsi="宋体" w:hint="eastAsia"/>
          <w:szCs w:val="21"/>
        </w:rPr>
        <w:t>36.1在评审过程中，评审委员会有权决定是否对本项目投标人进行实地考察或资料查验（原件）。投标人应随时做好接受实地考察或资料查验的准备。</w:t>
      </w:r>
    </w:p>
    <w:p>
      <w:pPr>
        <w:rPr>
          <w:rFonts w:ascii="黑体" w:eastAsia="黑体" w:hAnsi="宋体"/>
          <w:sz w:val="24"/>
        </w:rPr>
      </w:pPr>
      <w:r>
        <w:rPr>
          <w:rFonts w:ascii="黑体" w:eastAsia="黑体" w:hAnsi="宋体" w:hint="eastAsia"/>
          <w:sz w:val="24"/>
        </w:rPr>
        <w:t>37．评审方法</w:t>
      </w:r>
    </w:p>
    <w:p>
      <w:pPr>
        <w:ind w:firstLine="412" w:firstLineChars="196"/>
        <w:rPr>
          <w:rFonts w:ascii="宋体" w:hAnsi="宋体"/>
          <w:b/>
          <w:bCs/>
          <w:szCs w:val="21"/>
        </w:rPr>
      </w:pPr>
      <w:r>
        <w:rPr>
          <w:rFonts w:ascii="宋体" w:hAnsi="宋体" w:hint="eastAsia"/>
          <w:b/>
          <w:bCs/>
          <w:szCs w:val="21"/>
        </w:rPr>
        <w:t>37.1.1最低价法</w:t>
      </w:r>
    </w:p>
    <w:p>
      <w:pPr>
        <w:ind w:firstLine="412" w:firstLineChars="196"/>
        <w:rPr>
          <w:rFonts w:ascii="ˎ̥" w:hAnsi="ˎ̥"/>
        </w:rPr>
      </w:pPr>
      <w:bookmarkStart w:id="74" w:name="_Hlk72438142"/>
      <w:r>
        <w:rPr>
          <w:rFonts w:ascii="ˎ̥" w:hAnsi="ˎ̥"/>
        </w:rPr>
        <w:t>最低价法，是指</w:t>
      </w:r>
      <w:r>
        <w:rPr>
          <w:rFonts w:ascii="ˎ̥" w:hAnsi="ˎ̥" w:hint="eastAsia"/>
        </w:rPr>
        <w:t>完全</w:t>
      </w:r>
      <w:r>
        <w:rPr>
          <w:rFonts w:ascii="ˎ̥" w:hAnsi="ˎ̥"/>
        </w:rPr>
        <w:t>满足招标文件实质性要求，</w:t>
      </w:r>
      <w:r>
        <w:rPr>
          <w:rFonts w:ascii="ˎ̥" w:hAnsi="ˎ̥" w:hint="eastAsia"/>
        </w:rPr>
        <w:t>按照报价由低到高的顺序，依据招标文件中规定的数量或者比例推荐候选中标供应商。</w:t>
      </w:r>
    </w:p>
    <w:p>
      <w:pPr>
        <w:ind w:firstLine="412" w:firstLineChars="196"/>
        <w:rPr>
          <w:rFonts w:ascii="宋体" w:hAnsi="宋体"/>
          <w:b/>
          <w:bCs/>
          <w:szCs w:val="21"/>
        </w:rPr>
      </w:pPr>
      <w:r>
        <w:rPr>
          <w:rFonts w:ascii="宋体" w:hAnsi="宋体" w:hint="eastAsia"/>
          <w:b/>
          <w:bCs/>
          <w:szCs w:val="21"/>
        </w:rPr>
        <w:t>37.1.2综合评分法</w:t>
      </w:r>
    </w:p>
    <w:p>
      <w:pPr>
        <w:ind w:firstLine="412" w:firstLineChars="196"/>
      </w:pPr>
      <w:r>
        <w:rPr>
          <w:rFonts w:ascii="ˎ̥" w:hAnsi="ˎ̥"/>
        </w:rPr>
        <w:t>综合评分法，是指</w:t>
      </w:r>
      <w:r>
        <w:rPr>
          <w:rFonts w:ascii="ˎ̥" w:hAnsi="ˎ̥" w:hint="eastAsia"/>
        </w:rPr>
        <w:t>在</w:t>
      </w:r>
      <w:r>
        <w:rPr>
          <w:rFonts w:ascii="ˎ̥" w:hAnsi="ˎ̥"/>
        </w:rPr>
        <w:t>满足招标文件全部实质性要求</w:t>
      </w:r>
      <w:r>
        <w:rPr>
          <w:rFonts w:ascii="ˎ̥" w:hAnsi="ˎ̥" w:hint="eastAsia"/>
        </w:rPr>
        <w:t>的前提下</w:t>
      </w:r>
      <w:r>
        <w:rPr>
          <w:rFonts w:ascii="ˎ̥" w:hAnsi="ˎ̥"/>
        </w:rPr>
        <w:t>，</w:t>
      </w:r>
      <w:r>
        <w:rPr>
          <w:rFonts w:ascii="ˎ̥" w:hAnsi="ˎ̥" w:hint="eastAsia"/>
        </w:rPr>
        <w:t>按照招标文件中规定的各项因素进行综合评审，评审总得分排名前列的投标人，作为推荐的候选中标供应商。</w:t>
      </w:r>
      <w:bookmarkEnd w:id="74"/>
    </w:p>
    <w:p>
      <w:pPr>
        <w:ind w:firstLine="412" w:firstLineChars="196"/>
        <w:rPr>
          <w:rFonts w:ascii="宋体" w:hAnsi="宋体"/>
          <w:b/>
          <w:bCs/>
          <w:szCs w:val="21"/>
        </w:rPr>
      </w:pPr>
      <w:r>
        <w:rPr>
          <w:rFonts w:ascii="宋体" w:hAnsi="宋体" w:hint="eastAsia"/>
          <w:b/>
          <w:bCs/>
          <w:szCs w:val="21"/>
        </w:rPr>
        <w:t>37.2 本项目采用的评审方法见本项目招标文件第一册“专用条款”的相关内容。</w:t>
      </w:r>
    </w:p>
    <w:p>
      <w:pPr>
        <w:ind w:firstLine="412" w:firstLineChars="196"/>
        <w:rPr>
          <w:rFonts w:ascii="宋体" w:hAnsi="宋体"/>
          <w:b/>
          <w:bCs/>
          <w:szCs w:val="21"/>
        </w:rPr>
      </w:pPr>
      <w:r>
        <w:rPr>
          <w:rFonts w:ascii="宋体" w:hAnsi="宋体" w:hint="eastAsia"/>
          <w:b/>
          <w:bCs/>
          <w:szCs w:val="21"/>
        </w:rPr>
        <w:t>37.3重新评审的情形</w:t>
      </w:r>
    </w:p>
    <w:p>
      <w:pPr>
        <w:ind w:firstLine="412" w:firstLineChars="196"/>
        <w:rPr>
          <w:rFonts w:ascii="宋体" w:hAnsi="宋体"/>
          <w:b/>
          <w:bCs/>
          <w:szCs w:val="21"/>
        </w:rPr>
      </w:pPr>
      <w:r>
        <w:rPr>
          <w:rFonts w:ascii="宋体" w:hAnsi="宋体" w:cs="宋体" w:hint="eastAsia"/>
          <w:kern w:val="0"/>
          <w:szCs w:val="21"/>
        </w:rPr>
        <w:t>评审结果汇总完成后，除下列情形外，任何人不得修改评审结果：</w:t>
      </w:r>
    </w:p>
    <w:p>
      <w:pPr>
        <w:ind w:firstLine="412" w:firstLineChars="196"/>
        <w:rPr>
          <w:rFonts w:ascii="宋体" w:hAnsi="宋体" w:cs="宋体"/>
          <w:kern w:val="0"/>
          <w:szCs w:val="21"/>
        </w:rPr>
      </w:pPr>
      <w:r>
        <w:rPr>
          <w:rFonts w:ascii="宋体" w:hAnsi="宋体" w:cs="宋体" w:hint="eastAsia"/>
          <w:kern w:val="0"/>
          <w:szCs w:val="21"/>
        </w:rPr>
        <w:t>37.3.1分值汇总计算错误的；</w:t>
      </w:r>
    </w:p>
    <w:p>
      <w:pPr>
        <w:ind w:firstLine="412" w:firstLineChars="196"/>
        <w:rPr>
          <w:rFonts w:ascii="宋体" w:hAnsi="宋体" w:cs="宋体"/>
          <w:kern w:val="0"/>
          <w:szCs w:val="21"/>
        </w:rPr>
      </w:pPr>
      <w:r>
        <w:rPr>
          <w:rFonts w:ascii="宋体" w:hAnsi="宋体" w:cs="宋体" w:hint="eastAsia"/>
          <w:kern w:val="0"/>
          <w:szCs w:val="21"/>
        </w:rPr>
        <w:t>37.3.2分项评分超出评分标准范围的；</w:t>
      </w:r>
    </w:p>
    <w:p>
      <w:pPr>
        <w:ind w:firstLine="412" w:firstLineChars="196"/>
        <w:rPr>
          <w:rFonts w:ascii="宋体" w:hAnsi="宋体" w:cs="宋体"/>
          <w:kern w:val="0"/>
          <w:szCs w:val="21"/>
        </w:rPr>
      </w:pPr>
      <w:r>
        <w:rPr>
          <w:rFonts w:ascii="宋体" w:hAnsi="宋体" w:cs="宋体" w:hint="eastAsia"/>
          <w:kern w:val="0"/>
          <w:szCs w:val="21"/>
        </w:rPr>
        <w:t>37.3.3评审委员会成员对客观评审因素评分不一致的；</w:t>
      </w:r>
    </w:p>
    <w:p>
      <w:pPr>
        <w:ind w:firstLine="412" w:firstLineChars="196"/>
        <w:rPr>
          <w:rFonts w:ascii="宋体" w:hAnsi="宋体" w:cs="宋体"/>
          <w:kern w:val="0"/>
          <w:szCs w:val="21"/>
        </w:rPr>
      </w:pPr>
      <w:r>
        <w:rPr>
          <w:rFonts w:ascii="宋体" w:hAnsi="宋体" w:cs="宋体" w:hint="eastAsia"/>
          <w:kern w:val="0"/>
          <w:szCs w:val="21"/>
        </w:rPr>
        <w:t>37.3.4经评审委员会认定评分畸高、畸低的。</w:t>
      </w:r>
    </w:p>
    <w:p>
      <w:pPr>
        <w:ind w:firstLine="412" w:firstLineChars="196"/>
        <w:rPr>
          <w:rFonts w:ascii="宋体" w:hAnsi="宋体" w:cs="宋体"/>
          <w:kern w:val="0"/>
          <w:szCs w:val="21"/>
        </w:rPr>
      </w:pPr>
      <w:r>
        <w:rPr>
          <w:rFonts w:ascii="宋体" w:hAnsi="宋体" w:cs="宋体" w:hint="eastAsia"/>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pPr>
        <w:ind w:firstLine="412" w:firstLineChars="196"/>
        <w:rPr>
          <w:rFonts w:ascii="宋体" w:hAnsi="宋体" w:cs="宋体"/>
          <w:kern w:val="0"/>
          <w:szCs w:val="21"/>
        </w:rPr>
      </w:pPr>
      <w:r>
        <w:rPr>
          <w:rFonts w:ascii="宋体" w:hAnsi="宋体" w:cs="宋体" w:hint="eastAsia"/>
          <w:kern w:val="0"/>
          <w:szCs w:val="21"/>
        </w:rPr>
        <w:t>投标人对本条第一款情形提出质疑的，采购人或者采购代理机构可以组织原评审委员会进行重新评审，重新评审改变评审结果的，应当书面报告本级财政部门。</w:t>
      </w:r>
    </w:p>
    <w:p>
      <w:pPr>
        <w:ind w:firstLine="412" w:firstLineChars="196"/>
        <w:rPr>
          <w:rFonts w:ascii="宋体" w:hAnsi="宋体"/>
          <w:b/>
          <w:bCs/>
          <w:szCs w:val="21"/>
        </w:rPr>
      </w:pPr>
      <w:r>
        <w:rPr>
          <w:rFonts w:ascii="宋体" w:hAnsi="宋体" w:hint="eastAsia"/>
          <w:b/>
          <w:bCs/>
          <w:szCs w:val="21"/>
        </w:rPr>
        <w:t xml:space="preserve"> 37.4重新组建评审委员会的情形</w:t>
      </w:r>
    </w:p>
    <w:p>
      <w:pPr>
        <w:ind w:firstLine="412" w:firstLineChars="196"/>
        <w:rPr>
          <w:rFonts w:ascii="宋体" w:hAnsi="宋体" w:cs="宋体"/>
          <w:kern w:val="0"/>
          <w:szCs w:val="21"/>
        </w:rPr>
      </w:pPr>
      <w:r>
        <w:rPr>
          <w:rFonts w:ascii="宋体" w:hAnsi="宋体" w:cs="宋体" w:hint="eastAsia"/>
          <w:kern w:val="0"/>
          <w:szCs w:val="21"/>
        </w:rPr>
        <w:t>评审委员会或者其成员存在下列情形导致评审结果无效的，重新组建评审委员会进行评标，并书面报告本级财政部门：</w:t>
      </w:r>
    </w:p>
    <w:p>
      <w:pPr>
        <w:ind w:firstLine="412" w:firstLineChars="196"/>
        <w:rPr>
          <w:rFonts w:ascii="宋体" w:hAnsi="宋体" w:cs="宋体"/>
          <w:kern w:val="0"/>
          <w:szCs w:val="21"/>
        </w:rPr>
      </w:pPr>
      <w:r>
        <w:rPr>
          <w:rFonts w:ascii="宋体" w:hAnsi="宋体" w:cs="宋体" w:hint="eastAsia"/>
          <w:kern w:val="0"/>
          <w:szCs w:val="21"/>
        </w:rPr>
        <w:t>37.4.1评审委员会组成不符合《政府采购货物和服务招标投标管理办法》规定的；</w:t>
      </w:r>
    </w:p>
    <w:p>
      <w:pPr>
        <w:ind w:firstLine="412" w:firstLineChars="196"/>
        <w:rPr>
          <w:rFonts w:ascii="宋体" w:hAnsi="宋体" w:cs="宋体"/>
          <w:kern w:val="0"/>
          <w:szCs w:val="21"/>
        </w:rPr>
      </w:pPr>
      <w:r>
        <w:rPr>
          <w:rFonts w:ascii="宋体" w:hAnsi="宋体" w:cs="宋体" w:hint="eastAsia"/>
          <w:kern w:val="0"/>
          <w:szCs w:val="21"/>
        </w:rPr>
        <w:t>37.4.2有《政府采购货物和服务招标投标管理办法》第六十二条第一至五项情形的；</w:t>
      </w:r>
    </w:p>
    <w:p>
      <w:pPr>
        <w:ind w:firstLine="412" w:firstLineChars="196"/>
        <w:rPr>
          <w:rFonts w:ascii="宋体" w:hAnsi="宋体" w:cs="宋体"/>
          <w:kern w:val="0"/>
          <w:szCs w:val="21"/>
        </w:rPr>
      </w:pPr>
      <w:r>
        <w:rPr>
          <w:rFonts w:ascii="宋体" w:hAnsi="宋体" w:cs="宋体" w:hint="eastAsia"/>
          <w:kern w:val="0"/>
          <w:szCs w:val="21"/>
        </w:rPr>
        <w:t>37.4.3评审委员会及其成员独立评标受到非法干预的；</w:t>
      </w:r>
    </w:p>
    <w:p>
      <w:pPr>
        <w:ind w:firstLine="412" w:firstLineChars="196"/>
        <w:rPr>
          <w:rFonts w:ascii="宋体" w:hAnsi="宋体" w:cs="宋体"/>
          <w:kern w:val="0"/>
          <w:szCs w:val="21"/>
        </w:rPr>
      </w:pPr>
      <w:r>
        <w:rPr>
          <w:rFonts w:ascii="宋体" w:hAnsi="宋体" w:cs="宋体" w:hint="eastAsia"/>
          <w:kern w:val="0"/>
          <w:szCs w:val="21"/>
        </w:rPr>
        <w:t>37.4.4有政府采购法实施条例第七十五条规定的违法行为的。</w:t>
      </w:r>
    </w:p>
    <w:p>
      <w:pPr>
        <w:ind w:firstLine="412" w:firstLineChars="196"/>
        <w:rPr>
          <w:rFonts w:ascii="宋体" w:hAnsi="宋体" w:cs="宋体"/>
          <w:kern w:val="0"/>
          <w:szCs w:val="21"/>
        </w:rPr>
      </w:pPr>
      <w:r>
        <w:rPr>
          <w:rFonts w:ascii="宋体" w:hAnsi="宋体" w:cs="宋体" w:hint="eastAsia"/>
          <w:kern w:val="0"/>
          <w:szCs w:val="21"/>
        </w:rPr>
        <w:t>有违法违规行为的原评审委员会成员不得参加重新组建的评审委员会。</w:t>
      </w:r>
    </w:p>
    <w:p>
      <w:pPr>
        <w:ind w:firstLine="412" w:firstLineChars="196"/>
        <w:rPr>
          <w:rFonts w:ascii="宋体" w:hAnsi="宋体"/>
          <w:szCs w:val="21"/>
        </w:rPr>
      </w:pPr>
    </w:p>
    <w:p>
      <w:pPr>
        <w:pStyle w:val="Heading2"/>
        <w:numPr>
          <w:ilvl w:val="0"/>
          <w:numId w:val="9"/>
        </w:numPr>
        <w:spacing w:before="120" w:beforeLines="50" w:after="120" w:afterLines="50"/>
        <w:ind w:left="562" w:hanging="562"/>
        <w:rPr>
          <w:sz w:val="28"/>
          <w:szCs w:val="28"/>
        </w:rPr>
      </w:pPr>
      <w:r>
        <w:rPr>
          <w:rFonts w:hint="eastAsia"/>
          <w:sz w:val="28"/>
          <w:szCs w:val="28"/>
        </w:rPr>
        <w:t>定标及公示</w:t>
      </w:r>
    </w:p>
    <w:p>
      <w:pPr>
        <w:rPr>
          <w:rFonts w:ascii="黑体" w:eastAsia="黑体" w:hAnsi="宋体"/>
          <w:sz w:val="24"/>
        </w:rPr>
      </w:pPr>
      <w:r>
        <w:rPr>
          <w:rFonts w:ascii="黑体" w:eastAsia="黑体" w:hAnsi="宋体" w:hint="eastAsia"/>
          <w:sz w:val="24"/>
        </w:rPr>
        <w:t>38．定标方法</w:t>
      </w:r>
    </w:p>
    <w:p>
      <w:pPr>
        <w:ind w:firstLine="412" w:firstLineChars="196"/>
        <w:rPr>
          <w:rFonts w:ascii="宋体" w:hAnsi="宋体"/>
          <w:szCs w:val="21"/>
        </w:rPr>
      </w:pPr>
      <w:r>
        <w:rPr>
          <w:rFonts w:ascii="宋体" w:hAnsi="宋体" w:hint="eastAsia"/>
          <w:szCs w:val="21"/>
        </w:rPr>
        <w:t>38.1非评定分离项目定标方法</w:t>
      </w:r>
    </w:p>
    <w:p>
      <w:pPr>
        <w:ind w:firstLine="412" w:firstLineChars="196"/>
        <w:rPr>
          <w:rFonts w:ascii="宋体" w:hAnsi="宋体"/>
          <w:szCs w:val="21"/>
        </w:rPr>
      </w:pPr>
      <w:r>
        <w:rPr>
          <w:rFonts w:ascii="宋体" w:hAnsi="宋体" w:hint="eastAsia"/>
          <w:szCs w:val="21"/>
        </w:rPr>
        <w:t>38</w:t>
      </w:r>
      <w:r>
        <w:rPr>
          <w:rFonts w:ascii="宋体" w:hAnsi="宋体"/>
          <w:szCs w:val="21"/>
        </w:rPr>
        <w:t>.</w:t>
      </w:r>
      <w:r>
        <w:rPr>
          <w:rFonts w:ascii="宋体" w:hAnsi="宋体" w:hint="eastAsia"/>
          <w:szCs w:val="21"/>
        </w:rPr>
        <w:t>1.1评审委员会依据本项目招标文件所约定的评审方法进行评审和比较，向政府集中采购机构提交书面评审报告，并根据评审方法比较评价结果从优到劣进行排序，确定候选中标供应商。</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1.2</w:t>
      </w:r>
      <w:r>
        <w:rPr>
          <w:rFonts w:ascii="ˎ̥" w:hAnsi="ˎ̥"/>
        </w:rPr>
        <w:t>采用最低价法的，评</w:t>
      </w:r>
      <w:r>
        <w:rPr>
          <w:rFonts w:ascii="ˎ̥" w:hAnsi="ˎ̥" w:hint="eastAsia"/>
        </w:rPr>
        <w:t>审</w:t>
      </w:r>
      <w:r>
        <w:rPr>
          <w:rFonts w:ascii="ˎ̥" w:hAnsi="ˎ̥"/>
        </w:rPr>
        <w:t>结果按投标报价由低到高顺序排列。投标报价相同的并列。投标文件满足招标文件全部实质性要求且投标报价最低的</w:t>
      </w:r>
      <w:r>
        <w:rPr>
          <w:rFonts w:ascii="ˎ̥" w:hAnsi="ˎ̥" w:hint="eastAsia"/>
        </w:rPr>
        <w:t>投标人为中标供应商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p>
    <w:p>
      <w:pPr>
        <w:ind w:firstLine="412" w:firstLineChars="196"/>
        <w:rPr>
          <w:rFonts w:ascii="ˎ̥" w:hAnsi="ˎ̥"/>
        </w:rPr>
      </w:pPr>
      <w:r>
        <w:rPr>
          <w:rFonts w:ascii="宋体" w:hAnsi="宋体" w:hint="eastAsia"/>
          <w:szCs w:val="21"/>
        </w:rPr>
        <w:t>38</w:t>
      </w:r>
      <w:r>
        <w:rPr>
          <w:rFonts w:ascii="宋体" w:hAnsi="宋体"/>
          <w:szCs w:val="21"/>
        </w:rPr>
        <w:t>.</w:t>
      </w:r>
      <w:r>
        <w:rPr>
          <w:rFonts w:ascii="宋体" w:hAnsi="宋体" w:hint="eastAsia"/>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ascii="ˎ̥" w:hAnsi="ˎ̥" w:hint="eastAsia"/>
        </w:rPr>
        <w:t>为中标供应商</w:t>
      </w:r>
      <w:r>
        <w:rPr>
          <w:rFonts w:ascii="ˎ̥" w:hAnsi="ˎ̥"/>
        </w:rPr>
        <w:t>（</w:t>
      </w:r>
      <w:r>
        <w:rPr>
          <w:rFonts w:ascii="ˎ̥" w:hAnsi="ˎ̥" w:hint="eastAsia"/>
        </w:rPr>
        <w:t>排名</w:t>
      </w:r>
      <w:r>
        <w:rPr>
          <w:rFonts w:ascii="ˎ̥" w:hAnsi="ˎ̥"/>
        </w:rPr>
        <w:t>第二</w:t>
      </w:r>
      <w:r>
        <w:rPr>
          <w:rFonts w:ascii="ˎ̥" w:hAnsi="ˎ̥" w:hint="eastAsia"/>
        </w:rPr>
        <w:t>的投标人为第一替补中标候选人、排名</w:t>
      </w:r>
      <w:r>
        <w:rPr>
          <w:rFonts w:ascii="ˎ̥" w:hAnsi="ˎ̥"/>
        </w:rPr>
        <w:t>第</w:t>
      </w:r>
      <w:r>
        <w:rPr>
          <w:rFonts w:ascii="ˎ̥" w:hAnsi="ˎ̥" w:hint="eastAsia"/>
        </w:rPr>
        <w:t>三的投标人为第二替补中标候选人</w:t>
      </w:r>
      <w:r>
        <w:rPr>
          <w:rFonts w:ascii="ˎ̥" w:hAnsi="ˎ̥"/>
        </w:rPr>
        <w:t>）。</w:t>
      </w:r>
      <w:r>
        <w:rPr>
          <w:rFonts w:ascii="ˎ̥" w:hAnsi="ˎ̥" w:hint="eastAsia"/>
        </w:rPr>
        <w:t>出现</w:t>
      </w:r>
      <w:r>
        <w:rPr>
          <w:rFonts w:ascii="ˎ̥" w:hAnsi="ˎ̥"/>
        </w:rPr>
        <w:t>得分且投标报价相同的并列</w:t>
      </w:r>
      <w:r>
        <w:rPr>
          <w:rFonts w:ascii="ˎ̥" w:hAnsi="ˎ̥" w:hint="eastAsia"/>
        </w:rPr>
        <w:t>情况时，采取随机抽取的方式确定，具体操作办法及流程由评审委员会确定。</w:t>
      </w:r>
    </w:p>
    <w:p>
      <w:pPr>
        <w:ind w:firstLine="412" w:firstLineChars="196"/>
        <w:rPr>
          <w:rFonts w:ascii="宋体" w:hAnsi="宋体"/>
          <w:szCs w:val="21"/>
        </w:rPr>
      </w:pPr>
      <w:r>
        <w:rPr>
          <w:rFonts w:ascii="宋体" w:hAnsi="宋体" w:hint="eastAsia"/>
          <w:szCs w:val="21"/>
        </w:rPr>
        <w:t>38.2评定分离项目定标方法</w:t>
      </w:r>
    </w:p>
    <w:p>
      <w:pPr>
        <w:ind w:firstLine="412" w:firstLineChars="196"/>
        <w:rPr>
          <w:rFonts w:ascii="宋体" w:hAnsi="宋体"/>
          <w:szCs w:val="21"/>
        </w:rPr>
      </w:pPr>
      <w:r>
        <w:rPr>
          <w:rFonts w:ascii="宋体" w:hAnsi="宋体" w:hint="eastAsia"/>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pPr>
        <w:ind w:firstLine="412" w:firstLineChars="196"/>
      </w:pPr>
      <w:r>
        <w:rPr>
          <w:rFonts w:ascii="宋体" w:hAnsi="宋体"/>
          <w:szCs w:val="21"/>
        </w:rPr>
        <w:t xml:space="preserve">38.2.2 </w:t>
      </w:r>
      <w:bookmarkStart w:id="75" w:name="_Hlk71469733"/>
      <w:r>
        <w:t>适用评定分离的政府采购项目，采用综合评分法评</w:t>
      </w:r>
      <w:r>
        <w:rPr>
          <w:rFonts w:hint="eastAsia"/>
        </w:rPr>
        <w:t>审。</w:t>
      </w:r>
      <w:r>
        <w:rPr>
          <w:rFonts w:ascii="宋体" w:hAnsi="宋体" w:hint="eastAsia"/>
          <w:szCs w:val="21"/>
        </w:rPr>
        <w:t>评审委员会按照评审结果，推荐</w:t>
      </w:r>
      <w:r>
        <w:t>三个合格的候选中标供应商。</w:t>
      </w:r>
    </w:p>
    <w:p>
      <w:pPr>
        <w:ind w:firstLine="412" w:firstLineChars="196"/>
        <w:rPr>
          <w:rFonts w:ascii="宋体" w:hAnsi="宋体"/>
          <w:szCs w:val="21"/>
        </w:rPr>
      </w:pPr>
      <w:r>
        <w:rPr>
          <w:rFonts w:ascii="宋体" w:hAnsi="宋体" w:hint="eastAsia"/>
          <w:szCs w:val="21"/>
        </w:rPr>
        <w:t>38.2.3</w:t>
      </w:r>
      <w:bookmarkStart w:id="76" w:name="_Hlk71469688"/>
      <w:r>
        <w:t>适用评定分离的政府采购项目，</w:t>
      </w:r>
      <w:r>
        <w:rPr>
          <w:rFonts w:ascii="宋体" w:hAnsi="宋体" w:hint="eastAsia"/>
          <w:szCs w:val="21"/>
        </w:rPr>
        <w:t>按照自定法确定中标供应商：自定法是指采购人组织定标委员会，由定标委员会在三家候选中标供应商中确定中标供应商。</w:t>
      </w:r>
      <w:bookmarkEnd w:id="75"/>
      <w:bookmarkEnd w:id="76"/>
    </w:p>
    <w:p>
      <w:pPr>
        <w:ind w:firstLine="412" w:firstLineChars="196"/>
        <w:rPr>
          <w:rFonts w:ascii="宋体" w:hAnsi="宋体"/>
          <w:szCs w:val="21"/>
        </w:rPr>
      </w:pPr>
      <w:r>
        <w:rPr>
          <w:rFonts w:ascii="宋体" w:hAnsi="宋体"/>
          <w:szCs w:val="21"/>
        </w:rPr>
        <w:t>38.2.4</w:t>
      </w:r>
      <w:r>
        <w:rPr>
          <w:rFonts w:ascii="宋体" w:hAnsi="宋体" w:hint="eastAsia"/>
          <w:szCs w:val="21"/>
        </w:rPr>
        <w:t>政府集中采购机构</w:t>
      </w:r>
      <w:r>
        <w:t>应当自评审结束之日起两个工作日内将候选中标供应商名单及其投标文件、评审报告送交采购人</w:t>
      </w:r>
      <w:r>
        <w:rPr>
          <w:rFonts w:ascii="宋体" w:hAnsi="宋体" w:hint="eastAsia"/>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w:t>
      </w:r>
      <w:r>
        <w:t>深圳市财政局关于印发</w:t>
      </w:r>
      <w:r>
        <w:rPr>
          <w:rFonts w:ascii="宋体" w:hAnsi="宋体" w:hint="eastAsia"/>
        </w:rPr>
        <w:t>〈</w:t>
      </w:r>
      <w:r>
        <w:t>深圳市政府采购评标定标分离管理办法</w:t>
      </w:r>
      <w:r>
        <w:rPr>
          <w:rFonts w:ascii="宋体" w:hAnsi="宋体" w:hint="eastAsia"/>
        </w:rPr>
        <w:t>〉</w:t>
      </w:r>
      <w:r>
        <w:t>的通知</w:t>
      </w:r>
      <w:r>
        <w:rPr>
          <w:rFonts w:hint="eastAsia"/>
        </w:rPr>
        <w:t>》（深财规【2</w:t>
      </w:r>
      <w:r>
        <w:t>020</w:t>
      </w:r>
      <w:r>
        <w:rPr>
          <w:rFonts w:hint="eastAsia"/>
        </w:rPr>
        <w:t>】1号）执行。</w:t>
      </w:r>
    </w:p>
    <w:p>
      <w:pPr>
        <w:ind w:firstLine="412" w:firstLineChars="196"/>
        <w:rPr>
          <w:rFonts w:ascii="宋体" w:hAnsi="宋体"/>
          <w:szCs w:val="21"/>
        </w:rPr>
      </w:pPr>
      <w:r>
        <w:rPr>
          <w:rFonts w:ascii="宋体" w:hAnsi="宋体" w:hint="eastAsia"/>
          <w:szCs w:val="21"/>
        </w:rPr>
        <w:t>说明：采购人及投标供应商应按照上述方法提前做好相关准备。</w:t>
      </w:r>
    </w:p>
    <w:p>
      <w:pPr>
        <w:ind w:firstLine="412" w:firstLineChars="196"/>
        <w:rPr>
          <w:rFonts w:ascii="宋体" w:hAnsi="宋体"/>
          <w:szCs w:val="21"/>
        </w:rPr>
      </w:pPr>
      <w:r>
        <w:rPr>
          <w:rFonts w:ascii="宋体" w:hAnsi="宋体" w:hint="eastAsia"/>
          <w:szCs w:val="21"/>
        </w:rPr>
        <w:t>38.3专用条款另有规定的，按专用条款相关要求定标。</w:t>
      </w:r>
    </w:p>
    <w:p>
      <w:pPr>
        <w:rPr>
          <w:rFonts w:ascii="黑体" w:eastAsia="黑体" w:hAnsi="宋体"/>
          <w:sz w:val="24"/>
        </w:rPr>
      </w:pPr>
      <w:r>
        <w:rPr>
          <w:rFonts w:ascii="黑体" w:eastAsia="黑体" w:hAnsi="宋体" w:hint="eastAsia"/>
          <w:sz w:val="24"/>
        </w:rPr>
        <w:t>39．编写评审报告</w:t>
      </w:r>
    </w:p>
    <w:p>
      <w:pPr>
        <w:ind w:firstLine="412" w:firstLineChars="196"/>
        <w:rPr>
          <w:rFonts w:ascii="宋体" w:hAnsi="宋体"/>
          <w:szCs w:val="21"/>
        </w:rPr>
      </w:pPr>
      <w:r>
        <w:rPr>
          <w:rFonts w:ascii="宋体" w:hAnsi="宋体" w:hint="eastAsia"/>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pPr>
        <w:rPr>
          <w:rFonts w:ascii="黑体" w:eastAsia="黑体" w:hAnsi="宋体"/>
          <w:sz w:val="24"/>
        </w:rPr>
      </w:pPr>
      <w:r>
        <w:rPr>
          <w:rFonts w:ascii="黑体" w:eastAsia="黑体" w:hAnsi="宋体" w:hint="eastAsia"/>
          <w:sz w:val="24"/>
        </w:rPr>
        <w:t>40．中标公告</w:t>
      </w:r>
    </w:p>
    <w:p>
      <w:pPr>
        <w:ind w:firstLine="412" w:firstLineChars="196"/>
        <w:rPr>
          <w:rFonts w:ascii="宋体" w:hAnsi="宋体"/>
          <w:szCs w:val="21"/>
        </w:rPr>
      </w:pPr>
      <w:r>
        <w:rPr>
          <w:rFonts w:ascii="宋体" w:hAnsi="宋体" w:hint="eastAsia"/>
          <w:szCs w:val="21"/>
        </w:rPr>
        <w:t>40.1</w:t>
      </w:r>
      <w:bookmarkStart w:id="77" w:name="_Hlk72438709"/>
      <w:r>
        <w:rPr>
          <w:rFonts w:ascii="宋体" w:hAnsi="宋体" w:hint="eastAsia"/>
          <w:szCs w:val="21"/>
        </w:rPr>
        <w:t>为体现“公开、公平、公正”的原则，评审结束后经采购人确认（确定）评审结果，政府集中采购机构将在</w:t>
      </w:r>
      <w:r>
        <w:rPr>
          <w:rFonts w:ascii="宋体" w:hAnsi="宋体" w:hint="eastAsia"/>
          <w:b/>
          <w:bCs/>
          <w:szCs w:val="21"/>
        </w:rPr>
        <w:t>“深圳公共资源交易网（https://szggzy.com/）”</w:t>
      </w:r>
      <w:r>
        <w:rPr>
          <w:rFonts w:ascii="宋体" w:hAnsi="宋体" w:hint="eastAsia"/>
          <w:szCs w:val="21"/>
        </w:rPr>
        <w:t>上发布中标结果公告。</w:t>
      </w:r>
      <w:bookmarkEnd w:id="77"/>
      <w:bookmarkStart w:id="78" w:name="_Hlk72438751"/>
      <w:r>
        <w:rPr>
          <w:rFonts w:ascii="宋体" w:hAnsi="宋体" w:hint="eastAsia"/>
          <w:szCs w:val="21"/>
        </w:rPr>
        <w:t>供应商如对评审结果有异议，</w:t>
      </w:r>
      <w:r>
        <w:rPr>
          <w:rFonts w:ascii="宋体" w:hAnsi="宋体"/>
          <w:szCs w:val="21"/>
        </w:rPr>
        <w:t>可在发布公示日期起</w:t>
      </w:r>
      <w:r>
        <w:rPr>
          <w:rFonts w:ascii="宋体" w:hAnsi="宋体" w:hint="eastAsia"/>
          <w:szCs w:val="21"/>
        </w:rPr>
        <w:t>七</w:t>
      </w:r>
      <w:r>
        <w:rPr>
          <w:rFonts w:ascii="宋体" w:hAnsi="宋体"/>
          <w:szCs w:val="21"/>
        </w:rPr>
        <w:t>个工作日内向</w:t>
      </w:r>
      <w:r>
        <w:rPr>
          <w:rFonts w:ascii="宋体" w:hAnsi="宋体" w:hint="eastAsia"/>
          <w:szCs w:val="21"/>
        </w:rPr>
        <w:t>政府集中采购机构</w:t>
      </w:r>
      <w:r>
        <w:rPr>
          <w:rFonts w:ascii="宋体" w:hAnsi="宋体"/>
          <w:szCs w:val="21"/>
        </w:rPr>
        <w:t>提出。 监督电话：0755-83948143。</w:t>
      </w:r>
      <w:r>
        <w:rPr>
          <w:rFonts w:ascii="宋体" w:hAnsi="宋体" w:hint="eastAsia"/>
          <w:szCs w:val="21"/>
        </w:rPr>
        <w:t>若在公示期内未提出质疑，则视为认同该评审结果。</w:t>
      </w:r>
    </w:p>
    <w:p>
      <w:pPr>
        <w:ind w:firstLine="412" w:firstLineChars="196"/>
        <w:rPr>
          <w:rFonts w:ascii="宋体" w:hAnsi="宋体"/>
          <w:szCs w:val="21"/>
        </w:rPr>
      </w:pPr>
      <w:bookmarkEnd w:id="78"/>
      <w:r>
        <w:rPr>
          <w:rFonts w:ascii="宋体" w:hAnsi="宋体" w:hint="eastAsia"/>
          <w:szCs w:val="21"/>
        </w:rPr>
        <w:t>40.2质疑、投诉供应商应保证质疑、投诉内容的真实性和可靠性，并承担相应的法律责任。</w:t>
      </w:r>
    </w:p>
    <w:p>
      <w:pPr>
        <w:rPr>
          <w:rFonts w:ascii="黑体" w:eastAsia="黑体" w:hAnsi="宋体"/>
          <w:sz w:val="24"/>
        </w:rPr>
      </w:pPr>
      <w:r>
        <w:rPr>
          <w:rFonts w:ascii="黑体" w:eastAsia="黑体" w:hAnsi="宋体" w:hint="eastAsia"/>
          <w:sz w:val="24"/>
        </w:rPr>
        <w:t>41．中标通知书</w:t>
      </w:r>
    </w:p>
    <w:p>
      <w:pPr>
        <w:ind w:firstLine="412" w:firstLineChars="196"/>
        <w:rPr>
          <w:rFonts w:ascii="宋体" w:hAnsi="宋体"/>
          <w:szCs w:val="21"/>
        </w:rPr>
      </w:pPr>
      <w:r>
        <w:rPr>
          <w:rFonts w:ascii="宋体" w:hAnsi="宋体" w:hint="eastAsia"/>
          <w:szCs w:val="21"/>
        </w:rPr>
        <w:t>41</w:t>
      </w:r>
      <w:r>
        <w:rPr>
          <w:rFonts w:ascii="宋体" w:hAnsi="宋体"/>
          <w:szCs w:val="21"/>
        </w:rPr>
        <w:t>.</w:t>
      </w:r>
      <w:r>
        <w:rPr>
          <w:rFonts w:ascii="宋体" w:hAnsi="宋体" w:hint="eastAsia"/>
          <w:szCs w:val="21"/>
        </w:rPr>
        <w:t>1</w:t>
      </w:r>
      <w:bookmarkStart w:id="79" w:name="_Hlk72438863"/>
      <w:r>
        <w:rPr>
          <w:rFonts w:ascii="宋体" w:hAnsi="宋体" w:hint="eastAsia"/>
          <w:szCs w:val="21"/>
        </w:rPr>
        <w:t>中标公告公布以后无异常的情况下,中标供应商和采购人可自行在</w:t>
      </w:r>
      <w:r>
        <w:rPr>
          <w:rFonts w:ascii="宋体" w:hAnsi="宋体" w:hint="eastAsia"/>
          <w:b/>
          <w:bCs/>
          <w:szCs w:val="21"/>
        </w:rPr>
        <w:t>“深圳政府采购智慧平台（http://zfcg.szggzy.com/）”</w:t>
      </w:r>
      <w:r>
        <w:rPr>
          <w:rFonts w:ascii="宋体" w:hAnsi="宋体" w:hint="eastAsia"/>
          <w:szCs w:val="21"/>
        </w:rPr>
        <w:t>上打印</w:t>
      </w:r>
      <w:r>
        <w:rPr>
          <w:rFonts w:ascii="宋体" w:hAnsi="宋体" w:hint="eastAsia"/>
          <w:b/>
          <w:szCs w:val="21"/>
        </w:rPr>
        <w:t>《数字中标通知书》</w:t>
      </w:r>
      <w:r>
        <w:rPr>
          <w:rFonts w:ascii="宋体" w:hAnsi="宋体" w:hint="eastAsia"/>
          <w:szCs w:val="21"/>
        </w:rPr>
        <w:t>。</w:t>
      </w:r>
      <w:bookmarkEnd w:id="79"/>
    </w:p>
    <w:p>
      <w:pPr>
        <w:ind w:firstLine="412" w:firstLineChars="196"/>
        <w:rPr>
          <w:rFonts w:ascii="宋体" w:hAnsi="宋体"/>
          <w:szCs w:val="21"/>
        </w:rPr>
      </w:pPr>
      <w:r>
        <w:rPr>
          <w:rFonts w:ascii="宋体" w:hAnsi="宋体" w:hint="eastAsia"/>
          <w:szCs w:val="21"/>
        </w:rPr>
        <w:t>41</w:t>
      </w:r>
      <w:r>
        <w:rPr>
          <w:rFonts w:ascii="宋体" w:hAnsi="宋体"/>
          <w:szCs w:val="21"/>
        </w:rPr>
        <w:t>.2</w:t>
      </w:r>
      <w:r>
        <w:rPr>
          <w:rFonts w:ascii="宋体" w:hAnsi="宋体" w:hint="eastAsia"/>
          <w:szCs w:val="21"/>
        </w:rPr>
        <w:t>中标通知书是合同的重要组成部分。</w:t>
      </w:r>
    </w:p>
    <w:p>
      <w:pPr>
        <w:ind w:firstLine="412" w:firstLineChars="196"/>
        <w:rPr>
          <w:rFonts w:ascii="宋体" w:hAnsi="宋体"/>
          <w:szCs w:val="21"/>
        </w:rPr>
      </w:pPr>
      <w:bookmarkStart w:id="80" w:name="_Hlk71407340"/>
      <w:r>
        <w:rPr>
          <w:rFonts w:ascii="宋体" w:hAnsi="宋体" w:hint="eastAsia"/>
          <w:szCs w:val="21"/>
        </w:rPr>
        <w:t>41.3因质疑投诉或其它原因导致项目结果变更或采购终止的，政府集中采购机构有权吊销中标通知书。</w:t>
      </w:r>
    </w:p>
    <w:p>
      <w:pPr>
        <w:ind w:firstLine="412" w:firstLineChars="196"/>
        <w:rPr>
          <w:rFonts w:ascii="宋体" w:hAnsi="宋体"/>
          <w:szCs w:val="21"/>
        </w:rPr>
      </w:pPr>
      <w:bookmarkEnd w:id="80"/>
    </w:p>
    <w:p>
      <w:pPr>
        <w:pStyle w:val="Heading2"/>
        <w:numPr>
          <w:ilvl w:val="0"/>
          <w:numId w:val="9"/>
        </w:numPr>
        <w:spacing w:before="120" w:beforeLines="50" w:after="120" w:afterLines="50"/>
        <w:ind w:left="562" w:hanging="562"/>
        <w:rPr>
          <w:sz w:val="28"/>
          <w:szCs w:val="28"/>
        </w:rPr>
      </w:pPr>
      <w:r>
        <w:rPr>
          <w:rFonts w:hint="eastAsia"/>
          <w:sz w:val="28"/>
          <w:szCs w:val="28"/>
        </w:rPr>
        <w:t>公开招标失败的后续处理</w:t>
      </w:r>
    </w:p>
    <w:p>
      <w:pPr>
        <w:rPr>
          <w:rFonts w:ascii="黑体" w:eastAsia="黑体" w:hAnsi="宋体"/>
          <w:sz w:val="24"/>
        </w:rPr>
      </w:pPr>
      <w:r>
        <w:rPr>
          <w:rFonts w:ascii="黑体" w:eastAsia="黑体" w:hAnsi="宋体" w:hint="eastAsia"/>
          <w:sz w:val="24"/>
        </w:rPr>
        <w:t>42．公开招标失败的处理</w:t>
      </w:r>
    </w:p>
    <w:p>
      <w:pPr>
        <w:ind w:firstLine="412" w:firstLineChars="196"/>
        <w:rPr>
          <w:rFonts w:ascii="宋体" w:hAnsi="宋体"/>
        </w:rPr>
      </w:pPr>
      <w:r>
        <w:rPr>
          <w:rFonts w:ascii="宋体" w:hAnsi="宋体" w:hint="eastAsia"/>
          <w:szCs w:val="21"/>
        </w:rPr>
        <w:t>42.1本项目公开招标过程中若由于投标截止后</w:t>
      </w:r>
      <w:r>
        <w:rPr>
          <w:rFonts w:ascii="宋体" w:hAnsi="宋体" w:hint="eastAsia"/>
        </w:rPr>
        <w:t>实际递交</w:t>
      </w:r>
      <w:r>
        <w:rPr>
          <w:rFonts w:ascii="宋体" w:hAnsi="宋体"/>
        </w:rPr>
        <w:t>投标</w:t>
      </w:r>
      <w:r>
        <w:rPr>
          <w:rFonts w:ascii="宋体" w:hAnsi="宋体" w:hint="eastAsia"/>
        </w:rPr>
        <w:t>文件的供应商数量不足、经</w:t>
      </w:r>
      <w:r>
        <w:rPr>
          <w:rFonts w:ascii="宋体" w:hAnsi="宋体" w:hint="eastAsia"/>
          <w:szCs w:val="21"/>
        </w:rPr>
        <w:t>评审委员会</w:t>
      </w:r>
      <w:r>
        <w:rPr>
          <w:rFonts w:ascii="宋体" w:hAnsi="宋体" w:hint="eastAsia"/>
        </w:rPr>
        <w:t>评审对招标文件作实质响应的供应商不足等原因造成公开招标失败，可由</w:t>
      </w:r>
      <w:r>
        <w:rPr>
          <w:rFonts w:ascii="宋体" w:hAnsi="宋体" w:cs="宋体" w:hint="eastAsia"/>
        </w:rPr>
        <w:t>政府集中采购机构</w:t>
      </w:r>
      <w:r>
        <w:rPr>
          <w:rFonts w:ascii="宋体" w:hAnsi="宋体" w:hint="eastAsia"/>
        </w:rPr>
        <w:t>重新组织采购。</w:t>
      </w:r>
    </w:p>
    <w:p>
      <w:pPr>
        <w:ind w:firstLine="412" w:firstLineChars="196"/>
        <w:rPr>
          <w:rFonts w:ascii="宋体" w:hAnsi="宋体"/>
          <w:szCs w:val="21"/>
        </w:rPr>
      </w:pPr>
      <w:r>
        <w:rPr>
          <w:rFonts w:ascii="宋体" w:hAnsi="宋体" w:hint="eastAsia"/>
          <w:szCs w:val="21"/>
        </w:rPr>
        <w:t>42.2对公开招标失败的项目，评审委员会在出具该项目招标失败结论的同时，可以提出重新采购组织形式的建议，以及进一步完善招标文件的资格、技术、商务要求的修改建议。</w:t>
      </w:r>
    </w:p>
    <w:p>
      <w:pPr>
        <w:ind w:firstLine="412" w:firstLineChars="196"/>
        <w:rPr>
          <w:rFonts w:ascii="宋体" w:hAnsi="宋体"/>
          <w:szCs w:val="21"/>
        </w:rPr>
      </w:pPr>
      <w:r>
        <w:rPr>
          <w:rFonts w:ascii="宋体" w:hAnsi="宋体" w:hint="eastAsia"/>
          <w:szCs w:val="21"/>
        </w:rPr>
        <w:t>42.3重新组织采购有以下两种组织形式：</w:t>
      </w:r>
    </w:p>
    <w:p>
      <w:pPr>
        <w:ind w:firstLine="412" w:firstLineChars="196"/>
        <w:rPr>
          <w:rFonts w:ascii="宋体" w:hAnsi="宋体"/>
        </w:rPr>
      </w:pPr>
      <w:r>
        <w:rPr>
          <w:rFonts w:ascii="宋体" w:hAnsi="宋体" w:hint="eastAsia"/>
        </w:rPr>
        <w:t>（1）由政府集中采购机构重新组织公开招标；</w:t>
      </w:r>
    </w:p>
    <w:p>
      <w:pPr>
        <w:ind w:firstLine="412" w:firstLineChars="196"/>
        <w:rPr>
          <w:rFonts w:ascii="宋体" w:hAnsi="宋体"/>
        </w:rPr>
      </w:pPr>
      <w:r>
        <w:rPr>
          <w:rFonts w:ascii="宋体" w:hAnsi="宋体" w:hint="eastAsia"/>
        </w:rPr>
        <w:t>（2）根据实际情况需要向同级财政部门提出非公开招标方式申请，经同级财政部门批准，公开招标失败采购项目可转为竞争性谈判或单一来源谈判方式采购。</w:t>
      </w:r>
    </w:p>
    <w:p>
      <w:pPr>
        <w:ind w:firstLine="412" w:firstLineChars="196"/>
        <w:rPr>
          <w:rFonts w:ascii="宋体" w:hAnsi="宋体" w:hint="eastAsia"/>
        </w:rPr>
      </w:pPr>
      <w:r>
        <w:rPr>
          <w:rFonts w:ascii="宋体" w:hAnsi="宋体" w:hint="eastAsia"/>
        </w:rPr>
        <w:t>42.4公开招标失败的采购项目重新组织公开招标，由政府集中采购机构重新按公开招标流程组织采购活动。</w:t>
      </w:r>
    </w:p>
    <w:p>
      <w:pPr>
        <w:ind w:firstLine="412" w:firstLineChars="196"/>
        <w:rPr>
          <w:rFonts w:ascii="宋体" w:hAnsi="宋体"/>
        </w:rPr>
      </w:pPr>
      <w:r>
        <w:rPr>
          <w:rFonts w:ascii="宋体" w:hAnsi="宋体" w:hint="eastAsia"/>
        </w:rPr>
        <w:t>42.5公开招标失败的采购项目经同级财政部门批准转为竞争性谈判或单一来源谈判方式采购的，按规定要求组织政府采购工作。</w:t>
      </w:r>
    </w:p>
    <w:p>
      <w:pPr>
        <w:rPr>
          <w:rFonts w:ascii="黑体" w:eastAsia="黑体" w:hAnsi="宋体"/>
          <w:sz w:val="24"/>
        </w:rPr>
      </w:pPr>
    </w:p>
    <w:p>
      <w:pPr>
        <w:pStyle w:val="Heading2"/>
        <w:numPr>
          <w:ilvl w:val="0"/>
          <w:numId w:val="9"/>
        </w:numPr>
        <w:spacing w:before="120" w:beforeLines="50" w:after="120" w:afterLines="50"/>
        <w:ind w:left="562" w:hanging="562"/>
        <w:rPr>
          <w:sz w:val="28"/>
          <w:szCs w:val="28"/>
        </w:rPr>
      </w:pPr>
      <w:bookmarkStart w:id="81" w:name="_Hlk72439043"/>
      <w:r>
        <w:rPr>
          <w:rFonts w:hint="eastAsia"/>
          <w:sz w:val="28"/>
          <w:szCs w:val="28"/>
        </w:rPr>
        <w:t>合同的授予与备案</w:t>
      </w:r>
      <w:bookmarkEnd w:id="81"/>
    </w:p>
    <w:p>
      <w:pPr>
        <w:rPr>
          <w:rFonts w:ascii="黑体" w:eastAsia="黑体" w:hAnsi="宋体"/>
          <w:sz w:val="24"/>
        </w:rPr>
      </w:pPr>
      <w:bookmarkStart w:id="82" w:name="_Toc73521674"/>
      <w:bookmarkStart w:id="83" w:name="_Toc73521586"/>
      <w:bookmarkStart w:id="84" w:name="_Toc73517679"/>
      <w:bookmarkStart w:id="85" w:name="_Toc100052408"/>
      <w:bookmarkStart w:id="86" w:name="_Toc73518157"/>
      <w:bookmarkStart w:id="87" w:name="_Hlk72439088"/>
      <w:r>
        <w:rPr>
          <w:rFonts w:ascii="黑体" w:eastAsia="黑体" w:hAnsi="宋体" w:hint="eastAsia"/>
          <w:sz w:val="24"/>
        </w:rPr>
        <w:t>43．合同授予标准</w:t>
      </w:r>
      <w:bookmarkEnd w:id="82"/>
      <w:bookmarkEnd w:id="83"/>
      <w:bookmarkEnd w:id="84"/>
      <w:bookmarkEnd w:id="85"/>
      <w:bookmarkEnd w:id="86"/>
    </w:p>
    <w:p>
      <w:pPr>
        <w:ind w:firstLine="412" w:firstLineChars="196"/>
        <w:rPr>
          <w:rFonts w:ascii="宋体" w:hAnsi="宋体"/>
          <w:szCs w:val="21"/>
        </w:rPr>
      </w:pPr>
      <w:r>
        <w:rPr>
          <w:rFonts w:ascii="宋体" w:hAnsi="宋体" w:hint="eastAsia"/>
          <w:szCs w:val="21"/>
        </w:rPr>
        <w:t>本项目的合同将授予经本招标文件规定评审确定的中标供应商。</w:t>
      </w:r>
    </w:p>
    <w:p>
      <w:pPr>
        <w:rPr>
          <w:rFonts w:ascii="黑体" w:eastAsia="黑体" w:hAnsi="宋体"/>
          <w:sz w:val="24"/>
        </w:rPr>
      </w:pPr>
      <w:bookmarkStart w:id="88" w:name="_Toc73521675"/>
      <w:bookmarkStart w:id="89" w:name="_Toc73517680"/>
      <w:bookmarkStart w:id="90" w:name="_Toc100052409"/>
      <w:bookmarkStart w:id="91" w:name="_Toc73518158"/>
      <w:bookmarkStart w:id="92" w:name="_Toc73521587"/>
      <w:r>
        <w:rPr>
          <w:rFonts w:ascii="黑体" w:eastAsia="黑体" w:hAnsi="宋体" w:hint="eastAsia"/>
          <w:sz w:val="24"/>
        </w:rPr>
        <w:t>44．</w:t>
      </w:r>
      <w:bookmarkEnd w:id="88"/>
      <w:bookmarkEnd w:id="89"/>
      <w:bookmarkEnd w:id="90"/>
      <w:bookmarkEnd w:id="91"/>
      <w:bookmarkEnd w:id="92"/>
      <w:r>
        <w:rPr>
          <w:rFonts w:ascii="黑体" w:eastAsia="黑体" w:hAnsi="宋体" w:hint="eastAsia"/>
          <w:sz w:val="24"/>
        </w:rPr>
        <w:t>接受和拒绝任何或所有投标的权力</w:t>
      </w:r>
    </w:p>
    <w:p>
      <w:pPr>
        <w:ind w:firstLine="412" w:firstLineChars="196"/>
        <w:rPr>
          <w:rFonts w:ascii="宋体" w:hAnsi="宋体"/>
          <w:szCs w:val="21"/>
        </w:rPr>
      </w:pPr>
      <w:r>
        <w:rPr>
          <w:rFonts w:ascii="宋体" w:hAnsi="宋体" w:hint="eastAsia"/>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pPr>
        <w:rPr>
          <w:rFonts w:ascii="黑体" w:eastAsia="黑体" w:hAnsi="宋体"/>
          <w:sz w:val="24"/>
        </w:rPr>
      </w:pPr>
      <w:bookmarkStart w:id="93" w:name="_Toc73517682"/>
      <w:bookmarkStart w:id="94" w:name="_Toc100052410"/>
      <w:bookmarkStart w:id="95" w:name="_Toc73521677"/>
      <w:bookmarkStart w:id="96" w:name="_Toc73521589"/>
      <w:bookmarkStart w:id="97" w:name="_Toc73518160"/>
      <w:r>
        <w:rPr>
          <w:rFonts w:ascii="黑体" w:eastAsia="黑体" w:hAnsi="宋体" w:hint="eastAsia"/>
          <w:sz w:val="24"/>
        </w:rPr>
        <w:t>45．合同的签订</w:t>
      </w:r>
      <w:bookmarkEnd w:id="93"/>
      <w:bookmarkEnd w:id="94"/>
      <w:bookmarkEnd w:id="95"/>
      <w:bookmarkEnd w:id="96"/>
      <w:bookmarkEnd w:id="97"/>
    </w:p>
    <w:p>
      <w:pPr>
        <w:ind w:firstLine="412" w:firstLineChars="196"/>
        <w:rPr>
          <w:rFonts w:ascii="宋体" w:hAnsi="宋体"/>
          <w:szCs w:val="21"/>
        </w:rPr>
      </w:pPr>
      <w:r>
        <w:rPr>
          <w:rFonts w:ascii="宋体" w:hAnsi="宋体" w:hint="eastAsia"/>
          <w:szCs w:val="21"/>
        </w:rPr>
        <w:t>45.1中标人将于中标通知书发出之日起十个工作日内，按照采购文件（招标文件和投标文件等）内容与采购人签订政府采购合同；合同的实质性内容应当符合招标文件的规定；</w:t>
      </w:r>
    </w:p>
    <w:p>
      <w:pPr>
        <w:ind w:firstLine="412" w:firstLineChars="196"/>
        <w:rPr>
          <w:rFonts w:ascii="宋体" w:hAnsi="宋体"/>
          <w:szCs w:val="21"/>
        </w:rPr>
      </w:pPr>
      <w:r>
        <w:rPr>
          <w:rFonts w:ascii="宋体" w:hAnsi="宋体" w:hint="eastAsia"/>
          <w:szCs w:val="21"/>
        </w:rPr>
        <w:t>45.2中标人如不按本通用条款第45</w:t>
      </w:r>
      <w:r>
        <w:rPr>
          <w:rFonts w:ascii="宋体" w:hAnsi="宋体"/>
          <w:szCs w:val="21"/>
        </w:rPr>
        <w:t>.1</w:t>
      </w:r>
      <w:r>
        <w:rPr>
          <w:rFonts w:ascii="宋体" w:hAnsi="宋体" w:hint="eastAsia"/>
          <w:szCs w:val="21"/>
        </w:rPr>
        <w:t>款的规定与采购人签订合同，</w:t>
      </w:r>
      <w:r>
        <w:rPr>
          <w:rFonts w:ascii="宋体" w:hAnsi="宋体" w:cs="宋体"/>
          <w:kern w:val="0"/>
          <w:szCs w:val="21"/>
        </w:rPr>
        <w:t>情节严重的，由</w:t>
      </w:r>
      <w:r>
        <w:rPr>
          <w:rFonts w:ascii="宋体" w:hAnsi="宋体" w:cs="宋体" w:hint="eastAsia"/>
          <w:kern w:val="0"/>
          <w:szCs w:val="21"/>
        </w:rPr>
        <w:t>同级财政</w:t>
      </w:r>
      <w:r>
        <w:rPr>
          <w:rFonts w:ascii="宋体" w:hAnsi="宋体" w:cs="宋体"/>
          <w:kern w:val="0"/>
          <w:szCs w:val="21"/>
        </w:rPr>
        <w:t>部门记入供应商诚信档案，予以通报</w:t>
      </w:r>
      <w:r>
        <w:rPr>
          <w:rFonts w:ascii="宋体" w:hAnsi="宋体" w:hint="eastAsia"/>
          <w:szCs w:val="21"/>
        </w:rPr>
        <w:t>；</w:t>
      </w:r>
    </w:p>
    <w:p>
      <w:pPr>
        <w:ind w:firstLine="412" w:firstLineChars="196"/>
        <w:rPr>
          <w:rFonts w:ascii="宋体" w:hAnsi="宋体"/>
          <w:szCs w:val="21"/>
        </w:rPr>
      </w:pPr>
      <w:r>
        <w:rPr>
          <w:rFonts w:ascii="宋体" w:hAnsi="宋体" w:hint="eastAsia"/>
          <w:szCs w:val="21"/>
        </w:rPr>
        <w:t>45.3中标人应当按照合同约定履行义务，完成中标项目，不得将中标项目转让（转包）给他人。</w:t>
      </w:r>
    </w:p>
    <w:p>
      <w:pPr>
        <w:rPr>
          <w:rFonts w:ascii="黑体" w:eastAsia="黑体" w:hAnsi="宋体"/>
          <w:sz w:val="24"/>
        </w:rPr>
      </w:pPr>
      <w:bookmarkStart w:id="98" w:name="_Toc73517683"/>
      <w:bookmarkStart w:id="99" w:name="_Toc73518161"/>
      <w:bookmarkStart w:id="100" w:name="_Toc73521590"/>
      <w:bookmarkStart w:id="101" w:name="_Toc73521678"/>
      <w:bookmarkStart w:id="102" w:name="_Toc100052411"/>
      <w:r>
        <w:rPr>
          <w:rFonts w:ascii="黑体" w:eastAsia="黑体" w:hAnsi="宋体" w:hint="eastAsia"/>
          <w:sz w:val="24"/>
        </w:rPr>
        <w:t>46．履约担保</w:t>
      </w:r>
      <w:bookmarkEnd w:id="98"/>
      <w:bookmarkEnd w:id="99"/>
      <w:bookmarkEnd w:id="100"/>
      <w:bookmarkEnd w:id="101"/>
      <w:bookmarkEnd w:id="102"/>
    </w:p>
    <w:p>
      <w:pPr>
        <w:ind w:firstLine="412" w:firstLineChars="196"/>
        <w:rPr>
          <w:rFonts w:ascii="宋体" w:hAnsi="宋体"/>
          <w:szCs w:val="21"/>
        </w:rPr>
      </w:pPr>
      <w:r>
        <w:rPr>
          <w:rFonts w:ascii="宋体" w:hAnsi="宋体" w:hint="eastAsia"/>
          <w:szCs w:val="21"/>
        </w:rPr>
        <w:t>46.1在签订项目合同的同时，中标人应按“对通用条款的补充内容”中规定的金额向采购人提交履约担保；</w:t>
      </w:r>
    </w:p>
    <w:p>
      <w:pPr>
        <w:ind w:firstLine="412" w:firstLineChars="196"/>
        <w:rPr>
          <w:rFonts w:ascii="宋体" w:hAnsi="宋体"/>
          <w:szCs w:val="21"/>
        </w:rPr>
      </w:pPr>
      <w:r>
        <w:rPr>
          <w:rFonts w:ascii="宋体" w:hAnsi="宋体" w:hint="eastAsia"/>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pPr>
        <w:rPr>
          <w:rFonts w:ascii="黑体" w:eastAsia="黑体" w:hAnsi="宋体"/>
          <w:sz w:val="24"/>
        </w:rPr>
      </w:pPr>
      <w:r>
        <w:rPr>
          <w:rFonts w:ascii="黑体" w:eastAsia="黑体" w:hAnsi="宋体" w:hint="eastAsia"/>
          <w:sz w:val="24"/>
        </w:rPr>
        <w:t>47. 合同备案</w:t>
      </w:r>
    </w:p>
    <w:p>
      <w:pPr>
        <w:ind w:firstLine="412" w:firstLineChars="196"/>
        <w:rPr>
          <w:rFonts w:ascii="宋体" w:hAnsi="宋体"/>
          <w:szCs w:val="21"/>
        </w:rPr>
      </w:pPr>
      <w:r>
        <w:rPr>
          <w:rFonts w:ascii="宋体" w:eastAsia="宋体" w:hAnsi="宋体" w:cs="Times New Roman" w:hint="eastAsia"/>
          <w:kern w:val="2"/>
          <w:sz w:val="21"/>
          <w:szCs w:val="21"/>
        </w:rPr>
        <w:t>采购人与中标供应商自中标通知书发出之日起10个工作日内签订政府采购合同，</w:t>
      </w:r>
      <w:r>
        <w:rPr>
          <w:rFonts w:ascii="宋体" w:eastAsia="宋体" w:hAnsi="宋体" w:cs="Times New Roman" w:hint="eastAsia"/>
          <w:kern w:val="2"/>
          <w:sz w:val="21"/>
          <w:szCs w:val="21"/>
          <w:lang w:val="en-US" w:eastAsia="zh-CN"/>
        </w:rPr>
        <w:t>并按财政部门规定提交备案。</w:t>
      </w:r>
    </w:p>
    <w:p>
      <w:pPr>
        <w:rPr>
          <w:rFonts w:ascii="黑体" w:eastAsia="黑体" w:hAnsi="宋体"/>
          <w:sz w:val="24"/>
        </w:rPr>
      </w:pPr>
      <w:r>
        <w:rPr>
          <w:rFonts w:ascii="黑体" w:eastAsia="黑体" w:hAnsi="宋体" w:hint="eastAsia"/>
          <w:sz w:val="24"/>
        </w:rPr>
        <w:t>48. 合同变更</w:t>
      </w:r>
    </w:p>
    <w:p>
      <w:pPr>
        <w:ind w:firstLine="412" w:firstLineChars="196"/>
        <w:rPr>
          <w:rFonts w:ascii="宋体" w:hAnsi="宋体"/>
          <w:szCs w:val="21"/>
        </w:rPr>
      </w:pPr>
      <w:r>
        <w:rPr>
          <w:rFonts w:ascii="宋体" w:hAnsi="宋体" w:hint="eastAsia"/>
          <w:szCs w:val="21"/>
        </w:rPr>
        <w:t>合同变更事宜按《深圳市财政局关于优化政府采购合同备案的通知》（深财发保〔2022〕2号）相关规定执行。</w:t>
      </w:r>
    </w:p>
    <w:p>
      <w:pPr>
        <w:rPr>
          <w:rFonts w:ascii="黑体" w:eastAsia="黑体" w:hAnsi="宋体"/>
          <w:sz w:val="24"/>
        </w:rPr>
      </w:pPr>
      <w:r>
        <w:rPr>
          <w:rFonts w:ascii="黑体" w:eastAsia="黑体" w:hAnsi="宋体" w:hint="eastAsia"/>
          <w:sz w:val="24"/>
        </w:rPr>
        <w:t>49. 项目验收</w:t>
      </w:r>
    </w:p>
    <w:p>
      <w:pPr>
        <w:widowControl/>
        <w:ind w:right="176" w:firstLine="420"/>
        <w:jc w:val="left"/>
        <w:rPr>
          <w:rFonts w:ascii="宋体" w:hAnsi="宋体"/>
        </w:rPr>
      </w:pPr>
      <w:r>
        <w:rPr>
          <w:rFonts w:ascii="宋体" w:hAnsi="宋体" w:hint="eastAsia"/>
        </w:rPr>
        <w:t>49.1采购人应当按照招标文件和合同规定的标准和方法，及时组织验收。</w:t>
      </w:r>
      <w:r>
        <w:rPr>
          <w:rFonts w:ascii="宋体" w:hAnsi="宋体"/>
        </w:rPr>
        <w:t xml:space="preserve"> </w:t>
      </w:r>
    </w:p>
    <w:p>
      <w:pPr>
        <w:rPr>
          <w:rFonts w:ascii="黑体" w:eastAsia="黑体" w:hAnsi="宋体"/>
          <w:sz w:val="24"/>
        </w:rPr>
      </w:pPr>
      <w:r>
        <w:rPr>
          <w:rFonts w:ascii="黑体" w:eastAsia="黑体" w:hAnsi="宋体" w:hint="eastAsia"/>
          <w:sz w:val="24"/>
        </w:rPr>
        <w:t>50. 宣传</w:t>
      </w:r>
    </w:p>
    <w:p>
      <w:pPr>
        <w:ind w:left="210" w:firstLine="412" w:leftChars="100" w:firstLineChars="196"/>
        <w:rPr>
          <w:rFonts w:ascii="宋体" w:hAnsi="宋体"/>
        </w:rPr>
      </w:pPr>
      <w:r>
        <w:rPr>
          <w:rFonts w:ascii="宋体" w:hAnsi="宋体" w:hint="eastAsia"/>
        </w:rPr>
        <w:t>凡与政府采购活动有关的宣传或广告，若当中提及政府采购，</w:t>
      </w:r>
      <w:r>
        <w:rPr>
          <w:rFonts w:ascii="宋体" w:hAnsi="宋体"/>
        </w:rPr>
        <w:t>必须事先将具体对外宣传方案报</w:t>
      </w:r>
      <w:r>
        <w:rPr>
          <w:rFonts w:ascii="宋体" w:hAnsi="宋体" w:hint="eastAsia"/>
        </w:rPr>
        <w:t>同级财政部门</w:t>
      </w:r>
      <w:r>
        <w:rPr>
          <w:rFonts w:ascii="宋体" w:hAnsi="宋体"/>
        </w:rPr>
        <w:t>和</w:t>
      </w:r>
      <w:r>
        <w:rPr>
          <w:rFonts w:ascii="宋体" w:hAnsi="宋体" w:hint="eastAsia"/>
        </w:rPr>
        <w:t>政府集中采购机构</w:t>
      </w:r>
      <w:r>
        <w:rPr>
          <w:rFonts w:ascii="宋体" w:hAnsi="宋体"/>
        </w:rPr>
        <w:t>，并征得其同意。对外市场宣传包括但不限于以下形式：</w:t>
      </w:r>
    </w:p>
    <w:p>
      <w:pPr>
        <w:ind w:left="210" w:firstLine="412" w:leftChars="100" w:firstLineChars="196"/>
        <w:rPr>
          <w:rFonts w:ascii="宋体" w:hAnsi="宋体"/>
        </w:rPr>
      </w:pPr>
      <w:r>
        <w:rPr>
          <w:rFonts w:ascii="宋体" w:hAnsi="宋体"/>
        </w:rPr>
        <w:t>a.名片、宣传册、广告标语等；</w:t>
      </w:r>
    </w:p>
    <w:p>
      <w:pPr>
        <w:ind w:left="210" w:firstLine="412" w:leftChars="100" w:firstLineChars="196"/>
        <w:rPr>
          <w:rFonts w:ascii="宋体" w:hAnsi="宋体"/>
        </w:rPr>
      </w:pPr>
      <w:r>
        <w:rPr>
          <w:rFonts w:ascii="宋体" w:hAnsi="宋体"/>
        </w:rPr>
        <w:t>b.案例介绍、推广等；</w:t>
      </w:r>
    </w:p>
    <w:p>
      <w:pPr>
        <w:ind w:left="210" w:firstLine="412" w:leftChars="100" w:firstLineChars="196"/>
        <w:rPr>
          <w:rFonts w:ascii="宋体" w:hAnsi="宋体"/>
        </w:rPr>
      </w:pPr>
      <w:r>
        <w:rPr>
          <w:rFonts w:ascii="宋体" w:hAnsi="宋体" w:hint="eastAsia"/>
        </w:rPr>
        <w:t>c.工作</w:t>
      </w:r>
      <w:r>
        <w:rPr>
          <w:rFonts w:ascii="宋体" w:hAnsi="宋体"/>
        </w:rPr>
        <w:t>人员向其他消费群体宣传。</w:t>
      </w:r>
    </w:p>
    <w:p>
      <w:pPr>
        <w:rPr>
          <w:rFonts w:ascii="黑体" w:eastAsia="黑体" w:hAnsi="宋体"/>
          <w:sz w:val="24"/>
        </w:rPr>
      </w:pPr>
      <w:r>
        <w:rPr>
          <w:rFonts w:ascii="黑体" w:eastAsia="黑体" w:hAnsi="宋体" w:hint="eastAsia"/>
          <w:sz w:val="24"/>
        </w:rPr>
        <w:t>51. 供应商违法责任</w:t>
      </w:r>
    </w:p>
    <w:p>
      <w:pPr>
        <w:ind w:firstLine="412" w:firstLineChars="196"/>
        <w:rPr>
          <w:rFonts w:ascii="宋体" w:hAnsi="宋体"/>
          <w:szCs w:val="21"/>
        </w:rPr>
      </w:pPr>
      <w:r>
        <w:rPr>
          <w:rFonts w:ascii="宋体" w:hAnsi="宋体" w:hint="eastAsia"/>
          <w:szCs w:val="21"/>
        </w:rPr>
        <w:t>5</w:t>
      </w:r>
      <w:r>
        <w:rPr>
          <w:rFonts w:ascii="宋体" w:hAnsi="宋体"/>
          <w:szCs w:val="21"/>
        </w:rPr>
        <w:t>1.1</w:t>
      </w:r>
      <w:r>
        <w:rPr>
          <w:rFonts w:ascii="宋体" w:hAnsi="宋体" w:hint="eastAsia"/>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pPr>
        <w:ind w:firstLine="412" w:firstLineChars="196"/>
        <w:rPr>
          <w:rFonts w:ascii="宋体" w:hAnsi="宋体"/>
          <w:szCs w:val="21"/>
        </w:rPr>
      </w:pPr>
      <w:r>
        <w:rPr>
          <w:rFonts w:ascii="宋体" w:hAnsi="宋体" w:hint="eastAsia"/>
          <w:szCs w:val="21"/>
        </w:rPr>
        <w:t>（1）在采购活动中应当回避而未回避的；</w:t>
      </w:r>
    </w:p>
    <w:p>
      <w:pPr>
        <w:ind w:firstLine="412" w:firstLineChars="196"/>
        <w:rPr>
          <w:rFonts w:ascii="宋体" w:hAnsi="宋体"/>
          <w:szCs w:val="21"/>
        </w:rPr>
      </w:pPr>
      <w:r>
        <w:rPr>
          <w:rFonts w:ascii="宋体" w:hAnsi="宋体" w:hint="eastAsia"/>
          <w:szCs w:val="21"/>
        </w:rPr>
        <w:t>（2）未按本条例规定签订、履行采购合同，造成严重后果的；</w:t>
      </w:r>
    </w:p>
    <w:p>
      <w:pPr>
        <w:ind w:firstLine="412" w:firstLineChars="196"/>
        <w:rPr>
          <w:rFonts w:ascii="宋体" w:hAnsi="宋体"/>
          <w:szCs w:val="21"/>
        </w:rPr>
      </w:pPr>
      <w:r>
        <w:rPr>
          <w:rFonts w:ascii="宋体" w:hAnsi="宋体" w:hint="eastAsia"/>
          <w:szCs w:val="21"/>
        </w:rPr>
        <w:t>（3）隐瞒真实情况，提供虚假资料的；</w:t>
      </w:r>
    </w:p>
    <w:p>
      <w:pPr>
        <w:ind w:firstLine="412" w:firstLineChars="196"/>
        <w:rPr>
          <w:rFonts w:ascii="宋体" w:hAnsi="宋体"/>
          <w:szCs w:val="21"/>
        </w:rPr>
      </w:pPr>
      <w:r>
        <w:rPr>
          <w:rFonts w:ascii="宋体" w:hAnsi="宋体" w:hint="eastAsia"/>
          <w:szCs w:val="21"/>
        </w:rPr>
        <w:t>（4）以非法手段排斥其他供应商参与竞争的；</w:t>
      </w:r>
    </w:p>
    <w:p>
      <w:pPr>
        <w:ind w:firstLine="412" w:firstLineChars="196"/>
        <w:rPr>
          <w:rFonts w:ascii="宋体" w:hAnsi="宋体"/>
          <w:szCs w:val="21"/>
        </w:rPr>
      </w:pPr>
      <w:r>
        <w:rPr>
          <w:rFonts w:ascii="宋体" w:hAnsi="宋体" w:hint="eastAsia"/>
          <w:szCs w:val="21"/>
        </w:rPr>
        <w:t>（5）与其他采购参加人串通投标的；</w:t>
      </w:r>
    </w:p>
    <w:p>
      <w:pPr>
        <w:ind w:firstLine="412" w:firstLineChars="196"/>
        <w:rPr>
          <w:rFonts w:ascii="宋体" w:hAnsi="宋体"/>
          <w:szCs w:val="21"/>
        </w:rPr>
      </w:pPr>
      <w:r>
        <w:rPr>
          <w:rFonts w:ascii="宋体" w:hAnsi="宋体" w:hint="eastAsia"/>
          <w:szCs w:val="21"/>
        </w:rPr>
        <w:t>（6）恶意投诉的；</w:t>
      </w:r>
    </w:p>
    <w:p>
      <w:pPr>
        <w:ind w:firstLine="412" w:firstLineChars="196"/>
        <w:rPr>
          <w:rFonts w:ascii="宋体" w:hAnsi="宋体"/>
          <w:szCs w:val="21"/>
        </w:rPr>
      </w:pPr>
      <w:r>
        <w:rPr>
          <w:rFonts w:ascii="宋体" w:hAnsi="宋体" w:hint="eastAsia"/>
          <w:szCs w:val="21"/>
        </w:rPr>
        <w:t>（7）向采购项目相关人行贿或者提供其他不当利益的；</w:t>
      </w:r>
    </w:p>
    <w:p>
      <w:pPr>
        <w:ind w:firstLine="412" w:firstLineChars="196"/>
        <w:rPr>
          <w:rFonts w:ascii="宋体" w:hAnsi="宋体"/>
          <w:szCs w:val="21"/>
        </w:rPr>
      </w:pPr>
      <w:r>
        <w:rPr>
          <w:rFonts w:ascii="宋体" w:hAnsi="宋体" w:hint="eastAsia"/>
          <w:szCs w:val="21"/>
        </w:rPr>
        <w:t>（8）阻碍、抗拒主管部门监督检查的；</w:t>
      </w:r>
    </w:p>
    <w:p>
      <w:pPr>
        <w:ind w:firstLine="412" w:firstLineChars="196"/>
        <w:rPr>
          <w:rFonts w:ascii="宋体" w:hAnsi="宋体"/>
          <w:szCs w:val="21"/>
        </w:rPr>
      </w:pPr>
      <w:r>
        <w:rPr>
          <w:rFonts w:ascii="宋体" w:hAnsi="宋体" w:hint="eastAsia"/>
          <w:szCs w:val="21"/>
        </w:rPr>
        <w:t>（9）其他违反本条例规定的行为。</w:t>
      </w:r>
    </w:p>
    <w:p>
      <w:pPr>
        <w:ind w:firstLine="412" w:firstLineChars="196"/>
        <w:rPr>
          <w:rFonts w:ascii="宋体" w:hAnsi="宋体"/>
          <w:szCs w:val="21"/>
        </w:rPr>
      </w:pPr>
      <w:r>
        <w:rPr>
          <w:rFonts w:ascii="宋体" w:hAnsi="宋体" w:hint="eastAsia"/>
          <w:szCs w:val="21"/>
        </w:rPr>
        <w:t>5</w:t>
      </w:r>
      <w:r>
        <w:rPr>
          <w:rFonts w:ascii="宋体" w:hAnsi="宋体"/>
          <w:szCs w:val="21"/>
        </w:rPr>
        <w:t xml:space="preserve">1.2 </w:t>
      </w:r>
      <w:r>
        <w:rPr>
          <w:rFonts w:ascii="宋体" w:hAnsi="宋体" w:hint="eastAsia"/>
          <w:szCs w:val="21"/>
        </w:rPr>
        <w:t>根据《深圳市财政局关于调整政府采购投标（响应）保证金管理政策的通知 》（深财购〔2021〕51号）的要求，供应商在政府采购活动中出现《深圳经济特区政府采购条例实施细则》第八十条所列情形的，</w:t>
      </w:r>
      <w:bookmarkStart w:id="103" w:name="_Hlk72440769"/>
      <w:r>
        <w:rPr>
          <w:rFonts w:ascii="宋体" w:hAnsi="宋体" w:hint="eastAsia"/>
          <w:szCs w:val="21"/>
        </w:rPr>
        <w:t>政府集中采购机构或采购人不予退还其交纳的谈判保证金，情节严重的，并由主管部门</w:t>
      </w:r>
      <w:bookmarkEnd w:id="103"/>
      <w:r>
        <w:rPr>
          <w:rFonts w:ascii="宋体" w:hAnsi="宋体" w:hint="eastAsia"/>
          <w:szCs w:val="21"/>
        </w:rPr>
        <w:t>记入供应商诚信档案，予以通报：</w:t>
      </w:r>
    </w:p>
    <w:p>
      <w:pPr>
        <w:ind w:firstLine="412" w:firstLineChars="196"/>
        <w:rPr>
          <w:rFonts w:ascii="宋体" w:hAnsi="宋体"/>
          <w:szCs w:val="21"/>
        </w:rPr>
      </w:pPr>
      <w:r>
        <w:rPr>
          <w:rFonts w:ascii="宋体" w:hAnsi="宋体" w:hint="eastAsia"/>
          <w:szCs w:val="21"/>
        </w:rPr>
        <w:t>（1</w:t>
      </w:r>
      <w:r>
        <w:rPr>
          <w:rFonts w:ascii="宋体" w:hAnsi="宋体"/>
          <w:szCs w:val="21"/>
        </w:rPr>
        <w:t>）投标截止后，撤销投标的；</w:t>
      </w:r>
    </w:p>
    <w:p>
      <w:pPr>
        <w:ind w:firstLine="412" w:firstLineChars="196"/>
        <w:rPr>
          <w:rFonts w:ascii="宋体" w:hAnsi="宋体"/>
          <w:szCs w:val="21"/>
        </w:rPr>
      </w:pPr>
      <w:r>
        <w:rPr>
          <w:rFonts w:ascii="宋体" w:hAnsi="宋体"/>
          <w:szCs w:val="21"/>
        </w:rPr>
        <w:t>（</w:t>
      </w:r>
      <w:r>
        <w:rPr>
          <w:rFonts w:ascii="宋体" w:hAnsi="宋体" w:hint="eastAsia"/>
          <w:szCs w:val="21"/>
        </w:rPr>
        <w:t>2</w:t>
      </w:r>
      <w:r>
        <w:rPr>
          <w:rFonts w:ascii="宋体" w:hAnsi="宋体"/>
          <w:szCs w:val="21"/>
        </w:rPr>
        <w:t>）中标后无正当理由未在规定期限内签订合同的；</w:t>
      </w:r>
    </w:p>
    <w:p>
      <w:pPr>
        <w:ind w:firstLine="412" w:firstLineChars="196"/>
        <w:rPr>
          <w:rFonts w:ascii="宋体" w:hAnsi="宋体"/>
          <w:szCs w:val="21"/>
        </w:rPr>
      </w:pPr>
      <w:r>
        <w:rPr>
          <w:rFonts w:ascii="宋体" w:hAnsi="宋体"/>
          <w:szCs w:val="21"/>
        </w:rPr>
        <w:t>（</w:t>
      </w:r>
      <w:r>
        <w:rPr>
          <w:rFonts w:ascii="宋体" w:hAnsi="宋体" w:hint="eastAsia"/>
          <w:szCs w:val="21"/>
        </w:rPr>
        <w:t>3</w:t>
      </w:r>
      <w:r>
        <w:rPr>
          <w:rFonts w:ascii="宋体" w:hAnsi="宋体"/>
          <w:szCs w:val="21"/>
        </w:rPr>
        <w:t>）将中标项目转让给他人、或者在投标文件中未说明且未经采购人、采购招标机构同意，将中标项目分包给他人的；</w:t>
      </w:r>
    </w:p>
    <w:p>
      <w:pPr>
        <w:ind w:firstLine="412" w:firstLineChars="196"/>
        <w:rPr>
          <w:rFonts w:ascii="宋体" w:hAnsi="宋体"/>
          <w:szCs w:val="21"/>
        </w:rPr>
      </w:pPr>
      <w:r>
        <w:rPr>
          <w:rFonts w:ascii="宋体" w:hAnsi="宋体"/>
          <w:szCs w:val="21"/>
        </w:rPr>
        <w:t>（</w:t>
      </w:r>
      <w:r>
        <w:rPr>
          <w:rFonts w:ascii="宋体" w:hAnsi="宋体" w:hint="eastAsia"/>
          <w:szCs w:val="21"/>
        </w:rPr>
        <w:t>4</w:t>
      </w:r>
      <w:r>
        <w:rPr>
          <w:rFonts w:ascii="宋体" w:hAnsi="宋体"/>
          <w:szCs w:val="21"/>
        </w:rPr>
        <w:t>）拒绝履行合同义务的</w:t>
      </w:r>
      <w:r>
        <w:rPr>
          <w:rFonts w:ascii="宋体" w:hAnsi="宋体" w:hint="eastAsia"/>
          <w:szCs w:val="21"/>
        </w:rPr>
        <w:t>。</w:t>
      </w:r>
    </w:p>
    <w:p>
      <w:pPr>
        <w:pStyle w:val="Heading2"/>
        <w:numPr>
          <w:ilvl w:val="0"/>
          <w:numId w:val="9"/>
        </w:numPr>
        <w:spacing w:before="120" w:beforeLines="50" w:after="120" w:afterLines="50"/>
        <w:ind w:left="562" w:hanging="562"/>
        <w:rPr>
          <w:sz w:val="28"/>
          <w:szCs w:val="28"/>
        </w:rPr>
      </w:pPr>
      <w:bookmarkEnd w:id="87"/>
      <w:r>
        <w:rPr>
          <w:rFonts w:hint="eastAsia"/>
          <w:sz w:val="28"/>
          <w:szCs w:val="28"/>
        </w:rPr>
        <w:t>质疑处理</w:t>
      </w:r>
    </w:p>
    <w:p>
      <w:pPr>
        <w:rPr>
          <w:rFonts w:ascii="黑体" w:eastAsia="黑体" w:hAnsi="宋体"/>
          <w:sz w:val="24"/>
        </w:rPr>
      </w:pPr>
      <w:bookmarkStart w:id="104" w:name="_Hlk72439706"/>
      <w:r>
        <w:rPr>
          <w:rFonts w:ascii="黑体" w:eastAsia="黑体" w:hAnsi="宋体" w:hint="eastAsia"/>
          <w:sz w:val="24"/>
        </w:rPr>
        <w:t>52.质疑提出与答复</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52.1提出质疑</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参与政府采购活动的供应商认为自己的权益在采购活动中受到损害的，应当自知道或者应当知道其权益受到损害之日起七个工作日内向采购人、政府集中采购机构以书面形式提出质疑。</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52.2</w:t>
      </w:r>
      <w:r>
        <w:rPr>
          <w:rFonts w:ascii="宋体" w:hAnsi="宋体"/>
          <w:szCs w:val="21"/>
        </w:rPr>
        <w:t>法律依据</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《中华人民共和国政府采购法》、《中华人民共和国政府采购法实施条例》、</w:t>
      </w:r>
      <w:r>
        <w:rPr>
          <w:rFonts w:ascii="宋体" w:hAnsi="宋体"/>
          <w:szCs w:val="21"/>
        </w:rPr>
        <w:t>《</w:t>
      </w:r>
      <w:r>
        <w:rPr>
          <w:rFonts w:ascii="宋体" w:hAnsi="宋体" w:hint="eastAsia"/>
          <w:szCs w:val="21"/>
        </w:rPr>
        <w:t>深圳经济特区政府采购</w:t>
      </w:r>
      <w:r>
        <w:rPr>
          <w:rFonts w:ascii="宋体" w:hAnsi="宋体"/>
          <w:szCs w:val="21"/>
        </w:rPr>
        <w:t>条例</w:t>
      </w:r>
      <w:r>
        <w:rPr>
          <w:rFonts w:ascii="宋体" w:hAnsi="宋体" w:hint="eastAsia"/>
          <w:szCs w:val="21"/>
        </w:rPr>
        <w:t>》、《深圳经济特区政府采购条例实施细则》、《政府采购质疑和投诉办法》（财政部令第94号）和其他有关法律法规规定。</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52.3质疑条件</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52.3.1提出质疑的供应商应当是参与所质疑项目采购活动的供应商；以联合体形式参与的，质疑应当由组成联合体的所有成员共同提出；</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52.3.2应当在法定质疑期内一次性提出针对同一采购程序环节的质疑，法定质疑期为自知道或应当知道权益受到损害之日起7个工作日内。应当知道其权益受到损害之日是指：对招标文件的质疑，为招标文件公布之日；对采购过程的质疑，为各采购程序环节结束之日；对中标结果以及评审委员会组成人员的质疑，为中标结果公示之日；</w:t>
      </w:r>
    </w:p>
    <w:p>
      <w:pPr>
        <w:ind w:firstLine="420"/>
        <w:rPr>
          <w:rFonts w:ascii="宋体" w:hAnsi="宋体"/>
          <w:szCs w:val="21"/>
        </w:rPr>
      </w:pPr>
      <w:r>
        <w:rPr>
          <w:rFonts w:ascii="宋体" w:hAnsi="宋体" w:hint="eastAsia"/>
          <w:szCs w:val="21"/>
        </w:rPr>
        <w:t>52.3.3应提交书面质疑函，质疑函应当包括以下内容：</w:t>
      </w:r>
      <w:r>
        <w:rPr>
          <w:rFonts w:ascii="宋体" w:hAnsi="宋体"/>
          <w:szCs w:val="21"/>
        </w:rPr>
        <w:t xml:space="preserve"> </w:t>
      </w:r>
    </w:p>
    <w:p>
      <w:pPr>
        <w:ind w:firstLine="420"/>
        <w:rPr>
          <w:rFonts w:ascii="宋体" w:hAnsi="宋体"/>
          <w:szCs w:val="21"/>
        </w:rPr>
      </w:pPr>
      <w:r>
        <w:rPr>
          <w:rFonts w:ascii="宋体" w:hAnsi="宋体" w:hint="eastAsia"/>
          <w:szCs w:val="21"/>
        </w:rPr>
        <w:t>（1）供应商的名称（或者姓名）、地址、邮编、邮箱、联系人及联系电话；</w:t>
      </w:r>
    </w:p>
    <w:p>
      <w:pPr>
        <w:ind w:firstLine="420" w:firstLineChars="200"/>
        <w:rPr>
          <w:rFonts w:ascii="宋体" w:hAnsi="宋体"/>
          <w:szCs w:val="21"/>
        </w:rPr>
      </w:pPr>
      <w:r>
        <w:rPr>
          <w:rFonts w:ascii="宋体" w:hAnsi="宋体" w:hint="eastAsia"/>
          <w:szCs w:val="21"/>
        </w:rPr>
        <w:t>（2）质疑项目的名称、编号；</w:t>
      </w:r>
    </w:p>
    <w:p>
      <w:pPr>
        <w:ind w:firstLine="420" w:firstLineChars="200"/>
        <w:rPr>
          <w:rFonts w:ascii="宋体" w:hAnsi="宋体"/>
          <w:szCs w:val="21"/>
        </w:rPr>
      </w:pPr>
      <w:r>
        <w:rPr>
          <w:rFonts w:ascii="宋体" w:hAnsi="宋体" w:hint="eastAsia"/>
          <w:szCs w:val="21"/>
        </w:rPr>
        <w:t>（3）具体、明确的质疑对象、质疑事项和质疑请求；</w:t>
      </w:r>
    </w:p>
    <w:p>
      <w:pPr>
        <w:ind w:firstLine="420" w:firstLineChars="200"/>
        <w:rPr>
          <w:rFonts w:ascii="宋体" w:hAnsi="宋体"/>
          <w:szCs w:val="21"/>
        </w:rPr>
      </w:pPr>
      <w:r>
        <w:rPr>
          <w:rFonts w:ascii="宋体" w:hAnsi="宋体" w:hint="eastAsia"/>
          <w:szCs w:val="21"/>
        </w:rPr>
        <w:t>（4）因质疑事项而受损害的权益；</w:t>
      </w:r>
    </w:p>
    <w:p>
      <w:pPr>
        <w:ind w:firstLine="420" w:firstLineChars="200"/>
        <w:rPr>
          <w:rFonts w:ascii="宋体" w:hAnsi="宋体"/>
          <w:szCs w:val="21"/>
        </w:rPr>
      </w:pPr>
      <w:r>
        <w:rPr>
          <w:rFonts w:ascii="宋体" w:hAnsi="宋体" w:hint="eastAsia"/>
          <w:szCs w:val="21"/>
        </w:rPr>
        <w:t>（5）事实依据；</w:t>
      </w:r>
    </w:p>
    <w:p>
      <w:pPr>
        <w:ind w:firstLine="420" w:firstLineChars="200"/>
        <w:rPr>
          <w:rFonts w:ascii="宋体" w:hAnsi="宋体"/>
          <w:szCs w:val="21"/>
        </w:rPr>
      </w:pPr>
      <w:r>
        <w:rPr>
          <w:rFonts w:ascii="宋体" w:hAnsi="宋体" w:hint="eastAsia"/>
          <w:szCs w:val="21"/>
        </w:rPr>
        <w:t>（6）必要的法律依据；</w:t>
      </w:r>
    </w:p>
    <w:p>
      <w:pPr>
        <w:ind w:firstLine="420" w:firstLineChars="200"/>
        <w:rPr>
          <w:rFonts w:ascii="宋体" w:hAnsi="宋体"/>
          <w:szCs w:val="21"/>
        </w:rPr>
      </w:pPr>
      <w:r>
        <w:rPr>
          <w:rFonts w:ascii="宋体" w:hAnsi="宋体" w:hint="eastAsia"/>
          <w:szCs w:val="21"/>
        </w:rPr>
        <w:t>（7）提出质疑的日期。</w:t>
      </w:r>
    </w:p>
    <w:p>
      <w:pPr>
        <w:ind w:firstLine="420" w:firstLineChars="200"/>
        <w:rPr>
          <w:rFonts w:ascii="宋体" w:hAnsi="宋体"/>
          <w:szCs w:val="21"/>
        </w:rPr>
      </w:pPr>
      <w:r>
        <w:rPr>
          <w:rFonts w:ascii="宋体" w:hAnsi="宋体" w:hint="eastAsia"/>
          <w:szCs w:val="21"/>
        </w:rPr>
        <w:t>供应商为自然人的，应当由本人签字；供应商为法人或者其他组织的，应当由法定代表人（负责人），或者其授权代理人签字或者盖章，并加盖公章。</w:t>
      </w:r>
    </w:p>
    <w:p>
      <w:pPr>
        <w:ind w:firstLine="420" w:firstLineChars="200"/>
        <w:rPr>
          <w:rFonts w:ascii="宋体" w:hAnsi="宋体"/>
          <w:szCs w:val="21"/>
        </w:rPr>
      </w:pPr>
      <w:r>
        <w:rPr>
          <w:rFonts w:ascii="宋体" w:hAnsi="宋体" w:hint="eastAsia"/>
          <w:szCs w:val="21"/>
        </w:rPr>
        <w:t>52.4提交</w:t>
      </w:r>
      <w:r>
        <w:rPr>
          <w:rFonts w:ascii="宋体" w:hAnsi="宋体"/>
          <w:szCs w:val="21"/>
        </w:rPr>
        <w:t>材料</w:t>
      </w:r>
    </w:p>
    <w:p>
      <w:pPr>
        <w:ind w:firstLine="420" w:firstLineChars="200"/>
        <w:rPr>
          <w:rFonts w:ascii="宋体" w:hAnsi="宋体"/>
          <w:szCs w:val="21"/>
        </w:rPr>
      </w:pPr>
      <w:r>
        <w:rPr>
          <w:rFonts w:ascii="宋体" w:hAnsi="宋体" w:hint="eastAsia"/>
          <w:szCs w:val="21"/>
        </w:rPr>
        <w:t>供应商质疑实行实名制。供应商为自然人的，应当提交本人身份证复印件；供应商为法人或者其他组织的，应当根据自身性质提交营业执照复印件或者其他证明文件（如事业单位法人证书等）复印件。</w:t>
      </w:r>
    </w:p>
    <w:p>
      <w:pPr>
        <w:ind w:firstLine="420" w:firstLineChars="200"/>
        <w:rPr>
          <w:rFonts w:ascii="宋体" w:hAnsi="宋体"/>
          <w:szCs w:val="21"/>
        </w:rPr>
      </w:pPr>
      <w:r>
        <w:rPr>
          <w:rFonts w:ascii="宋体" w:hAnsi="宋体" w:hint="eastAsia"/>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pPr>
        <w:ind w:firstLine="420" w:firstLineChars="200"/>
        <w:rPr>
          <w:rFonts w:ascii="宋体" w:hAnsi="宋体"/>
          <w:szCs w:val="21"/>
        </w:rPr>
      </w:pPr>
      <w:r>
        <w:rPr>
          <w:rFonts w:ascii="宋体" w:hAnsi="宋体" w:hint="eastAsia"/>
          <w:szCs w:val="21"/>
        </w:rPr>
        <w:t>52.5收文地点</w:t>
      </w:r>
    </w:p>
    <w:p>
      <w:pPr>
        <w:ind w:firstLine="420" w:firstLineChars="200"/>
        <w:rPr>
          <w:rFonts w:ascii="宋体" w:hAnsi="宋体"/>
          <w:b/>
          <w:bCs/>
          <w:szCs w:val="21"/>
        </w:rPr>
      </w:pPr>
      <w:r>
        <w:rPr>
          <w:rFonts w:ascii="宋体" w:hAnsi="宋体" w:hint="eastAsia"/>
          <w:b/>
          <w:bCs/>
          <w:szCs w:val="21"/>
        </w:rPr>
        <w:t>地址：深圳公共资源交易中心（</w:t>
      </w:r>
      <w:r>
        <w:rPr>
          <w:rFonts w:ascii="宋体" w:hAnsi="宋体" w:hint="eastAsia"/>
          <w:b/>
          <w:bCs/>
          <w:szCs w:val="21"/>
          <w:lang w:eastAsia="zh-CN"/>
        </w:rPr>
        <w:t>深圳交易集团有限公司大鹏分公司</w:t>
      </w:r>
      <w:r>
        <w:rPr>
          <w:rFonts w:ascii="宋体" w:hAnsi="宋体" w:hint="eastAsia"/>
          <w:b/>
          <w:bCs/>
          <w:szCs w:val="21"/>
        </w:rPr>
        <w:t>），深圳市大鹏新区葵涌街道三溪社区金业大道140号生命科学产业园A8栋203，质疑咨询电话：0755-28333300。</w:t>
      </w:r>
    </w:p>
    <w:p>
      <w:pPr>
        <w:ind w:firstLine="420" w:firstLineChars="200"/>
        <w:rPr>
          <w:rFonts w:ascii="宋体" w:hAnsi="宋体"/>
          <w:szCs w:val="21"/>
        </w:rPr>
      </w:pPr>
      <w:r>
        <w:rPr>
          <w:rFonts w:ascii="宋体" w:hAnsi="宋体" w:hint="eastAsia"/>
          <w:szCs w:val="21"/>
        </w:rPr>
        <w:t>52.6收文办理</w:t>
      </w:r>
      <w:r>
        <w:rPr>
          <w:rFonts w:ascii="宋体" w:hAnsi="宋体"/>
          <w:szCs w:val="21"/>
        </w:rPr>
        <w:t>程序</w:t>
      </w:r>
    </w:p>
    <w:p>
      <w:pPr>
        <w:ind w:firstLine="420" w:firstLineChars="200"/>
        <w:rPr>
          <w:rFonts w:ascii="宋体" w:hAnsi="宋体"/>
          <w:szCs w:val="21"/>
        </w:rPr>
      </w:pPr>
      <w:r>
        <w:rPr>
          <w:rFonts w:ascii="宋体" w:hAnsi="宋体" w:hint="eastAsia"/>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pPr>
        <w:ind w:firstLine="420" w:firstLineChars="200"/>
        <w:rPr>
          <w:rFonts w:ascii="仿宋" w:eastAsia="仿宋" w:hAnsi="仿宋"/>
          <w:sz w:val="28"/>
          <w:szCs w:val="28"/>
        </w:rPr>
      </w:pPr>
      <w:r>
        <w:rPr>
          <w:rFonts w:ascii="宋体" w:hAnsi="宋体" w:hint="eastAsia"/>
          <w:szCs w:val="21"/>
        </w:rPr>
        <w:t>52.6.2供应商提交的质疑材料不符合质疑条件的，视情况处理：</w:t>
      </w:r>
    </w:p>
    <w:p>
      <w:pPr>
        <w:ind w:firstLine="420" w:firstLineChars="200"/>
        <w:rPr>
          <w:rFonts w:ascii="宋体" w:hAnsi="宋体"/>
          <w:szCs w:val="21"/>
        </w:rPr>
      </w:pPr>
      <w:r>
        <w:rPr>
          <w:rFonts w:ascii="宋体" w:hAnsi="宋体" w:hint="eastAsia"/>
          <w:szCs w:val="21"/>
        </w:rPr>
        <w:t>供应商提交的质疑材料不全或者未按要求签字或者盖章的，政府集中采购机构应当一次性告知供应商需补正的内容和补正期限。</w:t>
      </w:r>
    </w:p>
    <w:p>
      <w:pPr>
        <w:ind w:firstLine="420" w:firstLineChars="200"/>
        <w:rPr>
          <w:rFonts w:ascii="宋体" w:hAnsi="宋体"/>
          <w:szCs w:val="21"/>
        </w:rPr>
      </w:pPr>
      <w:r>
        <w:rPr>
          <w:rFonts w:ascii="宋体" w:hAnsi="宋体" w:hint="eastAsia"/>
          <w:szCs w:val="21"/>
        </w:rPr>
        <w:t>供应商提交的质疑存在下列情形之一的，不予受理：</w:t>
      </w:r>
    </w:p>
    <w:p>
      <w:pPr>
        <w:ind w:firstLine="420" w:firstLineChars="200"/>
        <w:rPr>
          <w:rFonts w:ascii="宋体" w:hAnsi="宋体"/>
          <w:szCs w:val="21"/>
        </w:rPr>
      </w:pPr>
      <w:r>
        <w:rPr>
          <w:rFonts w:ascii="宋体" w:hAnsi="宋体" w:hint="eastAsia"/>
          <w:szCs w:val="21"/>
        </w:rPr>
        <w:t>（1）质疑主体不满足要求的；</w:t>
      </w:r>
    </w:p>
    <w:p>
      <w:pPr>
        <w:ind w:firstLine="420" w:firstLineChars="200"/>
        <w:rPr>
          <w:rFonts w:ascii="宋体" w:hAnsi="宋体"/>
          <w:szCs w:val="21"/>
        </w:rPr>
      </w:pPr>
      <w:r>
        <w:rPr>
          <w:rFonts w:ascii="宋体" w:hAnsi="宋体" w:hint="eastAsia"/>
          <w:szCs w:val="21"/>
        </w:rPr>
        <w:t>（2）供应商自身权益未受到损害的；</w:t>
      </w:r>
    </w:p>
    <w:p>
      <w:pPr>
        <w:ind w:firstLine="420" w:firstLineChars="200"/>
        <w:rPr>
          <w:rFonts w:ascii="宋体" w:hAnsi="宋体"/>
          <w:szCs w:val="21"/>
        </w:rPr>
      </w:pPr>
      <w:r>
        <w:rPr>
          <w:rFonts w:ascii="宋体" w:hAnsi="宋体" w:hint="eastAsia"/>
          <w:szCs w:val="21"/>
        </w:rPr>
        <w:t>（3）供应商未在法定质疑期限内提出质疑的；</w:t>
      </w:r>
    </w:p>
    <w:p>
      <w:pPr>
        <w:ind w:firstLine="420" w:firstLineChars="200"/>
        <w:rPr>
          <w:rFonts w:ascii="宋体" w:hAnsi="宋体"/>
          <w:szCs w:val="21"/>
        </w:rPr>
      </w:pPr>
      <w:r>
        <w:rPr>
          <w:rFonts w:ascii="宋体" w:hAnsi="宋体" w:hint="eastAsia"/>
          <w:szCs w:val="21"/>
        </w:rPr>
        <w:t>（4）质疑材料不全或者未按要求签字或者盖章的情况下，要求补正后，逾期未补正或者补正后仍不符合规定的；</w:t>
      </w:r>
    </w:p>
    <w:p>
      <w:pPr>
        <w:ind w:firstLine="420" w:firstLineChars="200"/>
        <w:rPr>
          <w:rFonts w:ascii="宋体" w:hAnsi="宋体"/>
          <w:szCs w:val="21"/>
        </w:rPr>
      </w:pPr>
      <w:r>
        <w:rPr>
          <w:rFonts w:ascii="宋体" w:hAnsi="宋体" w:hint="eastAsia"/>
          <w:szCs w:val="21"/>
        </w:rPr>
        <w:t>（5）其他不符合受理条件情形的。</w:t>
      </w:r>
    </w:p>
    <w:p>
      <w:pPr>
        <w:ind w:firstLine="420" w:firstLineChars="200"/>
        <w:rPr>
          <w:rFonts w:ascii="宋体" w:hAnsi="宋体"/>
          <w:szCs w:val="21"/>
        </w:rPr>
      </w:pPr>
      <w:r>
        <w:rPr>
          <w:rFonts w:ascii="宋体" w:hAnsi="宋体" w:hint="eastAsia"/>
          <w:szCs w:val="21"/>
        </w:rPr>
        <w:t>质疑事项不予受理的，政府集中采购机构应当向供应商出具不符合质疑条件告知书。</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52.7质疑答复时限</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自收文之日起七个工作日内。</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52.8投诉</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对质疑答复不满意或者未在规定时间内答复的，提出质疑的供应商可以在答复期满后15个工作日内向同级财政部门投诉。</w:t>
      </w:r>
    </w:p>
    <w:p>
      <w:pPr>
        <w:rPr>
          <w:rFonts w:ascii="黑体" w:eastAsia="黑体" w:hAnsi="宋体"/>
          <w:sz w:val="24"/>
        </w:rPr>
      </w:pPr>
      <w:r>
        <w:rPr>
          <w:rFonts w:ascii="黑体" w:eastAsia="黑体" w:hAnsi="宋体" w:hint="eastAsia"/>
          <w:sz w:val="24"/>
        </w:rPr>
        <w:t>53. 质疑后续处理</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53.1供应商质疑不成立，或者成立但未对中标、成交结果构成影响的，继续开展采购活动。</w:t>
      </w:r>
    </w:p>
    <w:p>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宋体" w:hAnsi="宋体"/>
          <w:szCs w:val="21"/>
        </w:rPr>
      </w:pPr>
      <w:r>
        <w:rPr>
          <w:rFonts w:ascii="宋体" w:hAnsi="宋体" w:hint="eastAsia"/>
          <w:szCs w:val="21"/>
        </w:rPr>
        <w:t>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pPr>
        <w:jc w:val="center"/>
      </w:pPr>
    </w:p>
    <w:p>
      <w:pPr>
        <w:jc w:val="center"/>
      </w:pPr>
      <w:r>
        <w:t>---- END ----</w:t>
      </w:r>
    </w:p>
    <w:p>
      <w:bookmarkEnd w:id="104"/>
    </w:p>
    <w:p>
      <w:pPr>
        <w:ind w:firstLine="420" w:firstLineChars="200"/>
        <w:rPr>
          <w:rFonts w:ascii="宋体" w:hAnsi="宋体"/>
          <w:szCs w:val="21"/>
        </w:rPr>
      </w:pPr>
    </w:p>
    <w:sectPr>
      <w:pgSz w:w="11907" w:h="16840"/>
      <w:pgMar w:top="1440" w:right="1797" w:bottom="1440" w:left="1797" w:header="851" w:footer="992" w:gutter="0"/>
      <w:cols w:num="1" w:space="425"/>
      <w:titlePg/>
      <w:docGrid w:linePitch="46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moder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altName w:val="宋体"/>
    <w:panose1 w:val="020B0604020202020204"/>
    <w:charset w:val="86"/>
    <w:family w:val="swiss"/>
    <w:pitch w:val="default"/>
    <w:sig w:usb0="00000000" w:usb1="00000000" w:usb2="0000003F" w:usb3="00000000" w:csb0="603F01FF" w:csb1="FFFF0000"/>
  </w:font>
  <w:font w:name="隶书">
    <w:panose1 w:val="02010509060101010101"/>
    <w:charset w:val="86"/>
    <w:family w:val="modern"/>
    <w:pitch w:val="default"/>
    <w:sig w:usb0="00000001" w:usb1="080E0000" w:usb2="00000000" w:usb3="00000000" w:csb0="00040000" w:csb1="00000000"/>
  </w:font>
  <w:font w:name="monospace">
    <w:altName w:val="Segoe Print"/>
    <w:panose1 w:val="00000000000000000000"/>
    <w:charset w:val="00"/>
    <w:family w:val="auto"/>
    <w:pitch w:val="default"/>
    <w:sig w:usb0="00000000" w:usb1="00000000" w:usb2="00000000" w:usb3="00000000" w:csb0="00000000" w:csb1="00000000"/>
  </w:font>
  <w:font w:name="H Yb 2gj">
    <w:altName w:val="华文仿宋"/>
    <w:panose1 w:val="00000000000000000000"/>
    <w:charset w:val="86"/>
    <w:family w:val="auto"/>
    <w:pitch w:val="default"/>
    <w:sig w:usb0="00000000" w:usb1="00000000" w:usb2="00000010" w:usb3="00000000" w:csb0="00040000" w:csb1="00000000"/>
  </w:font>
  <w:font w:name="Verdana">
    <w:panose1 w:val="020B0604030504040204"/>
    <w:charset w:val="00"/>
    <w:family w:val="swiss"/>
    <w:pitch w:val="default"/>
    <w:sig w:usb0="A00006FF" w:usb1="4000205B" w:usb2="00000010" w:usb3="00000000" w:csb0="2000019F" w:csb1="00000000"/>
  </w:font>
  <w:font w:name="仿宋_GB2312">
    <w:panose1 w:val="02010609030101010101"/>
    <w:charset w:val="86"/>
    <w:family w:val="auto"/>
    <w:pitch w:val="default"/>
    <w:sig w:usb0="00000001" w:usb1="080E0000" w:usb2="00000000" w:usb3="00000000" w:csb0="00040000" w:csb1="00000000"/>
  </w:font>
  <w:font w:name="长城仿宋">
    <w:altName w:val="仿宋"/>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文鼎粗黑">
    <w:altName w:val="黑体"/>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panose1 w:val="02040503050406030204"/>
    <w:charset w:val="00"/>
    <w:family w:val="roman"/>
    <w:pitch w:val="default"/>
    <w:sig w:usb0="E00006FF" w:usb1="420024FF" w:usb2="02000000" w:usb3="00000000" w:csb0="200001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华文仿宋"/>
    <w:panose1 w:val="00000000000000000000"/>
    <w:charset w:val="86"/>
    <w:family w:val="modern"/>
    <w:pitch w:val="default"/>
    <w:sig w:usb0="00000000" w:usb1="00000000" w:usb2="00000012" w:usb3="00000000" w:csb0="00040000"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fldChar w:fldCharType="end"/>
    </w:r>
  </w:p>
  <w:p>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framePr w:wrap="around" w:vAnchor="text" w:hAnchor="margin" w:xAlign="center" w:y="1"/>
      <w:rPr>
        <w:rStyle w:val="PageNumber"/>
      </w:rPr>
    </w:pPr>
    <w:r>
      <w:t xml:space="preserve">- </w:t>
    </w:r>
    <w:r>
      <w:fldChar w:fldCharType="begin"/>
    </w:r>
    <w:r>
      <w:instrText xml:space="preserve"> PAGE </w:instrText>
    </w:r>
    <w:r>
      <w:fldChar w:fldCharType="separate"/>
    </w:r>
    <w:r>
      <w:t>29</w:t>
    </w:r>
    <w:r>
      <w:fldChar w:fldCharType="end"/>
    </w:r>
    <w:r>
      <w:t xml:space="preserve"> -</w:t>
    </w:r>
  </w:p>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Heade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FFFFFF7C"/>
    <w:lvl w:ilvl="0">
      <w:start w:val="1"/>
      <w:numFmt w:val="decimal"/>
      <w:pStyle w:val="41"/>
      <w:lvlText w:val="%1."/>
      <w:lvlJc w:val="left"/>
      <w:pPr>
        <w:tabs>
          <w:tab w:val="left" w:pos="2040"/>
        </w:tabs>
        <w:ind w:left="2040" w:hanging="360" w:leftChars="800" w:hangingChars="200"/>
      </w:pPr>
    </w:lvl>
  </w:abstractNum>
  <w:abstractNum w:abstractNumId="1">
    <w:nsid w:val="FFFFFF89"/>
    <w:multiLevelType w:val="singleLevel"/>
    <w:tmpl w:val="FFFFFF89"/>
    <w:lvl w:ilvl="0">
      <w:start w:val="1"/>
      <w:numFmt w:val="bullet"/>
      <w:pStyle w:val="ListBullet"/>
      <w:lvlText w:val=""/>
      <w:lvlJc w:val="left"/>
      <w:pPr>
        <w:tabs>
          <w:tab w:val="left" w:pos="360"/>
        </w:tabs>
        <w:ind w:left="360" w:hanging="360" w:hangingChars="200"/>
      </w:pPr>
      <w:rPr>
        <w:rFonts w:ascii="Wingdings" w:hAnsi="Wingdings" w:hint="default"/>
      </w:rPr>
    </w:lvl>
  </w:abstractNum>
  <w:abstractNum w:abstractNumId="2">
    <w:nsid w:val="09F81FD3"/>
    <w:multiLevelType w:val="multilevel"/>
    <w:tmpl w:val="09F81FD3"/>
    <w:lvl w:ilvl="0">
      <w:start w:val="1"/>
      <w:numFmt w:val="japaneseCounting"/>
      <w:lvlText w:val="第%1章"/>
      <w:lvlJc w:val="left"/>
      <w:pPr>
        <w:tabs>
          <w:tab w:val="left" w:pos="720"/>
        </w:tabs>
        <w:ind w:left="720" w:hanging="720"/>
      </w:pPr>
      <w:rPr>
        <w:rFonts w:hint="default"/>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3">
    <w:nsid w:val="12503483"/>
    <w:multiLevelType w:val="multilevel"/>
    <w:tmpl w:val="12503483"/>
    <w:lvl w:ilvl="0">
      <w:start w:val="1"/>
      <w:numFmt w:val="bullet"/>
      <w:pStyle w:val="a5"/>
      <w:lvlText w:val=""/>
      <w:lvlJc w:val="left"/>
      <w:pPr>
        <w:tabs>
          <w:tab w:val="left" w:pos="420"/>
        </w:tabs>
        <w:ind w:left="420" w:hanging="420"/>
      </w:pPr>
      <w:rPr>
        <w:rFonts w:ascii="Wingdings" w:hAnsi="Wingdings" w:hint="default"/>
      </w:rPr>
    </w:lvl>
    <w:lvl w:ilvl="1">
      <w:start w:val="1"/>
      <w:numFmt w:val="bullet"/>
      <w:pStyle w:val="a4"/>
      <w:lvlText w:val=""/>
      <w:lvlJc w:val="left"/>
      <w:pPr>
        <w:tabs>
          <w:tab w:val="left" w:pos="840"/>
        </w:tabs>
        <w:ind w:left="840" w:hanging="420"/>
      </w:pPr>
      <w:rPr>
        <w:rFonts w:ascii="Wingdings" w:hAnsi="Wingdings" w:hint="default"/>
      </w:rPr>
    </w:lvl>
    <w:lvl w:ilvl="2">
      <w:start w:val="1"/>
      <w:numFmt w:val="bullet"/>
      <w:lvlText w:val=""/>
      <w:lvlJc w:val="left"/>
      <w:pPr>
        <w:tabs>
          <w:tab w:val="left" w:pos="1260"/>
        </w:tabs>
        <w:ind w:left="1260" w:hanging="420"/>
      </w:pPr>
      <w:rPr>
        <w:rFonts w:ascii="Wingdings" w:hAnsi="Wingdings" w:hint="default"/>
      </w:rPr>
    </w:lvl>
    <w:lvl w:ilvl="3">
      <w:start w:val="1"/>
      <w:numFmt w:val="bullet"/>
      <w:lvlText w:val=""/>
      <w:lvlJc w:val="left"/>
      <w:pPr>
        <w:tabs>
          <w:tab w:val="left" w:pos="1680"/>
        </w:tabs>
        <w:ind w:left="1680" w:hanging="420"/>
      </w:pPr>
      <w:rPr>
        <w:rFonts w:ascii="Wingdings" w:hAnsi="Wingdings" w:hint="default"/>
      </w:rPr>
    </w:lvl>
    <w:lvl w:ilvl="4">
      <w:start w:val="1"/>
      <w:numFmt w:val="bullet"/>
      <w:lvlText w:val=""/>
      <w:lvlJc w:val="left"/>
      <w:pPr>
        <w:tabs>
          <w:tab w:val="left" w:pos="2100"/>
        </w:tabs>
        <w:ind w:left="2100" w:hanging="420"/>
      </w:pPr>
      <w:rPr>
        <w:rFonts w:ascii="Wingdings" w:hAnsi="Wingdings" w:hint="default"/>
      </w:rPr>
    </w:lvl>
    <w:lvl w:ilvl="5">
      <w:start w:val="1"/>
      <w:numFmt w:val="bullet"/>
      <w:lvlText w:val=""/>
      <w:lvlJc w:val="left"/>
      <w:pPr>
        <w:tabs>
          <w:tab w:val="left" w:pos="2520"/>
        </w:tabs>
        <w:ind w:left="2520" w:hanging="420"/>
      </w:pPr>
      <w:rPr>
        <w:rFonts w:ascii="Wingdings" w:hAnsi="Wingdings" w:hint="default"/>
      </w:rPr>
    </w:lvl>
    <w:lvl w:ilvl="6">
      <w:start w:val="1"/>
      <w:numFmt w:val="bullet"/>
      <w:lvlText w:val=""/>
      <w:lvlJc w:val="left"/>
      <w:pPr>
        <w:tabs>
          <w:tab w:val="left" w:pos="2940"/>
        </w:tabs>
        <w:ind w:left="2940" w:hanging="420"/>
      </w:pPr>
      <w:rPr>
        <w:rFonts w:ascii="Wingdings" w:hAnsi="Wingdings" w:hint="default"/>
      </w:rPr>
    </w:lvl>
    <w:lvl w:ilvl="7">
      <w:start w:val="1"/>
      <w:numFmt w:val="bullet"/>
      <w:lvlText w:val=""/>
      <w:lvlJc w:val="left"/>
      <w:pPr>
        <w:tabs>
          <w:tab w:val="left" w:pos="3360"/>
        </w:tabs>
        <w:ind w:left="3360" w:hanging="420"/>
      </w:pPr>
      <w:rPr>
        <w:rFonts w:ascii="Wingdings" w:hAnsi="Wingdings" w:hint="default"/>
      </w:rPr>
    </w:lvl>
    <w:lvl w:ilvl="8">
      <w:start w:val="1"/>
      <w:numFmt w:val="bullet"/>
      <w:lvlText w:val=""/>
      <w:lvlJc w:val="left"/>
      <w:pPr>
        <w:tabs>
          <w:tab w:val="left" w:pos="3780"/>
        </w:tabs>
        <w:ind w:left="3780" w:hanging="420"/>
      </w:pPr>
      <w:rPr>
        <w:rFonts w:ascii="Wingdings" w:hAnsi="Wingdings" w:hint="default"/>
      </w:rPr>
    </w:lvl>
  </w:abstractNum>
  <w:abstractNum w:abstractNumId="4">
    <w:nsid w:val="160D20D0"/>
    <w:multiLevelType w:val="multilevel"/>
    <w:tmpl w:val="160D20D0"/>
    <w:lvl w:ilvl="0">
      <w:start w:val="1"/>
      <w:numFmt w:val="bullet"/>
      <w:pStyle w:val="RFItextfrom3rdLevel"/>
      <w:lvlText w:val=""/>
      <w:lvlJc w:val="left"/>
      <w:pPr>
        <w:tabs>
          <w:tab w:val="left" w:pos="840"/>
        </w:tabs>
        <w:ind w:left="840" w:hanging="420"/>
      </w:pPr>
      <w:rPr>
        <w:rFonts w:ascii="Wingdings" w:hAnsi="Wingdings" w:hint="default"/>
      </w:rPr>
    </w:lvl>
    <w:lvl w:ilvl="1">
      <w:start w:val="1"/>
      <w:numFmt w:val="bullet"/>
      <w:pStyle w:val="a3"/>
      <w:lvlText w:val=""/>
      <w:lvlJc w:val="left"/>
      <w:pPr>
        <w:tabs>
          <w:tab w:val="left" w:pos="1260"/>
        </w:tabs>
        <w:ind w:left="1260" w:hanging="420"/>
      </w:pPr>
      <w:rPr>
        <w:rFonts w:ascii="Wingdings" w:hAnsi="Wingdings" w:hint="default"/>
      </w:rPr>
    </w:lvl>
    <w:lvl w:ilvl="2">
      <w:start w:val="1"/>
      <w:numFmt w:val="bullet"/>
      <w:lvlText w:val=""/>
      <w:lvlJc w:val="left"/>
      <w:pPr>
        <w:tabs>
          <w:tab w:val="left" w:pos="1680"/>
        </w:tabs>
        <w:ind w:left="1680" w:hanging="420"/>
      </w:pPr>
      <w:rPr>
        <w:rFonts w:ascii="Wingdings" w:hAnsi="Wingdings" w:hint="default"/>
      </w:rPr>
    </w:lvl>
    <w:lvl w:ilvl="3">
      <w:start w:val="1"/>
      <w:numFmt w:val="bullet"/>
      <w:lvlText w:val=""/>
      <w:lvlJc w:val="left"/>
      <w:pPr>
        <w:tabs>
          <w:tab w:val="left" w:pos="2100"/>
        </w:tabs>
        <w:ind w:left="2100" w:hanging="420"/>
      </w:pPr>
      <w:rPr>
        <w:rFonts w:ascii="Wingdings" w:hAnsi="Wingdings" w:hint="default"/>
      </w:rPr>
    </w:lvl>
    <w:lvl w:ilvl="4">
      <w:start w:val="1"/>
      <w:numFmt w:val="bullet"/>
      <w:lvlText w:val=""/>
      <w:lvlJc w:val="left"/>
      <w:pPr>
        <w:tabs>
          <w:tab w:val="left" w:pos="2520"/>
        </w:tabs>
        <w:ind w:left="2520" w:hanging="420"/>
      </w:pPr>
      <w:rPr>
        <w:rFonts w:ascii="Wingdings" w:hAnsi="Wingdings" w:hint="default"/>
      </w:rPr>
    </w:lvl>
    <w:lvl w:ilvl="5">
      <w:start w:val="1"/>
      <w:numFmt w:val="bullet"/>
      <w:lvlText w:val=""/>
      <w:lvlJc w:val="left"/>
      <w:pPr>
        <w:tabs>
          <w:tab w:val="left" w:pos="2940"/>
        </w:tabs>
        <w:ind w:left="2940" w:hanging="420"/>
      </w:pPr>
      <w:rPr>
        <w:rFonts w:ascii="Wingdings" w:hAnsi="Wingdings" w:hint="default"/>
      </w:rPr>
    </w:lvl>
    <w:lvl w:ilvl="6">
      <w:start w:val="1"/>
      <w:numFmt w:val="bullet"/>
      <w:lvlText w:val=""/>
      <w:lvlJc w:val="left"/>
      <w:pPr>
        <w:tabs>
          <w:tab w:val="left" w:pos="3360"/>
        </w:tabs>
        <w:ind w:left="3360" w:hanging="420"/>
      </w:pPr>
      <w:rPr>
        <w:rFonts w:ascii="Wingdings" w:hAnsi="Wingdings" w:hint="default"/>
      </w:rPr>
    </w:lvl>
    <w:lvl w:ilvl="7">
      <w:start w:val="1"/>
      <w:numFmt w:val="bullet"/>
      <w:lvlText w:val=""/>
      <w:lvlJc w:val="left"/>
      <w:pPr>
        <w:tabs>
          <w:tab w:val="left" w:pos="3780"/>
        </w:tabs>
        <w:ind w:left="3780" w:hanging="420"/>
      </w:pPr>
      <w:rPr>
        <w:rFonts w:ascii="Wingdings" w:hAnsi="Wingdings" w:hint="default"/>
      </w:rPr>
    </w:lvl>
    <w:lvl w:ilvl="8">
      <w:start w:val="1"/>
      <w:numFmt w:val="bullet"/>
      <w:lvlText w:val=""/>
      <w:lvlJc w:val="left"/>
      <w:pPr>
        <w:tabs>
          <w:tab w:val="left" w:pos="4200"/>
        </w:tabs>
        <w:ind w:left="4200" w:hanging="420"/>
      </w:pPr>
      <w:rPr>
        <w:rFonts w:ascii="Wingdings" w:hAnsi="Wingdings" w:hint="default"/>
      </w:rPr>
    </w:lvl>
  </w:abstractNum>
  <w:abstractNum w:abstractNumId="5">
    <w:nsid w:val="2F395B7B"/>
    <w:multiLevelType w:val="multilevel"/>
    <w:tmpl w:val="2F395B7B"/>
    <w:lvl w:ilvl="0">
      <w:start w:val="1"/>
      <w:numFmt w:val="bullet"/>
      <w:pStyle w:val="11"/>
      <w:lvlText w:val=""/>
      <w:lvlJc w:val="left"/>
      <w:pPr>
        <w:tabs>
          <w:tab w:val="left" w:pos="360"/>
        </w:tabs>
        <w:ind w:left="360" w:hanging="360"/>
      </w:pPr>
      <w:rPr>
        <w:rFonts w:ascii="Symbol" w:hAnsi="Symbol" w:hint="default"/>
      </w:rPr>
    </w:lvl>
    <w:lvl w:ilvl="1">
      <w:start w:val="1"/>
      <w:numFmt w:val="bullet"/>
      <w:lvlText w:val=""/>
      <w:lvlJc w:val="left"/>
      <w:pPr>
        <w:tabs>
          <w:tab w:val="left" w:pos="1140"/>
        </w:tabs>
        <w:ind w:left="1140" w:hanging="420"/>
      </w:pPr>
      <w:rPr>
        <w:rFonts w:ascii="Wingdings" w:hAnsi="Wingdings" w:hint="default"/>
      </w:rPr>
    </w:lvl>
    <w:lvl w:ilvl="2">
      <w:start w:val="1"/>
      <w:numFmt w:val="bullet"/>
      <w:lvlText w:val=""/>
      <w:lvlJc w:val="left"/>
      <w:pPr>
        <w:tabs>
          <w:tab w:val="left" w:pos="1800"/>
        </w:tabs>
        <w:ind w:left="1800" w:hanging="360"/>
      </w:pPr>
      <w:rPr>
        <w:rFonts w:ascii="Wingdings" w:hAnsi="Wingdings" w:hint="default"/>
      </w:rPr>
    </w:lvl>
    <w:lvl w:ilvl="3">
      <w:start w:val="1"/>
      <w:numFmt w:val="bullet"/>
      <w:lvlText w:val=""/>
      <w:lvlJc w:val="left"/>
      <w:pPr>
        <w:tabs>
          <w:tab w:val="left" w:pos="2520"/>
        </w:tabs>
        <w:ind w:left="2520" w:hanging="360"/>
      </w:pPr>
      <w:rPr>
        <w:rFonts w:ascii="Symbol" w:hAnsi="Symbol" w:hint="default"/>
      </w:rPr>
    </w:lvl>
    <w:lvl w:ilvl="4">
      <w:start w:val="1"/>
      <w:numFmt w:val="bullet"/>
      <w:lvlText w:val="o"/>
      <w:lvlJc w:val="left"/>
      <w:pPr>
        <w:tabs>
          <w:tab w:val="left" w:pos="3240"/>
        </w:tabs>
        <w:ind w:left="3240" w:hanging="360"/>
      </w:pPr>
      <w:rPr>
        <w:rFonts w:ascii="Courier New" w:hAnsi="Courier New" w:cs="Courier New" w:hint="default"/>
      </w:rPr>
    </w:lvl>
    <w:lvl w:ilvl="5">
      <w:start w:val="1"/>
      <w:numFmt w:val="bullet"/>
      <w:lvlText w:val=""/>
      <w:lvlJc w:val="left"/>
      <w:pPr>
        <w:tabs>
          <w:tab w:val="left" w:pos="3960"/>
        </w:tabs>
        <w:ind w:left="3960" w:hanging="360"/>
      </w:pPr>
      <w:rPr>
        <w:rFonts w:ascii="Wingdings" w:hAnsi="Wingdings" w:hint="default"/>
      </w:rPr>
    </w:lvl>
    <w:lvl w:ilvl="6">
      <w:start w:val="1"/>
      <w:numFmt w:val="bullet"/>
      <w:lvlText w:val=""/>
      <w:lvlJc w:val="left"/>
      <w:pPr>
        <w:tabs>
          <w:tab w:val="left" w:pos="4680"/>
        </w:tabs>
        <w:ind w:left="4680" w:hanging="360"/>
      </w:pPr>
      <w:rPr>
        <w:rFonts w:ascii="Symbol" w:hAnsi="Symbol" w:hint="default"/>
      </w:rPr>
    </w:lvl>
    <w:lvl w:ilvl="7">
      <w:start w:val="1"/>
      <w:numFmt w:val="bullet"/>
      <w:lvlText w:val="o"/>
      <w:lvlJc w:val="left"/>
      <w:pPr>
        <w:tabs>
          <w:tab w:val="left" w:pos="5400"/>
        </w:tabs>
        <w:ind w:left="5400" w:hanging="360"/>
      </w:pPr>
      <w:rPr>
        <w:rFonts w:ascii="Courier New" w:hAnsi="Courier New" w:cs="Courier New" w:hint="default"/>
      </w:rPr>
    </w:lvl>
    <w:lvl w:ilvl="8">
      <w:start w:val="1"/>
      <w:numFmt w:val="bullet"/>
      <w:lvlText w:val=""/>
      <w:lvlJc w:val="left"/>
      <w:pPr>
        <w:tabs>
          <w:tab w:val="left" w:pos="6120"/>
        </w:tabs>
        <w:ind w:left="6120" w:hanging="360"/>
      </w:pPr>
      <w:rPr>
        <w:rFonts w:ascii="Wingdings" w:hAnsi="Wingdings" w:hint="default"/>
      </w:rPr>
    </w:lvl>
  </w:abstractNum>
  <w:abstractNum w:abstractNumId="6">
    <w:nsid w:val="5B33D2FE"/>
    <w:multiLevelType w:val="singleLevel"/>
    <w:tmpl w:val="5B33D2FE"/>
    <w:lvl w:ilvl="0">
      <w:start w:val="4"/>
      <w:numFmt w:val="chineseCounting"/>
      <w:suff w:val="nothing"/>
      <w:lvlText w:val="%1、"/>
      <w:lvlJc w:val="left"/>
      <w:pPr>
        <w:ind w:left="0" w:firstLine="420"/>
      </w:pPr>
      <w:rPr>
        <w:rFonts w:hint="eastAsia"/>
      </w:rPr>
    </w:lvl>
  </w:abstractNum>
  <w:abstractNum w:abstractNumId="7">
    <w:nsid w:val="5E523BFA"/>
    <w:multiLevelType w:val="singleLevel"/>
    <w:tmpl w:val="5E523BFA"/>
    <w:lvl w:ilvl="0">
      <w:start w:val="5"/>
      <w:numFmt w:val="chineseCounting"/>
      <w:suff w:val="nothing"/>
      <w:lvlText w:val="%1、"/>
      <w:lvlJc w:val="left"/>
      <w:pPr>
        <w:ind w:left="0" w:firstLine="420"/>
      </w:pPr>
      <w:rPr>
        <w:rFonts w:hint="eastAsia"/>
      </w:rPr>
    </w:lvl>
  </w:abstractNum>
  <w:abstractNum w:abstractNumId="8">
    <w:nsid w:val="7AEF7716"/>
    <w:multiLevelType w:val="multilevel"/>
    <w:tmpl w:val="7AEF7716"/>
    <w:lvl w:ilvl="0">
      <w:start w:val="1"/>
      <w:numFmt w:val="chineseCountingThousand"/>
      <w:pStyle w:val="3"/>
      <w:lvlText w:val="%1"/>
      <w:lvlJc w:val="left"/>
      <w:pPr>
        <w:tabs>
          <w:tab w:val="left" w:pos="1290"/>
        </w:tabs>
        <w:ind w:left="630" w:hanging="420"/>
      </w:pPr>
      <w:rPr>
        <w:rFonts w:hint="eastAsia"/>
        <w:sz w:val="32"/>
        <w:szCs w:val="32"/>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abstractNumId w:val="1"/>
  </w:num>
  <w:num w:numId="2">
    <w:abstractNumId w:val="0"/>
  </w:num>
  <w:num w:numId="3">
    <w:abstractNumId w:val="4"/>
  </w:num>
  <w:num w:numId="4">
    <w:abstractNumId w:val="3"/>
  </w:num>
  <w:num w:numId="5">
    <w:abstractNumId w:val="8"/>
  </w:num>
  <w:num w:numId="6">
    <w:abstractNumId w:val="5"/>
  </w:num>
  <w:num w:numId="7">
    <w:abstractNumId w:val="7"/>
  </w:num>
  <w:num w:numId="8">
    <w:abstractNumId w:val="6"/>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zoom w:percent="92"/>
  <w:trackRevisions/>
  <w:defaultTabStop w:val="420"/>
  <w:drawingGridHorizontalSpacing w:val="105"/>
  <w:drawingGridVerticalSpacing w:val="156"/>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WViZDUzM2Q0MzcwZDk3NWQ3Mzc4NmVjOThjYWVmZTEifQ=="/>
  </w:docVars>
  <m:mathPr>
    <m:mathFont m:val="Cambria Math"/>
    <m:smallFrac/>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semiHidden="0" w:uiPriority="0" w:unhideWhenUsed="0" w:qFormat="1"/>
    <w:lsdException w:name="heading 3" w:semiHidden="0" w:uiPriority="9" w:unhideWhenUsed="0" w:qFormat="1"/>
    <w:lsdException w:name="heading 4" w:semiHidden="0" w:uiPriority="9" w:unhideWhenUsed="0" w:qFormat="1"/>
    <w:lsdException w:name="heading 5" w:semiHidden="0" w:uiPriority="0" w:unhideWhenUsed="0" w:qFormat="1"/>
    <w:lsdException w:name="heading 6" w:semiHidden="0" w:uiPriority="0" w:unhideWhenUsed="0" w:qFormat="1"/>
    <w:lsdException w:name="heading 7" w:semiHidden="0" w:uiPriority="0" w:unhideWhenUsed="0" w:qFormat="1"/>
    <w:lsdException w:name="heading 8" w:semiHidden="0" w:uiPriority="0" w:unhideWhenUsed="0" w:qFormat="1"/>
    <w:lsdException w:name="heading 9" w:semiHidden="0" w:uiPriority="0" w:unhideWhenUsed="0" w:qFormat="1"/>
    <w:lsdException w:name="index 1" w:uiPriority="0" w:unhideWhenUsed="0" w:qFormat="1"/>
    <w:lsdException w:name="index 2" w:uiPriority="0"/>
    <w:lsdException w:name="index 3" w:uiPriority="0"/>
    <w:lsdException w:name="index 4" w:uiPriority="0"/>
    <w:lsdException w:name="index 5" w:uiPriority="0"/>
    <w:lsdException w:name="index 6" w:uiPriority="0"/>
    <w:lsdException w:name="index 7" w:uiPriority="0"/>
    <w:lsdException w:name="index 8" w:uiPriority="0"/>
    <w:lsdException w:name="index 9" w:uiPriority="0"/>
    <w:lsdException w:name="toc 1" w:uiPriority="0" w:unhideWhenUsed="0" w:qFormat="1"/>
    <w:lsdException w:name="toc 2" w:uiPriority="0" w:unhideWhenUsed="0" w:qFormat="1"/>
    <w:lsdException w:name="toc 3" w:uiPriority="0" w:unhideWhenUsed="0" w:qFormat="1"/>
    <w:lsdException w:name="toc 4" w:uiPriority="0" w:unhideWhenUsed="0" w:qFormat="1"/>
    <w:lsdException w:name="toc 5" w:uiPriority="0" w:unhideWhenUsed="0" w:qFormat="1"/>
    <w:lsdException w:name="toc 6" w:uiPriority="0" w:unhideWhenUsed="0" w:qFormat="1"/>
    <w:lsdException w:name="toc 7" w:uiPriority="0" w:unhideWhenUsed="0" w:qFormat="1"/>
    <w:lsdException w:name="toc 8" w:uiPriority="0" w:unhideWhenUsed="0" w:qFormat="1"/>
    <w:lsdException w:name="toc 9" w:uiPriority="0" w:unhideWhenUsed="0" w:qFormat="1"/>
    <w:lsdException w:name="Normal Indent" w:semiHidden="0" w:uiPriority="0" w:unhideWhenUsed="0" w:qFormat="1"/>
    <w:lsdException w:name="footnote text" w:uiPriority="0"/>
    <w:lsdException w:name="annotation text" w:semiHidden="0" w:unhideWhenUsed="0" w:qFormat="1"/>
    <w:lsdException w:name="header" w:semiHidden="0" w:unhideWhenUsed="0" w:qFormat="1"/>
    <w:lsdException w:name="footer" w:semiHidden="0" w:uiPriority="0" w:unhideWhenUsed="0" w:qFormat="1"/>
    <w:lsdException w:name="index heading" w:uiPriority="0"/>
    <w:lsdException w:name="caption" w:semiHidden="0" w:uiPriority="0" w:unhideWhenUsed="0" w:qFormat="1"/>
    <w:lsdException w:name="table of figures" w:uiPriority="0"/>
    <w:lsdException w:name="envelope address" w:uiPriority="0"/>
    <w:lsdException w:name="envelope return" w:uiPriority="0"/>
    <w:lsdException w:name="footnote reference" w:uiPriority="0"/>
    <w:lsdException w:name="annotation reference" w:semiHidden="0" w:unhideWhenUsed="0" w:qFormat="1"/>
    <w:lsdException w:name="line number" w:uiPriority="0"/>
    <w:lsdException w:name="page number" w:semiHidden="0" w:uiPriority="0" w:unhideWhenUsed="0" w:qFormat="1"/>
    <w:lsdException w:name="endnote reference" w:uiPriority="0"/>
    <w:lsdException w:name="endnote text" w:uiPriority="0"/>
    <w:lsdException w:name="table of authorities" w:semiHidden="0" w:uiPriority="0" w:unhideWhenUsed="0"/>
    <w:lsdException w:name="macro" w:uiPriority="0"/>
    <w:lsdException w:name="toa heading" w:uiPriority="0"/>
    <w:lsdException w:name="List" w:semiHidden="0" w:uiPriority="0" w:unhideWhenUsed="0"/>
    <w:lsdException w:name="List Bullet" w:semiHidden="0" w:uiPriority="0" w:unhideWhenUsed="0" w:qFormat="1"/>
    <w:lsdException w:name="List Number" w:uiPriority="0"/>
    <w:lsdException w:name="List 2" w:uiPriority="0"/>
    <w:lsdException w:name="List 3" w:uiPriority="0"/>
    <w:lsdException w:name="List 4" w:uiPriority="0"/>
    <w:lsdException w:name="List 5"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semiHidden="0" w:uiPriority="0" w:unhideWhenUsed="0" w:qFormat="1"/>
    <w:lsdException w:name="Closing" w:uiPriority="0"/>
    <w:lsdException w:name="Signature" w:uiPriority="0"/>
    <w:lsdException w:name="Default Paragraph Font" w:uiPriority="1" w:qFormat="1"/>
    <w:lsdException w:name="Body Text" w:semiHidden="0" w:uiPriority="0" w:unhideWhenUsed="0" w:qFormat="1"/>
    <w:lsdException w:name="Body Text Indent" w:semiHidden="0" w:uiPriority="0" w:unhideWhenUsed="0" w:qFormat="1"/>
    <w:lsdException w:name="List Continue" w:uiPriority="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uiPriority="0"/>
    <w:lsdException w:name="Subtitle" w:semiHidden="0" w:uiPriority="0" w:unhideWhenUsed="0" w:qFormat="1"/>
    <w:lsdException w:name="Salutation" w:uiPriority="0"/>
    <w:lsdException w:name="Date" w:semiHidden="0" w:uiPriority="0" w:unhideWhenUsed="0" w:qFormat="1"/>
    <w:lsdException w:name="Body Text First Indent" w:semiHidden="0" w:uiPriority="0" w:unhideWhenUsed="0" w:qFormat="1"/>
    <w:lsdException w:name="Body Text First Indent 2" w:uiPriority="0"/>
    <w:lsdException w:name="Body Text 2" w:semiHidden="0" w:uiPriority="0" w:unhideWhenUsed="0" w:qFormat="1"/>
    <w:lsdException w:name="Body Text 3" w:semiHidden="0" w:uiPriority="0" w:unhideWhenUsed="0" w:qFormat="1"/>
    <w:lsdException w:name="Body Text Indent 2" w:semiHidden="0" w:uiPriority="0" w:unhideWhenUsed="0" w:qFormat="1"/>
    <w:lsdException w:name="Body Text Indent 3" w:semiHidden="0" w:uiPriority="0" w:unhideWhenUsed="0" w:qFormat="1"/>
    <w:lsdException w:name="Block Text" w:uiPriority="0"/>
    <w:lsdException w:name="Hyperlink" w:semiHidden="0" w:uiPriority="0" w:unhideWhenUsed="0" w:qFormat="1"/>
    <w:lsdException w:name="FollowedHyperlink" w:semiHidden="0" w:uiPriority="0" w:unhideWhenUsed="0" w:qFormat="1"/>
    <w:lsdException w:name="Strong" w:semiHidden="0" w:uiPriority="0" w:unhideWhenUsed="0" w:qFormat="1"/>
    <w:lsdException w:name="Emphasis" w:semiHidden="0" w:uiPriority="0" w:unhideWhenUsed="0" w:qFormat="1"/>
    <w:lsdException w:name="Document Map" w:uiPriority="0" w:unhideWhenUsed="0" w:qFormat="1"/>
    <w:lsdException w:name="Plain Text" w:semiHidden="0" w:uiPriority="0" w:unhideWhenUsed="0" w:qFormat="1"/>
    <w:lsdException w:name="E-mail Signature" w:uiPriority="0"/>
    <w:lsdException w:name="Normal (Web)" w:semiHidden="0" w:unhideWhenUsed="0" w:qFormat="1"/>
    <w:lsdException w:name="HTML Acronym" w:uiPriority="0" w:qFormat="1"/>
    <w:lsdException w:name="HTML Address" w:uiPriority="0"/>
    <w:lsdException w:name="HTML Cite" w:uiPriority="0"/>
    <w:lsdException w:name="HTML Code" w:uiPriority="0" w:qFormat="1"/>
    <w:lsdException w:name="HTML Definition" w:uiPriority="0" w:qFormat="1"/>
    <w:lsdException w:name="HTML Keyboard" w:uiPriority="0"/>
    <w:lsdException w:name="HTML Preformatted" w:semiHidden="0" w:uiPriority="0" w:unhideWhenUsed="0" w:qFormat="1"/>
    <w:lsdException w:name="HTML Sample" w:uiPriority="0"/>
    <w:lsdException w:name="HTML Typewriter" w:uiPriority="0" w:qFormat="1"/>
    <w:lsdException w:name="HTML Variable" w:uiPriority="0"/>
    <w:lsdException w:name="Normal Table" w:qFormat="1"/>
    <w:lsdException w:name="annotation subject" w:semiHidden="0" w:unhideWhenUsed="0" w:qFormat="1"/>
    <w:lsdException w:name="Table Simple 1" w:uiPriority="0"/>
    <w:lsdException w:name="Table Simple 2" w:uiPriority="0"/>
    <w:lsdException w:name="Table Simple 3" w:uiPriority="0"/>
    <w:lsdException w:name="Table Classic 1" w:uiPriority="0"/>
    <w:lsdException w:name="Table Classic 2" w:uiPriority="0"/>
    <w:lsdException w:name="Table Classic 3" w:uiPriority="0"/>
    <w:lsdException w:name="Table Classic 4" w:uiPriority="0"/>
    <w:lsdException w:name="Table Colorful 1" w:uiPriority="0"/>
    <w:lsdException w:name="Table Colorful 2" w:uiPriority="0"/>
    <w:lsdException w:name="Table Colorful 3" w:uiPriority="0"/>
    <w:lsdException w:name="Table Columns 1" w:uiPriority="0"/>
    <w:lsdException w:name="Table Columns 2" w:uiPriority="0"/>
    <w:lsdException w:name="Table Columns 3" w:uiPriority="0"/>
    <w:lsdException w:name="Table Columns 4" w:uiPriority="0"/>
    <w:lsdException w:name="Table Columns 5" w:uiPriority="0"/>
    <w:lsdException w:name="Table Grid 1" w:uiPriority="0"/>
    <w:lsdException w:name="Table Grid 2" w:uiPriority="0"/>
    <w:lsdException w:name="Table Grid 3" w:uiPriority="0"/>
    <w:lsdException w:name="Table Grid 4" w:uiPriority="0"/>
    <w:lsdException w:name="Table Grid 5" w:uiPriority="0"/>
    <w:lsdException w:name="Table Grid 6" w:uiPriority="0"/>
    <w:lsdException w:name="Table Grid 7" w:uiPriority="0"/>
    <w:lsdException w:name="Table Grid 8" w:uiPriority="0"/>
    <w:lsdException w:name="Table List 1" w:uiPriority="0"/>
    <w:lsdException w:name="Table List 2" w:uiPriority="0"/>
    <w:lsdException w:name="Table List 3" w:uiPriority="0"/>
    <w:lsdException w:name="Table List 4" w:uiPriority="0"/>
    <w:lsdException w:name="Table List 5" w:uiPriority="0"/>
    <w:lsdException w:name="Table List 6" w:uiPriority="0"/>
    <w:lsdException w:name="Table List 7" w:uiPriority="0"/>
    <w:lsdException w:name="Table List 8" w:uiPriority="0"/>
    <w:lsdException w:name="Table 3D effects 1" w:uiPriority="0"/>
    <w:lsdException w:name="Table 3D effects 2" w:uiPriority="0"/>
    <w:lsdException w:name="Table 3D effects 3" w:uiPriority="0"/>
    <w:lsdException w:name="Table Contemporary" w:uiPriority="0"/>
    <w:lsdException w:name="Table Elegant" w:uiPriority="0"/>
    <w:lsdException w:name="Table Professional" w:uiPriority="0"/>
    <w:lsdException w:name="Table Subtle 1" w:uiPriority="0"/>
    <w:lsdException w:name="Table Subtle 2" w:uiPriority="0"/>
    <w:lsdException w:name="Table Web 1" w:uiPriority="0"/>
    <w:lsdException w:name="Table Web 2" w:uiPriority="0"/>
    <w:lsdException w:name="Table Web 3" w:uiPriority="0"/>
    <w:lsdException w:name="Balloon Text" w:unhideWhenUsed="0" w:qFormat="1"/>
    <w:lsdException w:name="Table Grid" w:semiHidden="0" w:uiPriority="39" w:unhideWhenUsed="0" w:qFormat="1"/>
    <w:lsdException w:name="Table Theme" w:uiPriority="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Quote" w:semiHidden="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next w:val="BodyText"/>
    <w:qFormat/>
    <w:pPr>
      <w:widowControl w:val="0"/>
      <w:jc w:val="both"/>
    </w:pPr>
    <w:rPr>
      <w:rFonts w:ascii="Times New Roman" w:eastAsia="宋体" w:hAnsi="Times New Roman" w:cs="Times New Roman"/>
      <w:kern w:val="2"/>
      <w:sz w:val="21"/>
      <w:szCs w:val="24"/>
      <w:lang w:val="en-US" w:eastAsia="zh-CN" w:bidi="ar-SA"/>
    </w:rPr>
  </w:style>
  <w:style w:type="paragraph" w:styleId="Heading1">
    <w:name w:val="heading 1"/>
    <w:basedOn w:val="Heading3"/>
    <w:next w:val="Normal"/>
    <w:link w:val="1Char"/>
    <w:qFormat/>
    <w:pPr>
      <w:spacing w:before="340" w:after="330" w:line="360" w:lineRule="auto"/>
      <w:jc w:val="center"/>
      <w:outlineLvl w:val="0"/>
    </w:pPr>
    <w:rPr>
      <w:rFonts w:eastAsia="黑体"/>
      <w:kern w:val="44"/>
      <w:szCs w:val="44"/>
    </w:rPr>
  </w:style>
  <w:style w:type="paragraph" w:styleId="Heading2">
    <w:name w:val="heading 2"/>
    <w:basedOn w:val="Heading3"/>
    <w:next w:val="Heading4"/>
    <w:link w:val="2Char"/>
    <w:qFormat/>
    <w:pPr>
      <w:adjustRightInd w:val="0"/>
      <w:jc w:val="center"/>
      <w:textAlignment w:val="baseline"/>
      <w:outlineLvl w:val="1"/>
    </w:pPr>
    <w:rPr>
      <w:kern w:val="0"/>
      <w:sz w:val="24"/>
      <w:szCs w:val="20"/>
    </w:rPr>
  </w:style>
  <w:style w:type="paragraph" w:styleId="Heading3">
    <w:name w:val="heading 3"/>
    <w:basedOn w:val="Heading4"/>
    <w:next w:val="Normal"/>
    <w:link w:val="3Char1"/>
    <w:uiPriority w:val="9"/>
    <w:qFormat/>
    <w:pPr>
      <w:spacing w:before="260" w:after="260" w:line="240" w:lineRule="auto"/>
      <w:outlineLvl w:val="2"/>
    </w:pPr>
    <w:rPr>
      <w:rFonts w:ascii="宋体" w:eastAsia="宋体" w:hAnsi="宋体"/>
      <w:szCs w:val="32"/>
    </w:rPr>
  </w:style>
  <w:style w:type="paragraph" w:styleId="Heading4">
    <w:name w:val="heading 4"/>
    <w:basedOn w:val="Normal"/>
    <w:next w:val="Normal"/>
    <w:link w:val="4Char"/>
    <w:uiPriority w:val="9"/>
    <w:qFormat/>
    <w:pPr>
      <w:keepNext/>
      <w:keepLines/>
      <w:spacing w:before="280" w:after="290" w:line="376" w:lineRule="auto"/>
      <w:outlineLvl w:val="3"/>
    </w:pPr>
    <w:rPr>
      <w:rFonts w:ascii="Arial" w:eastAsia="黑体" w:hAnsi="Arial"/>
      <w:b/>
      <w:bCs/>
      <w:sz w:val="28"/>
      <w:szCs w:val="28"/>
    </w:rPr>
  </w:style>
  <w:style w:type="paragraph" w:styleId="Heading5">
    <w:name w:val="heading 5"/>
    <w:basedOn w:val="Normal"/>
    <w:next w:val="NormalIndent"/>
    <w:link w:val="5Char"/>
    <w:qFormat/>
    <w:pPr>
      <w:keepNext/>
      <w:keepLines/>
      <w:spacing w:before="280" w:after="290" w:line="376" w:lineRule="auto"/>
      <w:outlineLvl w:val="4"/>
    </w:pPr>
    <w:rPr>
      <w:b/>
      <w:sz w:val="28"/>
      <w:szCs w:val="20"/>
    </w:rPr>
  </w:style>
  <w:style w:type="paragraph" w:styleId="Heading6">
    <w:name w:val="heading 6"/>
    <w:basedOn w:val="Normal"/>
    <w:next w:val="NormalIndent"/>
    <w:link w:val="6Char"/>
    <w:qFormat/>
    <w:pPr>
      <w:keepNext/>
      <w:keepLines/>
      <w:spacing w:before="240" w:after="64" w:line="320" w:lineRule="auto"/>
      <w:outlineLvl w:val="5"/>
    </w:pPr>
    <w:rPr>
      <w:rFonts w:ascii="Arial" w:eastAsia="黑体" w:hAnsi="Arial"/>
      <w:b/>
      <w:sz w:val="24"/>
      <w:szCs w:val="20"/>
    </w:rPr>
  </w:style>
  <w:style w:type="paragraph" w:styleId="Heading7">
    <w:name w:val="heading 7"/>
    <w:basedOn w:val="Normal"/>
    <w:next w:val="NormalIndent"/>
    <w:link w:val="7Char"/>
    <w:qFormat/>
    <w:pPr>
      <w:keepNext/>
      <w:keepLines/>
      <w:spacing w:before="240" w:after="64" w:line="320" w:lineRule="auto"/>
      <w:outlineLvl w:val="6"/>
    </w:pPr>
    <w:rPr>
      <w:b/>
      <w:sz w:val="24"/>
      <w:szCs w:val="20"/>
    </w:rPr>
  </w:style>
  <w:style w:type="paragraph" w:styleId="Heading8">
    <w:name w:val="heading 8"/>
    <w:basedOn w:val="Normal"/>
    <w:next w:val="NormalIndent"/>
    <w:link w:val="8Char"/>
    <w:qFormat/>
    <w:pPr>
      <w:keepNext/>
      <w:keepLines/>
      <w:spacing w:before="240" w:after="64" w:line="320" w:lineRule="auto"/>
      <w:outlineLvl w:val="7"/>
    </w:pPr>
    <w:rPr>
      <w:rFonts w:ascii="Arial" w:eastAsia="黑体" w:hAnsi="Arial"/>
      <w:sz w:val="24"/>
      <w:szCs w:val="20"/>
    </w:rPr>
  </w:style>
  <w:style w:type="paragraph" w:styleId="Heading9">
    <w:name w:val="heading 9"/>
    <w:basedOn w:val="Normal"/>
    <w:next w:val="NormalIndent"/>
    <w:link w:val="9Char"/>
    <w:qFormat/>
    <w:pPr>
      <w:keepNext/>
      <w:keepLines/>
      <w:spacing w:before="240" w:after="64" w:line="320" w:lineRule="auto"/>
      <w:outlineLvl w:val="8"/>
    </w:pPr>
    <w:rPr>
      <w:rFonts w:ascii="Arial" w:eastAsia="黑体" w:hAnsi="Arial"/>
      <w:szCs w:val="20"/>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BodyText">
    <w:name w:val="Body Text"/>
    <w:basedOn w:val="Normal"/>
    <w:next w:val="Quote"/>
    <w:link w:val="Char7"/>
    <w:qFormat/>
    <w:pPr>
      <w:spacing w:line="360" w:lineRule="auto"/>
    </w:pPr>
    <w:rPr>
      <w:b/>
      <w:bCs/>
      <w:sz w:val="24"/>
    </w:rPr>
  </w:style>
  <w:style w:type="paragraph" w:styleId="Quote">
    <w:name w:val="Quote"/>
    <w:next w:val="Normal"/>
    <w:uiPriority w:val="99"/>
    <w:qFormat/>
    <w:pPr>
      <w:widowControl w:val="0"/>
      <w:jc w:val="both"/>
    </w:pPr>
    <w:rPr>
      <w:rFonts w:ascii="Calibri" w:eastAsia="宋体" w:hAnsi="Calibri" w:cs="Times New Roman"/>
      <w:i/>
      <w:iCs/>
      <w:color w:val="000000"/>
      <w:kern w:val="2"/>
      <w:sz w:val="22"/>
      <w:szCs w:val="22"/>
      <w:lang w:val="en-US" w:eastAsia="zh-CN" w:bidi="ar-SA"/>
    </w:rPr>
  </w:style>
  <w:style w:type="paragraph" w:styleId="NormalIndent">
    <w:name w:val="Normal Indent"/>
    <w:basedOn w:val="Normal"/>
    <w:link w:val="Char0"/>
    <w:qFormat/>
    <w:pPr>
      <w:ind w:firstLine="420"/>
    </w:pPr>
    <w:rPr>
      <w:szCs w:val="20"/>
    </w:rPr>
  </w:style>
  <w:style w:type="paragraph" w:styleId="TOC7">
    <w:name w:val="toc 7"/>
    <w:basedOn w:val="Normal"/>
    <w:next w:val="Normal"/>
    <w:semiHidden/>
    <w:qFormat/>
    <w:pPr>
      <w:ind w:left="1260"/>
      <w:jc w:val="left"/>
    </w:pPr>
    <w:rPr>
      <w:szCs w:val="21"/>
    </w:rPr>
  </w:style>
  <w:style w:type="paragraph" w:styleId="Caption">
    <w:name w:val="caption"/>
    <w:basedOn w:val="Normal"/>
    <w:next w:val="Normal"/>
    <w:qFormat/>
    <w:pPr>
      <w:widowControl/>
      <w:spacing w:line="360" w:lineRule="auto"/>
      <w:ind w:firstLine="1940" w:firstLineChars="920"/>
      <w:jc w:val="left"/>
    </w:pPr>
    <w:rPr>
      <w:rFonts w:ascii="宋体" w:hAnsi="宋体"/>
      <w:b/>
      <w:bCs/>
      <w:kern w:val="0"/>
      <w:sz w:val="20"/>
      <w:szCs w:val="20"/>
    </w:rPr>
  </w:style>
  <w:style w:type="paragraph" w:styleId="ListBullet">
    <w:name w:val="List Bullet"/>
    <w:basedOn w:val="Normal"/>
    <w:qFormat/>
    <w:pPr>
      <w:numPr>
        <w:ilvl w:val="0"/>
        <w:numId w:val="1"/>
      </w:numPr>
    </w:pPr>
    <w:rPr>
      <w:szCs w:val="20"/>
    </w:rPr>
  </w:style>
  <w:style w:type="paragraph" w:styleId="DocumentMap">
    <w:name w:val="Document Map"/>
    <w:basedOn w:val="Normal"/>
    <w:semiHidden/>
    <w:qFormat/>
    <w:pPr>
      <w:shd w:val="clear" w:color="auto" w:fill="000080"/>
    </w:pPr>
  </w:style>
  <w:style w:type="paragraph" w:styleId="CommentText">
    <w:name w:val="annotation text"/>
    <w:basedOn w:val="Normal"/>
    <w:link w:val="Char16"/>
    <w:uiPriority w:val="99"/>
    <w:qFormat/>
    <w:pPr>
      <w:autoSpaceDE w:val="0"/>
      <w:autoSpaceDN w:val="0"/>
      <w:adjustRightInd w:val="0"/>
      <w:jc w:val="left"/>
      <w:textAlignment w:val="baseline"/>
    </w:pPr>
    <w:rPr>
      <w:rFonts w:ascii="宋体"/>
      <w:kern w:val="0"/>
      <w:sz w:val="34"/>
      <w:szCs w:val="20"/>
    </w:rPr>
  </w:style>
  <w:style w:type="paragraph" w:styleId="BodyText3">
    <w:name w:val="Body Text 3"/>
    <w:basedOn w:val="Normal"/>
    <w:link w:val="3Char2"/>
    <w:qFormat/>
    <w:pPr>
      <w:spacing w:after="120"/>
    </w:pPr>
    <w:rPr>
      <w:sz w:val="16"/>
      <w:szCs w:val="16"/>
    </w:rPr>
  </w:style>
  <w:style w:type="paragraph" w:styleId="BodyTextIndent">
    <w:name w:val="Body Text Indent"/>
    <w:basedOn w:val="Normal"/>
    <w:link w:val="Char1"/>
    <w:qFormat/>
    <w:pPr>
      <w:spacing w:line="360" w:lineRule="auto"/>
      <w:ind w:firstLine="420" w:firstLineChars="200"/>
    </w:pPr>
  </w:style>
  <w:style w:type="paragraph" w:styleId="TOC5">
    <w:name w:val="toc 5"/>
    <w:basedOn w:val="Normal"/>
    <w:next w:val="Normal"/>
    <w:semiHidden/>
    <w:qFormat/>
    <w:pPr>
      <w:ind w:left="840"/>
      <w:jc w:val="left"/>
    </w:pPr>
    <w:rPr>
      <w:szCs w:val="21"/>
    </w:rPr>
  </w:style>
  <w:style w:type="paragraph" w:styleId="TOC3">
    <w:name w:val="toc 3"/>
    <w:basedOn w:val="Normal"/>
    <w:next w:val="Normal"/>
    <w:semiHidden/>
    <w:qFormat/>
    <w:pPr>
      <w:ind w:left="420"/>
      <w:jc w:val="left"/>
    </w:pPr>
    <w:rPr>
      <w:i/>
      <w:iCs/>
    </w:rPr>
  </w:style>
  <w:style w:type="paragraph" w:styleId="PlainText">
    <w:name w:val="Plain Text"/>
    <w:basedOn w:val="Normal"/>
    <w:link w:val="Char5"/>
    <w:qFormat/>
    <w:rPr>
      <w:rFonts w:ascii="宋体" w:hAnsi="Courier New"/>
      <w:szCs w:val="20"/>
    </w:rPr>
  </w:style>
  <w:style w:type="paragraph" w:styleId="TOC8">
    <w:name w:val="toc 8"/>
    <w:basedOn w:val="Normal"/>
    <w:next w:val="Normal"/>
    <w:semiHidden/>
    <w:qFormat/>
    <w:pPr>
      <w:ind w:left="1470"/>
      <w:jc w:val="left"/>
    </w:pPr>
    <w:rPr>
      <w:szCs w:val="21"/>
    </w:rPr>
  </w:style>
  <w:style w:type="paragraph" w:styleId="Date">
    <w:name w:val="Date"/>
    <w:basedOn w:val="Normal"/>
    <w:next w:val="Normal"/>
    <w:link w:val="Char4"/>
    <w:qFormat/>
    <w:rPr>
      <w:rFonts w:ascii="宋体" w:hAnsi="Courier New"/>
      <w:sz w:val="32"/>
      <w:szCs w:val="20"/>
    </w:rPr>
  </w:style>
  <w:style w:type="paragraph" w:styleId="BodyTextIndent2">
    <w:name w:val="Body Text Indent 2"/>
    <w:basedOn w:val="Normal"/>
    <w:link w:val="2Char0"/>
    <w:qFormat/>
    <w:pPr>
      <w:spacing w:beforeLines="50" w:afterLines="50" w:line="120" w:lineRule="auto"/>
      <w:ind w:firstLine="840" w:firstLineChars="400"/>
      <w:jc w:val="left"/>
    </w:pPr>
    <w:rPr>
      <w:rFonts w:ascii="宋体" w:hAnsi="宋体"/>
    </w:rPr>
  </w:style>
  <w:style w:type="paragraph" w:styleId="BalloonText">
    <w:name w:val="Balloon Text"/>
    <w:basedOn w:val="Normal"/>
    <w:link w:val="Char10"/>
    <w:uiPriority w:val="99"/>
    <w:semiHidden/>
    <w:qFormat/>
    <w:rPr>
      <w:sz w:val="18"/>
      <w:szCs w:val="18"/>
    </w:rPr>
  </w:style>
  <w:style w:type="paragraph" w:styleId="Footer">
    <w:name w:val="footer"/>
    <w:basedOn w:val="Normal"/>
    <w:link w:val="Char9"/>
    <w:qFormat/>
    <w:pPr>
      <w:tabs>
        <w:tab w:val="center" w:pos="4153"/>
        <w:tab w:val="right" w:pos="8306"/>
      </w:tabs>
      <w:snapToGrid w:val="0"/>
      <w:jc w:val="left"/>
    </w:pPr>
    <w:rPr>
      <w:sz w:val="18"/>
      <w:szCs w:val="18"/>
    </w:rPr>
  </w:style>
  <w:style w:type="paragraph" w:styleId="Header">
    <w:name w:val="header"/>
    <w:basedOn w:val="Normal"/>
    <w:link w:val="Char8"/>
    <w:uiPriority w:val="99"/>
    <w:qFormat/>
    <w:pPr>
      <w:pBdr>
        <w:bottom w:val="single" w:sz="6" w:space="1" w:color="auto"/>
      </w:pBdr>
      <w:tabs>
        <w:tab w:val="center" w:pos="4153"/>
        <w:tab w:val="right" w:pos="8306"/>
      </w:tabs>
      <w:snapToGrid w:val="0"/>
      <w:jc w:val="center"/>
    </w:pPr>
    <w:rPr>
      <w:sz w:val="18"/>
      <w:szCs w:val="18"/>
    </w:rPr>
  </w:style>
  <w:style w:type="paragraph" w:styleId="TOC1">
    <w:name w:val="toc 1"/>
    <w:basedOn w:val="Normal"/>
    <w:next w:val="Normal"/>
    <w:semiHidden/>
    <w:qFormat/>
    <w:pPr>
      <w:spacing w:before="120" w:after="120"/>
      <w:jc w:val="left"/>
    </w:pPr>
    <w:rPr>
      <w:b/>
      <w:bCs/>
      <w:caps/>
    </w:rPr>
  </w:style>
  <w:style w:type="paragraph" w:styleId="TOC4">
    <w:name w:val="toc 4"/>
    <w:basedOn w:val="Normal"/>
    <w:next w:val="Normal"/>
    <w:semiHidden/>
    <w:qFormat/>
    <w:pPr>
      <w:ind w:left="630"/>
      <w:jc w:val="left"/>
    </w:pPr>
    <w:rPr>
      <w:szCs w:val="21"/>
    </w:rPr>
  </w:style>
  <w:style w:type="paragraph" w:styleId="TOC6">
    <w:name w:val="toc 6"/>
    <w:basedOn w:val="Normal"/>
    <w:next w:val="Normal"/>
    <w:semiHidden/>
    <w:qFormat/>
    <w:pPr>
      <w:ind w:left="1050"/>
      <w:jc w:val="left"/>
    </w:pPr>
    <w:rPr>
      <w:szCs w:val="21"/>
    </w:rPr>
  </w:style>
  <w:style w:type="paragraph" w:styleId="BodyTextIndent3">
    <w:name w:val="Body Text Indent 3"/>
    <w:basedOn w:val="Normal"/>
    <w:link w:val="3Char0"/>
    <w:qFormat/>
    <w:pPr>
      <w:spacing w:line="360" w:lineRule="auto"/>
      <w:ind w:firstLine="482" w:firstLineChars="200"/>
    </w:pPr>
    <w:rPr>
      <w:rFonts w:ascii="宋体"/>
      <w:b/>
      <w:bCs/>
      <w:sz w:val="24"/>
    </w:rPr>
  </w:style>
  <w:style w:type="paragraph" w:styleId="TOC2">
    <w:name w:val="toc 2"/>
    <w:basedOn w:val="Normal"/>
    <w:next w:val="Normal"/>
    <w:semiHidden/>
    <w:qFormat/>
    <w:pPr>
      <w:tabs>
        <w:tab w:val="right" w:leader="dot" w:pos="8296"/>
      </w:tabs>
      <w:ind w:left="210"/>
      <w:jc w:val="left"/>
    </w:pPr>
    <w:rPr>
      <w:smallCaps/>
    </w:rPr>
  </w:style>
  <w:style w:type="paragraph" w:styleId="TOC9">
    <w:name w:val="toc 9"/>
    <w:basedOn w:val="Normal"/>
    <w:next w:val="Normal"/>
    <w:semiHidden/>
    <w:qFormat/>
    <w:pPr>
      <w:ind w:left="1680"/>
      <w:jc w:val="left"/>
    </w:pPr>
    <w:rPr>
      <w:szCs w:val="21"/>
    </w:rPr>
  </w:style>
  <w:style w:type="paragraph" w:styleId="BodyText2">
    <w:name w:val="Body Text 2"/>
    <w:basedOn w:val="Normal"/>
    <w:link w:val="2Char1"/>
    <w:qFormat/>
    <w:pPr>
      <w:spacing w:line="360" w:lineRule="auto"/>
    </w:pPr>
    <w:rPr>
      <w:sz w:val="24"/>
    </w:rPr>
  </w:style>
  <w:style w:type="paragraph" w:styleId="HTMLPreformatted">
    <w:name w:val="HTML Preformatted"/>
    <w:basedOn w:val="Normal"/>
    <w:link w:val="HTMLChar"/>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eastAsia="Arial Unicode MS" w:hAnsi="Arial Unicode MS"/>
      <w:color w:val="000000"/>
      <w:kern w:val="0"/>
      <w:sz w:val="20"/>
      <w:szCs w:val="20"/>
    </w:rPr>
  </w:style>
  <w:style w:type="paragraph" w:styleId="NormalWeb">
    <w:name w:val="Normal (Web)"/>
    <w:basedOn w:val="Normal"/>
    <w:link w:val="Char18"/>
    <w:uiPriority w:val="99"/>
    <w:qFormat/>
    <w:rPr>
      <w:sz w:val="24"/>
    </w:rPr>
  </w:style>
  <w:style w:type="paragraph" w:styleId="Index1">
    <w:name w:val="index 1"/>
    <w:basedOn w:val="Normal"/>
    <w:next w:val="Normal"/>
    <w:semiHidden/>
    <w:qFormat/>
    <w:pPr>
      <w:tabs>
        <w:tab w:val="left" w:pos="3360"/>
      </w:tabs>
      <w:spacing w:line="520" w:lineRule="exact"/>
      <w:ind w:left="419" w:hanging="314" w:leftChars="50" w:hangingChars="131"/>
      <w:jc w:val="center"/>
      <w:outlineLvl w:val="3"/>
    </w:pPr>
    <w:rPr>
      <w:rFonts w:ascii="宋体" w:hAnsi="宋体"/>
      <w:sz w:val="24"/>
    </w:rPr>
  </w:style>
  <w:style w:type="paragraph" w:styleId="Title">
    <w:name w:val="Title"/>
    <w:basedOn w:val="Normal"/>
    <w:link w:val="Char3"/>
    <w:qFormat/>
    <w:pPr>
      <w:spacing w:before="240" w:after="60"/>
      <w:jc w:val="center"/>
      <w:outlineLvl w:val="0"/>
    </w:pPr>
    <w:rPr>
      <w:rFonts w:ascii="Arial" w:eastAsia="隶书" w:hAnsi="Arial" w:cs="Arial"/>
      <w:b/>
      <w:bCs/>
      <w:sz w:val="32"/>
      <w:szCs w:val="32"/>
    </w:rPr>
  </w:style>
  <w:style w:type="paragraph" w:styleId="CommentSubject">
    <w:name w:val="annotation subject"/>
    <w:basedOn w:val="CommentText"/>
    <w:next w:val="CommentText"/>
    <w:link w:val="Char17"/>
    <w:uiPriority w:val="99"/>
    <w:qFormat/>
    <w:pPr>
      <w:autoSpaceDE/>
      <w:autoSpaceDN/>
      <w:adjustRightInd/>
      <w:textAlignment w:val="auto"/>
    </w:pPr>
    <w:rPr>
      <w:rFonts w:ascii="Times New Roman"/>
      <w:b/>
      <w:bCs/>
      <w:kern w:val="2"/>
      <w:sz w:val="21"/>
      <w:szCs w:val="24"/>
    </w:rPr>
  </w:style>
  <w:style w:type="paragraph" w:styleId="BodyTextFirstIndent">
    <w:name w:val="Body Text First Indent"/>
    <w:basedOn w:val="BodyText"/>
    <w:link w:val="Char12"/>
    <w:qFormat/>
    <w:pPr>
      <w:spacing w:after="120" w:line="240" w:lineRule="auto"/>
      <w:ind w:firstLine="420" w:firstLineChars="100"/>
    </w:pPr>
    <w:rPr>
      <w:sz w:val="21"/>
    </w:rPr>
  </w:style>
  <w:style w:type="table" w:styleId="TableGrid">
    <w:name w:val="Table Grid"/>
    <w:basedOn w:val="TableNormal"/>
    <w:uiPriority w:val="3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qFormat/>
    <w:rPr>
      <w:b/>
      <w:bCs/>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basedOn w:val="DefaultParagraphFont"/>
    <w:qFormat/>
    <w:rPr>
      <w:b/>
      <w:bCs/>
    </w:rPr>
  </w:style>
  <w:style w:type="character" w:styleId="HTMLDefinition">
    <w:name w:val="HTML Definition"/>
    <w:basedOn w:val="DefaultParagraphFont"/>
    <w:semiHidden/>
    <w:unhideWhenUsed/>
    <w:qFormat/>
  </w:style>
  <w:style w:type="character" w:styleId="HTMLTypewriter">
    <w:name w:val="HTML Typewriter"/>
    <w:basedOn w:val="DefaultParagraphFont"/>
    <w:semiHidden/>
    <w:unhideWhenUsed/>
    <w:qFormat/>
    <w:rPr>
      <w:rFonts w:ascii="monospace" w:eastAsia="monospace" w:hAnsi="monospace" w:cs="monospace" w:hint="default"/>
      <w:sz w:val="20"/>
    </w:rPr>
  </w:style>
  <w:style w:type="character" w:styleId="HTMLAcronym">
    <w:name w:val="HTML Acronym"/>
    <w:basedOn w:val="DefaultParagraphFont"/>
    <w:semiHidden/>
    <w:unhideWhenUsed/>
    <w:qFormat/>
  </w:style>
  <w:style w:type="character" w:styleId="HTMLVariable">
    <w:name w:val="HTML Variable"/>
    <w:basedOn w:val="DefaultParagraphFont"/>
    <w:semiHidden/>
    <w:unhideWhenUsed/>
    <w:rPr>
      <w:color w:val="333333"/>
      <w:shd w:val="clear" w:color="auto" w:fill="FFFFFF"/>
    </w:rPr>
  </w:style>
  <w:style w:type="character" w:styleId="Hyperlink">
    <w:name w:val="Hyperlink"/>
    <w:qFormat/>
    <w:rPr>
      <w:color w:val="0000FF"/>
      <w:u w:val="single"/>
    </w:rPr>
  </w:style>
  <w:style w:type="character" w:styleId="HTMLCode">
    <w:name w:val="HTML Code"/>
    <w:basedOn w:val="DefaultParagraphFont"/>
    <w:semiHidden/>
    <w:unhideWhenUsed/>
    <w:qFormat/>
    <w:rPr>
      <w:rFonts w:ascii="monospace" w:eastAsia="monospace" w:hAnsi="monospace" w:cs="monospace" w:hint="default"/>
      <w:sz w:val="20"/>
    </w:rPr>
  </w:style>
  <w:style w:type="character" w:styleId="CommentReference">
    <w:name w:val="annotation reference"/>
    <w:basedOn w:val="DefaultParagraphFont"/>
    <w:uiPriority w:val="99"/>
    <w:qFormat/>
    <w:rPr>
      <w:sz w:val="21"/>
      <w:szCs w:val="21"/>
    </w:rPr>
  </w:style>
  <w:style w:type="character" w:styleId="HTMLCite">
    <w:name w:val="HTML Cite"/>
    <w:basedOn w:val="DefaultParagraphFont"/>
    <w:semiHidden/>
    <w:unhideWhenUsed/>
  </w:style>
  <w:style w:type="character" w:styleId="HTMLKeyboard">
    <w:name w:val="HTML Keyboard"/>
    <w:basedOn w:val="DefaultParagraphFont"/>
    <w:semiHidden/>
    <w:unhideWhenUsed/>
    <w:rPr>
      <w:rFonts w:ascii="monospace" w:eastAsia="monospace" w:hAnsi="monospace" w:cs="monospace" w:hint="default"/>
      <w:sz w:val="20"/>
    </w:rPr>
  </w:style>
  <w:style w:type="character" w:styleId="HTMLSample">
    <w:name w:val="HTML Sample"/>
    <w:basedOn w:val="DefaultParagraphFont"/>
    <w:semiHidden/>
    <w:unhideWhenUsed/>
    <w:rPr>
      <w:rFonts w:ascii="monospace" w:eastAsia="monospace" w:hAnsi="monospace" w:cs="monospace"/>
    </w:rPr>
  </w:style>
  <w:style w:type="paragraph" w:customStyle="1" w:styleId="Default">
    <w:name w:val="Default"/>
    <w:qFormat/>
    <w:pPr>
      <w:widowControl w:val="0"/>
      <w:autoSpaceDE w:val="0"/>
      <w:autoSpaceDN w:val="0"/>
      <w:adjustRightInd w:val="0"/>
    </w:pPr>
    <w:rPr>
      <w:rFonts w:ascii="H Yb 2gj" w:eastAsia="H Yb 2gj" w:hAnsi="Times New Roman" w:cs="H Yb 2gj"/>
      <w:color w:val="000000"/>
      <w:sz w:val="24"/>
      <w:szCs w:val="24"/>
      <w:lang w:val="en-US" w:eastAsia="zh-CN" w:bidi="ar-SA"/>
    </w:rPr>
  </w:style>
  <w:style w:type="character" w:customStyle="1" w:styleId="4Char">
    <w:name w:val="标题 4 Char"/>
    <w:link w:val="Heading4"/>
    <w:uiPriority w:val="9"/>
    <w:qFormat/>
    <w:rPr>
      <w:rFonts w:ascii="Arial" w:eastAsia="黑体" w:hAnsi="Arial"/>
      <w:b/>
      <w:bCs/>
      <w:kern w:val="2"/>
      <w:sz w:val="28"/>
      <w:szCs w:val="28"/>
      <w:lang w:val="en-US" w:eastAsia="zh-CN" w:bidi="ar-SA"/>
    </w:rPr>
  </w:style>
  <w:style w:type="paragraph" w:customStyle="1" w:styleId="Char">
    <w:name w:val="Char"/>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3Char1">
    <w:name w:val="标题 3 Char1"/>
    <w:link w:val="Heading3"/>
    <w:uiPriority w:val="9"/>
    <w:qFormat/>
    <w:rPr>
      <w:rFonts w:ascii="宋体" w:eastAsia="宋体" w:hAnsi="宋体"/>
      <w:b/>
      <w:bCs/>
      <w:kern w:val="2"/>
      <w:sz w:val="28"/>
      <w:szCs w:val="32"/>
      <w:lang w:val="en-US" w:eastAsia="zh-CN" w:bidi="ar-SA"/>
    </w:rPr>
  </w:style>
  <w:style w:type="character" w:customStyle="1" w:styleId="1Char">
    <w:name w:val="标题 1 Char"/>
    <w:link w:val="Heading1"/>
    <w:qFormat/>
    <w:rPr>
      <w:rFonts w:ascii="宋体" w:eastAsia="黑体" w:hAnsi="宋体"/>
      <w:b/>
      <w:bCs/>
      <w:kern w:val="44"/>
      <w:sz w:val="28"/>
      <w:szCs w:val="44"/>
      <w:lang w:val="en-US" w:eastAsia="zh-CN" w:bidi="ar-SA"/>
    </w:rPr>
  </w:style>
  <w:style w:type="character" w:customStyle="1" w:styleId="Char0">
    <w:name w:val="正文缩进 Char"/>
    <w:link w:val="NormalIndent"/>
    <w:qFormat/>
    <w:rPr>
      <w:rFonts w:eastAsia="宋体"/>
      <w:kern w:val="2"/>
      <w:sz w:val="21"/>
      <w:lang w:val="en-US" w:eastAsia="zh-CN" w:bidi="ar-SA"/>
    </w:rPr>
  </w:style>
  <w:style w:type="character" w:customStyle="1" w:styleId="3Char">
    <w:name w:val="标题 3 Char"/>
    <w:qFormat/>
    <w:rPr>
      <w:rFonts w:ascii="黑体" w:eastAsia="黑体"/>
      <w:bCs/>
      <w:sz w:val="30"/>
    </w:rPr>
  </w:style>
  <w:style w:type="paragraph" w:customStyle="1" w:styleId="41">
    <w:name w:val="样式41"/>
    <w:basedOn w:val="Normal"/>
    <w:qFormat/>
    <w:pPr>
      <w:numPr>
        <w:ilvl w:val="0"/>
        <w:numId w:val="2"/>
      </w:numPr>
      <w:tabs>
        <w:tab w:val="left" w:pos="945"/>
      </w:tabs>
      <w:spacing w:line="360" w:lineRule="auto"/>
    </w:pPr>
    <w:rPr>
      <w:b/>
      <w:color w:val="000000"/>
      <w:sz w:val="24"/>
      <w:szCs w:val="20"/>
    </w:rPr>
  </w:style>
  <w:style w:type="paragraph" w:customStyle="1" w:styleId="a">
    <w:name w:val="图"/>
    <w:basedOn w:val="Normal"/>
    <w:qFormat/>
    <w:pPr>
      <w:keepNext/>
      <w:adjustRightInd w:val="0"/>
      <w:snapToGrid w:val="0"/>
      <w:spacing w:before="60" w:after="60" w:line="300" w:lineRule="auto"/>
      <w:jc w:val="center"/>
    </w:pPr>
    <w:rPr>
      <w:spacing w:val="20"/>
      <w:kern w:val="0"/>
      <w:sz w:val="24"/>
      <w:szCs w:val="20"/>
    </w:rPr>
  </w:style>
  <w:style w:type="paragraph" w:customStyle="1" w:styleId="a0">
    <w:name w:val="文档正文"/>
    <w:basedOn w:val="Normal"/>
    <w:qFormat/>
    <w:pPr>
      <w:adjustRightInd w:val="0"/>
      <w:spacing w:line="480" w:lineRule="atLeast"/>
      <w:ind w:firstLine="567" w:firstLineChars="200"/>
      <w:textAlignment w:val="baseline"/>
    </w:pPr>
    <w:rPr>
      <w:rFonts w:ascii="长城仿宋"/>
      <w:kern w:val="0"/>
      <w:szCs w:val="20"/>
    </w:rPr>
  </w:style>
  <w:style w:type="paragraph" w:customStyle="1" w:styleId="CharCharCharChar">
    <w:name w:val="Char Char Char Char"/>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11">
    <w:name w:val="Char1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CharCharCharChar1">
    <w:name w:val="Char Char Char Char1"/>
    <w:basedOn w:val="Normal"/>
    <w:qFormat/>
    <w:pPr>
      <w:widowControl/>
      <w:spacing w:after="160" w:line="240" w:lineRule="exact"/>
      <w:jc w:val="left"/>
    </w:pPr>
    <w:rPr>
      <w:rFonts w:ascii="Verdana" w:eastAsia="仿宋_GB2312" w:hAnsi="Verdana"/>
      <w:kern w:val="0"/>
      <w:sz w:val="24"/>
      <w:szCs w:val="20"/>
      <w:lang w:eastAsia="en-US"/>
    </w:rPr>
  </w:style>
  <w:style w:type="paragraph" w:customStyle="1" w:styleId="TableContents">
    <w:name w:val="Table Contents"/>
    <w:basedOn w:val="Normal"/>
    <w:qFormat/>
    <w:pPr>
      <w:suppressAutoHyphens/>
      <w:autoSpaceDE w:val="0"/>
      <w:spacing w:after="120"/>
      <w:jc w:val="left"/>
    </w:pPr>
    <w:rPr>
      <w:rFonts w:ascii="Helvetica" w:hAnsi="Helvetica"/>
      <w:kern w:val="1"/>
      <w:sz w:val="20"/>
      <w:szCs w:val="20"/>
    </w:rPr>
  </w:style>
  <w:style w:type="paragraph" w:customStyle="1" w:styleId="a1">
    <w:name w:val="自定义正文"/>
    <w:basedOn w:val="Normal"/>
    <w:qFormat/>
    <w:pPr>
      <w:spacing w:afterLines="50"/>
      <w:ind w:left="600" w:leftChars="600"/>
    </w:pPr>
  </w:style>
  <w:style w:type="paragraph" w:customStyle="1" w:styleId="CharCharCharCharChar">
    <w:name w:val="Char Char Char Char Char"/>
    <w:basedOn w:val="Normal"/>
    <w:qFormat/>
    <w:rPr>
      <w:rFonts w:ascii="Tahoma" w:hAnsi="Tahoma"/>
      <w:sz w:val="24"/>
      <w:szCs w:val="20"/>
    </w:rPr>
  </w:style>
  <w:style w:type="paragraph" w:customStyle="1" w:styleId="1">
    <w:name w:val="小标题 1"/>
    <w:basedOn w:val="Normal"/>
    <w:qFormat/>
    <w:pPr>
      <w:autoSpaceDE w:val="0"/>
      <w:autoSpaceDN w:val="0"/>
      <w:adjustRightInd w:val="0"/>
      <w:spacing w:line="360" w:lineRule="atLeast"/>
    </w:pPr>
    <w:rPr>
      <w:rFonts w:ascii="文鼎粗黑" w:eastAsia="文鼎粗黑"/>
      <w:kern w:val="0"/>
      <w:sz w:val="22"/>
      <w:szCs w:val="20"/>
    </w:rPr>
  </w:style>
  <w:style w:type="paragraph" w:customStyle="1" w:styleId="CharChar">
    <w:name w:val="Char Char"/>
    <w:basedOn w:val="Normal"/>
    <w:qFormat/>
    <w:rPr>
      <w:rFonts w:ascii="Tahoma" w:hAnsi="Tahoma"/>
      <w:sz w:val="24"/>
      <w:szCs w:val="20"/>
    </w:rPr>
  </w:style>
  <w:style w:type="paragraph" w:customStyle="1" w:styleId="a2">
    <w:name w:val="È±Ê¡ÎÄ±¾"/>
    <w:basedOn w:val="Normal"/>
    <w:qFormat/>
    <w:pPr>
      <w:widowControl/>
      <w:overflowPunct w:val="0"/>
      <w:autoSpaceDE w:val="0"/>
      <w:autoSpaceDN w:val="0"/>
      <w:adjustRightInd w:val="0"/>
      <w:jc w:val="left"/>
      <w:textAlignment w:val="baseline"/>
    </w:pPr>
    <w:rPr>
      <w:kern w:val="0"/>
      <w:sz w:val="24"/>
      <w:szCs w:val="20"/>
    </w:rPr>
  </w:style>
  <w:style w:type="character" w:customStyle="1" w:styleId="2Char">
    <w:name w:val="标题 2 Char"/>
    <w:link w:val="Heading2"/>
    <w:qFormat/>
    <w:rPr>
      <w:rFonts w:ascii="宋体" w:eastAsia="宋体" w:hAnsi="宋体"/>
      <w:b/>
      <w:bCs/>
      <w:sz w:val="24"/>
      <w:lang w:val="en-US" w:eastAsia="zh-CN" w:bidi="ar-SA"/>
    </w:rPr>
  </w:style>
  <w:style w:type="paragraph" w:customStyle="1" w:styleId="CharCharCharCharCharChar1Char">
    <w:name w:val="Char Char Char Char Char Char1 Char"/>
    <w:basedOn w:val="Normal"/>
    <w:qFormat/>
    <w:pPr>
      <w:widowControl/>
      <w:spacing w:after="160" w:line="240" w:lineRule="exact"/>
      <w:jc w:val="left"/>
    </w:pPr>
    <w:rPr>
      <w:rFonts w:ascii="Verdana" w:hAnsi="Verdana"/>
      <w:kern w:val="0"/>
      <w:szCs w:val="20"/>
      <w:lang w:eastAsia="en-US"/>
    </w:rPr>
  </w:style>
  <w:style w:type="paragraph" w:styleId="ListParagraph">
    <w:name w:val="List Paragraph"/>
    <w:basedOn w:val="Normal"/>
    <w:uiPriority w:val="34"/>
    <w:qFormat/>
    <w:pPr>
      <w:ind w:firstLine="420" w:firstLineChars="200"/>
    </w:pPr>
    <w:rPr>
      <w:rFonts w:ascii="Calibri" w:hAnsi="Calibri"/>
      <w:szCs w:val="22"/>
    </w:rPr>
  </w:style>
  <w:style w:type="paragraph" w:customStyle="1" w:styleId="USE1">
    <w:name w:val="USE 1"/>
    <w:basedOn w:val="Normal"/>
    <w:qFormat/>
    <w:pPr>
      <w:spacing w:line="200" w:lineRule="atLeast"/>
      <w:jc w:val="left"/>
    </w:pPr>
    <w:rPr>
      <w:rFonts w:ascii="宋体" w:hAnsi="宋体"/>
      <w:b/>
      <w:sz w:val="24"/>
      <w:szCs w:val="28"/>
    </w:rPr>
  </w:style>
  <w:style w:type="paragraph" w:customStyle="1" w:styleId="RFItextfrom3rdLevel">
    <w:name w:val="RFI text from 3rd Level"/>
    <w:basedOn w:val="Normal"/>
    <w:qFormat/>
    <w:pPr>
      <w:widowControl/>
      <w:numPr>
        <w:ilvl w:val="0"/>
        <w:numId w:val="3"/>
      </w:numPr>
      <w:tabs>
        <w:tab w:val="clear" w:pos="840"/>
        <w:tab w:val="left" w:pos="1080"/>
      </w:tabs>
      <w:spacing w:beforeLines="50" w:line="360" w:lineRule="auto"/>
      <w:ind w:left="0" w:firstLine="0"/>
    </w:pPr>
    <w:rPr>
      <w:rFonts w:ascii="Arial (W1)" w:hAnsi="Arial (W1)"/>
      <w:bCs/>
      <w:kern w:val="0"/>
      <w:sz w:val="24"/>
      <w:lang w:val="en-GB"/>
    </w:rPr>
  </w:style>
  <w:style w:type="paragraph" w:customStyle="1" w:styleId="a3">
    <w:name w:val="正文文字缩进项目"/>
    <w:basedOn w:val="BodyTextIndent"/>
    <w:qFormat/>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21313">
    <w:name w:val="样式 标题 2 + 段前: 13 磅 段后: 13 磅 行距: 单倍行距"/>
    <w:basedOn w:val="Heading2"/>
    <w:qFormat/>
    <w:pPr>
      <w:adjustRightInd/>
      <w:spacing w:before="0" w:after="0"/>
      <w:jc w:val="both"/>
      <w:textAlignment w:val="auto"/>
    </w:pPr>
    <w:rPr>
      <w:rFonts w:ascii="Cambria" w:hAnsi="Cambria" w:cs="宋体"/>
      <w:kern w:val="2"/>
      <w:sz w:val="32"/>
    </w:rPr>
  </w:style>
  <w:style w:type="character" w:customStyle="1" w:styleId="H4Char2">
    <w:name w:val="H4 Char2"/>
    <w:qFormat/>
    <w:rPr>
      <w:rFonts w:ascii="Arial" w:eastAsia="黑体" w:hAnsi="Arial"/>
      <w:b/>
      <w:bCs/>
      <w:kern w:val="2"/>
      <w:sz w:val="28"/>
      <w:szCs w:val="28"/>
      <w:lang w:val="en-US" w:eastAsia="zh-CN" w:bidi="ar-SA"/>
    </w:rPr>
  </w:style>
  <w:style w:type="character" w:customStyle="1" w:styleId="Char1">
    <w:name w:val="正文文本缩进 Char"/>
    <w:link w:val="BodyTextIndent"/>
    <w:qFormat/>
    <w:rPr>
      <w:rFonts w:eastAsia="宋体"/>
      <w:kern w:val="2"/>
      <w:sz w:val="21"/>
      <w:szCs w:val="24"/>
      <w:lang w:val="en-US" w:eastAsia="zh-CN" w:bidi="ar-SA"/>
    </w:rPr>
  </w:style>
  <w:style w:type="character" w:customStyle="1" w:styleId="5Char">
    <w:name w:val="标题 5 Char"/>
    <w:link w:val="Heading5"/>
    <w:qFormat/>
    <w:rPr>
      <w:rFonts w:eastAsia="宋体"/>
      <w:b/>
      <w:kern w:val="2"/>
      <w:sz w:val="28"/>
      <w:lang w:val="en-US" w:eastAsia="zh-CN" w:bidi="ar-SA"/>
    </w:rPr>
  </w:style>
  <w:style w:type="character" w:customStyle="1" w:styleId="Char2">
    <w:name w:val="第*章 Char"/>
    <w:qFormat/>
    <w:rPr>
      <w:rFonts w:ascii="Arial" w:eastAsia="黑体" w:hAnsi="Arial"/>
      <w:b/>
      <w:bCs/>
      <w:kern w:val="2"/>
      <w:sz w:val="32"/>
      <w:szCs w:val="32"/>
    </w:rPr>
  </w:style>
  <w:style w:type="character" w:customStyle="1" w:styleId="1Char0">
    <w:name w:val="章标题1 Char"/>
    <w:qFormat/>
    <w:rPr>
      <w:rFonts w:eastAsia="宋体"/>
      <w:b/>
      <w:bCs/>
      <w:kern w:val="2"/>
      <w:sz w:val="32"/>
      <w:szCs w:val="32"/>
      <w:lang w:val="en-US" w:eastAsia="zh-CN" w:bidi="ar-SA"/>
    </w:rPr>
  </w:style>
  <w:style w:type="character" w:customStyle="1" w:styleId="6Char">
    <w:name w:val="标题 6 Char"/>
    <w:link w:val="Heading6"/>
    <w:qFormat/>
    <w:rPr>
      <w:rFonts w:ascii="Arial" w:eastAsia="黑体" w:hAnsi="Arial"/>
      <w:b/>
      <w:kern w:val="2"/>
      <w:sz w:val="24"/>
      <w:lang w:val="en-US" w:eastAsia="zh-CN" w:bidi="ar-SA"/>
    </w:rPr>
  </w:style>
  <w:style w:type="character" w:customStyle="1" w:styleId="7Char">
    <w:name w:val="标题 7 Char"/>
    <w:link w:val="Heading7"/>
    <w:qFormat/>
    <w:rPr>
      <w:rFonts w:eastAsia="宋体"/>
      <w:b/>
      <w:kern w:val="2"/>
      <w:sz w:val="24"/>
      <w:lang w:val="en-US" w:eastAsia="zh-CN" w:bidi="ar-SA"/>
    </w:rPr>
  </w:style>
  <w:style w:type="character" w:customStyle="1" w:styleId="8Char">
    <w:name w:val="标题 8 Char"/>
    <w:link w:val="Heading8"/>
    <w:qFormat/>
    <w:rPr>
      <w:rFonts w:ascii="Arial" w:eastAsia="黑体" w:hAnsi="Arial"/>
      <w:kern w:val="2"/>
      <w:sz w:val="24"/>
      <w:lang w:val="en-US" w:eastAsia="zh-CN" w:bidi="ar-SA"/>
    </w:rPr>
  </w:style>
  <w:style w:type="character" w:customStyle="1" w:styleId="9Char">
    <w:name w:val="标题 9 Char"/>
    <w:link w:val="Heading9"/>
    <w:qFormat/>
    <w:rPr>
      <w:rFonts w:ascii="Arial" w:eastAsia="黑体" w:hAnsi="Arial"/>
      <w:kern w:val="2"/>
      <w:sz w:val="21"/>
      <w:lang w:val="en-US" w:eastAsia="zh-CN" w:bidi="ar-SA"/>
    </w:rPr>
  </w:style>
  <w:style w:type="character" w:customStyle="1" w:styleId="Char3">
    <w:name w:val="标题 Char"/>
    <w:link w:val="Title"/>
    <w:qFormat/>
    <w:rPr>
      <w:rFonts w:ascii="Arial" w:eastAsia="隶书" w:hAnsi="Arial" w:cs="Arial"/>
      <w:b/>
      <w:bCs/>
      <w:kern w:val="2"/>
      <w:sz w:val="32"/>
      <w:szCs w:val="32"/>
      <w:lang w:val="en-US" w:eastAsia="zh-CN" w:bidi="ar-SA"/>
    </w:rPr>
  </w:style>
  <w:style w:type="character" w:customStyle="1" w:styleId="Char4">
    <w:name w:val="日期 Char"/>
    <w:link w:val="Date"/>
    <w:qFormat/>
    <w:rPr>
      <w:rFonts w:ascii="宋体" w:eastAsia="宋体" w:hAnsi="Courier New"/>
      <w:kern w:val="2"/>
      <w:sz w:val="32"/>
      <w:lang w:val="en-US" w:eastAsia="zh-CN" w:bidi="ar-SA"/>
    </w:rPr>
  </w:style>
  <w:style w:type="character" w:customStyle="1" w:styleId="HTMLChar">
    <w:name w:val="HTML 预设格式 Char"/>
    <w:link w:val="HTMLPreformatted"/>
    <w:qFormat/>
    <w:rPr>
      <w:rFonts w:ascii="Arial Unicode MS" w:eastAsia="Arial Unicode MS" w:hAnsi="Arial Unicode MS"/>
      <w:color w:val="000000"/>
      <w:lang w:val="en-US" w:eastAsia="zh-CN" w:bidi="ar-SA"/>
    </w:rPr>
  </w:style>
  <w:style w:type="character" w:customStyle="1" w:styleId="Char5">
    <w:name w:val="纯文本 Char"/>
    <w:link w:val="PlainText"/>
    <w:qFormat/>
    <w:rPr>
      <w:rFonts w:ascii="宋体" w:eastAsia="宋体" w:hAnsi="Courier New"/>
      <w:kern w:val="2"/>
      <w:sz w:val="21"/>
      <w:lang w:val="en-US" w:eastAsia="zh-CN" w:bidi="ar-SA"/>
    </w:rPr>
  </w:style>
  <w:style w:type="character" w:customStyle="1" w:styleId="Char6">
    <w:name w:val="正文文字首行缩进 Char"/>
    <w:qFormat/>
    <w:rPr>
      <w:kern w:val="2"/>
      <w:sz w:val="21"/>
      <w:szCs w:val="24"/>
    </w:rPr>
  </w:style>
  <w:style w:type="character" w:customStyle="1" w:styleId="Char7">
    <w:name w:val="正文文本 Char"/>
    <w:link w:val="BodyText"/>
    <w:qFormat/>
    <w:rPr>
      <w:rFonts w:eastAsia="宋体"/>
      <w:b/>
      <w:bCs/>
      <w:kern w:val="2"/>
      <w:sz w:val="24"/>
      <w:szCs w:val="24"/>
      <w:lang w:val="en-US" w:eastAsia="zh-CN" w:bidi="ar-SA"/>
    </w:rPr>
  </w:style>
  <w:style w:type="character" w:customStyle="1" w:styleId="2Char0">
    <w:name w:val="正文文本缩进 2 Char"/>
    <w:link w:val="BodyTextIndent2"/>
    <w:qFormat/>
    <w:rPr>
      <w:rFonts w:ascii="宋体" w:eastAsia="宋体" w:hAnsi="宋体"/>
      <w:kern w:val="2"/>
      <w:sz w:val="21"/>
      <w:szCs w:val="24"/>
      <w:lang w:val="en-US" w:eastAsia="zh-CN" w:bidi="ar-SA"/>
    </w:rPr>
  </w:style>
  <w:style w:type="character" w:customStyle="1" w:styleId="Char8">
    <w:name w:val="页眉 Char"/>
    <w:link w:val="Header"/>
    <w:uiPriority w:val="99"/>
    <w:qFormat/>
    <w:rPr>
      <w:rFonts w:eastAsia="宋体"/>
      <w:kern w:val="2"/>
      <w:sz w:val="18"/>
      <w:szCs w:val="18"/>
      <w:lang w:val="en-US" w:eastAsia="zh-CN" w:bidi="ar-SA"/>
    </w:rPr>
  </w:style>
  <w:style w:type="character" w:customStyle="1" w:styleId="3Char0">
    <w:name w:val="正文文本缩进 3 Char"/>
    <w:link w:val="BodyTextIndent3"/>
    <w:qFormat/>
    <w:rPr>
      <w:rFonts w:ascii="宋体" w:eastAsia="宋体"/>
      <w:b/>
      <w:bCs/>
      <w:kern w:val="2"/>
      <w:sz w:val="24"/>
      <w:szCs w:val="24"/>
      <w:lang w:val="en-US" w:eastAsia="zh-CN" w:bidi="ar-SA"/>
    </w:rPr>
  </w:style>
  <w:style w:type="character" w:customStyle="1" w:styleId="2Char1">
    <w:name w:val="正文文本 2 Char"/>
    <w:link w:val="BodyText2"/>
    <w:qFormat/>
    <w:rPr>
      <w:rFonts w:eastAsia="宋体"/>
      <w:kern w:val="2"/>
      <w:sz w:val="24"/>
      <w:szCs w:val="24"/>
      <w:lang w:val="en-US" w:eastAsia="zh-CN" w:bidi="ar-SA"/>
    </w:rPr>
  </w:style>
  <w:style w:type="character" w:customStyle="1" w:styleId="Char9">
    <w:name w:val="页脚 Char"/>
    <w:link w:val="Footer"/>
    <w:qFormat/>
    <w:rPr>
      <w:rFonts w:eastAsia="宋体"/>
      <w:kern w:val="2"/>
      <w:sz w:val="18"/>
      <w:szCs w:val="18"/>
      <w:lang w:val="en-US" w:eastAsia="zh-CN" w:bidi="ar-SA"/>
    </w:rPr>
  </w:style>
  <w:style w:type="character" w:customStyle="1" w:styleId="3Char2">
    <w:name w:val="正文文本 3 Char"/>
    <w:link w:val="BodyText3"/>
    <w:qFormat/>
    <w:rPr>
      <w:rFonts w:eastAsia="宋体"/>
      <w:kern w:val="2"/>
      <w:sz w:val="16"/>
      <w:szCs w:val="16"/>
      <w:lang w:val="en-US" w:eastAsia="zh-CN" w:bidi="ar-SA"/>
    </w:rPr>
  </w:style>
  <w:style w:type="character" w:customStyle="1" w:styleId="Char10">
    <w:name w:val="批注框文本 Char"/>
    <w:link w:val="BalloonText"/>
    <w:uiPriority w:val="99"/>
    <w:semiHidden/>
    <w:qFormat/>
    <w:rPr>
      <w:rFonts w:eastAsia="宋体"/>
      <w:kern w:val="2"/>
      <w:sz w:val="18"/>
      <w:szCs w:val="18"/>
      <w:lang w:val="en-US" w:eastAsia="zh-CN" w:bidi="ar-SA"/>
    </w:rPr>
  </w:style>
  <w:style w:type="paragraph" w:customStyle="1" w:styleId="10">
    <w:name w:val="样式1"/>
    <w:basedOn w:val="Title"/>
    <w:qFormat/>
    <w:pPr>
      <w:spacing w:before="120" w:after="120"/>
    </w:pPr>
    <w:rPr>
      <w:rFonts w:eastAsia="黑体"/>
      <w:b w:val="0"/>
      <w:sz w:val="30"/>
      <w:szCs w:val="21"/>
    </w:rPr>
  </w:style>
  <w:style w:type="paragraph" w:customStyle="1" w:styleId="2">
    <w:name w:val="样式2"/>
    <w:basedOn w:val="Title"/>
    <w:next w:val="10"/>
    <w:qFormat/>
    <w:pPr>
      <w:spacing w:before="120" w:after="120"/>
    </w:pPr>
    <w:rPr>
      <w:rFonts w:eastAsia="黑体"/>
      <w:b w:val="0"/>
      <w:sz w:val="30"/>
      <w:szCs w:val="30"/>
    </w:rPr>
  </w:style>
  <w:style w:type="character" w:customStyle="1" w:styleId="3CharChar">
    <w:name w:val="标题 3 Char Char"/>
    <w:qFormat/>
    <w:rPr>
      <w:rFonts w:eastAsia="宋体"/>
      <w:b/>
      <w:bCs/>
      <w:kern w:val="2"/>
      <w:sz w:val="32"/>
      <w:szCs w:val="32"/>
      <w:lang w:val="en-US" w:eastAsia="zh-CN" w:bidi="ar-SA"/>
    </w:rPr>
  </w:style>
  <w:style w:type="paragraph" w:customStyle="1" w:styleId="CharCharCharCharCharChar1CharCharCharCharCharCharCharCharCharCharCharCharChar">
    <w:name w:val="Char Char Char Char Char Char1 Char Char Char Char Char Char Char Char Char Char Char Char Char"/>
    <w:basedOn w:val="Normal"/>
    <w:qFormat/>
    <w:pPr>
      <w:widowControl/>
      <w:spacing w:after="160" w:line="240" w:lineRule="exact"/>
      <w:jc w:val="left"/>
    </w:pPr>
    <w:rPr>
      <w:rFonts w:ascii="Arial" w:eastAsia="Times New Roman" w:hAnsi="Arial" w:cs="Verdana"/>
      <w:b/>
      <w:kern w:val="0"/>
      <w:sz w:val="24"/>
      <w:lang w:eastAsia="en-US"/>
    </w:rPr>
  </w:style>
  <w:style w:type="paragraph" w:customStyle="1" w:styleId="cont">
    <w:name w:val="cont"/>
    <w:basedOn w:val="Normal"/>
    <w:qFormat/>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
    <w:name w:val="--规划正文"/>
    <w:basedOn w:val="Normal"/>
    <w:qFormat/>
    <w:pPr>
      <w:spacing w:line="360" w:lineRule="auto"/>
      <w:ind w:firstLine="200" w:firstLineChars="200"/>
    </w:pPr>
    <w:rPr>
      <w:szCs w:val="20"/>
    </w:rPr>
  </w:style>
  <w:style w:type="paragraph" w:customStyle="1" w:styleId="a4">
    <w:name w:val="设计依据"/>
    <w:basedOn w:val="BodyText"/>
    <w:qFormat/>
    <w:pPr>
      <w:numPr>
        <w:ilvl w:val="1"/>
        <w:numId w:val="4"/>
      </w:numPr>
      <w:tabs>
        <w:tab w:val="clear" w:pos="840"/>
        <w:tab w:val="left" w:pos="1440"/>
      </w:tabs>
      <w:adjustRightInd w:val="0"/>
      <w:ind w:left="1440"/>
      <w:textAlignment w:val="baseline"/>
    </w:pPr>
    <w:rPr>
      <w:rFonts w:ascii="宋体" w:hAnsi="宋体"/>
      <w:b w:val="0"/>
      <w:kern w:val="0"/>
      <w:sz w:val="28"/>
      <w:szCs w:val="18"/>
    </w:rPr>
  </w:style>
  <w:style w:type="paragraph" w:customStyle="1" w:styleId="a5">
    <w:name w:val="方案要点"/>
    <w:basedOn w:val="Normal"/>
    <w:qFormat/>
    <w:pPr>
      <w:numPr>
        <w:ilvl w:val="0"/>
        <w:numId w:val="4"/>
      </w:numPr>
      <w:spacing w:line="360" w:lineRule="auto"/>
    </w:pPr>
    <w:rPr>
      <w:rFonts w:ascii="仿宋_GB2312" w:eastAsia="仿宋_GB2312" w:hAnsi="宋体"/>
      <w:color w:val="000000"/>
      <w:sz w:val="28"/>
      <w:szCs w:val="28"/>
    </w:rPr>
  </w:style>
  <w:style w:type="paragraph" w:customStyle="1" w:styleId="4">
    <w:name w:val="样式4"/>
    <w:basedOn w:val="Normal"/>
    <w:qFormat/>
    <w:pPr>
      <w:tabs>
        <w:tab w:val="left" w:pos="842"/>
      </w:tabs>
      <w:spacing w:line="360" w:lineRule="auto"/>
      <w:ind w:left="842" w:hanging="420"/>
    </w:pPr>
    <w:rPr>
      <w:sz w:val="24"/>
    </w:rPr>
  </w:style>
  <w:style w:type="paragraph" w:customStyle="1" w:styleId="a6">
    <w:name w:val="文字"/>
    <w:basedOn w:val="Normal"/>
    <w:qFormat/>
    <w:pPr>
      <w:tabs>
        <w:tab w:val="left" w:pos="8520"/>
      </w:tabs>
      <w:spacing w:line="312" w:lineRule="auto"/>
      <w:ind w:right="-210" w:firstLine="556"/>
    </w:pPr>
    <w:rPr>
      <w:rFonts w:ascii="宋体"/>
      <w:sz w:val="28"/>
      <w:szCs w:val="20"/>
    </w:rPr>
  </w:style>
  <w:style w:type="paragraph" w:customStyle="1" w:styleId="----">
    <w:name w:val="--规划-表格-居左"/>
    <w:basedOn w:val="--"/>
    <w:qFormat/>
    <w:pPr>
      <w:spacing w:line="240" w:lineRule="auto"/>
      <w:ind w:firstLine="0" w:firstLineChars="0"/>
    </w:pPr>
    <w:rPr>
      <w:sz w:val="20"/>
    </w:rPr>
  </w:style>
  <w:style w:type="paragraph" w:customStyle="1" w:styleId="----0">
    <w:name w:val="--规划-表格-居中"/>
    <w:basedOn w:val="--"/>
    <w:qFormat/>
    <w:pPr>
      <w:spacing w:line="240" w:lineRule="auto"/>
      <w:ind w:firstLine="0" w:firstLineChars="0"/>
      <w:jc w:val="center"/>
    </w:pPr>
    <w:rPr>
      <w:sz w:val="20"/>
    </w:rPr>
  </w:style>
  <w:style w:type="paragraph" w:customStyle="1" w:styleId="--0">
    <w:name w:val="--编号内缩进"/>
    <w:basedOn w:val="Normal"/>
    <w:qFormat/>
    <w:pPr>
      <w:spacing w:line="360" w:lineRule="auto"/>
      <w:ind w:left="420" w:firstLine="200" w:firstLineChars="200"/>
    </w:pPr>
    <w:rPr>
      <w:szCs w:val="21"/>
    </w:rPr>
  </w:style>
  <w:style w:type="paragraph" w:customStyle="1" w:styleId="---">
    <w:name w:val="--规划-题注"/>
    <w:basedOn w:val="Normal"/>
    <w:next w:val="--"/>
    <w:qFormat/>
    <w:pPr>
      <w:spacing w:line="360" w:lineRule="auto"/>
      <w:jc w:val="center"/>
    </w:pPr>
    <w:rPr>
      <w:rFonts w:eastAsia="黑体"/>
    </w:rPr>
  </w:style>
  <w:style w:type="paragraph" w:customStyle="1" w:styleId="---0">
    <w:name w:val="--规划-图和表"/>
    <w:next w:val="--"/>
    <w:qFormat/>
    <w:pPr>
      <w:jc w:val="center"/>
    </w:pPr>
    <w:rPr>
      <w:rFonts w:ascii="Times New Roman" w:eastAsia="宋体" w:hAnsi="Times New Roman" w:cs="Times New Roman"/>
      <w:kern w:val="2"/>
      <w:sz w:val="21"/>
      <w:lang w:val="en-US" w:eastAsia="zh-CN" w:bidi="ar-SA"/>
    </w:rPr>
  </w:style>
  <w:style w:type="paragraph" w:customStyle="1" w:styleId="---1">
    <w:name w:val="--规划-小标题"/>
    <w:basedOn w:val="Normal"/>
    <w:next w:val="--"/>
    <w:qFormat/>
    <w:pPr>
      <w:keepNext/>
      <w:keepLines/>
      <w:spacing w:line="360" w:lineRule="auto"/>
      <w:outlineLvl w:val="4"/>
    </w:pPr>
    <w:rPr>
      <w:rFonts w:eastAsia="黑体"/>
    </w:rPr>
  </w:style>
  <w:style w:type="paragraph" w:customStyle="1" w:styleId="--Char">
    <w:name w:val="--规划正文 Char"/>
    <w:basedOn w:val="Normal"/>
    <w:qFormat/>
    <w:pPr>
      <w:spacing w:line="360" w:lineRule="auto"/>
      <w:ind w:firstLine="200" w:firstLineChars="200"/>
    </w:pPr>
    <w:rPr>
      <w:sz w:val="24"/>
    </w:rPr>
  </w:style>
  <w:style w:type="paragraph" w:customStyle="1" w:styleId="a7">
    <w:name w:val="缺省文本"/>
    <w:basedOn w:val="Normal"/>
    <w:qFormat/>
    <w:pPr>
      <w:autoSpaceDE w:val="0"/>
      <w:autoSpaceDN w:val="0"/>
      <w:adjustRightInd w:val="0"/>
      <w:jc w:val="left"/>
    </w:pPr>
    <w:rPr>
      <w:kern w:val="0"/>
    </w:rPr>
  </w:style>
  <w:style w:type="paragraph" w:customStyle="1" w:styleId="a8">
    <w:name w:val="封面文档标题"/>
    <w:basedOn w:val="Normal"/>
    <w:qFormat/>
    <w:pPr>
      <w:autoSpaceDE w:val="0"/>
      <w:autoSpaceDN w:val="0"/>
      <w:adjustRightInd w:val="0"/>
      <w:spacing w:line="360" w:lineRule="auto"/>
      <w:jc w:val="center"/>
    </w:pPr>
    <w:rPr>
      <w:rFonts w:ascii="Arial" w:hAnsi="Arial"/>
      <w:b/>
      <w:kern w:val="0"/>
      <w:sz w:val="56"/>
    </w:rPr>
  </w:style>
  <w:style w:type="character" w:customStyle="1" w:styleId="--CharChar">
    <w:name w:val="--规划正文 Char Char"/>
    <w:qFormat/>
    <w:rPr>
      <w:rFonts w:eastAsia="宋体"/>
      <w:kern w:val="2"/>
      <w:sz w:val="24"/>
      <w:szCs w:val="24"/>
      <w:lang w:val="en-US" w:eastAsia="zh-CN" w:bidi="ar-SA"/>
    </w:rPr>
  </w:style>
  <w:style w:type="paragraph" w:customStyle="1" w:styleId="3">
    <w:name w:val="样式3"/>
    <w:basedOn w:val="Heading1"/>
    <w:qFormat/>
    <w:pPr>
      <w:numPr>
        <w:ilvl w:val="0"/>
        <w:numId w:val="5"/>
      </w:numPr>
      <w:spacing w:before="240" w:after="240" w:line="480" w:lineRule="auto"/>
      <w:ind w:right="210" w:rightChars="100"/>
      <w:jc w:val="left"/>
    </w:pPr>
    <w:rPr>
      <w:rFonts w:ascii="Times New Roman" w:hAnsi="Times New Roman"/>
      <w:sz w:val="32"/>
    </w:rPr>
  </w:style>
  <w:style w:type="character" w:customStyle="1" w:styleId="--Char1">
    <w:name w:val="--规划正文 Char1"/>
    <w:qFormat/>
    <w:rPr>
      <w:rFonts w:eastAsia="宋体"/>
      <w:kern w:val="2"/>
      <w:sz w:val="21"/>
      <w:lang w:val="en-US" w:eastAsia="zh-CN" w:bidi="ar-SA"/>
    </w:rPr>
  </w:style>
  <w:style w:type="paragraph" w:customStyle="1" w:styleId="word">
    <w:name w:val="word"/>
    <w:basedOn w:val="Normal"/>
    <w:qFormat/>
    <w:pPr>
      <w:widowControl/>
      <w:spacing w:before="100" w:beforeAutospacing="1" w:after="100" w:afterAutospacing="1" w:line="301" w:lineRule="atLeast"/>
      <w:jc w:val="left"/>
    </w:pPr>
    <w:rPr>
      <w:rFonts w:ascii="ˎ̥" w:hAnsi="ˎ̥"/>
      <w:color w:val="000000"/>
      <w:kern w:val="0"/>
      <w:sz w:val="20"/>
      <w:szCs w:val="20"/>
    </w:rPr>
  </w:style>
  <w:style w:type="paragraph" w:customStyle="1" w:styleId="a9">
    <w:name w:val="列表项目"/>
    <w:basedOn w:val="Normal"/>
    <w:qFormat/>
    <w:pPr>
      <w:tabs>
        <w:tab w:val="left" w:pos="420"/>
        <w:tab w:val="left" w:pos="1080"/>
      </w:tabs>
      <w:spacing w:line="288" w:lineRule="auto"/>
      <w:ind w:left="1080" w:hanging="360"/>
    </w:pPr>
    <w:rPr>
      <w:sz w:val="24"/>
      <w:szCs w:val="20"/>
    </w:rPr>
  </w:style>
  <w:style w:type="character" w:customStyle="1" w:styleId="content1">
    <w:name w:val="content1"/>
    <w:qFormat/>
    <w:rPr>
      <w:rFonts w:ascii="??" w:hAnsi="??" w:hint="default"/>
      <w:sz w:val="16"/>
      <w:szCs w:val="16"/>
      <w:u w:val="none"/>
    </w:rPr>
  </w:style>
  <w:style w:type="character" w:customStyle="1" w:styleId="unnamed4">
    <w:name w:val="unnamed4"/>
    <w:basedOn w:val="DefaultParagraphFont"/>
    <w:qFormat/>
  </w:style>
  <w:style w:type="character" w:customStyle="1" w:styleId="font2">
    <w:name w:val="font2"/>
    <w:basedOn w:val="DefaultParagraphFont"/>
    <w:qFormat/>
  </w:style>
  <w:style w:type="character" w:customStyle="1" w:styleId="font41">
    <w:name w:val="font41"/>
    <w:qFormat/>
    <w:rPr>
      <w:color w:val="000000"/>
      <w:spacing w:val="260"/>
      <w:sz w:val="18"/>
      <w:szCs w:val="18"/>
      <w:u w:val="none"/>
    </w:rPr>
  </w:style>
  <w:style w:type="paragraph" w:customStyle="1" w:styleId="a10">
    <w:name w:val="正文(首行缩进)"/>
    <w:qFormat/>
    <w:pPr>
      <w:spacing w:line="360" w:lineRule="auto"/>
      <w:ind w:firstLine="488" w:firstLineChars="200"/>
      <w:jc w:val="both"/>
    </w:pPr>
    <w:rPr>
      <w:rFonts w:ascii="Times New Roman" w:eastAsia="仿宋_GB2312" w:hAnsi="Times New Roman" w:cs="Times New Roman"/>
      <w:spacing w:val="2"/>
      <w:sz w:val="24"/>
      <w:szCs w:val="24"/>
      <w:lang w:val="en-US" w:eastAsia="zh-CN" w:bidi="ar-SA"/>
    </w:rPr>
  </w:style>
  <w:style w:type="paragraph" w:customStyle="1" w:styleId="xl72">
    <w:name w:val="xl72"/>
    <w:basedOn w:val="Normal"/>
    <w:qFormat/>
    <w:pPr>
      <w:widowControl/>
      <w:spacing w:before="100" w:beforeAutospacing="1" w:after="100" w:afterAutospacing="1"/>
      <w:jc w:val="left"/>
    </w:pPr>
    <w:rPr>
      <w:rFonts w:ascii="宋体" w:hAnsi="宋体"/>
      <w:b/>
      <w:bCs/>
      <w:kern w:val="0"/>
      <w:sz w:val="28"/>
      <w:szCs w:val="28"/>
    </w:rPr>
  </w:style>
  <w:style w:type="character" w:customStyle="1" w:styleId="Char12">
    <w:name w:val="正文首行缩进 Char"/>
    <w:link w:val="BodyTextFirstIndent"/>
    <w:qFormat/>
    <w:rPr>
      <w:rFonts w:eastAsia="宋体"/>
      <w:b/>
      <w:bCs/>
      <w:kern w:val="2"/>
      <w:sz w:val="21"/>
      <w:szCs w:val="24"/>
      <w:lang w:val="en-US" w:eastAsia="zh-CN" w:bidi="ar-SA"/>
    </w:rPr>
  </w:style>
  <w:style w:type="paragraph" w:customStyle="1" w:styleId="Char13">
    <w:name w:val="正文(首行缩进) Char"/>
    <w:qFormat/>
    <w:pPr>
      <w:spacing w:before="120" w:after="60" w:line="360" w:lineRule="auto"/>
      <w:ind w:firstLine="200" w:firstLineChars="200"/>
    </w:pPr>
    <w:rPr>
      <w:rFonts w:ascii="Times New Roman" w:eastAsia="仿宋_GB2312" w:hAnsi="Times New Roman" w:cs="Times New Roman"/>
      <w:spacing w:val="2"/>
      <w:kern w:val="24"/>
      <w:sz w:val="24"/>
      <w:szCs w:val="24"/>
      <w:lang w:val="en-US" w:eastAsia="zh-CN" w:bidi="ar-SA"/>
    </w:rPr>
  </w:style>
  <w:style w:type="paragraph" w:customStyle="1" w:styleId="8">
    <w:name w:val="汉议细等线简8"/>
    <w:qFormat/>
    <w:pPr>
      <w:widowControl w:val="0"/>
      <w:autoSpaceDE w:val="0"/>
      <w:autoSpaceDN w:val="0"/>
      <w:adjustRightInd w:val="0"/>
      <w:spacing w:line="260" w:lineRule="atLeast"/>
      <w:jc w:val="both"/>
    </w:pPr>
    <w:rPr>
      <w:rFonts w:ascii="汉仪细等线简" w:eastAsia="汉仪细等线简" w:hAnsi="Times New Roman" w:cs="Times New Roman"/>
      <w:color w:val="000000"/>
      <w:sz w:val="16"/>
      <w:szCs w:val="16"/>
      <w:lang w:val="en-US" w:eastAsia="zh-CN" w:bidi="ar-SA"/>
    </w:rPr>
  </w:style>
  <w:style w:type="paragraph" w:customStyle="1" w:styleId="9BOLD">
    <w:name w:val="汉仪细等线简9BOLD"/>
    <w:basedOn w:val="Normal"/>
    <w:qFormat/>
    <w:pPr>
      <w:autoSpaceDE w:val="0"/>
      <w:autoSpaceDN w:val="0"/>
      <w:adjustRightInd w:val="0"/>
      <w:spacing w:line="240" w:lineRule="atLeast"/>
    </w:pPr>
    <w:rPr>
      <w:rFonts w:ascii="汉仪细等线简" w:eastAsia="汉仪细等线简"/>
      <w:b/>
      <w:bCs/>
      <w:kern w:val="0"/>
      <w:sz w:val="18"/>
      <w:szCs w:val="18"/>
    </w:rPr>
  </w:style>
  <w:style w:type="character" w:customStyle="1" w:styleId="mode">
    <w:name w:val="mode"/>
    <w:basedOn w:val="DefaultParagraphFont"/>
    <w:qFormat/>
  </w:style>
  <w:style w:type="paragraph" w:customStyle="1" w:styleId="9">
    <w:name w:val="9"/>
    <w:basedOn w:val="Normal"/>
    <w:next w:val="NormalIndent"/>
    <w:qFormat/>
    <w:pPr>
      <w:autoSpaceDE w:val="0"/>
      <w:autoSpaceDN w:val="0"/>
      <w:adjustRightInd w:val="0"/>
      <w:ind w:firstLine="420"/>
      <w:jc w:val="left"/>
      <w:textAlignment w:val="baseline"/>
    </w:pPr>
    <w:rPr>
      <w:rFonts w:ascii="宋体"/>
      <w:kern w:val="0"/>
      <w:sz w:val="34"/>
      <w:szCs w:val="20"/>
    </w:rPr>
  </w:style>
  <w:style w:type="character" w:customStyle="1" w:styleId="unnamed3">
    <w:name w:val="unnamed3"/>
    <w:basedOn w:val="DefaultParagraphFont"/>
    <w:qFormat/>
  </w:style>
  <w:style w:type="paragraph" w:customStyle="1" w:styleId="80">
    <w:name w:val="8"/>
    <w:basedOn w:val="Normal"/>
    <w:next w:val="BodyTextIndent"/>
    <w:qFormat/>
    <w:pPr>
      <w:spacing w:after="120"/>
      <w:ind w:left="420" w:leftChars="200"/>
    </w:pPr>
  </w:style>
  <w:style w:type="paragraph" w:customStyle="1" w:styleId="7">
    <w:name w:val="7"/>
    <w:basedOn w:val="Normal"/>
    <w:qFormat/>
    <w:pPr>
      <w:autoSpaceDE w:val="0"/>
      <w:autoSpaceDN w:val="0"/>
      <w:adjustRightInd w:val="0"/>
      <w:spacing w:line="270" w:lineRule="atLeast"/>
      <w:jc w:val="left"/>
    </w:pPr>
    <w:rPr>
      <w:rFonts w:ascii="宋体"/>
      <w:kern w:val="0"/>
      <w:sz w:val="18"/>
      <w:szCs w:val="18"/>
    </w:rPr>
  </w:style>
  <w:style w:type="paragraph" w:customStyle="1" w:styleId="00">
    <w:name w:val="00"/>
    <w:basedOn w:val="Normal"/>
    <w:qFormat/>
    <w:pPr>
      <w:autoSpaceDE w:val="0"/>
      <w:autoSpaceDN w:val="0"/>
      <w:adjustRightInd w:val="0"/>
      <w:jc w:val="left"/>
    </w:pPr>
    <w:rPr>
      <w:rFonts w:ascii="黑体" w:eastAsia="黑体"/>
      <w:b/>
      <w:bCs/>
      <w:kern w:val="0"/>
      <w:sz w:val="20"/>
      <w:szCs w:val="20"/>
    </w:rPr>
  </w:style>
  <w:style w:type="paragraph" w:customStyle="1" w:styleId="5">
    <w:name w:val="5"/>
    <w:basedOn w:val="Normal"/>
    <w:qFormat/>
    <w:pPr>
      <w:autoSpaceDE w:val="0"/>
      <w:autoSpaceDN w:val="0"/>
      <w:adjustRightInd w:val="0"/>
      <w:jc w:val="left"/>
    </w:pPr>
    <w:rPr>
      <w:rFonts w:ascii="宋体"/>
      <w:b/>
      <w:bCs/>
      <w:kern w:val="0"/>
      <w:sz w:val="18"/>
      <w:szCs w:val="18"/>
    </w:rPr>
  </w:style>
  <w:style w:type="paragraph" w:customStyle="1" w:styleId="6">
    <w:name w:val="6"/>
    <w:basedOn w:val="5"/>
    <w:qFormat/>
    <w:pPr>
      <w:spacing w:line="270" w:lineRule="atLeast"/>
      <w:jc w:val="both"/>
    </w:pPr>
    <w:rPr>
      <w:b w:val="0"/>
      <w:bCs w:val="0"/>
    </w:rPr>
  </w:style>
  <w:style w:type="paragraph" w:customStyle="1" w:styleId="a11">
    <w:name w:val="产品描述"/>
    <w:qFormat/>
    <w:pPr>
      <w:widowControl w:val="0"/>
      <w:autoSpaceDE w:val="0"/>
      <w:autoSpaceDN w:val="0"/>
      <w:adjustRightInd w:val="0"/>
      <w:spacing w:line="270" w:lineRule="atLeast"/>
      <w:ind w:firstLine="397"/>
      <w:jc w:val="both"/>
    </w:pPr>
    <w:rPr>
      <w:rFonts w:ascii="宋体" w:eastAsia="宋体" w:hAnsi="Times New Roman" w:cs="Times New Roman"/>
      <w:sz w:val="18"/>
      <w:szCs w:val="18"/>
      <w:lang w:val="en-US" w:eastAsia="zh-CN" w:bidi="ar-SA"/>
    </w:rPr>
  </w:style>
  <w:style w:type="paragraph" w:customStyle="1" w:styleId="a12">
    <w:name w:val="姜文清定义的正文"/>
    <w:basedOn w:val="Normal"/>
    <w:qFormat/>
    <w:pPr>
      <w:spacing w:line="240" w:lineRule="atLeast"/>
      <w:ind w:firstLine="567"/>
    </w:pPr>
    <w:rPr>
      <w:szCs w:val="20"/>
    </w:rPr>
  </w:style>
  <w:style w:type="paragraph" w:customStyle="1" w:styleId="CM2">
    <w:name w:val="CM2"/>
    <w:basedOn w:val="Default"/>
    <w:next w:val="Default"/>
    <w:qFormat/>
    <w:pPr>
      <w:spacing w:line="200" w:lineRule="atLeast"/>
    </w:pPr>
    <w:rPr>
      <w:rFonts w:ascii="Arial" w:eastAsia="宋体" w:hAnsi="Arial" w:cs="Times New Roman"/>
      <w:color w:val="auto"/>
    </w:rPr>
  </w:style>
  <w:style w:type="paragraph" w:customStyle="1" w:styleId="NormalParagraph">
    <w:name w:val="Normal Paragraph"/>
    <w:basedOn w:val="Normal"/>
    <w:qFormat/>
    <w:pPr>
      <w:widowControl/>
      <w:spacing w:before="120" w:line="360" w:lineRule="auto"/>
      <w:ind w:firstLine="425"/>
    </w:pPr>
    <w:rPr>
      <w:kern w:val="0"/>
      <w:sz w:val="24"/>
    </w:rPr>
  </w:style>
  <w:style w:type="character" w:customStyle="1" w:styleId="blue">
    <w:name w:val="blue"/>
    <w:basedOn w:val="DefaultParagraphFont"/>
    <w:qFormat/>
  </w:style>
  <w:style w:type="paragraph" w:customStyle="1" w:styleId="blue1">
    <w:name w:val="blue1"/>
    <w:basedOn w:val="Normal"/>
    <w:qFormat/>
    <w:pPr>
      <w:widowControl/>
      <w:spacing w:before="100" w:beforeAutospacing="1" w:after="100" w:afterAutospacing="1"/>
      <w:jc w:val="left"/>
    </w:pPr>
    <w:rPr>
      <w:rFonts w:ascii="宋体" w:hAnsi="宋体" w:cs="宋体"/>
      <w:kern w:val="0"/>
      <w:sz w:val="24"/>
    </w:rPr>
  </w:style>
  <w:style w:type="character" w:customStyle="1" w:styleId="font">
    <w:name w:val="font"/>
    <w:basedOn w:val="DefaultParagraphFont"/>
    <w:qFormat/>
  </w:style>
  <w:style w:type="character" w:customStyle="1" w:styleId="font11">
    <w:name w:val="font11"/>
    <w:qFormat/>
    <w:rPr>
      <w:rFonts w:ascii="ˎ̥" w:hAnsi="ˎ̥" w:hint="default"/>
    </w:rPr>
  </w:style>
  <w:style w:type="paragraph" w:customStyle="1" w:styleId="a14">
    <w:name w:val="a14"/>
    <w:basedOn w:val="Normal"/>
    <w:qFormat/>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proddescription">
    <w:name w:val="proddescription"/>
    <w:basedOn w:val="DefaultParagraphFont"/>
    <w:qFormat/>
  </w:style>
  <w:style w:type="character" w:customStyle="1" w:styleId="prodheadlines">
    <w:name w:val="prodheadlines"/>
    <w:basedOn w:val="DefaultParagraphFont"/>
    <w:qFormat/>
  </w:style>
  <w:style w:type="character" w:customStyle="1" w:styleId="text">
    <w:name w:val="text"/>
    <w:basedOn w:val="DefaultParagraphFont"/>
    <w:qFormat/>
  </w:style>
  <w:style w:type="paragraph" w:customStyle="1" w:styleId="text1">
    <w:name w:val="text1"/>
    <w:basedOn w:val="Normal"/>
    <w:qFormat/>
    <w:pPr>
      <w:widowControl/>
      <w:spacing w:before="100" w:beforeAutospacing="1" w:after="100" w:afterAutospacing="1"/>
      <w:jc w:val="left"/>
    </w:pPr>
    <w:rPr>
      <w:rFonts w:ascii="宋体" w:hAnsi="宋体" w:cs="宋体"/>
      <w:kern w:val="0"/>
      <w:sz w:val="24"/>
    </w:rPr>
  </w:style>
  <w:style w:type="paragraph" w:customStyle="1" w:styleId="z-1">
    <w:name w:val="z-窗体顶端1"/>
    <w:basedOn w:val="Normal"/>
    <w:next w:val="Normal"/>
    <w:hidden/>
    <w:qFormat/>
    <w:pPr>
      <w:widowControl/>
      <w:pBdr>
        <w:bottom w:val="single" w:sz="6" w:space="1" w:color="auto"/>
      </w:pBdr>
      <w:jc w:val="center"/>
    </w:pPr>
    <w:rPr>
      <w:rFonts w:ascii="Arial" w:hAnsi="Arial" w:cs="Arial"/>
      <w:vanish/>
      <w:kern w:val="0"/>
      <w:sz w:val="16"/>
      <w:szCs w:val="16"/>
    </w:rPr>
  </w:style>
  <w:style w:type="paragraph" w:customStyle="1" w:styleId="z-10">
    <w:name w:val="z-窗体底端1"/>
    <w:basedOn w:val="Normal"/>
    <w:next w:val="Normal"/>
    <w:hidden/>
    <w:qFormat/>
    <w:pPr>
      <w:widowControl/>
      <w:pBdr>
        <w:top w:val="single" w:sz="6" w:space="1" w:color="auto"/>
      </w:pBdr>
      <w:jc w:val="center"/>
    </w:pPr>
    <w:rPr>
      <w:rFonts w:ascii="Arial" w:hAnsi="Arial" w:cs="Arial"/>
      <w:vanish/>
      <w:kern w:val="0"/>
      <w:sz w:val="16"/>
      <w:szCs w:val="16"/>
    </w:rPr>
  </w:style>
  <w:style w:type="paragraph" w:customStyle="1" w:styleId="a13">
    <w:name w:val="正文样式"/>
    <w:basedOn w:val="Normal"/>
    <w:qFormat/>
    <w:pPr>
      <w:adjustRightInd w:val="0"/>
      <w:spacing w:line="400" w:lineRule="atLeast"/>
      <w:ind w:firstLine="570" w:firstLineChars="203"/>
      <w:textAlignment w:val="baseline"/>
    </w:pPr>
    <w:rPr>
      <w:rFonts w:eastAsia="仿宋_GB2312"/>
      <w:kern w:val="0"/>
      <w:sz w:val="28"/>
      <w:szCs w:val="20"/>
    </w:rPr>
  </w:style>
  <w:style w:type="paragraph" w:customStyle="1" w:styleId="xl34">
    <w:name w:val="xl34"/>
    <w:basedOn w:val="Normal"/>
    <w:qFormat/>
    <w:pPr>
      <w:widowControl/>
      <w:pBdr>
        <w:left w:val="single" w:sz="4" w:space="0" w:color="auto"/>
      </w:pBdr>
      <w:spacing w:before="100" w:beforeAutospacing="1" w:after="100" w:afterAutospacing="1"/>
      <w:jc w:val="center"/>
      <w:textAlignment w:val="center"/>
    </w:pPr>
    <w:rPr>
      <w:rFonts w:ascii="宋体" w:hAnsi="宋体"/>
      <w:kern w:val="0"/>
      <w:sz w:val="24"/>
    </w:rPr>
  </w:style>
  <w:style w:type="paragraph" w:customStyle="1" w:styleId="a15">
    <w:name w:val="段落正文"/>
    <w:basedOn w:val="PlainText"/>
    <w:qFormat/>
    <w:pPr>
      <w:ind w:firstLine="560" w:firstLineChars="200"/>
    </w:pPr>
    <w:rPr>
      <w:sz w:val="28"/>
    </w:rPr>
  </w:style>
  <w:style w:type="character" w:customStyle="1" w:styleId="gray6">
    <w:name w:val="gray6"/>
    <w:basedOn w:val="DefaultParagraphFont"/>
    <w:qFormat/>
  </w:style>
  <w:style w:type="character" w:customStyle="1" w:styleId="style9">
    <w:name w:val="style9"/>
    <w:basedOn w:val="DefaultParagraphFont"/>
    <w:qFormat/>
  </w:style>
  <w:style w:type="paragraph" w:customStyle="1" w:styleId="24">
    <w:name w:val="2册标题4"/>
    <w:basedOn w:val="Normal"/>
    <w:next w:val="Normal"/>
    <w:qFormat/>
    <w:pPr>
      <w:spacing w:beforeLines="50" w:afterLines="50" w:line="300" w:lineRule="auto"/>
      <w:ind w:left="420" w:leftChars="200"/>
      <w:outlineLvl w:val="3"/>
    </w:pPr>
    <w:rPr>
      <w:rFonts w:ascii="Arial" w:eastAsia="幼圆" w:hAnsi="Arial" w:cs="Arial"/>
      <w:b/>
      <w:sz w:val="24"/>
    </w:rPr>
  </w:style>
  <w:style w:type="character" w:customStyle="1" w:styleId="grame">
    <w:name w:val="grame"/>
    <w:basedOn w:val="DefaultParagraphFont"/>
    <w:qFormat/>
  </w:style>
  <w:style w:type="paragraph" w:customStyle="1" w:styleId="style2">
    <w:name w:val="style2"/>
    <w:basedOn w:val="Normal"/>
    <w:qFormat/>
    <w:pPr>
      <w:widowControl/>
      <w:spacing w:before="100" w:beforeAutospacing="1" w:after="100" w:afterAutospacing="1"/>
      <w:jc w:val="left"/>
    </w:pPr>
    <w:rPr>
      <w:rFonts w:ascii="宋体" w:hAnsi="宋体" w:cs="宋体"/>
      <w:kern w:val="0"/>
      <w:sz w:val="18"/>
      <w:szCs w:val="18"/>
    </w:rPr>
  </w:style>
  <w:style w:type="paragraph" w:customStyle="1" w:styleId="Char14">
    <w:name w:val="Char1"/>
    <w:basedOn w:val="Normal"/>
    <w:qFormat/>
    <w:pPr>
      <w:jc w:val="left"/>
    </w:pPr>
    <w:rPr>
      <w:rFonts w:ascii="Tahoma" w:hAnsi="Tahoma"/>
      <w:sz w:val="24"/>
      <w:szCs w:val="20"/>
    </w:rPr>
  </w:style>
  <w:style w:type="paragraph" w:customStyle="1" w:styleId="11">
    <w:name w:val="编号1"/>
    <w:basedOn w:val="Normal"/>
    <w:qFormat/>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CharCharCharCharCharCharCharCharCharCharCharCharCharCharCharCharCharCharCharCharCharChar">
    <w:name w:val="Char Char Char Char Char Char Char Char Char Char Char Char Char Char Char Char Char Char Char Char Char Char"/>
    <w:basedOn w:val="Normal"/>
    <w:qFormat/>
    <w:pPr>
      <w:widowControl/>
      <w:spacing w:line="400" w:lineRule="exact"/>
      <w:jc w:val="center"/>
    </w:pPr>
    <w:rPr>
      <w:rFonts w:ascii="Verdana" w:hAnsi="Verdana"/>
      <w:kern w:val="0"/>
      <w:szCs w:val="20"/>
      <w:lang w:eastAsia="en-US"/>
    </w:rPr>
  </w:style>
  <w:style w:type="paragraph" w:customStyle="1" w:styleId="font0">
    <w:name w:val="font0"/>
    <w:basedOn w:val="Normal"/>
    <w:qFormat/>
    <w:pPr>
      <w:widowControl/>
      <w:spacing w:before="100" w:beforeAutospacing="1" w:after="100" w:afterAutospacing="1"/>
      <w:jc w:val="left"/>
    </w:pPr>
    <w:rPr>
      <w:rFonts w:ascii="宋体" w:hAnsi="宋体" w:hint="eastAsia"/>
      <w:kern w:val="0"/>
      <w:sz w:val="24"/>
    </w:rPr>
  </w:style>
  <w:style w:type="paragraph" w:customStyle="1" w:styleId="font5">
    <w:name w:val="font5"/>
    <w:basedOn w:val="Normal"/>
    <w:qFormat/>
    <w:pPr>
      <w:widowControl/>
      <w:spacing w:before="100" w:beforeAutospacing="1" w:after="100" w:afterAutospacing="1"/>
      <w:jc w:val="left"/>
    </w:pPr>
    <w:rPr>
      <w:rFonts w:ascii="宋体" w:hAnsi="宋体" w:hint="eastAsia"/>
      <w:kern w:val="0"/>
      <w:sz w:val="18"/>
      <w:szCs w:val="18"/>
    </w:rPr>
  </w:style>
  <w:style w:type="paragraph" w:customStyle="1" w:styleId="font6">
    <w:name w:val="font6"/>
    <w:basedOn w:val="Normal"/>
    <w:qFormat/>
    <w:pPr>
      <w:widowControl/>
      <w:spacing w:before="100" w:beforeAutospacing="1" w:after="100" w:afterAutospacing="1"/>
      <w:jc w:val="left"/>
    </w:pPr>
    <w:rPr>
      <w:kern w:val="0"/>
      <w:sz w:val="24"/>
    </w:rPr>
  </w:style>
  <w:style w:type="paragraph" w:customStyle="1" w:styleId="xl24">
    <w:name w:val="xl24"/>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hAnsi="宋体"/>
      <w:kern w:val="0"/>
      <w:sz w:val="24"/>
    </w:rPr>
  </w:style>
  <w:style w:type="paragraph" w:customStyle="1" w:styleId="xl25">
    <w:name w:val="xl25"/>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24"/>
    </w:rPr>
  </w:style>
  <w:style w:type="paragraph" w:customStyle="1" w:styleId="a16">
    <w:name w:val="表格字"/>
    <w:basedOn w:val="Normal"/>
    <w:qFormat/>
    <w:pPr>
      <w:adjustRightInd w:val="0"/>
      <w:jc w:val="center"/>
    </w:pPr>
    <w:rPr>
      <w:rFonts w:ascii="宋体"/>
      <w:sz w:val="24"/>
      <w:szCs w:val="20"/>
    </w:rPr>
  </w:style>
  <w:style w:type="character" w:customStyle="1" w:styleId="a17">
    <w:name w:val="样式 小三 加粗"/>
    <w:qFormat/>
    <w:rPr>
      <w:rFonts w:eastAsia="宋体"/>
      <w:b/>
      <w:bCs/>
      <w:sz w:val="32"/>
    </w:rPr>
  </w:style>
  <w:style w:type="paragraph" w:customStyle="1" w:styleId="xl28">
    <w:name w:val="xl28"/>
    <w:basedOn w:val="Normal"/>
    <w:qFormat/>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cs="宋体"/>
      <w:kern w:val="0"/>
      <w:sz w:val="20"/>
      <w:szCs w:val="20"/>
    </w:rPr>
  </w:style>
  <w:style w:type="paragraph" w:customStyle="1" w:styleId="qw">
    <w:name w:val="qw"/>
    <w:qFormat/>
    <w:pPr>
      <w:widowControl w:val="0"/>
      <w:adjustRightInd w:val="0"/>
      <w:spacing w:line="312" w:lineRule="atLeast"/>
      <w:jc w:val="both"/>
      <w:textAlignment w:val="baseline"/>
    </w:pPr>
    <w:rPr>
      <w:rFonts w:ascii="宋体" w:eastAsia="宋体" w:hAnsi="Times New Roman" w:cs="Times New Roman"/>
      <w:sz w:val="24"/>
      <w:lang w:val="en-US" w:eastAsia="zh-CN" w:bidi="ar-SA"/>
    </w:rPr>
  </w:style>
  <w:style w:type="paragraph" w:customStyle="1" w:styleId="CharCharChar">
    <w:name w:val="Char Char Char"/>
    <w:basedOn w:val="Normal"/>
    <w:qFormat/>
    <w:rPr>
      <w:rFonts w:ascii="Tahoma" w:hAnsi="Tahoma"/>
      <w:sz w:val="24"/>
      <w:szCs w:val="20"/>
    </w:rPr>
  </w:style>
  <w:style w:type="paragraph" w:customStyle="1" w:styleId="Char20">
    <w:name w:val="Char2"/>
    <w:basedOn w:val="Normal"/>
    <w:qFormat/>
    <w:pPr>
      <w:widowControl/>
      <w:spacing w:after="160" w:line="240" w:lineRule="exact"/>
      <w:jc w:val="left"/>
    </w:pPr>
    <w:rPr>
      <w:rFonts w:ascii="Verdana" w:eastAsia="仿宋_GB2312" w:hAnsi="Verdana"/>
      <w:kern w:val="0"/>
      <w:sz w:val="24"/>
      <w:szCs w:val="20"/>
      <w:lang w:eastAsia="en-US"/>
    </w:rPr>
  </w:style>
  <w:style w:type="character" w:customStyle="1" w:styleId="info4">
    <w:name w:val="info4"/>
    <w:basedOn w:val="DefaultParagraphFont"/>
    <w:qFormat/>
  </w:style>
  <w:style w:type="paragraph" w:customStyle="1" w:styleId="a18">
    <w:name w:val="缩进正文"/>
    <w:basedOn w:val="Normal"/>
    <w:link w:val="Char15"/>
    <w:qFormat/>
    <w:pPr>
      <w:ind w:firstLine="560" w:firstLineChars="200"/>
    </w:pPr>
    <w:rPr>
      <w:rFonts w:eastAsia="仿宋_GB2312" w:cs="宋体"/>
      <w:sz w:val="28"/>
      <w:szCs w:val="20"/>
    </w:rPr>
  </w:style>
  <w:style w:type="character" w:customStyle="1" w:styleId="Char15">
    <w:name w:val="缩进正文 Char"/>
    <w:link w:val="a18"/>
    <w:qFormat/>
    <w:rPr>
      <w:rFonts w:eastAsia="仿宋_GB2312" w:cs="宋体"/>
      <w:kern w:val="2"/>
      <w:sz w:val="28"/>
      <w:lang w:val="en-US" w:eastAsia="zh-CN" w:bidi="ar-SA"/>
    </w:rPr>
  </w:style>
  <w:style w:type="paragraph" w:customStyle="1" w:styleId="12">
    <w:name w:val="列出段落1"/>
    <w:basedOn w:val="Normal"/>
    <w:qFormat/>
    <w:pPr>
      <w:ind w:firstLine="420" w:firstLineChars="200"/>
    </w:pPr>
    <w:rPr>
      <w:rFonts w:ascii="Calibri" w:hAnsi="Calibri" w:cs="Calibri"/>
      <w:szCs w:val="21"/>
    </w:rPr>
  </w:style>
  <w:style w:type="character" w:customStyle="1" w:styleId="Char16">
    <w:name w:val="批注文字 Char"/>
    <w:basedOn w:val="DefaultParagraphFont"/>
    <w:link w:val="CommentText"/>
    <w:uiPriority w:val="99"/>
    <w:qFormat/>
    <w:rPr>
      <w:rFonts w:ascii="宋体"/>
      <w:sz w:val="34"/>
    </w:rPr>
  </w:style>
  <w:style w:type="character" w:customStyle="1" w:styleId="Char17">
    <w:name w:val="批注主题 Char"/>
    <w:basedOn w:val="Char16"/>
    <w:link w:val="CommentSubject"/>
    <w:uiPriority w:val="99"/>
    <w:qFormat/>
    <w:rPr>
      <w:rFonts w:ascii="宋体"/>
      <w:sz w:val="34"/>
    </w:rPr>
  </w:style>
  <w:style w:type="paragraph" w:customStyle="1" w:styleId="a19">
    <w:name w:val="评价"/>
    <w:basedOn w:val="Normal"/>
    <w:qFormat/>
    <w:pPr>
      <w:spacing w:afterLines="20"/>
      <w:ind w:firstLine="1446" w:firstLineChars="200"/>
    </w:pPr>
    <w:rPr>
      <w:rFonts w:ascii="Calibri" w:hAnsi="Calibri"/>
      <w:sz w:val="24"/>
    </w:rPr>
  </w:style>
  <w:style w:type="paragraph" w:customStyle="1" w:styleId="13">
    <w:name w:val="修订1"/>
    <w:hidden/>
    <w:uiPriority w:val="99"/>
    <w:semiHidden/>
    <w:qFormat/>
    <w:rPr>
      <w:rFonts w:ascii="Times New Roman" w:eastAsia="宋体" w:hAnsi="Times New Roman" w:cs="Times New Roman"/>
      <w:kern w:val="2"/>
      <w:sz w:val="21"/>
      <w:szCs w:val="24"/>
      <w:lang w:val="en-US" w:eastAsia="zh-CN" w:bidi="ar-SA"/>
    </w:rPr>
  </w:style>
  <w:style w:type="character" w:customStyle="1" w:styleId="alt-edited1">
    <w:name w:val="alt-edited1"/>
    <w:qFormat/>
    <w:rPr>
      <w:color w:val="4D90F0"/>
    </w:rPr>
  </w:style>
  <w:style w:type="character" w:customStyle="1" w:styleId="bodytextChar1">
    <w:name w:val="body text Char1"/>
    <w:qFormat/>
    <w:rPr>
      <w:rFonts w:eastAsia="宋体"/>
      <w:kern w:val="2"/>
      <w:sz w:val="21"/>
      <w:lang w:val="en-US" w:eastAsia="zh-CN" w:bidi="ar-SA"/>
    </w:rPr>
  </w:style>
  <w:style w:type="character" w:customStyle="1" w:styleId="Char18">
    <w:name w:val="普通(网站) Char"/>
    <w:link w:val="NormalWeb"/>
    <w:qFormat/>
    <w:rPr>
      <w:kern w:val="2"/>
      <w:sz w:val="24"/>
      <w:szCs w:val="24"/>
    </w:rPr>
  </w:style>
  <w:style w:type="character" w:customStyle="1" w:styleId="Char19">
    <w:name w:val="批注文字 Char1"/>
    <w:uiPriority w:val="99"/>
    <w:qFormat/>
    <w:rPr>
      <w:rFonts w:ascii="宋体"/>
      <w:sz w:val="34"/>
    </w:rPr>
  </w:style>
  <w:style w:type="character" w:customStyle="1" w:styleId="Char110">
    <w:name w:val="正文缩进 Char1"/>
    <w:qFormat/>
    <w:rPr>
      <w:rFonts w:eastAsia="宋体"/>
      <w:kern w:val="2"/>
      <w:sz w:val="21"/>
      <w:lang w:val="en-US" w:eastAsia="zh-CN" w:bidi="ar-SA"/>
    </w:rPr>
  </w:style>
  <w:style w:type="table" w:customStyle="1" w:styleId="14">
    <w:name w:val="网格型1"/>
    <w:basedOn w:val="TableNormal"/>
    <w:qFormat/>
    <w:pPr>
      <w:widowControl w:val="0"/>
      <w:jc w:val="both"/>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Revision">
    <w:name w:val="Revision"/>
    <w:hidden/>
    <w:uiPriority w:val="99"/>
    <w:unhideWhenUsed/>
    <w:qFormat/>
    <w:rPr>
      <w:rFonts w:ascii="Times New Roman" w:eastAsia="宋体" w:hAnsi="Times New Roman" w:cs="Times New Roman"/>
      <w:kern w:val="2"/>
      <w:sz w:val="21"/>
      <w:szCs w:val="24"/>
      <w:lang w:val="en-US" w:eastAsia="zh-CN" w:bidi="ar-SA"/>
    </w:rPr>
  </w:style>
  <w:style w:type="character" w:customStyle="1" w:styleId="hover">
    <w:name w:val="hover"/>
    <w:basedOn w:val="DefaultParagraphFont"/>
    <w:qFormat/>
    <w:rPr>
      <w:color w:val="2590EB"/>
    </w:rPr>
  </w:style>
  <w:style w:type="character" w:customStyle="1" w:styleId="hover1">
    <w:name w:val="hover1"/>
    <w:basedOn w:val="DefaultParagraphFont"/>
    <w:rPr>
      <w:color w:val="2590EB"/>
    </w:rPr>
  </w:style>
  <w:style w:type="character" w:customStyle="1" w:styleId="hover2">
    <w:name w:val="hover2"/>
    <w:basedOn w:val="DefaultParagraphFont"/>
  </w:style>
  <w:style w:type="character" w:customStyle="1" w:styleId="hover3">
    <w:name w:val="hover3"/>
    <w:basedOn w:val="DefaultParagraphFont"/>
    <w:qFormat/>
    <w:rPr>
      <w:color w:val="2590EB"/>
      <w:shd w:val="clear" w:color="auto" w:fill="E9F4FD"/>
    </w:rPr>
  </w:style>
  <w:style w:type="character" w:customStyle="1" w:styleId="mini-outputtext1">
    <w:name w:val="mini-outputtext1"/>
    <w:basedOn w:val="DefaultParagraphFont"/>
    <w:qFormat/>
  </w:style>
  <w:style w:type="character" w:customStyle="1" w:styleId="hover4">
    <w:name w:val="hover4"/>
    <w:basedOn w:val="DefaultParagraphFont"/>
    <w:rPr>
      <w:color w:val="2590EB"/>
      <w:shd w:val="clear" w:color="auto" w:fill="E9F4F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header" Target="header1.xml" /><Relationship Id="rId7" Type="http://schemas.openxmlformats.org/officeDocument/2006/relationships/image" Target="media/image1.png" /><Relationship Id="rId8" Type="http://schemas.openxmlformats.org/officeDocument/2006/relationships/image" Target="media/image2.png" /><Relationship Id="rId9" Type="http://schemas.openxmlformats.org/officeDocument/2006/relationships/image" Target="media/image3.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TotalTime>
  <Pages>49</Pages>
  <Words>40025</Words>
  <Characters>41954</Characters>
  <Application>Microsoft Office Word</Application>
  <DocSecurity>0</DocSecurity>
  <Lines>332</Lines>
  <Paragraphs>93</Paragraphs>
  <ScaleCrop>false</ScaleCrop>
  <Company>Microsoft</Company>
  <LinksUpToDate>false</LinksUpToDate>
  <CharactersWithSpaces>43062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招  标　文　件</dc:title>
  <dc:creator>thsware</dc:creator>
  <cp:lastModifiedBy>箴言</cp:lastModifiedBy>
  <cp:revision>83</cp:revision>
  <cp:lastPrinted>2021-05-10T16:02:00Z</cp:lastPrinted>
  <dcterms:created xsi:type="dcterms:W3CDTF">2021-04-20T16:29:00Z</dcterms:created>
  <dcterms:modified xsi:type="dcterms:W3CDTF">2023-12-11T09:24:41Z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6599B30C39C946EB804AD66A40D9BF2D_13</vt:lpwstr>
  </property>
  <property fmtid="{D5CDD505-2E9C-101B-9397-08002B2CF9AE}" pid="3" name="KSOProductBuildVer">
    <vt:lpwstr>2052-12.1.0.15990</vt:lpwstr>
  </property>
</Properties>
</file>