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深圳平乐骨伤科医院（深圳市坪山区中医院）互联互通标准化成熟度测评四级甲等咨询服务项目</w:t>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8401" w:type="dxa"/>
        <w:jc w:val="center"/>
        <w:tblCellSpacing w:w="0" w:type="dxa"/>
        <w:tblLayout w:type="fixed"/>
        <w:tblCellMar>
          <w:top w:w="45" w:type="dxa"/>
          <w:left w:w="45" w:type="dxa"/>
          <w:bottom w:w="45" w:type="dxa"/>
          <w:right w:w="45" w:type="dxa"/>
        </w:tblCellMar>
      </w:tblPr>
      <w:tblGrid>
        <w:gridCol w:w="2879"/>
        <w:gridCol w:w="5522"/>
      </w:tblGrid>
      <w:tr>
        <w:tblPrEx>
          <w:tblW w:w="8401"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879"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522" w:type="dxa"/>
            <w:shd w:val="clear" w:color="auto" w:fill="auto"/>
            <w:vAlign w:val="center"/>
          </w:tcPr>
          <w:p>
            <w:pPr>
              <w:widowControl/>
              <w:jc w:val="left"/>
              <w:rPr>
                <w:sz w:val="30"/>
                <w:szCs w:val="30"/>
              </w:rPr>
            </w:pPr>
            <w:r>
              <w:rPr>
                <w:rFonts w:hint="default"/>
                <w:sz w:val="30"/>
                <w:szCs w:val="30"/>
                <w:lang w:val="en-US" w:eastAsia="zh-CN"/>
              </w:rPr>
              <w:t>PSCG2023000185</w:t>
            </w:r>
          </w:p>
        </w:tc>
      </w:tr>
      <w:tr>
        <w:tblPrEx>
          <w:tblW w:w="8401"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879"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522" w:type="dxa"/>
            <w:shd w:val="clear" w:color="auto" w:fill="auto"/>
            <w:vAlign w:val="center"/>
          </w:tcPr>
          <w:p>
            <w:pPr>
              <w:widowControl/>
              <w:jc w:val="left"/>
              <w:rPr>
                <w:sz w:val="30"/>
                <w:szCs w:val="30"/>
              </w:rPr>
            </w:pPr>
            <w:r>
              <w:rPr>
                <w:rFonts w:hint="eastAsia"/>
                <w:sz w:val="30"/>
                <w:szCs w:val="30"/>
              </w:rPr>
              <w:t>深圳平乐骨伤科医院（深圳市坪山区中医院）互联互通标准化成熟度测评四级甲等咨询服务项目</w:t>
            </w:r>
          </w:p>
        </w:tc>
      </w:tr>
      <w:tr>
        <w:tblPrEx>
          <w:tblW w:w="8401"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879" w:type="dxa"/>
            <w:shd w:val="clear" w:color="auto" w:fill="auto"/>
            <w:vAlign w:val="center"/>
          </w:tcPr>
          <w:p>
            <w:pPr>
              <w:widowControl/>
              <w:jc w:val="right"/>
              <w:rPr>
                <w:sz w:val="30"/>
                <w:szCs w:val="30"/>
              </w:rPr>
            </w:pPr>
            <w:r>
              <w:rPr>
                <w:rFonts w:ascii="宋体" w:hAnsi="宋体" w:cs="宋体"/>
                <w:kern w:val="0"/>
                <w:sz w:val="30"/>
                <w:szCs w:val="30"/>
              </w:rPr>
              <w:t>包 号：</w:t>
            </w:r>
          </w:p>
        </w:tc>
        <w:tc>
          <w:tcPr>
            <w:tcW w:w="5522" w:type="dxa"/>
            <w:shd w:val="clear" w:color="auto" w:fill="auto"/>
            <w:vAlign w:val="center"/>
          </w:tcPr>
          <w:p>
            <w:pPr>
              <w:widowControl/>
              <w:jc w:val="left"/>
              <w:rPr>
                <w:sz w:val="30"/>
                <w:szCs w:val="30"/>
              </w:rPr>
            </w:pPr>
            <w:r>
              <w:rPr>
                <w:rFonts w:ascii="宋体" w:hAnsi="宋体" w:cs="宋体"/>
                <w:kern w:val="0"/>
                <w:sz w:val="30"/>
                <w:szCs w:val="30"/>
              </w:rPr>
              <w:t>A</w:t>
            </w:r>
          </w:p>
        </w:tc>
      </w:tr>
      <w:tr>
        <w:tblPrEx>
          <w:tblW w:w="8401"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879"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522"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8401"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879"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522"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8401" w:type="dxa"/>
          <w:jc w:val="center"/>
          <w:tblCellSpacing w:w="0" w:type="dxa"/>
          <w:tblLayout w:type="fixed"/>
          <w:tblCellMar>
            <w:top w:w="45" w:type="dxa"/>
            <w:left w:w="45" w:type="dxa"/>
            <w:bottom w:w="45" w:type="dxa"/>
            <w:right w:w="45" w:type="dxa"/>
          </w:tblCellMar>
        </w:tblPrEx>
        <w:trPr>
          <w:trHeight w:val="90"/>
          <w:tblCellSpacing w:w="0" w:type="dxa"/>
          <w:jc w:val="center"/>
        </w:trPr>
        <w:tc>
          <w:tcPr>
            <w:tcW w:w="2879"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522"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8401"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879"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522" w:type="dxa"/>
            <w:shd w:val="clear" w:color="auto" w:fill="auto"/>
            <w:vAlign w:val="center"/>
          </w:tcPr>
          <w:p>
            <w:pPr>
              <w:widowControl/>
              <w:jc w:val="left"/>
              <w:rPr>
                <w:sz w:val="30"/>
                <w:szCs w:val="30"/>
              </w:rPr>
            </w:pPr>
            <w:r>
              <w:rPr>
                <w:rFonts w:ascii="宋体" w:hAnsi="宋体" w:cs="宋体"/>
                <w:kern w:val="0"/>
                <w:sz w:val="30"/>
                <w:szCs w:val="30"/>
              </w:rPr>
              <w:t>综合评分法（新价格分算法）</w:t>
            </w:r>
          </w:p>
        </w:tc>
      </w:tr>
    </w:tbl>
    <w:p>
      <w:pPr>
        <w:rPr>
          <w:rFonts w:ascii="黑体" w:eastAsia="黑体" w:hAnsi="黑体"/>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852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806"/>
        <w:gridCol w:w="7720"/>
      </w:tblGrid>
      <w:tr>
        <w:tblPrEx>
          <w:tblW w:w="852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806"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7720"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8526" w:type="dxa"/>
          <w:jc w:val="center"/>
          <w:tblLayout w:type="fixed"/>
          <w:tblCellMar>
            <w:top w:w="20" w:type="dxa"/>
            <w:left w:w="108" w:type="dxa"/>
            <w:bottom w:w="20" w:type="dxa"/>
            <w:right w:w="108" w:type="dxa"/>
          </w:tblCellMar>
        </w:tblPrEx>
        <w:trPr>
          <w:jc w:val="center"/>
        </w:trPr>
        <w:tc>
          <w:tcPr>
            <w:tcW w:w="806"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7720"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852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829"/>
        <w:gridCol w:w="7697"/>
      </w:tblGrid>
      <w:tr>
        <w:tblPrEx>
          <w:tblW w:w="852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829"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7697"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8526" w:type="dxa"/>
          <w:jc w:val="center"/>
          <w:tblLayout w:type="fixed"/>
          <w:tblCellMar>
            <w:top w:w="20" w:type="dxa"/>
            <w:left w:w="108" w:type="dxa"/>
            <w:bottom w:w="20" w:type="dxa"/>
            <w:right w:w="108" w:type="dxa"/>
          </w:tblCellMar>
        </w:tblPrEx>
        <w:trPr>
          <w:jc w:val="center"/>
        </w:trPr>
        <w:tc>
          <w:tcPr>
            <w:tcW w:w="829"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1</w:t>
            </w:r>
          </w:p>
        </w:tc>
        <w:tc>
          <w:tcPr>
            <w:tcW w:w="7697"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将一个包或一个标段的内容拆开投标；</w:t>
            </w:r>
          </w:p>
        </w:tc>
      </w:tr>
      <w:tr>
        <w:tblPrEx>
          <w:tblW w:w="8526" w:type="dxa"/>
          <w:jc w:val="center"/>
          <w:tblLayout w:type="fixed"/>
          <w:tblCellMar>
            <w:top w:w="20" w:type="dxa"/>
            <w:left w:w="108" w:type="dxa"/>
            <w:bottom w:w="20" w:type="dxa"/>
            <w:right w:w="108" w:type="dxa"/>
          </w:tblCellMar>
        </w:tblPrEx>
        <w:trPr>
          <w:jc w:val="center"/>
        </w:trPr>
        <w:tc>
          <w:tcPr>
            <w:tcW w:w="829"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2</w:t>
            </w:r>
          </w:p>
        </w:tc>
        <w:tc>
          <w:tcPr>
            <w:tcW w:w="7697"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对同一项目投标时，提供两套以上的投标方案（招标文件另有规定的除外）；</w:t>
            </w:r>
          </w:p>
        </w:tc>
      </w:tr>
      <w:tr>
        <w:tblPrEx>
          <w:tblW w:w="8526" w:type="dxa"/>
          <w:jc w:val="center"/>
          <w:tblLayout w:type="fixed"/>
          <w:tblCellMar>
            <w:top w:w="20" w:type="dxa"/>
            <w:left w:w="108" w:type="dxa"/>
            <w:bottom w:w="20" w:type="dxa"/>
            <w:right w:w="108" w:type="dxa"/>
          </w:tblCellMar>
        </w:tblPrEx>
        <w:trPr>
          <w:jc w:val="center"/>
        </w:trPr>
        <w:tc>
          <w:tcPr>
            <w:tcW w:w="829"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3</w:t>
            </w:r>
          </w:p>
        </w:tc>
        <w:tc>
          <w:tcPr>
            <w:tcW w:w="7697"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分项报价或投标总价高于相应财政预算金额（或设定的财政预算金额下的最高限价）；</w:t>
            </w:r>
          </w:p>
        </w:tc>
      </w:tr>
      <w:tr>
        <w:tblPrEx>
          <w:tblW w:w="8526" w:type="dxa"/>
          <w:jc w:val="center"/>
          <w:tblLayout w:type="fixed"/>
          <w:tblCellMar>
            <w:top w:w="20" w:type="dxa"/>
            <w:left w:w="108" w:type="dxa"/>
            <w:bottom w:w="20" w:type="dxa"/>
            <w:right w:w="108" w:type="dxa"/>
          </w:tblCellMar>
        </w:tblPrEx>
        <w:trPr>
          <w:jc w:val="center"/>
        </w:trPr>
        <w:tc>
          <w:tcPr>
            <w:tcW w:w="829"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4</w:t>
            </w:r>
          </w:p>
        </w:tc>
        <w:tc>
          <w:tcPr>
            <w:tcW w:w="7697"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8526" w:type="dxa"/>
          <w:jc w:val="center"/>
          <w:tblLayout w:type="fixed"/>
          <w:tblCellMar>
            <w:top w:w="20" w:type="dxa"/>
            <w:left w:w="108" w:type="dxa"/>
            <w:bottom w:w="20" w:type="dxa"/>
            <w:right w:w="108" w:type="dxa"/>
          </w:tblCellMar>
        </w:tblPrEx>
        <w:trPr>
          <w:jc w:val="center"/>
        </w:trPr>
        <w:tc>
          <w:tcPr>
            <w:tcW w:w="829"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5</w:t>
            </w:r>
          </w:p>
        </w:tc>
        <w:tc>
          <w:tcPr>
            <w:tcW w:w="7697"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所投货物、服务在技术、商务等方面没有实质性满足招标文件要求的（是否实质性满足招标文件要求，由评审委员会根据《实质性条款响应情况表》做出评判）；</w:t>
            </w:r>
          </w:p>
        </w:tc>
      </w:tr>
      <w:tr>
        <w:tblPrEx>
          <w:tblW w:w="8526" w:type="dxa"/>
          <w:jc w:val="center"/>
          <w:tblLayout w:type="fixed"/>
          <w:tblCellMar>
            <w:top w:w="20" w:type="dxa"/>
            <w:left w:w="108" w:type="dxa"/>
            <w:bottom w:w="20" w:type="dxa"/>
            <w:right w:w="108" w:type="dxa"/>
          </w:tblCellMar>
        </w:tblPrEx>
        <w:trPr>
          <w:jc w:val="center"/>
        </w:trPr>
        <w:tc>
          <w:tcPr>
            <w:tcW w:w="829"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6</w:t>
            </w:r>
          </w:p>
        </w:tc>
        <w:tc>
          <w:tcPr>
            <w:tcW w:w="7697"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8526" w:type="dxa"/>
          <w:jc w:val="center"/>
          <w:tblLayout w:type="fixed"/>
          <w:tblCellMar>
            <w:top w:w="20" w:type="dxa"/>
            <w:left w:w="108" w:type="dxa"/>
            <w:bottom w:w="20" w:type="dxa"/>
            <w:right w:w="108" w:type="dxa"/>
          </w:tblCellMar>
        </w:tblPrEx>
        <w:trPr>
          <w:jc w:val="center"/>
        </w:trPr>
        <w:tc>
          <w:tcPr>
            <w:tcW w:w="829"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7</w:t>
            </w:r>
          </w:p>
        </w:tc>
        <w:tc>
          <w:tcPr>
            <w:tcW w:w="7697"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投标报价有缺漏项目,或者对招标文件规定的项目需求内容或者需求数量进行修改，评审委员会判定投标响应不满足采购需求；</w:t>
            </w:r>
          </w:p>
        </w:tc>
      </w:tr>
      <w:tr>
        <w:tblPrEx>
          <w:tblW w:w="8526" w:type="dxa"/>
          <w:jc w:val="center"/>
          <w:tblLayout w:type="fixed"/>
          <w:tblCellMar>
            <w:top w:w="20" w:type="dxa"/>
            <w:left w:w="108" w:type="dxa"/>
            <w:bottom w:w="20" w:type="dxa"/>
            <w:right w:w="108" w:type="dxa"/>
          </w:tblCellMar>
        </w:tblPrEx>
        <w:trPr>
          <w:jc w:val="center"/>
        </w:trPr>
        <w:tc>
          <w:tcPr>
            <w:tcW w:w="829"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8</w:t>
            </w:r>
          </w:p>
        </w:tc>
        <w:tc>
          <w:tcPr>
            <w:tcW w:w="7697"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8526" w:type="dxa"/>
          <w:jc w:val="center"/>
          <w:tblLayout w:type="fixed"/>
          <w:tblCellMar>
            <w:top w:w="20" w:type="dxa"/>
            <w:left w:w="108" w:type="dxa"/>
            <w:bottom w:w="20" w:type="dxa"/>
            <w:right w:w="108" w:type="dxa"/>
          </w:tblCellMar>
        </w:tblPrEx>
        <w:trPr>
          <w:jc w:val="center"/>
        </w:trPr>
        <w:tc>
          <w:tcPr>
            <w:tcW w:w="829"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9</w:t>
            </w:r>
          </w:p>
        </w:tc>
        <w:tc>
          <w:tcPr>
            <w:tcW w:w="7697"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投标文件电子文档带病毒；</w:t>
            </w:r>
          </w:p>
        </w:tc>
      </w:tr>
      <w:tr>
        <w:tblPrEx>
          <w:tblW w:w="8526" w:type="dxa"/>
          <w:jc w:val="center"/>
          <w:tblLayout w:type="fixed"/>
          <w:tblCellMar>
            <w:top w:w="20" w:type="dxa"/>
            <w:left w:w="108" w:type="dxa"/>
            <w:bottom w:w="20" w:type="dxa"/>
            <w:right w:w="108" w:type="dxa"/>
          </w:tblCellMar>
        </w:tblPrEx>
        <w:trPr>
          <w:jc w:val="center"/>
        </w:trPr>
        <w:tc>
          <w:tcPr>
            <w:tcW w:w="829"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10</w:t>
            </w:r>
          </w:p>
        </w:tc>
        <w:tc>
          <w:tcPr>
            <w:tcW w:w="7697"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投标文件用不属于本公司的电子密钥进行加密的；</w:t>
            </w:r>
          </w:p>
        </w:tc>
      </w:tr>
      <w:tr>
        <w:tblPrEx>
          <w:tblW w:w="8526" w:type="dxa"/>
          <w:jc w:val="center"/>
          <w:tblLayout w:type="fixed"/>
          <w:tblCellMar>
            <w:top w:w="20" w:type="dxa"/>
            <w:left w:w="108" w:type="dxa"/>
            <w:bottom w:w="20" w:type="dxa"/>
            <w:right w:w="108" w:type="dxa"/>
          </w:tblCellMar>
        </w:tblPrEx>
        <w:trPr>
          <w:jc w:val="center"/>
        </w:trPr>
        <w:tc>
          <w:tcPr>
            <w:tcW w:w="829"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11</w:t>
            </w:r>
          </w:p>
        </w:tc>
        <w:tc>
          <w:tcPr>
            <w:tcW w:w="7697"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误选了非本项目的最新加密规则文件，导致投标文件不能在开标时解密；</w:t>
            </w:r>
          </w:p>
        </w:tc>
      </w:tr>
      <w:tr>
        <w:tblPrEx>
          <w:tblW w:w="8526" w:type="dxa"/>
          <w:jc w:val="center"/>
          <w:tblLayout w:type="fixed"/>
          <w:tblCellMar>
            <w:top w:w="20" w:type="dxa"/>
            <w:left w:w="108" w:type="dxa"/>
            <w:bottom w:w="20" w:type="dxa"/>
            <w:right w:w="108" w:type="dxa"/>
          </w:tblCellMar>
        </w:tblPrEx>
        <w:trPr>
          <w:jc w:val="center"/>
        </w:trPr>
        <w:tc>
          <w:tcPr>
            <w:tcW w:w="829"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12</w:t>
            </w:r>
          </w:p>
        </w:tc>
        <w:tc>
          <w:tcPr>
            <w:tcW w:w="7697"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不同投标供应商投标文件“文件制作机器码”一致；</w:t>
            </w:r>
          </w:p>
        </w:tc>
      </w:tr>
      <w:tr>
        <w:tblPrEx>
          <w:tblW w:w="8526" w:type="dxa"/>
          <w:jc w:val="center"/>
          <w:tblLayout w:type="fixed"/>
          <w:tblCellMar>
            <w:top w:w="20" w:type="dxa"/>
            <w:left w:w="108" w:type="dxa"/>
            <w:bottom w:w="20" w:type="dxa"/>
            <w:right w:w="108" w:type="dxa"/>
          </w:tblCellMar>
        </w:tblPrEx>
        <w:trPr>
          <w:jc w:val="center"/>
        </w:trPr>
        <w:tc>
          <w:tcPr>
            <w:tcW w:w="829" w:type="dxa"/>
            <w:tcBorders>
              <w:top w:val="single" w:sz="8" w:space="0" w:color="000000"/>
              <w:left w:val="single" w:sz="8" w:space="0" w:color="000000"/>
              <w:bottom w:val="single" w:sz="8" w:space="0" w:color="000000"/>
              <w:right w:val="single" w:sz="8" w:space="0" w:color="000000"/>
            </w:tcBorders>
            <w:vAlign w:val="center"/>
          </w:tcPr>
          <w:p>
            <w:pPr>
              <w:jc w:val="center"/>
              <w:rPr>
                <w:szCs w:val="21"/>
              </w:rPr>
            </w:pPr>
            <w:r>
              <w:rPr>
                <w:rFonts w:hint="eastAsia"/>
                <w:szCs w:val="21"/>
              </w:rPr>
              <w:t>13</w:t>
            </w:r>
          </w:p>
        </w:tc>
        <w:tc>
          <w:tcPr>
            <w:tcW w:w="7697" w:type="dxa"/>
            <w:tcBorders>
              <w:top w:val="single" w:sz="8" w:space="0" w:color="000000"/>
              <w:left w:val="single" w:sz="8" w:space="0" w:color="000000"/>
              <w:bottom w:val="single" w:sz="8" w:space="0" w:color="000000"/>
              <w:right w:val="single" w:sz="8" w:space="0" w:color="000000"/>
            </w:tcBorders>
          </w:tcPr>
          <w:p>
            <w:r>
              <w:rPr>
                <w:rFonts w:hint="eastAsia"/>
              </w:rPr>
              <w:t>不同投标供应商投标文件“文件创建标识码”一致；</w:t>
            </w:r>
          </w:p>
        </w:tc>
      </w:tr>
      <w:tr>
        <w:tblPrEx>
          <w:tblW w:w="8526" w:type="dxa"/>
          <w:jc w:val="center"/>
          <w:tblLayout w:type="fixed"/>
          <w:tblCellMar>
            <w:top w:w="20" w:type="dxa"/>
            <w:left w:w="108" w:type="dxa"/>
            <w:bottom w:w="20" w:type="dxa"/>
            <w:right w:w="108" w:type="dxa"/>
          </w:tblCellMar>
        </w:tblPrEx>
        <w:trPr>
          <w:jc w:val="center"/>
        </w:trPr>
        <w:tc>
          <w:tcPr>
            <w:tcW w:w="829" w:type="dxa"/>
            <w:tcBorders>
              <w:top w:val="single" w:sz="8" w:space="0" w:color="000000"/>
              <w:left w:val="single" w:sz="8" w:space="0" w:color="000000"/>
              <w:bottom w:val="single" w:sz="8" w:space="0" w:color="000000"/>
              <w:right w:val="single" w:sz="8" w:space="0" w:color="000000"/>
            </w:tcBorders>
            <w:vAlign w:val="center"/>
          </w:tcPr>
          <w:p>
            <w:pPr>
              <w:jc w:val="center"/>
              <w:rPr>
                <w:szCs w:val="21"/>
              </w:rPr>
            </w:pPr>
            <w:r>
              <w:rPr>
                <w:rFonts w:hint="eastAsia"/>
                <w:szCs w:val="21"/>
              </w:rPr>
              <w:t>14</w:t>
            </w:r>
          </w:p>
        </w:tc>
        <w:tc>
          <w:tcPr>
            <w:tcW w:w="7697" w:type="dxa"/>
            <w:tcBorders>
              <w:top w:val="single" w:sz="8" w:space="0" w:color="000000"/>
              <w:left w:val="single" w:sz="8" w:space="0" w:color="000000"/>
              <w:bottom w:val="single" w:sz="8" w:space="0" w:color="000000"/>
              <w:right w:val="single" w:sz="8" w:space="0" w:color="000000"/>
            </w:tcBorders>
          </w:tcPr>
          <w:p>
            <w:r>
              <w:rPr>
                <w:rFonts w:hint="eastAsia"/>
              </w:rPr>
              <w:t>法律、法规、规章、规范性文件规定的其他情形。</w:t>
            </w:r>
          </w:p>
        </w:tc>
      </w:tr>
    </w:tbl>
    <w:p>
      <w:pPr>
        <w:rPr>
          <w:rFonts w:ascii="黑体" w:eastAsia="黑体" w:hAnsi="黑体"/>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8401" w:type="dxa"/>
        <w:jc w:val="center"/>
        <w:tblCellSpacing w:w="0" w:type="dxa"/>
        <w:tblLayout w:type="fixed"/>
        <w:tblCellMar>
          <w:top w:w="45" w:type="dxa"/>
          <w:left w:w="45" w:type="dxa"/>
          <w:bottom w:w="45" w:type="dxa"/>
          <w:right w:w="45" w:type="dxa"/>
        </w:tblCellMar>
      </w:tblPr>
      <w:tblGrid>
        <w:gridCol w:w="8209"/>
        <w:gridCol w:w="192"/>
      </w:tblGrid>
      <w:tr>
        <w:tblPrEx>
          <w:tblW w:w="8401" w:type="dxa"/>
          <w:jc w:val="center"/>
          <w:tblCellSpacing w:w="0" w:type="dxa"/>
          <w:tblLayout w:type="fixed"/>
          <w:tblCellMar>
            <w:top w:w="45" w:type="dxa"/>
            <w:left w:w="45" w:type="dxa"/>
            <w:bottom w:w="45" w:type="dxa"/>
            <w:right w:w="45" w:type="dxa"/>
          </w:tblCellMar>
        </w:tblPrEx>
        <w:trPr>
          <w:tblCellSpacing w:w="0" w:type="dxa"/>
          <w:jc w:val="center"/>
        </w:trPr>
        <w:tc>
          <w:tcPr>
            <w:tcW w:w="8209" w:type="dxa"/>
            <w:tcBorders>
              <w:top w:val="nil"/>
              <w:left w:val="nil"/>
              <w:bottom w:val="nil"/>
              <w:right w:val="nil"/>
            </w:tcBorders>
            <w:vAlign w:val="center"/>
          </w:tcPr>
          <w:p>
            <w:pPr>
              <w:rPr>
                <w:rFonts w:ascii="宋体" w:hAnsi="宋体" w:cs="宋体"/>
                <w:b/>
                <w:bCs/>
                <w:sz w:val="24"/>
              </w:rPr>
            </w:pPr>
            <w:r>
              <w:rPr>
                <w:b/>
                <w:bCs/>
              </w:rPr>
              <w:t>评标方法：综合评分法（新价格分算法）</w:t>
            </w:r>
          </w:p>
        </w:tc>
        <w:tc>
          <w:tcPr>
            <w:tcW w:w="192" w:type="dxa"/>
            <w:tcBorders>
              <w:top w:val="nil"/>
              <w:left w:val="nil"/>
              <w:bottom w:val="nil"/>
              <w:right w:val="nil"/>
            </w:tcBorders>
            <w:vAlign w:val="center"/>
          </w:tcPr>
          <w:p>
            <w:pPr>
              <w:jc w:val="right"/>
              <w:rPr>
                <w:rFonts w:ascii="宋体" w:hAnsi="宋体" w:cs="宋体"/>
                <w:b/>
                <w:bCs/>
                <w:sz w:val="24"/>
              </w:rPr>
            </w:pPr>
          </w:p>
        </w:tc>
      </w:tr>
      <w:tr>
        <w:tblPrEx>
          <w:tblW w:w="8401" w:type="dxa"/>
          <w:jc w:val="center"/>
          <w:tblCellSpacing w:w="0" w:type="dxa"/>
          <w:tblLayout w:type="fixed"/>
          <w:tblCellMar>
            <w:top w:w="45" w:type="dxa"/>
            <w:left w:w="45" w:type="dxa"/>
            <w:bottom w:w="45" w:type="dxa"/>
            <w:right w:w="45" w:type="dxa"/>
          </w:tblCellMar>
        </w:tblPrEx>
        <w:trPr>
          <w:tblCellSpacing w:w="0" w:type="dxa"/>
          <w:jc w:val="center"/>
        </w:trPr>
        <w:tc>
          <w:tcPr>
            <w:tcW w:w="8401" w:type="dxa"/>
            <w:gridSpan w:val="2"/>
            <w:tcBorders>
              <w:top w:val="nil"/>
              <w:left w:val="nil"/>
              <w:bottom w:val="nil"/>
              <w:right w:val="nil"/>
            </w:tcBorders>
            <w:vAlign w:val="center"/>
          </w:tcPr>
          <w:p>
            <w:pPr>
              <w:ind w:firstLine="420"/>
              <w:rPr>
                <w:rFonts w:ascii="宋体" w:hAnsi="宋体"/>
                <w:highlight w:val="yellow"/>
              </w:rPr>
            </w:pPr>
            <w:r>
              <w:rPr>
                <w:rFonts w:ascii="宋体" w:hAnsi="宋体" w:hint="eastAsia"/>
              </w:rPr>
              <w:t>综合评分法，是指投标文件满足招标文件全部实质性要求，且按照评审因素的量化指标评审得分最高的投标人为中标候选人的评标方法。</w:t>
            </w:r>
          </w:p>
          <w:p>
            <w:pPr>
              <w:ind w:firstLine="420"/>
              <w:rPr>
                <w:rFonts w:ascii="宋体" w:hAnsi="宋体"/>
              </w:rPr>
            </w:pPr>
            <w:r>
              <w:rPr>
                <w:rFonts w:ascii="宋体" w:hAnsi="宋体"/>
              </w:rPr>
              <w:t>价格分计算方法：</w:t>
            </w:r>
          </w:p>
          <w:p>
            <w:pPr>
              <w:ind w:firstLine="420"/>
              <w:rPr>
                <w:rFonts w:ascii="宋体" w:hAnsi="宋体"/>
              </w:rPr>
            </w:pPr>
            <w:r>
              <w:rPr>
                <w:rFonts w:ascii="宋体" w:hAnsi="宋体"/>
              </w:rPr>
              <w:t>采用低价优先法计算，即满足招标文件要求且投标价格最低的投标报价为评标基准价，其价格分为满分。其他投标人的价格分统一按照下列公式计算：</w:t>
            </w:r>
          </w:p>
          <w:p>
            <w:pPr>
              <w:ind w:firstLine="420"/>
              <w:rPr>
                <w:rFonts w:ascii="宋体" w:hAnsi="宋体"/>
              </w:rPr>
            </w:pPr>
            <w:r>
              <w:rPr>
                <w:rFonts w:ascii="宋体" w:hAnsi="宋体"/>
              </w:rPr>
              <w:t>投标报价得分=(评标基准价／投标报价)×100</w:t>
            </w:r>
          </w:p>
          <w:p>
            <w:pPr>
              <w:ind w:firstLine="420"/>
              <w:rPr>
                <w:rFonts w:ascii="宋体" w:hAnsi="宋体"/>
              </w:rPr>
            </w:pPr>
            <w:r>
              <w:rPr>
                <w:rFonts w:ascii="宋体" w:hAnsi="宋体"/>
              </w:rPr>
              <w:t>评标总得分＝F1×A1＋F2×A2＋……＋Fn×An</w:t>
            </w:r>
          </w:p>
          <w:p>
            <w:pPr>
              <w:ind w:firstLine="420"/>
              <w:rPr>
                <w:rFonts w:ascii="宋体" w:hAnsi="宋体"/>
              </w:rPr>
            </w:pPr>
            <w:r>
              <w:rPr>
                <w:rFonts w:ascii="宋体" w:hAnsi="宋体"/>
              </w:rPr>
              <w:t>F1、F2……Fn分别为各项评审因素的得分；</w:t>
            </w:r>
          </w:p>
          <w:p>
            <w:pPr>
              <w:ind w:firstLine="420"/>
              <w:rPr>
                <w:rFonts w:ascii="宋体" w:hAnsi="宋体"/>
              </w:rPr>
            </w:pPr>
            <w:r>
              <w:rPr>
                <w:rFonts w:ascii="宋体" w:hAnsi="宋体"/>
              </w:rPr>
              <w:t>A1、A2、……An 分别为各项评审因素所占的权重(A1＋A2＋……＋An＝1)。</w:t>
            </w:r>
          </w:p>
          <w:p>
            <w:pPr>
              <w:ind w:firstLine="420"/>
              <w:rPr>
                <w:rFonts w:ascii="宋体" w:hAnsi="宋体"/>
              </w:rPr>
            </w:pPr>
            <w:r>
              <w:rPr>
                <w:rFonts w:ascii="宋体" w:hAnsi="宋体"/>
              </w:rPr>
              <w:t>评标过程中，不得去掉报价中的最高报价和最低报价。</w:t>
            </w:r>
          </w:p>
          <w:p>
            <w:pPr>
              <w:ind w:firstLine="420"/>
              <w:rPr>
                <w:szCs w:val="21"/>
              </w:rPr>
            </w:pPr>
            <w:r>
              <w:rPr>
                <w:rFonts w:ascii="宋体" w:hAnsi="宋体"/>
              </w:rPr>
              <w:t>此方法适用于货物类、服务类、工程类项目。</w:t>
            </w:r>
          </w:p>
        </w:tc>
      </w:tr>
    </w:tbl>
    <w:p>
      <w:pPr>
        <w:rPr>
          <w:vanish/>
        </w:rPr>
      </w:pPr>
    </w:p>
    <w:tbl>
      <w:tblPr>
        <w:tblStyle w:val="TableNormal"/>
        <w:tblW w:w="852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35"/>
        <w:gridCol w:w="638"/>
        <w:gridCol w:w="2663"/>
        <w:gridCol w:w="643"/>
        <w:gridCol w:w="3947"/>
      </w:tblGrid>
      <w:tr>
        <w:tblPrEx>
          <w:tblW w:w="852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35"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序号</w:t>
            </w:r>
          </w:p>
        </w:tc>
        <w:tc>
          <w:tcPr>
            <w:tcW w:w="3944"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评分项</w:t>
            </w:r>
          </w:p>
        </w:tc>
        <w:tc>
          <w:tcPr>
            <w:tcW w:w="3947"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权重(%)</w:t>
            </w:r>
          </w:p>
        </w:tc>
      </w:tr>
      <w:tr>
        <w:tblPrEx>
          <w:tblW w:w="8526" w:type="dxa"/>
          <w:jc w:val="center"/>
          <w:tblLayout w:type="fixed"/>
          <w:tblCellMar>
            <w:top w:w="20" w:type="dxa"/>
            <w:left w:w="108" w:type="dxa"/>
            <w:bottom w:w="20" w:type="dxa"/>
            <w:right w:w="108" w:type="dxa"/>
          </w:tblCellMar>
        </w:tblPrEx>
        <w:trPr>
          <w:jc w:val="center"/>
        </w:trPr>
        <w:tc>
          <w:tcPr>
            <w:tcW w:w="6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b/>
                <w:bCs/>
                <w:color w:val="0000FF"/>
              </w:rPr>
              <w:t>1</w:t>
            </w:r>
          </w:p>
        </w:tc>
        <w:tc>
          <w:tcPr>
            <w:tcW w:w="3944" w:type="dxa"/>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b/>
                <w:bCs/>
                <w:color w:val="0000FF"/>
              </w:rPr>
              <w:t>价格</w:t>
            </w:r>
          </w:p>
        </w:tc>
        <w:tc>
          <w:tcPr>
            <w:tcW w:w="3947"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rFonts w:hint="eastAsia"/>
                <w:b/>
                <w:bCs/>
                <w:color w:val="0000FF"/>
              </w:rPr>
              <w:t>1</w:t>
            </w:r>
            <w:r>
              <w:rPr>
                <w:b/>
                <w:bCs/>
                <w:color w:val="0000FF"/>
              </w:rPr>
              <w:t>0</w:t>
            </w:r>
          </w:p>
        </w:tc>
      </w:tr>
      <w:tr>
        <w:tblPrEx>
          <w:tblW w:w="8526" w:type="dxa"/>
          <w:jc w:val="center"/>
          <w:tblLayout w:type="fixed"/>
          <w:tblCellMar>
            <w:top w:w="20" w:type="dxa"/>
            <w:left w:w="108" w:type="dxa"/>
            <w:bottom w:w="20" w:type="dxa"/>
            <w:right w:w="108" w:type="dxa"/>
          </w:tblCellMar>
        </w:tblPrEx>
        <w:trPr>
          <w:jc w:val="center"/>
        </w:trPr>
        <w:tc>
          <w:tcPr>
            <w:tcW w:w="635" w:type="dxa"/>
            <w:vMerge w:val="restar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b/>
                <w:bCs/>
                <w:color w:val="0000FF"/>
              </w:rPr>
              <w:t>2</w:t>
            </w:r>
          </w:p>
        </w:tc>
        <w:tc>
          <w:tcPr>
            <w:tcW w:w="3944" w:type="dxa"/>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b/>
                <w:bCs/>
                <w:color w:val="0000FF"/>
              </w:rPr>
              <w:t>技术</w:t>
            </w:r>
            <w:r>
              <w:rPr>
                <w:rFonts w:hint="eastAsia"/>
                <w:b/>
                <w:bCs/>
                <w:color w:val="0000FF"/>
              </w:rPr>
              <w:t>部分</w:t>
            </w:r>
          </w:p>
        </w:tc>
        <w:tc>
          <w:tcPr>
            <w:tcW w:w="3947"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rFonts w:ascii="宋体" w:hAnsi="宋体" w:cs="宋体" w:hint="eastAsia"/>
                <w:b/>
                <w:bCs/>
                <w:color w:val="0000FF"/>
                <w:sz w:val="24"/>
              </w:rPr>
              <w:t>66</w:t>
            </w:r>
          </w:p>
        </w:tc>
      </w:tr>
      <w:tr>
        <w:tblPrEx>
          <w:tblW w:w="8526"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b/>
                <w:bCs/>
                <w:color w:val="0000FF"/>
                <w:sz w:val="24"/>
              </w:rPr>
            </w:pPr>
          </w:p>
        </w:tc>
        <w:tc>
          <w:tcPr>
            <w:tcW w:w="63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66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4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394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8526"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638"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1</w:t>
            </w:r>
          </w:p>
        </w:tc>
        <w:tc>
          <w:tcPr>
            <w:tcW w:w="2663" w:type="dxa"/>
            <w:tcBorders>
              <w:top w:val="single" w:sz="8" w:space="0" w:color="000000"/>
              <w:left w:val="single" w:sz="8" w:space="0" w:color="000000"/>
              <w:bottom w:val="single" w:sz="8" w:space="0" w:color="000000"/>
              <w:right w:val="single" w:sz="8" w:space="0" w:color="000000"/>
            </w:tcBorders>
            <w:vAlign w:val="center"/>
          </w:tcPr>
          <w:p>
            <w:pPr>
              <w:adjustRightInd w:val="0"/>
              <w:snapToGrid w:val="0"/>
              <w:jc w:val="center"/>
              <w:outlineLvl w:val="0"/>
              <w:rPr>
                <w:rFonts w:ascii="宋体" w:hAnsi="宋体" w:cs="宋体"/>
                <w:szCs w:val="21"/>
              </w:rPr>
            </w:pPr>
            <w:r>
              <w:rPr>
                <w:rFonts w:ascii="宋体" w:hAnsi="宋体" w:cs="宋体" w:hint="eastAsia"/>
              </w:rPr>
              <w:t>项目实施方案</w:t>
            </w:r>
          </w:p>
        </w:tc>
        <w:tc>
          <w:tcPr>
            <w:tcW w:w="64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eastAsia="zh-CN"/>
              </w:rPr>
            </w:pPr>
            <w:r>
              <w:rPr>
                <w:rFonts w:ascii="宋体" w:hAnsi="宋体" w:cs="宋体"/>
                <w:szCs w:val="21"/>
              </w:rPr>
              <w:t>1</w:t>
            </w:r>
            <w:r>
              <w:rPr>
                <w:rFonts w:ascii="宋体" w:hAnsi="宋体" w:cs="宋体" w:hint="eastAsia"/>
                <w:szCs w:val="21"/>
                <w:lang w:val="en-US" w:eastAsia="zh-CN"/>
              </w:rPr>
              <w:t>5</w:t>
            </w:r>
          </w:p>
        </w:tc>
        <w:tc>
          <w:tcPr>
            <w:tcW w:w="3947" w:type="dxa"/>
            <w:tcBorders>
              <w:top w:val="single" w:sz="8" w:space="0" w:color="000000"/>
              <w:left w:val="single" w:sz="8" w:space="0" w:color="000000"/>
              <w:bottom w:val="single" w:sz="8" w:space="0" w:color="000000"/>
              <w:right w:val="single" w:sz="8" w:space="0" w:color="000000"/>
            </w:tcBorders>
          </w:tcPr>
          <w:p>
            <w:pPr>
              <w:jc w:val="left"/>
              <w:rPr>
                <w:b/>
                <w:bCs/>
              </w:rPr>
            </w:pPr>
            <w:r>
              <w:rPr>
                <w:rFonts w:hint="eastAsia"/>
                <w:b/>
                <w:bCs/>
              </w:rPr>
              <w:t>一、评审内容：</w:t>
            </w:r>
          </w:p>
          <w:p>
            <w:pPr>
              <w:jc w:val="left"/>
              <w:rPr>
                <w:rFonts w:ascii="宋体" w:hAnsi="宋体" w:cs="宋体"/>
              </w:rPr>
            </w:pPr>
            <w:r>
              <w:rPr>
                <w:rFonts w:ascii="宋体" w:hAnsi="宋体" w:cs="宋体" w:hint="eastAsia"/>
              </w:rPr>
              <w:t>针对本项目的服务内容制定实施方案，内容包括：</w:t>
            </w:r>
          </w:p>
          <w:p>
            <w:pPr>
              <w:jc w:val="left"/>
              <w:rPr>
                <w:rFonts w:ascii="宋体" w:hAnsi="宋体" w:cs="宋体"/>
              </w:rPr>
            </w:pPr>
            <w:r>
              <w:rPr>
                <w:rFonts w:ascii="宋体" w:hAnsi="宋体" w:cs="宋体" w:hint="eastAsia"/>
              </w:rPr>
              <w:t>①项目管理方案、</w:t>
            </w:r>
          </w:p>
          <w:p>
            <w:pPr>
              <w:jc w:val="left"/>
              <w:rPr>
                <w:rFonts w:ascii="宋体" w:hAnsi="宋体" w:cs="宋体"/>
              </w:rPr>
            </w:pPr>
            <w:r>
              <w:rPr>
                <w:rFonts w:ascii="宋体" w:hAnsi="宋体" w:cs="宋体" w:hint="eastAsia"/>
              </w:rPr>
              <w:t>②人员派驻方案、</w:t>
            </w:r>
          </w:p>
          <w:p>
            <w:pPr>
              <w:jc w:val="left"/>
              <w:rPr>
                <w:rFonts w:ascii="宋体" w:hAnsi="宋体" w:cs="宋体"/>
              </w:rPr>
            </w:pPr>
            <w:r>
              <w:rPr>
                <w:rFonts w:ascii="宋体" w:hAnsi="宋体" w:cs="宋体" w:hint="eastAsia"/>
              </w:rPr>
              <w:t>③服务响应时间、</w:t>
            </w:r>
          </w:p>
          <w:p>
            <w:pPr>
              <w:jc w:val="left"/>
              <w:rPr>
                <w:rFonts w:ascii="宋体" w:hAnsi="宋体" w:cs="宋体"/>
              </w:rPr>
            </w:pPr>
            <w:r>
              <w:rPr>
                <w:rFonts w:ascii="宋体" w:hAnsi="宋体" w:cs="宋体" w:hint="eastAsia"/>
              </w:rPr>
              <w:t>④根据项目背景提供工作思路</w:t>
            </w:r>
          </w:p>
          <w:p>
            <w:pPr>
              <w:jc w:val="left"/>
              <w:rPr>
                <w:rFonts w:ascii="宋体" w:hAnsi="宋体" w:cs="宋体"/>
              </w:rPr>
            </w:pPr>
            <w:r>
              <w:rPr>
                <w:rFonts w:ascii="宋体" w:hAnsi="宋体" w:cs="宋体" w:hint="eastAsia"/>
              </w:rPr>
              <w:t xml:space="preserve">⑤项目实施计划。 </w:t>
            </w:r>
          </w:p>
          <w:p>
            <w:pPr>
              <w:jc w:val="left"/>
              <w:rPr>
                <w:rFonts w:ascii="宋体" w:hAnsi="宋体" w:cs="宋体"/>
              </w:rPr>
            </w:pPr>
            <w:r>
              <w:rPr>
                <w:rFonts w:ascii="宋体" w:hAnsi="宋体" w:cs="宋体" w:hint="eastAsia"/>
              </w:rPr>
              <w:t>1.满足以上5项得7</w:t>
            </w:r>
            <w:r>
              <w:rPr>
                <w:rFonts w:ascii="宋体" w:hAnsi="宋体" w:cs="宋体"/>
              </w:rPr>
              <w:t>0</w:t>
            </w:r>
            <w:r>
              <w:rPr>
                <w:rFonts w:ascii="宋体" w:hAnsi="宋体" w:cs="宋体" w:hint="eastAsia"/>
              </w:rPr>
              <w:t>分，满足</w:t>
            </w:r>
            <w:r>
              <w:rPr>
                <w:rFonts w:ascii="宋体" w:hAnsi="宋体" w:cs="宋体"/>
              </w:rPr>
              <w:t>4</w:t>
            </w:r>
            <w:r>
              <w:rPr>
                <w:rFonts w:ascii="宋体" w:hAnsi="宋体" w:cs="宋体" w:hint="eastAsia"/>
              </w:rPr>
              <w:t>项得</w:t>
            </w:r>
            <w:r>
              <w:rPr>
                <w:rFonts w:ascii="宋体" w:hAnsi="宋体" w:cs="宋体"/>
              </w:rPr>
              <w:t>50</w:t>
            </w:r>
            <w:r>
              <w:rPr>
                <w:rFonts w:ascii="宋体" w:hAnsi="宋体" w:cs="宋体" w:hint="eastAsia"/>
              </w:rPr>
              <w:t>分，满足</w:t>
            </w:r>
            <w:r>
              <w:rPr>
                <w:rFonts w:ascii="宋体" w:hAnsi="宋体" w:cs="宋体"/>
              </w:rPr>
              <w:t>3</w:t>
            </w:r>
            <w:r>
              <w:rPr>
                <w:rFonts w:ascii="宋体" w:hAnsi="宋体" w:cs="宋体" w:hint="eastAsia"/>
              </w:rPr>
              <w:t>项得</w:t>
            </w:r>
            <w:r>
              <w:rPr>
                <w:rFonts w:ascii="宋体" w:hAnsi="宋体" w:cs="宋体"/>
              </w:rPr>
              <w:t>35</w:t>
            </w:r>
            <w:r>
              <w:rPr>
                <w:rFonts w:ascii="宋体" w:hAnsi="宋体" w:cs="宋体" w:hint="eastAsia"/>
              </w:rPr>
              <w:t>分，满足</w:t>
            </w:r>
            <w:r>
              <w:rPr>
                <w:rFonts w:ascii="宋体" w:hAnsi="宋体" w:cs="宋体"/>
              </w:rPr>
              <w:t>2</w:t>
            </w:r>
            <w:r>
              <w:rPr>
                <w:rFonts w:ascii="宋体" w:hAnsi="宋体" w:cs="宋体" w:hint="eastAsia"/>
              </w:rPr>
              <w:t>项要求2</w:t>
            </w:r>
            <w:r>
              <w:rPr>
                <w:rFonts w:ascii="宋体" w:hAnsi="宋体" w:cs="宋体"/>
              </w:rPr>
              <w:t>0</w:t>
            </w:r>
            <w:r>
              <w:rPr>
                <w:rFonts w:ascii="宋体" w:hAnsi="宋体" w:cs="宋体" w:hint="eastAsia"/>
              </w:rPr>
              <w:t>分。满足任意1项1</w:t>
            </w:r>
            <w:r>
              <w:rPr>
                <w:rFonts w:ascii="宋体" w:hAnsi="宋体" w:cs="宋体"/>
              </w:rPr>
              <w:t>0</w:t>
            </w:r>
            <w:r>
              <w:rPr>
                <w:rFonts w:ascii="宋体" w:hAnsi="宋体" w:cs="宋体" w:hint="eastAsia"/>
              </w:rPr>
              <w:t>分。</w:t>
            </w:r>
          </w:p>
          <w:p>
            <w:pPr>
              <w:jc w:val="left"/>
              <w:rPr>
                <w:rFonts w:ascii="宋体" w:hAnsi="宋体" w:cs="宋体" w:hint="eastAsia"/>
              </w:rPr>
            </w:pPr>
            <w:r>
              <w:rPr>
                <w:rFonts w:ascii="宋体" w:hAnsi="宋体" w:cs="宋体" w:hint="eastAsia"/>
                <w:lang w:val="en-US" w:eastAsia="zh-CN"/>
              </w:rPr>
              <w:t>2.</w:t>
            </w:r>
            <w:r>
              <w:rPr>
                <w:rFonts w:ascii="宋体" w:hAnsi="宋体" w:cs="宋体" w:hint="eastAsia"/>
              </w:rPr>
              <w:t>在此基础上，专家根据各供应商的具体响应内容按照量化的评审因素指标进一步评审：</w:t>
            </w:r>
          </w:p>
          <w:p>
            <w:pPr>
              <w:jc w:val="left"/>
              <w:rPr>
                <w:rFonts w:ascii="宋体" w:hAnsi="宋体" w:cs="宋体" w:hint="eastAsia"/>
              </w:rPr>
            </w:pPr>
            <w:r>
              <w:rPr>
                <w:rFonts w:ascii="宋体" w:hAnsi="宋体" w:cs="宋体" w:hint="eastAsia"/>
              </w:rPr>
              <w:t>优评分标准：方案符合实际、完整、规范、思路清晰，内容合理性强。</w:t>
            </w:r>
          </w:p>
          <w:p>
            <w:pPr>
              <w:jc w:val="left"/>
              <w:rPr>
                <w:rFonts w:ascii="宋体" w:hAnsi="宋体" w:cs="宋体" w:hint="eastAsia"/>
              </w:rPr>
            </w:pPr>
            <w:r>
              <w:rPr>
                <w:rFonts w:ascii="宋体" w:hAnsi="宋体" w:cs="宋体" w:hint="eastAsia"/>
              </w:rPr>
              <w:t>良评分标准：方案较符合实际、较完整规范、思路较清晰，内容合理性较强。</w:t>
            </w:r>
          </w:p>
          <w:p>
            <w:pPr>
              <w:jc w:val="left"/>
              <w:rPr>
                <w:rFonts w:ascii="宋体" w:hAnsi="宋体" w:cs="宋体" w:hint="eastAsia"/>
              </w:rPr>
            </w:pPr>
            <w:r>
              <w:rPr>
                <w:rFonts w:ascii="宋体" w:hAnsi="宋体" w:cs="宋体" w:hint="eastAsia"/>
              </w:rPr>
              <w:t>中评分标准：方案较普通、完整性、规范性一般，思路不够清晰，内容合理性一般。</w:t>
            </w:r>
          </w:p>
          <w:p>
            <w:pPr>
              <w:jc w:val="left"/>
              <w:rPr>
                <w:rFonts w:ascii="宋体" w:hAnsi="宋体" w:cs="宋体" w:hint="eastAsia"/>
              </w:rPr>
            </w:pPr>
            <w:r>
              <w:rPr>
                <w:rFonts w:ascii="宋体" w:hAnsi="宋体" w:cs="宋体" w:hint="eastAsia"/>
              </w:rPr>
              <w:t>差评分标准：方案不完整、不规范，思路不清晰，内容合理性较差或未提供。</w:t>
            </w:r>
          </w:p>
          <w:p>
            <w:pPr>
              <w:jc w:val="left"/>
              <w:rPr>
                <w:rFonts w:ascii="宋体" w:eastAsia="宋体" w:hAnsi="宋体" w:cs="宋体" w:hint="eastAsia"/>
                <w:lang w:val="en-US" w:eastAsia="zh-CN"/>
              </w:rPr>
            </w:pPr>
            <w:r>
              <w:rPr>
                <w:rFonts w:ascii="宋体" w:hAnsi="宋体" w:cs="宋体" w:hint="eastAsia"/>
              </w:rPr>
              <w:t>评价为优</w:t>
            </w:r>
            <w:r>
              <w:rPr>
                <w:rFonts w:ascii="宋体" w:hAnsi="宋体" w:cs="宋体" w:hint="eastAsia"/>
                <w:lang w:val="en-US" w:eastAsia="zh-CN"/>
              </w:rPr>
              <w:t>加</w:t>
            </w:r>
            <w:r>
              <w:rPr>
                <w:rFonts w:ascii="宋体" w:hAnsi="宋体" w:cs="宋体"/>
              </w:rPr>
              <w:t>3</w:t>
            </w:r>
            <w:r>
              <w:rPr>
                <w:rFonts w:ascii="宋体" w:hAnsi="宋体" w:cs="宋体" w:hint="eastAsia"/>
              </w:rPr>
              <w:t>0分；评价为良</w:t>
            </w:r>
            <w:r>
              <w:rPr>
                <w:rFonts w:ascii="宋体" w:hAnsi="宋体" w:cs="宋体" w:hint="eastAsia"/>
                <w:lang w:val="en-US" w:eastAsia="zh-CN"/>
              </w:rPr>
              <w:t>加</w:t>
            </w:r>
            <w:r>
              <w:rPr>
                <w:rFonts w:ascii="宋体" w:hAnsi="宋体" w:cs="宋体"/>
              </w:rPr>
              <w:t>20</w:t>
            </w:r>
            <w:r>
              <w:rPr>
                <w:rFonts w:ascii="宋体" w:hAnsi="宋体" w:cs="宋体" w:hint="eastAsia"/>
              </w:rPr>
              <w:t>分；评价为中</w:t>
            </w:r>
            <w:r>
              <w:rPr>
                <w:rFonts w:ascii="宋体" w:hAnsi="宋体" w:cs="宋体" w:hint="eastAsia"/>
                <w:lang w:val="en-US" w:eastAsia="zh-CN"/>
              </w:rPr>
              <w:t>加</w:t>
            </w:r>
            <w:r>
              <w:rPr>
                <w:rFonts w:ascii="宋体" w:hAnsi="宋体" w:cs="宋体" w:hint="eastAsia"/>
              </w:rPr>
              <w:t>10分；评价为差不得分</w:t>
            </w:r>
            <w:r>
              <w:rPr>
                <w:rFonts w:ascii="宋体" w:hAnsi="宋体" w:cs="宋体" w:hint="eastAsia"/>
                <w:lang w:eastAsia="zh-CN"/>
              </w:rPr>
              <w:t>。</w:t>
            </w:r>
          </w:p>
          <w:p>
            <w:pPr>
              <w:jc w:val="left"/>
              <w:rPr>
                <w:rFonts w:ascii="宋体" w:hAnsi="宋体" w:cs="宋体"/>
                <w:b/>
                <w:bCs/>
              </w:rPr>
            </w:pPr>
            <w:r>
              <w:rPr>
                <w:rFonts w:ascii="宋体" w:hAnsi="宋体" w:cs="宋体" w:hint="eastAsia"/>
                <w:b/>
                <w:bCs/>
              </w:rPr>
              <w:t>二、评分依据：</w:t>
            </w:r>
          </w:p>
          <w:p>
            <w:pPr>
              <w:wordWrap w:val="0"/>
              <w:rPr>
                <w:rFonts w:ascii="宋体" w:hAnsi="宋体" w:cs="宋体"/>
                <w:szCs w:val="21"/>
              </w:rPr>
            </w:pPr>
            <w:r>
              <w:rPr>
                <w:rFonts w:ascii="宋体" w:hAnsi="宋体" w:cs="宋体" w:hint="eastAsia"/>
              </w:rPr>
              <w:t>根据投标人的项目实施方案进行打分。</w:t>
            </w:r>
          </w:p>
        </w:tc>
      </w:tr>
      <w:tr>
        <w:tblPrEx>
          <w:tblW w:w="8526"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638"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2</w:t>
            </w:r>
          </w:p>
        </w:tc>
        <w:tc>
          <w:tcPr>
            <w:tcW w:w="266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项目重点难点分析、应对措施及相关的合理化建议</w:t>
            </w:r>
          </w:p>
        </w:tc>
        <w:tc>
          <w:tcPr>
            <w:tcW w:w="64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default"/>
                <w:szCs w:val="21"/>
                <w:lang w:val="en-US" w:eastAsia="zh-CN"/>
              </w:rPr>
            </w:pPr>
            <w:r>
              <w:rPr>
                <w:rFonts w:ascii="宋体" w:hAnsi="宋体" w:cs="宋体" w:hint="eastAsia"/>
                <w:szCs w:val="21"/>
                <w:lang w:val="en-US" w:eastAsia="zh-CN"/>
              </w:rPr>
              <w:t>10</w:t>
            </w:r>
          </w:p>
        </w:tc>
        <w:tc>
          <w:tcPr>
            <w:tcW w:w="3947" w:type="dxa"/>
            <w:tcBorders>
              <w:top w:val="single" w:sz="8" w:space="0" w:color="000000"/>
              <w:left w:val="single" w:sz="8" w:space="0" w:color="000000"/>
              <w:bottom w:val="single" w:sz="8" w:space="0" w:color="000000"/>
              <w:right w:val="single" w:sz="8" w:space="0" w:color="000000"/>
            </w:tcBorders>
          </w:tcPr>
          <w:p>
            <w:pPr>
              <w:jc w:val="left"/>
              <w:rPr>
                <w:b/>
                <w:bCs/>
              </w:rPr>
            </w:pPr>
            <w:r>
              <w:rPr>
                <w:rFonts w:hint="eastAsia"/>
                <w:b/>
                <w:bCs/>
              </w:rPr>
              <w:t>一、评审内容：</w:t>
            </w:r>
          </w:p>
          <w:p>
            <w:pPr>
              <w:adjustRightInd w:val="0"/>
              <w:snapToGrid w:val="0"/>
              <w:jc w:val="left"/>
              <w:outlineLvl w:val="0"/>
            </w:pPr>
            <w:r>
              <w:rPr>
                <w:rFonts w:hint="eastAsia"/>
              </w:rPr>
              <w:t>根据项目内容分析本项目的重难点、并提出应对措施以及相关合理化建议等。包括下述内容：</w:t>
            </w:r>
          </w:p>
          <w:p>
            <w:pPr>
              <w:adjustRightInd w:val="0"/>
              <w:snapToGrid w:val="0"/>
              <w:jc w:val="left"/>
              <w:outlineLvl w:val="0"/>
            </w:pPr>
            <w:r>
              <w:rPr>
                <w:rFonts w:hint="eastAsia"/>
              </w:rPr>
              <w:t>①项目重点难点分析；</w:t>
            </w:r>
          </w:p>
          <w:p>
            <w:pPr>
              <w:adjustRightInd w:val="0"/>
              <w:snapToGrid w:val="0"/>
              <w:jc w:val="left"/>
              <w:outlineLvl w:val="0"/>
            </w:pPr>
            <w:r>
              <w:rPr>
                <w:rFonts w:hint="eastAsia"/>
              </w:rPr>
              <w:t>②应对措施；</w:t>
            </w:r>
          </w:p>
          <w:p>
            <w:pPr>
              <w:adjustRightInd w:val="0"/>
              <w:snapToGrid w:val="0"/>
              <w:jc w:val="left"/>
              <w:outlineLvl w:val="0"/>
            </w:pPr>
            <w:r>
              <w:rPr>
                <w:rFonts w:hint="eastAsia"/>
              </w:rPr>
              <w:t>③相关的合理化建议。</w:t>
            </w:r>
          </w:p>
          <w:p>
            <w:pPr>
              <w:jc w:val="left"/>
            </w:pPr>
            <w:r>
              <w:rPr>
                <w:rFonts w:hint="eastAsia"/>
              </w:rPr>
              <w:t>1.满足以上三项要求得70分，满足以上任意二项要求得40分，满足以上任意一项要求得10分，其他不得分。</w:t>
            </w:r>
          </w:p>
          <w:p>
            <w:r>
              <w:rPr>
                <w:rFonts w:hint="eastAsia"/>
                <w:lang w:val="en-US" w:eastAsia="zh-CN"/>
              </w:rPr>
              <w:t>2.</w:t>
            </w:r>
            <w:r>
              <w:rPr>
                <w:rFonts w:hint="eastAsia"/>
              </w:rPr>
              <w:t>在此基础上，专家根据各供应商的具体响应内容按照量化的评审因素指标进一步评审：</w:t>
            </w:r>
          </w:p>
          <w:p>
            <w:r>
              <w:rPr>
                <w:rFonts w:hint="eastAsia"/>
              </w:rPr>
              <w:t>优评分标准：方案符合实际、完整、规范、思路清晰，内容合理性强。</w:t>
            </w:r>
          </w:p>
          <w:p>
            <w:r>
              <w:rPr>
                <w:rFonts w:hint="eastAsia"/>
              </w:rPr>
              <w:t>良评分标准：方案较符合实际、较完整规范、思路较清晰，内容合理性较强。</w:t>
            </w:r>
          </w:p>
          <w:p>
            <w:r>
              <w:rPr>
                <w:rFonts w:hint="eastAsia"/>
              </w:rPr>
              <w:t>中评分标准：方案较普通、完整性、规范性一般，思路不够清晰，内容合理性一般。</w:t>
            </w:r>
          </w:p>
          <w:p>
            <w:r>
              <w:rPr>
                <w:rFonts w:hint="eastAsia"/>
              </w:rPr>
              <w:t>差评分标准：方案不完整、不规范，思路不清晰，内容合理性较差或未提供。</w:t>
            </w:r>
          </w:p>
          <w:p>
            <w:pPr>
              <w:rPr>
                <w:rFonts w:hint="eastAsia"/>
              </w:rPr>
            </w:pPr>
            <w:r>
              <w:rPr>
                <w:rFonts w:hint="eastAsia"/>
              </w:rPr>
              <w:t>评价为优</w:t>
            </w:r>
            <w:r>
              <w:rPr>
                <w:rFonts w:hint="eastAsia"/>
                <w:lang w:val="en-US" w:eastAsia="zh-CN"/>
              </w:rPr>
              <w:t>加</w:t>
            </w:r>
            <w:r>
              <w:t>3</w:t>
            </w:r>
            <w:r>
              <w:rPr>
                <w:rFonts w:hint="eastAsia"/>
              </w:rPr>
              <w:t>0分；评价为良</w:t>
            </w:r>
            <w:r>
              <w:rPr>
                <w:rFonts w:ascii="Times New Roman" w:eastAsia="宋体" w:hint="eastAsia"/>
                <w:lang w:val="en-US" w:eastAsia="zh-CN"/>
              </w:rPr>
              <w:t>加</w:t>
            </w:r>
            <w:r>
              <w:t>20</w:t>
            </w:r>
            <w:r>
              <w:rPr>
                <w:rFonts w:hint="eastAsia"/>
              </w:rPr>
              <w:t>分；评价为中</w:t>
            </w:r>
            <w:r>
              <w:rPr>
                <w:rFonts w:ascii="Times New Roman" w:eastAsia="宋体" w:hint="eastAsia"/>
                <w:lang w:val="en-US" w:eastAsia="zh-CN"/>
              </w:rPr>
              <w:t>加</w:t>
            </w:r>
            <w:r>
              <w:t>1</w:t>
            </w:r>
            <w:r>
              <w:rPr>
                <w:rFonts w:hint="eastAsia"/>
              </w:rPr>
              <w:t>0分；评价为差不得分。</w:t>
            </w:r>
          </w:p>
          <w:p>
            <w:pPr>
              <w:rPr>
                <w:b/>
                <w:bCs/>
              </w:rPr>
            </w:pPr>
            <w:r>
              <w:rPr>
                <w:rFonts w:hint="eastAsia"/>
                <w:b/>
                <w:bCs/>
              </w:rPr>
              <w:t>二、评分依据：</w:t>
            </w:r>
          </w:p>
          <w:p>
            <w:r>
              <w:rPr>
                <w:rFonts w:hint="eastAsia"/>
              </w:rPr>
              <w:t>根据投标人的</w:t>
            </w:r>
            <w:r>
              <w:rPr>
                <w:rFonts w:ascii="宋体" w:hAnsi="宋体" w:cs="宋体" w:hint="eastAsia"/>
                <w:szCs w:val="21"/>
              </w:rPr>
              <w:t>项目重点难点分析、应对措施及相关的合理化建议</w:t>
            </w:r>
            <w:r>
              <w:rPr>
                <w:rFonts w:hint="eastAsia"/>
              </w:rPr>
              <w:t>进行打分。</w:t>
            </w:r>
          </w:p>
        </w:tc>
      </w:tr>
      <w:tr>
        <w:tblPrEx>
          <w:tblW w:w="8526"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638"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3</w:t>
            </w:r>
          </w:p>
        </w:tc>
        <w:tc>
          <w:tcPr>
            <w:tcW w:w="2663" w:type="dxa"/>
            <w:tcBorders>
              <w:top w:val="single" w:sz="8" w:space="0" w:color="000000"/>
              <w:left w:val="single" w:sz="8" w:space="0" w:color="000000"/>
              <w:bottom w:val="single" w:sz="8" w:space="0" w:color="000000"/>
              <w:right w:val="single" w:sz="8" w:space="0" w:color="000000"/>
            </w:tcBorders>
            <w:vAlign w:val="center"/>
          </w:tcPr>
          <w:p>
            <w:pPr>
              <w:jc w:val="center"/>
              <w:rPr>
                <w:rFonts w:hint="eastAsia"/>
              </w:rPr>
            </w:pPr>
            <w:r>
              <w:rPr>
                <w:rFonts w:hint="eastAsia"/>
              </w:rPr>
              <w:t>项目负责人（仅限一人）</w:t>
            </w:r>
          </w:p>
          <w:p>
            <w:pPr>
              <w:wordWrap w:val="0"/>
              <w:jc w:val="center"/>
              <w:rPr>
                <w:rFonts w:ascii="宋体" w:hAnsi="宋体" w:cs="宋体" w:hint="eastAsia"/>
                <w:szCs w:val="21"/>
              </w:rPr>
            </w:pPr>
            <w:r>
              <w:rPr>
                <w:rFonts w:hint="eastAsia"/>
              </w:rPr>
              <w:t>情况</w:t>
            </w:r>
          </w:p>
        </w:tc>
        <w:tc>
          <w:tcPr>
            <w:tcW w:w="64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default"/>
                <w:szCs w:val="21"/>
                <w:lang w:val="en-US" w:eastAsia="zh-CN"/>
              </w:rPr>
            </w:pPr>
            <w:r>
              <w:rPr>
                <w:rFonts w:ascii="宋体" w:hAnsi="宋体" w:cs="宋体" w:hint="eastAsia"/>
                <w:szCs w:val="21"/>
                <w:lang w:val="en-US" w:eastAsia="zh-CN"/>
              </w:rPr>
              <w:t>15</w:t>
            </w:r>
          </w:p>
        </w:tc>
        <w:tc>
          <w:tcPr>
            <w:tcW w:w="3947" w:type="dxa"/>
            <w:tcBorders>
              <w:top w:val="single" w:sz="8" w:space="0" w:color="000000"/>
              <w:left w:val="single" w:sz="8" w:space="0" w:color="000000"/>
              <w:bottom w:val="single" w:sz="8" w:space="0" w:color="000000"/>
              <w:right w:val="single" w:sz="8" w:space="0" w:color="000000"/>
            </w:tcBorders>
          </w:tcPr>
          <w:p>
            <w:pPr>
              <w:jc w:val="left"/>
              <w:rPr>
                <w:b/>
                <w:bCs/>
              </w:rPr>
            </w:pPr>
            <w:r>
              <w:rPr>
                <w:rFonts w:hint="eastAsia"/>
                <w:b/>
                <w:bCs/>
              </w:rPr>
              <w:t>一、评审内容：</w:t>
            </w:r>
          </w:p>
          <w:p>
            <w:pPr>
              <w:jc w:val="left"/>
              <w:rPr>
                <w:rFonts w:ascii="宋体" w:hAnsi="宋体"/>
                <w:szCs w:val="21"/>
              </w:rPr>
            </w:pPr>
            <w:r>
              <w:rPr>
                <w:rFonts w:ascii="宋体" w:hAnsi="宋体" w:hint="eastAsia"/>
                <w:szCs w:val="21"/>
              </w:rPr>
              <w:t>拟安排本项目负责人为投标人在职员工（提供社保证明）的基础上，按以下标准评分：</w:t>
            </w:r>
          </w:p>
          <w:p>
            <w:pPr>
              <w:jc w:val="left"/>
            </w:pPr>
            <w:r>
              <w:rPr>
                <w:rFonts w:hint="eastAsia"/>
              </w:rPr>
              <w:t>1、具有研究生学历，得1</w:t>
            </w:r>
            <w:r>
              <w:t>0</w:t>
            </w:r>
            <w:r>
              <w:rPr>
                <w:rFonts w:hint="eastAsia"/>
              </w:rPr>
              <w:t>分；</w:t>
            </w:r>
          </w:p>
          <w:p>
            <w:pPr>
              <w:jc w:val="left"/>
            </w:pPr>
            <w:r>
              <w:rPr>
                <w:rFonts w:hint="eastAsia"/>
              </w:rPr>
              <w:t>2、具有人社部门</w:t>
            </w:r>
            <w:r>
              <w:rPr>
                <w:rFonts w:hint="eastAsia"/>
                <w:lang w:eastAsia="zh-CN"/>
              </w:rPr>
              <w:t>（</w:t>
            </w:r>
            <w:r>
              <w:rPr>
                <w:rFonts w:hint="eastAsia"/>
              </w:rPr>
              <w:t>或央企或高校</w:t>
            </w:r>
            <w:r>
              <w:rPr>
                <w:rFonts w:hint="eastAsia"/>
                <w:lang w:eastAsia="zh-CN"/>
              </w:rPr>
              <w:t>）</w:t>
            </w:r>
            <w:r>
              <w:rPr>
                <w:rFonts w:hint="eastAsia"/>
              </w:rPr>
              <w:t>评定的计算机专业或信息管理专业副高级或以上职称证书得</w:t>
            </w:r>
            <w:r>
              <w:t>10</w:t>
            </w:r>
            <w:r>
              <w:rPr>
                <w:rFonts w:hint="eastAsia"/>
              </w:rPr>
              <w:t>分；</w:t>
            </w:r>
          </w:p>
          <w:p>
            <w:pPr>
              <w:jc w:val="left"/>
            </w:pPr>
            <w:r>
              <w:rPr>
                <w:rFonts w:hint="eastAsia"/>
              </w:rPr>
              <w:t>3、具有互联互通测评评审经验的，提供1</w:t>
            </w:r>
            <w:r>
              <w:t>0</w:t>
            </w:r>
            <w:r>
              <w:rPr>
                <w:rFonts w:hint="eastAsia"/>
              </w:rPr>
              <w:t>家或以上医院的互联互通测评评定记录，得6</w:t>
            </w:r>
            <w:r>
              <w:t>0</w:t>
            </w:r>
            <w:r>
              <w:rPr>
                <w:rFonts w:hint="eastAsia"/>
              </w:rPr>
              <w:t>分；</w:t>
            </w:r>
          </w:p>
          <w:p>
            <w:pPr>
              <w:jc w:val="left"/>
              <w:rPr>
                <w:rFonts w:hint="eastAsia"/>
              </w:rPr>
            </w:pPr>
            <w:r>
              <w:rPr>
                <w:rFonts w:hint="eastAsia"/>
              </w:rPr>
              <w:t>4、每提供一份具有卫生信息行业标准编制经验得1</w:t>
            </w:r>
            <w:r>
              <w:t>0</w:t>
            </w:r>
            <w:r>
              <w:rPr>
                <w:rFonts w:hint="eastAsia"/>
              </w:rPr>
              <w:t>分，最高得</w:t>
            </w:r>
            <w:r>
              <w:t>2</w:t>
            </w:r>
            <w:r>
              <w:rPr>
                <w:rFonts w:hint="eastAsia"/>
              </w:rPr>
              <w:t>0分。</w:t>
            </w:r>
          </w:p>
          <w:p>
            <w:pPr>
              <w:rPr>
                <w:rFonts w:hint="default"/>
                <w:lang w:val="en-US" w:eastAsia="zh-CN"/>
              </w:rPr>
            </w:pPr>
            <w:r>
              <w:rPr>
                <w:rFonts w:hint="eastAsia"/>
                <w:lang w:val="en-US" w:eastAsia="zh-CN"/>
              </w:rPr>
              <w:t>以上1-4项累计得分，最高得100分。</w:t>
            </w:r>
          </w:p>
          <w:p>
            <w:pPr>
              <w:rPr>
                <w:b/>
                <w:bCs/>
              </w:rPr>
            </w:pPr>
            <w:r>
              <w:rPr>
                <w:rFonts w:hint="eastAsia"/>
                <w:b/>
                <w:bCs/>
              </w:rPr>
              <w:t>二、评分依据：</w:t>
            </w:r>
          </w:p>
          <w:p>
            <w:pPr>
              <w:jc w:val="left"/>
            </w:pPr>
            <w:r>
              <w:t>1</w:t>
            </w:r>
            <w:r>
              <w:rPr>
                <w:rFonts w:hint="eastAsia"/>
              </w:rPr>
              <w:t>、社保：提供投标截止日前近3个月投标人为其购买的社保证明，如开标日上一个月的社保材料因社保部门原因暂时无法取得，则可以往前顺延一个月；如供应商为新成立企业且成立时间不足三个月可提供情况说明或证明材料亦视为符合。</w:t>
            </w:r>
          </w:p>
          <w:p>
            <w:pPr>
              <w:jc w:val="left"/>
              <w:rPr>
                <w:rFonts w:ascii="宋体" w:hAnsi="宋体"/>
                <w:szCs w:val="21"/>
              </w:rPr>
            </w:pPr>
            <w:r>
              <w:rPr>
                <w:rFonts w:ascii="宋体" w:hAnsi="宋体" w:hint="eastAsia"/>
                <w:szCs w:val="21"/>
              </w:rPr>
              <w:t>2、学历：提供学历证书扫描件还需同时提供学信网查询记录，对于较早颁发的学历学位证书，学信网无法查询的，除提供证书扫描件、注明原件备查外，可提供其他佐证材料（如毕业院校、人社部门等颁发机构或监管机构等单位出具的证明）作为得分依据；留学归国人员如无法提供学信网查询记录截图，提供国（境）外学历证书扫描件（以及中文翻译件）和教育部留学服务中心出具的国外学历认证书扫描件【或教育部留学服务中心网站（http://zwfw.cscse.edu.cn/）在线查询截图】也予以认可。</w:t>
            </w:r>
          </w:p>
          <w:p>
            <w:pPr>
              <w:jc w:val="left"/>
              <w:rPr>
                <w:rFonts w:ascii="宋体" w:hAnsi="宋体"/>
                <w:szCs w:val="21"/>
              </w:rPr>
            </w:pPr>
            <w:r>
              <w:rPr>
                <w:rFonts w:ascii="宋体" w:hAnsi="宋体" w:hint="eastAsia"/>
                <w:szCs w:val="21"/>
              </w:rPr>
              <w:t>3、</w:t>
            </w:r>
            <w:r>
              <w:rPr>
                <w:rFonts w:hint="eastAsia"/>
              </w:rPr>
              <w:t>职称证书：</w:t>
            </w:r>
            <w:r>
              <w:rPr>
                <w:rFonts w:ascii="宋体" w:hAnsi="宋体" w:hint="eastAsia"/>
                <w:szCs w:val="21"/>
              </w:rPr>
              <w:t>提供证书扫描件。</w:t>
            </w:r>
          </w:p>
          <w:p>
            <w:pPr>
              <w:jc w:val="left"/>
              <w:rPr>
                <w:rFonts w:ascii="Calibri" w:hAnsi="Calibri"/>
                <w:szCs w:val="22"/>
              </w:rPr>
            </w:pPr>
            <w:r>
              <w:rPr>
                <w:rFonts w:ascii="宋体" w:hAnsi="宋体" w:hint="eastAsia"/>
                <w:szCs w:val="21"/>
              </w:rPr>
              <w:t>4、</w:t>
            </w:r>
            <w:r>
              <w:rPr>
                <w:rFonts w:hint="eastAsia"/>
              </w:rPr>
              <w:t>评定记录：</w:t>
            </w:r>
            <w:r>
              <w:rPr>
                <w:rFonts w:ascii="Calibri" w:hAnsi="Calibri" w:hint="eastAsia"/>
                <w:szCs w:val="22"/>
              </w:rPr>
              <w:t>提供中国国家医疗健康信息互联互通标准化成熟度测评系统公布的有拟安排项目负责人作为评测专家的相关截图证明。</w:t>
            </w:r>
          </w:p>
          <w:p>
            <w:pPr>
              <w:wordWrap w:val="0"/>
            </w:pPr>
            <w:r>
              <w:rPr>
                <w:rFonts w:hint="eastAsia"/>
              </w:rPr>
              <w:t>5、编制经验：</w:t>
            </w:r>
            <w:r>
              <w:rPr>
                <w:rFonts w:hint="eastAsia"/>
                <w:color w:val="000000"/>
              </w:rPr>
              <w:t>提供正式发布行业标准中前言起草人员名单证明。</w:t>
            </w:r>
          </w:p>
          <w:p>
            <w:pPr>
              <w:rPr>
                <w:rFonts w:hint="eastAsia"/>
              </w:rPr>
            </w:pPr>
            <w:r>
              <w:rPr>
                <w:rFonts w:hint="eastAsia"/>
              </w:rPr>
              <w:t>6、评分中出现无证明资料或专家无法凭所提供资料判断是否得分的情况，一律作不得分处理。</w:t>
            </w:r>
          </w:p>
        </w:tc>
      </w:tr>
      <w:tr>
        <w:tblPrEx>
          <w:tblW w:w="8526"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638"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4</w:t>
            </w:r>
          </w:p>
        </w:tc>
        <w:tc>
          <w:tcPr>
            <w:tcW w:w="266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hint="eastAsia"/>
              </w:rPr>
            </w:pPr>
            <w:r>
              <w:rPr>
                <w:rFonts w:ascii="宋体" w:hAnsi="宋体" w:hint="eastAsia"/>
                <w:szCs w:val="21"/>
              </w:rPr>
              <w:t>拟安排的项目主要团队成员（主要技术人员）情况（项目负责人除外）</w:t>
            </w:r>
          </w:p>
        </w:tc>
        <w:tc>
          <w:tcPr>
            <w:tcW w:w="64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8</w:t>
            </w:r>
          </w:p>
        </w:tc>
        <w:tc>
          <w:tcPr>
            <w:tcW w:w="3947" w:type="dxa"/>
            <w:tcBorders>
              <w:top w:val="single" w:sz="8" w:space="0" w:color="000000"/>
              <w:left w:val="single" w:sz="8" w:space="0" w:color="000000"/>
              <w:bottom w:val="single" w:sz="8" w:space="0" w:color="000000"/>
              <w:right w:val="single" w:sz="8" w:space="0" w:color="000000"/>
            </w:tcBorders>
          </w:tcPr>
          <w:p>
            <w:pPr>
              <w:jc w:val="both"/>
              <w:rPr>
                <w:b/>
                <w:bCs/>
              </w:rPr>
            </w:pPr>
            <w:r>
              <w:rPr>
                <w:rFonts w:hint="eastAsia"/>
                <w:b/>
                <w:bCs/>
              </w:rPr>
              <w:t>一、评审内容：</w:t>
            </w:r>
          </w:p>
          <w:p>
            <w:r>
              <w:rPr>
                <w:rFonts w:hint="eastAsia"/>
              </w:rPr>
              <w:t>拟安排的项目主要团队成员为投标人在职员工（提供社保证明）的</w:t>
            </w:r>
            <w:r>
              <w:rPr>
                <w:rFonts w:hint="eastAsia"/>
                <w:lang w:val="en-US" w:eastAsia="zh-CN"/>
              </w:rPr>
              <w:t>且不少于4人的</w:t>
            </w:r>
            <w:r>
              <w:rPr>
                <w:rFonts w:hint="eastAsia"/>
              </w:rPr>
              <w:t>基础上，按以下标准评分：</w:t>
            </w:r>
          </w:p>
          <w:p>
            <w:r>
              <w:rPr>
                <w:rFonts w:hint="eastAsia"/>
              </w:rPr>
              <w:t>1.每提供一人具有研究生学历的，得10分，最高得20分。每提供一人具有本科学历得5分，最高得10分。本小项最高得20分；</w:t>
            </w:r>
          </w:p>
          <w:p>
            <w:r>
              <w:rPr>
                <w:rFonts w:hint="eastAsia"/>
              </w:rPr>
              <w:t>2.每提供一人具有人社部门</w:t>
            </w:r>
            <w:r>
              <w:rPr>
                <w:rFonts w:hint="eastAsia"/>
                <w:lang w:eastAsia="zh-CN"/>
              </w:rPr>
              <w:t>（</w:t>
            </w:r>
            <w:r>
              <w:rPr>
                <w:rFonts w:hint="eastAsia"/>
              </w:rPr>
              <w:t>或央企或高校</w:t>
            </w:r>
            <w:r>
              <w:rPr>
                <w:rFonts w:hint="eastAsia"/>
                <w:lang w:eastAsia="zh-CN"/>
              </w:rPr>
              <w:t>）</w:t>
            </w:r>
            <w:r>
              <w:rPr>
                <w:rFonts w:hint="eastAsia"/>
              </w:rPr>
              <w:t>评定的计算机或信息管理专业副高级或以上职称证书，得10分，最高得20分。</w:t>
            </w:r>
          </w:p>
          <w:p>
            <w:pPr>
              <w:rPr>
                <w:rFonts w:hint="eastAsia"/>
              </w:rPr>
            </w:pPr>
            <w:r>
              <w:rPr>
                <w:rFonts w:hint="eastAsia"/>
              </w:rPr>
              <w:t>3.每提供一人具有政府部门颁发的医学信息相关奖项得60分，最高60分。</w:t>
            </w:r>
          </w:p>
          <w:p>
            <w:r>
              <w:rPr>
                <w:rFonts w:hint="eastAsia"/>
                <w:lang w:val="en-US" w:eastAsia="zh-CN"/>
              </w:rPr>
              <w:t>以上1-3项累计得分，最高得100分。</w:t>
            </w:r>
          </w:p>
          <w:p>
            <w:pPr>
              <w:rPr>
                <w:b/>
                <w:bCs/>
              </w:rPr>
            </w:pPr>
            <w:r>
              <w:rPr>
                <w:rFonts w:hint="eastAsia"/>
                <w:b/>
                <w:bCs/>
              </w:rPr>
              <w:t>二、评分依据：</w:t>
            </w:r>
          </w:p>
          <w:p>
            <w:pPr>
              <w:jc w:val="both"/>
            </w:pPr>
            <w:r>
              <w:t>1</w:t>
            </w:r>
            <w:r>
              <w:rPr>
                <w:rFonts w:hint="eastAsia"/>
              </w:rPr>
              <w:t>、社保：提供投标截止日前近3个月投标人为其购买的社保证明，如开标日上一个月的社保材料因社保部门原因暂时无法取得，则可以往前顺延一个月；如供应商为新成立企业且成立时间不足三个月可提供情况说明或证明材料亦视为符合。</w:t>
            </w:r>
          </w:p>
          <w:p>
            <w:r>
              <w:rPr>
                <w:rFonts w:hint="eastAsia"/>
              </w:rPr>
              <w:t>2、学历：要求提供证书扫描件以及学信网查询记录。对于较早颁发的学历学位证书，学信网无法查询的，要求提供证书扫描件和其他佐证材料（如毕业院校、人社部门等颁发机构或监管机构等单位出具的证明）作为得分的依据。海外留学（含港澳台）人员学历无法通过学信网站查询，应当提供“教育部留学服务中心出具的国外学历认证证书以及教育部留学服务中心官网查询截图”作为得分依据。</w:t>
            </w:r>
          </w:p>
          <w:p>
            <w:pPr>
              <w:jc w:val="both"/>
              <w:rPr>
                <w:rFonts w:eastAsia="宋体" w:hint="eastAsia"/>
                <w:lang w:val="en-US" w:eastAsia="zh-CN"/>
              </w:rPr>
            </w:pPr>
            <w:r>
              <w:rPr>
                <w:rFonts w:hint="eastAsia"/>
              </w:rPr>
              <w:t>3、职称证书</w:t>
            </w:r>
            <w:r>
              <w:rPr>
                <w:rFonts w:hint="eastAsia"/>
                <w:lang w:eastAsia="zh-CN"/>
              </w:rPr>
              <w:t>：</w:t>
            </w:r>
            <w:r>
              <w:rPr>
                <w:rFonts w:hint="eastAsia"/>
                <w:lang w:val="en-US" w:eastAsia="zh-CN"/>
              </w:rPr>
              <w:t>提供</w:t>
            </w:r>
            <w:r>
              <w:rPr>
                <w:rFonts w:hint="eastAsia"/>
              </w:rPr>
              <w:t>职称证书</w:t>
            </w:r>
            <w:r>
              <w:rPr>
                <w:rFonts w:hint="eastAsia"/>
                <w:lang w:val="en-US" w:eastAsia="zh-CN"/>
              </w:rPr>
              <w:t>扫描件</w:t>
            </w:r>
            <w:r>
              <w:rPr>
                <w:rFonts w:hint="eastAsia"/>
              </w:rPr>
              <w:t>作为得分依据。</w:t>
            </w:r>
          </w:p>
          <w:p>
            <w:pPr>
              <w:jc w:val="both"/>
            </w:pPr>
            <w:r>
              <w:rPr>
                <w:rFonts w:hint="eastAsia"/>
                <w:lang w:val="en-US" w:eastAsia="zh-CN"/>
              </w:rPr>
              <w:t>4、</w:t>
            </w:r>
            <w:r>
              <w:rPr>
                <w:rFonts w:hint="eastAsia"/>
              </w:rPr>
              <w:t>奖项：提供奖项照片或获奖（荣誉）证书</w:t>
            </w:r>
            <w:r>
              <w:rPr>
                <w:rFonts w:hint="eastAsia"/>
                <w:lang w:val="en-US" w:eastAsia="zh-CN"/>
              </w:rPr>
              <w:t>的</w:t>
            </w:r>
            <w:r>
              <w:rPr>
                <w:rFonts w:hint="eastAsia"/>
              </w:rPr>
              <w:t>证明材料作为得分依据。</w:t>
            </w:r>
          </w:p>
          <w:p>
            <w:pPr>
              <w:rPr>
                <w:rFonts w:hint="eastAsia"/>
              </w:rPr>
            </w:pPr>
            <w:r>
              <w:rPr>
                <w:rFonts w:hint="eastAsia"/>
                <w:lang w:val="en-US" w:eastAsia="zh-CN"/>
              </w:rPr>
              <w:t>5</w:t>
            </w:r>
            <w:r>
              <w:rPr>
                <w:rFonts w:hint="eastAsia"/>
              </w:rPr>
              <w:t>、以上资料均要求原件备查。</w:t>
            </w:r>
            <w:r>
              <w:t>评分中出现无证明资料或专家无法凭所提供资料判断是否得分的情况，一律作不得分处理。</w:t>
            </w:r>
          </w:p>
        </w:tc>
      </w:tr>
      <w:tr>
        <w:tblPrEx>
          <w:tblW w:w="8526"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638"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eastAsia="zh-CN"/>
              </w:rPr>
            </w:pPr>
            <w:r>
              <w:rPr>
                <w:rFonts w:ascii="宋体" w:hAnsi="宋体" w:cs="宋体" w:hint="eastAsia"/>
                <w:szCs w:val="21"/>
                <w:lang w:val="en-US" w:eastAsia="zh-CN"/>
              </w:rPr>
              <w:t>5</w:t>
            </w:r>
          </w:p>
        </w:tc>
        <w:tc>
          <w:tcPr>
            <w:tcW w:w="266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hint="eastAsia"/>
              </w:rPr>
            </w:pPr>
            <w:r>
              <w:rPr>
                <w:rFonts w:hint="eastAsia"/>
              </w:rPr>
              <w:t>项目完成（服务期满）</w:t>
            </w:r>
          </w:p>
          <w:p>
            <w:pPr>
              <w:wordWrap w:val="0"/>
              <w:jc w:val="center"/>
              <w:rPr>
                <w:rFonts w:ascii="宋体" w:hAnsi="宋体" w:cs="宋体"/>
                <w:szCs w:val="21"/>
              </w:rPr>
            </w:pPr>
            <w:r>
              <w:rPr>
                <w:rFonts w:hint="eastAsia"/>
              </w:rPr>
              <w:t>后的服务承诺</w:t>
            </w:r>
          </w:p>
        </w:tc>
        <w:tc>
          <w:tcPr>
            <w:tcW w:w="64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5</w:t>
            </w:r>
          </w:p>
        </w:tc>
        <w:tc>
          <w:tcPr>
            <w:tcW w:w="3947" w:type="dxa"/>
            <w:tcBorders>
              <w:top w:val="single" w:sz="8" w:space="0" w:color="000000"/>
              <w:left w:val="single" w:sz="8" w:space="0" w:color="000000"/>
              <w:bottom w:val="single" w:sz="8" w:space="0" w:color="000000"/>
              <w:right w:val="single" w:sz="8" w:space="0" w:color="000000"/>
            </w:tcBorders>
          </w:tcPr>
          <w:p>
            <w:pPr>
              <w:jc w:val="left"/>
              <w:rPr>
                <w:b/>
                <w:bCs/>
              </w:rPr>
            </w:pPr>
            <w:r>
              <w:rPr>
                <w:rFonts w:hint="eastAsia"/>
                <w:b/>
                <w:bCs/>
              </w:rPr>
              <w:t>一、评审内容：</w:t>
            </w:r>
          </w:p>
          <w:p>
            <w:pPr>
              <w:jc w:val="left"/>
            </w:pPr>
            <w:r>
              <w:rPr>
                <w:rFonts w:hint="eastAsia"/>
              </w:rPr>
              <w:t>投标人提供服务期满后的服务承诺，承诺以下全部内容的得100分，否则不得分。</w:t>
            </w:r>
          </w:p>
          <w:p>
            <w:pPr>
              <w:jc w:val="left"/>
            </w:pPr>
            <w:r>
              <w:rPr>
                <w:rFonts w:hint="eastAsia"/>
              </w:rPr>
              <w:t>（1）服务期满后在过渡期间继续提供免费服务；</w:t>
            </w:r>
          </w:p>
          <w:p>
            <w:pPr>
              <w:jc w:val="left"/>
            </w:pPr>
            <w:r>
              <w:rPr>
                <w:rFonts w:hint="eastAsia"/>
              </w:rPr>
              <w:t>（2）服务期满后在过渡期间保障采购方合理需求；</w:t>
            </w:r>
          </w:p>
          <w:p>
            <w:pPr>
              <w:jc w:val="left"/>
            </w:pPr>
            <w:r>
              <w:rPr>
                <w:rFonts w:hint="eastAsia"/>
              </w:rPr>
              <w:t>（3）主动办理交接手续。</w:t>
            </w:r>
          </w:p>
          <w:p>
            <w:pPr>
              <w:rPr>
                <w:b/>
                <w:bCs/>
              </w:rPr>
            </w:pPr>
            <w:r>
              <w:rPr>
                <w:rFonts w:hint="eastAsia"/>
                <w:b/>
                <w:bCs/>
              </w:rPr>
              <w:t>二、评分依据：</w:t>
            </w:r>
          </w:p>
          <w:p>
            <w:pPr>
              <w:jc w:val="left"/>
              <w:rPr>
                <w:rFonts w:ascii="宋体" w:hAnsi="宋体" w:cs="宋体"/>
                <w:szCs w:val="21"/>
              </w:rPr>
            </w:pPr>
            <w:r>
              <w:rPr>
                <w:rFonts w:hint="eastAsia"/>
              </w:rPr>
              <w:t>提供项目完成（服务期满）后的服务承诺函（格式自定）作为得分依据，未提供承诺或承诺内容不满足要求不得分。</w:t>
            </w:r>
          </w:p>
        </w:tc>
      </w:tr>
      <w:tr>
        <w:tblPrEx>
          <w:tblW w:w="8526"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638"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szCs w:val="21"/>
              </w:rPr>
              <w:t>6</w:t>
            </w:r>
          </w:p>
        </w:tc>
        <w:tc>
          <w:tcPr>
            <w:tcW w:w="266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hint="eastAsia"/>
              </w:rPr>
              <w:t>违约承诺</w:t>
            </w:r>
          </w:p>
        </w:tc>
        <w:tc>
          <w:tcPr>
            <w:tcW w:w="64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5</w:t>
            </w:r>
          </w:p>
        </w:tc>
        <w:tc>
          <w:tcPr>
            <w:tcW w:w="3947" w:type="dxa"/>
            <w:tcBorders>
              <w:top w:val="single" w:sz="8" w:space="0" w:color="000000"/>
              <w:left w:val="single" w:sz="8" w:space="0" w:color="000000"/>
              <w:bottom w:val="single" w:sz="8" w:space="0" w:color="000000"/>
              <w:right w:val="single" w:sz="8" w:space="0" w:color="000000"/>
            </w:tcBorders>
            <w:vAlign w:val="center"/>
          </w:tcPr>
          <w:p>
            <w:pPr>
              <w:jc w:val="left"/>
              <w:rPr>
                <w:b/>
                <w:bCs/>
              </w:rPr>
            </w:pPr>
            <w:r>
              <w:rPr>
                <w:rFonts w:hint="eastAsia"/>
                <w:b/>
                <w:bCs/>
              </w:rPr>
              <w:t>一、评审内容：</w:t>
            </w:r>
          </w:p>
          <w:p>
            <w:pPr>
              <w:jc w:val="left"/>
            </w:pPr>
            <w:r>
              <w:rPr>
                <w:rFonts w:hint="eastAsia"/>
              </w:rPr>
              <w:t>投标人提供项目违约承诺，满足以下全部要求的得100分，否则不得分。</w:t>
            </w:r>
          </w:p>
          <w:p>
            <w:pPr>
              <w:jc w:val="left"/>
            </w:pPr>
            <w:r>
              <w:rPr>
                <w:rFonts w:hint="eastAsia"/>
              </w:rPr>
              <w:t xml:space="preserve">（1）人员严格按照招标文件配置； </w:t>
            </w:r>
          </w:p>
          <w:p>
            <w:pPr>
              <w:jc w:val="left"/>
            </w:pPr>
            <w:r>
              <w:rPr>
                <w:rFonts w:hint="eastAsia"/>
              </w:rPr>
              <w:t xml:space="preserve">（2）按时保质完成项目内容； </w:t>
            </w:r>
          </w:p>
          <w:p>
            <w:pPr>
              <w:jc w:val="left"/>
            </w:pPr>
            <w:r>
              <w:rPr>
                <w:rFonts w:hint="eastAsia"/>
              </w:rPr>
              <w:t>（3）按服务承诺履行义务；</w:t>
            </w:r>
          </w:p>
          <w:p>
            <w:pPr>
              <w:jc w:val="left"/>
            </w:pPr>
            <w:r>
              <w:rPr>
                <w:rFonts w:hint="eastAsia"/>
              </w:rPr>
              <w:t>（4）说明违约处理办法。</w:t>
            </w:r>
          </w:p>
          <w:p>
            <w:pPr>
              <w:rPr>
                <w:b/>
                <w:bCs/>
              </w:rPr>
            </w:pPr>
            <w:r>
              <w:rPr>
                <w:rFonts w:hint="eastAsia"/>
                <w:b/>
                <w:bCs/>
              </w:rPr>
              <w:t>二、评分依据：</w:t>
            </w:r>
          </w:p>
          <w:p>
            <w:pPr>
              <w:adjustRightInd w:val="0"/>
              <w:snapToGrid w:val="0"/>
              <w:jc w:val="left"/>
              <w:outlineLvl w:val="0"/>
              <w:rPr>
                <w:rFonts w:ascii="宋体" w:hAnsi="宋体" w:cs="宋体"/>
                <w:szCs w:val="21"/>
              </w:rPr>
            </w:pPr>
            <w:r>
              <w:rPr>
                <w:rFonts w:ascii="宋体" w:hAnsi="宋体" w:cs="宋体" w:hint="eastAsia"/>
                <w:szCs w:val="21"/>
              </w:rPr>
              <w:t>投标人提供《违约承诺函》（格式自定）作为得分依据，未提供承诺或承诺内容不满足要求不得分。</w:t>
            </w:r>
          </w:p>
        </w:tc>
      </w:tr>
      <w:tr>
        <w:tblPrEx>
          <w:tblW w:w="8526"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638"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szCs w:val="21"/>
              </w:rPr>
              <w:t>7</w:t>
            </w:r>
          </w:p>
        </w:tc>
        <w:tc>
          <w:tcPr>
            <w:tcW w:w="266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服务内容响应情况</w:t>
            </w:r>
          </w:p>
        </w:tc>
        <w:tc>
          <w:tcPr>
            <w:tcW w:w="64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lang w:val="en-US" w:eastAsia="zh-CN"/>
              </w:rPr>
              <w:t>8</w:t>
            </w:r>
          </w:p>
        </w:tc>
        <w:tc>
          <w:tcPr>
            <w:tcW w:w="3947" w:type="dxa"/>
            <w:tcBorders>
              <w:top w:val="single" w:sz="8" w:space="0" w:color="000000"/>
              <w:left w:val="single" w:sz="8" w:space="0" w:color="000000"/>
              <w:bottom w:val="single" w:sz="8" w:space="0" w:color="000000"/>
              <w:right w:val="single" w:sz="8" w:space="0" w:color="000000"/>
            </w:tcBorders>
          </w:tcPr>
          <w:p>
            <w:pPr>
              <w:jc w:val="left"/>
              <w:rPr>
                <w:b/>
                <w:bCs/>
              </w:rPr>
            </w:pPr>
            <w:r>
              <w:rPr>
                <w:rFonts w:hint="eastAsia"/>
                <w:b/>
                <w:bCs/>
              </w:rPr>
              <w:t>一、评审内容：</w:t>
            </w:r>
          </w:p>
          <w:p>
            <w:pPr>
              <w:wordWrap w:val="0"/>
            </w:pPr>
            <w:r>
              <w:rPr>
                <w:rFonts w:hint="eastAsia"/>
              </w:rPr>
              <w:t>完全响应第一册专用条款-第三章用户需求书-“五、技术要求”的全部内容，得100分，每负偏离一项带▲要求的，扣</w:t>
            </w:r>
            <w:r>
              <w:rPr>
                <w:rFonts w:hint="eastAsia"/>
                <w:lang w:val="en-US" w:eastAsia="zh-CN"/>
              </w:rPr>
              <w:t>10</w:t>
            </w:r>
            <w:r>
              <w:rPr>
                <w:rFonts w:hint="eastAsia"/>
              </w:rPr>
              <w:t>分，不带▲要求的，扣</w:t>
            </w:r>
            <w:r>
              <w:rPr>
                <w:rFonts w:hint="eastAsia"/>
                <w:lang w:val="en-US" w:eastAsia="zh-CN"/>
              </w:rPr>
              <w:t>2</w:t>
            </w:r>
            <w:r>
              <w:rPr>
                <w:rFonts w:hint="eastAsia"/>
              </w:rPr>
              <w:t>分，扣完为止。</w:t>
            </w:r>
          </w:p>
          <w:p>
            <w:pPr>
              <w:rPr>
                <w:b/>
                <w:bCs/>
              </w:rPr>
            </w:pPr>
            <w:r>
              <w:rPr>
                <w:rFonts w:hint="eastAsia"/>
                <w:b/>
                <w:bCs/>
              </w:rPr>
              <w:t>二、评分依据：</w:t>
            </w:r>
          </w:p>
          <w:p>
            <w:pPr>
              <w:wordWrap w:val="0"/>
              <w:rPr>
                <w:rFonts w:eastAsia="宋体" w:hint="eastAsia"/>
                <w:lang w:val="en-US" w:eastAsia="zh-CN"/>
              </w:rPr>
            </w:pPr>
            <w:r>
              <w:rPr>
                <w:rFonts w:hint="eastAsia"/>
              </w:rPr>
              <w:t>投标人应如实填写《技术要求偏离表》。</w:t>
            </w:r>
          </w:p>
        </w:tc>
      </w:tr>
      <w:tr>
        <w:tblPrEx>
          <w:tblW w:w="8526" w:type="dxa"/>
          <w:jc w:val="center"/>
          <w:tblLayout w:type="fixed"/>
          <w:tblCellMar>
            <w:top w:w="20" w:type="dxa"/>
            <w:left w:w="108" w:type="dxa"/>
            <w:bottom w:w="20" w:type="dxa"/>
            <w:right w:w="108" w:type="dxa"/>
          </w:tblCellMar>
        </w:tblPrEx>
        <w:trPr>
          <w:jc w:val="center"/>
        </w:trPr>
        <w:tc>
          <w:tcPr>
            <w:tcW w:w="635" w:type="dxa"/>
            <w:vMerge w:val="restar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b/>
                <w:bCs/>
                <w:color w:val="0000FF"/>
              </w:rPr>
              <w:t>3</w:t>
            </w:r>
          </w:p>
        </w:tc>
        <w:tc>
          <w:tcPr>
            <w:tcW w:w="3944" w:type="dxa"/>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b/>
                <w:bCs/>
                <w:color w:val="0000FF"/>
              </w:rPr>
              <w:t>综合实力</w:t>
            </w:r>
          </w:p>
        </w:tc>
        <w:tc>
          <w:tcPr>
            <w:tcW w:w="3947"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rFonts w:ascii="宋体" w:hAnsi="宋体" w:cs="宋体" w:hint="eastAsia"/>
                <w:b/>
                <w:bCs/>
                <w:color w:val="0000FF"/>
                <w:sz w:val="24"/>
              </w:rPr>
              <w:t>19</w:t>
            </w:r>
          </w:p>
        </w:tc>
      </w:tr>
      <w:tr>
        <w:tblPrEx>
          <w:tblW w:w="8526"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b/>
                <w:bCs/>
                <w:color w:val="0000FF"/>
                <w:sz w:val="24"/>
              </w:rPr>
            </w:pPr>
          </w:p>
        </w:tc>
        <w:tc>
          <w:tcPr>
            <w:tcW w:w="63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66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4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394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8526"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638"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szCs w:val="21"/>
              </w:rPr>
              <w:t>1</w:t>
            </w:r>
          </w:p>
        </w:tc>
        <w:tc>
          <w:tcPr>
            <w:tcW w:w="2663" w:type="dxa"/>
            <w:tcBorders>
              <w:top w:val="single" w:sz="8" w:space="0" w:color="000000"/>
              <w:left w:val="single" w:sz="8" w:space="0" w:color="000000"/>
              <w:bottom w:val="single" w:sz="8" w:space="0" w:color="000000"/>
              <w:right w:val="single" w:sz="8" w:space="0" w:color="000000"/>
            </w:tcBorders>
            <w:vAlign w:val="center"/>
          </w:tcPr>
          <w:p>
            <w:pPr>
              <w:adjustRightInd w:val="0"/>
              <w:snapToGrid w:val="0"/>
              <w:jc w:val="center"/>
              <w:outlineLvl w:val="0"/>
              <w:rPr>
                <w:rFonts w:ascii="宋体" w:hAnsi="宋体"/>
              </w:rPr>
            </w:pPr>
            <w:r>
              <w:rPr>
                <w:rFonts w:ascii="宋体" w:hAnsi="宋体" w:hint="eastAsia"/>
              </w:rPr>
              <w:t>供应商认证情况</w:t>
            </w:r>
          </w:p>
        </w:tc>
        <w:tc>
          <w:tcPr>
            <w:tcW w:w="64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szCs w:val="21"/>
              </w:rPr>
              <w:t>5</w:t>
            </w:r>
          </w:p>
        </w:tc>
        <w:tc>
          <w:tcPr>
            <w:tcW w:w="3947" w:type="dxa"/>
            <w:tcBorders>
              <w:top w:val="single" w:sz="8" w:space="0" w:color="000000"/>
              <w:left w:val="single" w:sz="8" w:space="0" w:color="000000"/>
              <w:bottom w:val="single" w:sz="8" w:space="0" w:color="000000"/>
              <w:right w:val="single" w:sz="8" w:space="0" w:color="000000"/>
            </w:tcBorders>
          </w:tcPr>
          <w:p>
            <w:pPr>
              <w:jc w:val="left"/>
              <w:rPr>
                <w:b/>
                <w:bCs/>
              </w:rPr>
            </w:pPr>
            <w:r>
              <w:rPr>
                <w:rFonts w:hint="eastAsia"/>
                <w:b/>
                <w:bCs/>
              </w:rPr>
              <w:t>一、评审内容：</w:t>
            </w:r>
          </w:p>
          <w:p>
            <w:r>
              <w:rPr>
                <w:rFonts w:hint="eastAsia"/>
              </w:rPr>
              <w:t>投标人具有质量管理体系认证证书，得1</w:t>
            </w:r>
            <w:r>
              <w:t>00</w:t>
            </w:r>
            <w:r>
              <w:rPr>
                <w:rFonts w:hint="eastAsia"/>
              </w:rPr>
              <w:t>分。</w:t>
            </w:r>
          </w:p>
          <w:p>
            <w:pPr>
              <w:rPr>
                <w:b/>
                <w:bCs/>
              </w:rPr>
            </w:pPr>
            <w:r>
              <w:rPr>
                <w:rFonts w:hint="eastAsia"/>
                <w:b/>
                <w:bCs/>
              </w:rPr>
              <w:t>二、评分依据：</w:t>
            </w:r>
          </w:p>
          <w:p>
            <w:pPr>
              <w:jc w:val="left"/>
            </w:pPr>
            <w:r>
              <w:rPr>
                <w:rFonts w:hint="eastAsia"/>
              </w:rPr>
              <w:t>投标人同时提供以下证明材料：</w:t>
            </w:r>
          </w:p>
          <w:p>
            <w:pPr>
              <w:jc w:val="left"/>
            </w:pPr>
            <w:r>
              <w:rPr>
                <w:rFonts w:hint="eastAsia"/>
              </w:rPr>
              <w:t>1、有效的认证证书，如无法证明证书在有效期内的，不得分；</w:t>
            </w:r>
          </w:p>
          <w:p>
            <w:pPr>
              <w:jc w:val="left"/>
            </w:pPr>
            <w:r>
              <w:rPr>
                <w:rFonts w:hint="eastAsia"/>
              </w:rPr>
              <w:t>2、全国认证认可信息公共服务平台（http://cx.cnca.cn）认证信息查询截图（截图需显示证书状态为有效），相关证书在公开渠道无法查询的，投标人需提供颁发部门或者监管机构的证明材料，证明证书真实有效且为合法机构颁发；</w:t>
            </w:r>
          </w:p>
          <w:p>
            <w:pPr>
              <w:rPr>
                <w:rFonts w:ascii="宋体" w:hAnsi="宋体" w:cs="宋体"/>
                <w:szCs w:val="21"/>
              </w:rPr>
            </w:pPr>
            <w:r>
              <w:rPr>
                <w:rFonts w:hint="eastAsia"/>
              </w:rPr>
              <w:t>3.以上证明材料不提供或提供不清晰导致专家无法判断的不得分。</w:t>
            </w:r>
          </w:p>
        </w:tc>
      </w:tr>
      <w:tr>
        <w:tblPrEx>
          <w:tblW w:w="8526"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638"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2</w:t>
            </w:r>
          </w:p>
        </w:tc>
        <w:tc>
          <w:tcPr>
            <w:tcW w:w="2663" w:type="dxa"/>
            <w:tcBorders>
              <w:top w:val="single" w:sz="8" w:space="0" w:color="000000"/>
              <w:left w:val="single" w:sz="8" w:space="0" w:color="000000"/>
              <w:bottom w:val="single" w:sz="8" w:space="0" w:color="000000"/>
              <w:right w:val="single" w:sz="8" w:space="0" w:color="000000"/>
            </w:tcBorders>
            <w:vAlign w:val="center"/>
          </w:tcPr>
          <w:p>
            <w:pPr>
              <w:adjustRightInd w:val="0"/>
              <w:snapToGrid w:val="0"/>
              <w:jc w:val="center"/>
              <w:outlineLvl w:val="0"/>
              <w:rPr>
                <w:rFonts w:ascii="宋体" w:hAnsi="宋体" w:hint="default"/>
                <w:lang w:val="en-US"/>
              </w:rPr>
            </w:pPr>
            <w:r>
              <w:rPr>
                <w:rFonts w:ascii="宋体" w:hAnsi="宋体" w:hint="eastAsia"/>
                <w:szCs w:val="21"/>
                <w:lang w:val="en-US" w:eastAsia="zh-CN"/>
              </w:rPr>
              <w:t>标准规范</w:t>
            </w:r>
          </w:p>
        </w:tc>
        <w:tc>
          <w:tcPr>
            <w:tcW w:w="64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eastAsia="zh-CN"/>
              </w:rPr>
            </w:pPr>
            <w:r>
              <w:rPr>
                <w:rFonts w:ascii="宋体" w:hAnsi="宋体" w:cs="宋体" w:hint="eastAsia"/>
                <w:szCs w:val="21"/>
                <w:lang w:val="en-US" w:eastAsia="zh-CN"/>
              </w:rPr>
              <w:t>4</w:t>
            </w:r>
          </w:p>
        </w:tc>
        <w:tc>
          <w:tcPr>
            <w:tcW w:w="3947" w:type="dxa"/>
            <w:tcBorders>
              <w:top w:val="single" w:sz="8" w:space="0" w:color="000000"/>
              <w:left w:val="single" w:sz="8" w:space="0" w:color="000000"/>
              <w:bottom w:val="single" w:sz="8" w:space="0" w:color="000000"/>
              <w:right w:val="single" w:sz="8" w:space="0" w:color="000000"/>
            </w:tcBorders>
          </w:tcPr>
          <w:p>
            <w:pPr>
              <w:jc w:val="left"/>
              <w:rPr>
                <w:b/>
                <w:bCs/>
              </w:rPr>
            </w:pPr>
            <w:r>
              <w:rPr>
                <w:rFonts w:hint="eastAsia"/>
                <w:b/>
                <w:bCs/>
              </w:rPr>
              <w:t>一、评审内容：</w:t>
            </w:r>
          </w:p>
          <w:p>
            <w:pPr>
              <w:jc w:val="left"/>
              <w:rPr>
                <w:rFonts w:hint="eastAsia"/>
                <w:b w:val="0"/>
                <w:bCs w:val="0"/>
              </w:rPr>
            </w:pPr>
            <w:r>
              <w:rPr>
                <w:rFonts w:hint="eastAsia"/>
                <w:b w:val="0"/>
                <w:bCs w:val="0"/>
              </w:rPr>
              <w:t>2019年1月1日至本项目投标截止日（以标准发布日期为准），投标人具有医疗行业</w:t>
            </w:r>
            <w:r>
              <w:rPr>
                <w:rFonts w:hint="eastAsia"/>
                <w:b w:val="0"/>
                <w:bCs w:val="0"/>
                <w:lang w:val="en-US" w:eastAsia="zh-CN"/>
              </w:rPr>
              <w:t>相关标准</w:t>
            </w:r>
            <w:r>
              <w:rPr>
                <w:rFonts w:hint="eastAsia"/>
                <w:b w:val="0"/>
                <w:bCs w:val="0"/>
              </w:rPr>
              <w:t>（团体标准或行业标准等标准</w:t>
            </w:r>
            <w:r>
              <w:rPr>
                <w:rFonts w:hint="eastAsia"/>
                <w:b w:val="0"/>
                <w:bCs w:val="0"/>
                <w:lang w:eastAsia="zh-CN"/>
              </w:rPr>
              <w:t>）</w:t>
            </w:r>
            <w:r>
              <w:rPr>
                <w:rFonts w:hint="eastAsia"/>
                <w:b w:val="0"/>
                <w:bCs w:val="0"/>
              </w:rPr>
              <w:t>编制</w:t>
            </w:r>
            <w:r>
              <w:rPr>
                <w:rFonts w:hint="eastAsia"/>
                <w:b w:val="0"/>
                <w:bCs w:val="0"/>
                <w:lang w:val="en-US" w:eastAsia="zh-CN"/>
              </w:rPr>
              <w:t>经验</w:t>
            </w:r>
            <w:r>
              <w:rPr>
                <w:rFonts w:hint="eastAsia"/>
                <w:b w:val="0"/>
                <w:bCs w:val="0"/>
              </w:rPr>
              <w:t>，得100分。</w:t>
            </w:r>
          </w:p>
          <w:p>
            <w:pPr>
              <w:rPr>
                <w:b/>
                <w:bCs/>
              </w:rPr>
            </w:pPr>
            <w:r>
              <w:rPr>
                <w:rFonts w:hint="eastAsia"/>
                <w:b/>
                <w:bCs/>
              </w:rPr>
              <w:t>二、评分依据：</w:t>
            </w:r>
          </w:p>
          <w:p>
            <w:pPr>
              <w:jc w:val="left"/>
              <w:rPr>
                <w:rFonts w:hint="eastAsia"/>
                <w:b w:val="0"/>
                <w:bCs w:val="0"/>
              </w:rPr>
            </w:pPr>
            <w:r>
              <w:rPr>
                <w:rFonts w:hint="eastAsia"/>
                <w:b w:val="0"/>
                <w:bCs w:val="0"/>
              </w:rPr>
              <w:t>1.提供中国卫生信息与健康医疗大数据学会发布的标准前言中具有投标人单位名称或中国卫生信息与健康医疗大数据学会提供的其他能证明投标人单位已经发布该标准的证明材料，以上证明材料需体现标准发布日期。</w:t>
            </w:r>
          </w:p>
          <w:p>
            <w:pPr>
              <w:wordWrap w:val="0"/>
              <w:rPr>
                <w:rFonts w:ascii="宋体" w:hAnsi="宋体" w:cs="宋体"/>
                <w:szCs w:val="21"/>
              </w:rPr>
            </w:pPr>
            <w:r>
              <w:rPr>
                <w:rFonts w:hint="eastAsia"/>
                <w:b w:val="0"/>
                <w:bCs w:val="0"/>
              </w:rPr>
              <w:t>2.以上证明文件均原件备查。未按要求提供有效证明材料或提供不清晰导致评委无法识别的不计得分。</w:t>
            </w:r>
          </w:p>
        </w:tc>
      </w:tr>
      <w:tr>
        <w:tblPrEx>
          <w:tblW w:w="8526"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638"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3</w:t>
            </w:r>
          </w:p>
        </w:tc>
        <w:tc>
          <w:tcPr>
            <w:tcW w:w="266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相关业绩证明</w:t>
            </w:r>
          </w:p>
        </w:tc>
        <w:tc>
          <w:tcPr>
            <w:tcW w:w="64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10</w:t>
            </w:r>
          </w:p>
        </w:tc>
        <w:tc>
          <w:tcPr>
            <w:tcW w:w="3947" w:type="dxa"/>
            <w:tcBorders>
              <w:top w:val="single" w:sz="8" w:space="0" w:color="000000"/>
              <w:left w:val="single" w:sz="8" w:space="0" w:color="000000"/>
              <w:bottom w:val="single" w:sz="8" w:space="0" w:color="000000"/>
              <w:right w:val="single" w:sz="8" w:space="0" w:color="000000"/>
            </w:tcBorders>
          </w:tcPr>
          <w:p>
            <w:pPr>
              <w:jc w:val="left"/>
              <w:rPr>
                <w:b/>
                <w:bCs/>
              </w:rPr>
            </w:pPr>
            <w:r>
              <w:rPr>
                <w:rFonts w:hint="eastAsia"/>
                <w:b/>
                <w:bCs/>
              </w:rPr>
              <w:t>一、评审内容：</w:t>
            </w:r>
          </w:p>
          <w:p>
            <w:pPr>
              <w:wordWrap w:val="0"/>
              <w:rPr>
                <w:rFonts w:ascii="宋体" w:hAnsi="宋体" w:cs="宋体"/>
                <w:szCs w:val="21"/>
              </w:rPr>
            </w:pPr>
            <w:r>
              <w:rPr>
                <w:rFonts w:ascii="宋体" w:hAnsi="宋体" w:cs="宋体" w:hint="eastAsia"/>
                <w:szCs w:val="21"/>
              </w:rPr>
              <w:t>投标人承担过医疗</w:t>
            </w:r>
            <w:r>
              <w:rPr>
                <w:rFonts w:ascii="宋体" w:hAnsi="宋体" w:cs="宋体" w:hint="eastAsia"/>
                <w:szCs w:val="21"/>
                <w:lang w:val="en-US" w:eastAsia="zh-CN"/>
              </w:rPr>
              <w:t>机构信息平台</w:t>
            </w:r>
            <w:r>
              <w:rPr>
                <w:rFonts w:ascii="宋体" w:hAnsi="宋体" w:cs="宋体" w:hint="eastAsia"/>
                <w:szCs w:val="21"/>
              </w:rPr>
              <w:t>互联互通</w:t>
            </w:r>
            <w:r>
              <w:rPr>
                <w:rFonts w:ascii="宋体" w:hAnsi="宋体" w:cs="宋体" w:hint="eastAsia"/>
                <w:szCs w:val="21"/>
                <w:lang w:val="en-US" w:eastAsia="zh-CN"/>
              </w:rPr>
              <w:t>评审</w:t>
            </w:r>
            <w:r>
              <w:rPr>
                <w:rFonts w:ascii="宋体" w:hAnsi="宋体" w:cs="宋体" w:hint="eastAsia"/>
                <w:szCs w:val="21"/>
              </w:rPr>
              <w:t>相关服务经验的，每提供1个经验得</w:t>
            </w:r>
            <w:r>
              <w:rPr>
                <w:rFonts w:ascii="宋体" w:hAnsi="宋体" w:cs="宋体"/>
                <w:szCs w:val="21"/>
              </w:rPr>
              <w:t>100</w:t>
            </w:r>
            <w:r>
              <w:rPr>
                <w:rFonts w:ascii="宋体" w:hAnsi="宋体" w:cs="宋体" w:hint="eastAsia"/>
                <w:szCs w:val="21"/>
              </w:rPr>
              <w:t>分，最高得</w:t>
            </w:r>
            <w:r>
              <w:rPr>
                <w:rFonts w:ascii="宋体" w:hAnsi="宋体" w:cs="宋体"/>
                <w:szCs w:val="21"/>
              </w:rPr>
              <w:t>100</w:t>
            </w:r>
            <w:r>
              <w:rPr>
                <w:rFonts w:ascii="宋体" w:hAnsi="宋体" w:cs="宋体" w:hint="eastAsia"/>
                <w:szCs w:val="21"/>
              </w:rPr>
              <w:t>分，未提供不得分。</w:t>
            </w:r>
          </w:p>
          <w:p>
            <w:pPr>
              <w:rPr>
                <w:b/>
                <w:bCs/>
              </w:rPr>
            </w:pPr>
            <w:r>
              <w:rPr>
                <w:rFonts w:hint="eastAsia"/>
                <w:b/>
                <w:bCs/>
              </w:rPr>
              <w:t>二、评分依据：</w:t>
            </w:r>
          </w:p>
          <w:p>
            <w:pPr>
              <w:wordWrap w:val="0"/>
              <w:rPr>
                <w:rFonts w:ascii="宋体" w:eastAsia="宋体" w:hAnsi="宋体" w:cs="宋体" w:hint="eastAsia"/>
                <w:szCs w:val="21"/>
                <w:lang w:eastAsia="zh-CN"/>
              </w:rPr>
            </w:pPr>
            <w:r>
              <w:rPr>
                <w:rFonts w:ascii="宋体" w:hAnsi="宋体" w:cs="宋体" w:hint="eastAsia"/>
                <w:szCs w:val="21"/>
                <w:lang w:val="en-US" w:eastAsia="zh-CN"/>
              </w:rPr>
              <w:t>1.</w:t>
            </w:r>
            <w:r>
              <w:rPr>
                <w:rFonts w:ascii="宋体" w:hAnsi="宋体" w:cs="宋体" w:hint="eastAsia"/>
                <w:szCs w:val="21"/>
              </w:rPr>
              <w:t>提供合同的关键页面（合同关键信息包含但不限于：项目名称、项目内容、签字盖章页）作为得分依据</w:t>
            </w:r>
            <w:r>
              <w:rPr>
                <w:rFonts w:ascii="宋体" w:hAnsi="宋体" w:cs="宋体" w:hint="eastAsia"/>
                <w:szCs w:val="21"/>
                <w:lang w:eastAsia="zh-CN"/>
              </w:rPr>
              <w:t>；</w:t>
            </w:r>
          </w:p>
          <w:p>
            <w:pPr>
              <w:wordWrap w:val="0"/>
              <w:rPr>
                <w:rFonts w:ascii="宋体" w:hAnsi="宋体" w:cs="宋体"/>
                <w:szCs w:val="21"/>
              </w:rPr>
            </w:pPr>
            <w:r>
              <w:rPr>
                <w:rFonts w:ascii="宋体" w:hAnsi="宋体" w:cs="宋体" w:hint="eastAsia"/>
                <w:szCs w:val="21"/>
                <w:lang w:val="en-US" w:eastAsia="zh-CN"/>
              </w:rPr>
              <w:t>2.</w:t>
            </w:r>
            <w:r>
              <w:rPr>
                <w:rFonts w:hint="eastAsia"/>
                <w:b w:val="0"/>
                <w:bCs w:val="0"/>
              </w:rPr>
              <w:t>以上证明文件均原件备查。未按要求提供有效证明材料或提供不清晰导致评委无法识别的不计得分。</w:t>
            </w:r>
          </w:p>
        </w:tc>
      </w:tr>
      <w:tr>
        <w:tblPrEx>
          <w:tblW w:w="8526" w:type="dxa"/>
          <w:jc w:val="center"/>
          <w:tblLayout w:type="fixed"/>
          <w:tblCellMar>
            <w:top w:w="20" w:type="dxa"/>
            <w:left w:w="108" w:type="dxa"/>
            <w:bottom w:w="20" w:type="dxa"/>
            <w:right w:w="108" w:type="dxa"/>
          </w:tblCellMar>
        </w:tblPrEx>
        <w:trPr>
          <w:jc w:val="center"/>
        </w:trPr>
        <w:tc>
          <w:tcPr>
            <w:tcW w:w="635" w:type="dxa"/>
            <w:vMerge w:val="restar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b/>
                <w:bCs/>
                <w:color w:val="0000FF"/>
              </w:rPr>
              <w:t>4</w:t>
            </w:r>
          </w:p>
        </w:tc>
        <w:tc>
          <w:tcPr>
            <w:tcW w:w="3944" w:type="dxa"/>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b/>
                <w:bCs/>
                <w:color w:val="0000FF"/>
              </w:rPr>
              <w:t>诚信情况</w:t>
            </w:r>
          </w:p>
        </w:tc>
        <w:tc>
          <w:tcPr>
            <w:tcW w:w="3947"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b/>
                <w:bCs/>
                <w:color w:val="0000FF"/>
              </w:rPr>
              <w:t>5</w:t>
            </w:r>
          </w:p>
        </w:tc>
      </w:tr>
      <w:tr>
        <w:tblPrEx>
          <w:tblW w:w="8526"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b/>
                <w:bCs/>
                <w:color w:val="0000FF"/>
                <w:sz w:val="24"/>
              </w:rPr>
            </w:pPr>
          </w:p>
        </w:tc>
        <w:tc>
          <w:tcPr>
            <w:tcW w:w="63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66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4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394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8526"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638"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1</w:t>
            </w:r>
          </w:p>
        </w:tc>
        <w:tc>
          <w:tcPr>
            <w:tcW w:w="266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诚信情况</w:t>
            </w:r>
          </w:p>
        </w:tc>
        <w:tc>
          <w:tcPr>
            <w:tcW w:w="64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5</w:t>
            </w:r>
          </w:p>
        </w:tc>
        <w:tc>
          <w:tcPr>
            <w:tcW w:w="3947" w:type="dxa"/>
            <w:tcBorders>
              <w:top w:val="single" w:sz="8" w:space="0" w:color="000000"/>
              <w:left w:val="single" w:sz="8" w:space="0" w:color="000000"/>
              <w:bottom w:val="single" w:sz="8" w:space="0" w:color="000000"/>
              <w:right w:val="single" w:sz="8" w:space="0" w:color="000000"/>
            </w:tcBorders>
            <w:vAlign w:val="center"/>
          </w:tcPr>
          <w:p>
            <w:r>
              <w:t>投标人在参与政府采购活动中存在诚信相关问题且在主管部门相关处理措施实施期限内的，本项不得分，否则得满分。投标人无需提供任何证明材料，由工作人员向评审委员会提供相关信息。</w:t>
            </w:r>
          </w:p>
        </w:tc>
      </w:tr>
    </w:tbl>
    <w:p>
      <w:pPr>
        <w:rPr>
          <w:rFonts w:ascii="宋体" w:hAnsi="宋体"/>
          <w:sz w:val="24"/>
        </w:rPr>
      </w:pPr>
      <w:r>
        <w:rPr>
          <w:rFonts w:ascii="宋体" w:hAnsi="宋体"/>
          <w:sz w:val="24"/>
        </w:rPr>
        <w:br w:type="page"/>
      </w:r>
    </w:p>
    <w:p>
      <w:pPr>
        <w:pStyle w:val="BodyText"/>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
    <w:p/>
    <w:p/>
    <w:p/>
    <w:p/>
    <w:p/>
    <w:p/>
    <w:p/>
    <w:p/>
    <w:p/>
    <w:p/>
    <w:p/>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0"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23）</w:t>
      </w:r>
      <w:bookmarkEnd w:id="0"/>
    </w:p>
    <w:p>
      <w:pPr>
        <w:spacing w:line="360" w:lineRule="exact"/>
        <w:jc w:val="center"/>
        <w:rPr>
          <w:rFonts w:ascii="宋体" w:hAnsi="宋体"/>
          <w:color w:val="FF0000"/>
          <w:szCs w:val="21"/>
        </w:rPr>
      </w:pPr>
      <w:r>
        <w:rPr>
          <w:rFonts w:hint="eastAsia"/>
        </w:rPr>
        <w:br w:type="page"/>
      </w:r>
      <w:r>
        <w:rPr>
          <w:rFonts w:ascii="宋体" w:eastAsia="黑体" w:hAnsi="宋体" w:hint="eastAsia"/>
          <w:b/>
          <w:bCs/>
          <w:color w:val="FF0000"/>
          <w:kern w:val="44"/>
          <w:sz w:val="28"/>
          <w:szCs w:val="44"/>
        </w:rPr>
        <w:t>警示条款</w:t>
      </w:r>
    </w:p>
    <w:p>
      <w:pPr>
        <w:spacing w:line="240" w:lineRule="exact"/>
        <w:ind w:firstLine="420" w:firstLineChars="200"/>
        <w:rPr>
          <w:rFonts w:ascii="宋体" w:hAnsi="宋体"/>
          <w:color w:val="FF0000"/>
          <w:szCs w:val="21"/>
        </w:rPr>
      </w:pPr>
      <w:r>
        <w:rPr>
          <w:rFonts w:ascii="宋体" w:hAnsi="宋体" w:hint="eastAsia"/>
          <w:color w:val="FF0000"/>
          <w:szCs w:val="21"/>
        </w:rPr>
        <w:t>一、</w:t>
      </w:r>
      <w:r>
        <w:rPr>
          <w:rFonts w:ascii="宋体" w:hAnsi="宋体" w:hint="eastAsia"/>
          <w:b/>
          <w:bCs/>
          <w:color w:val="FF0000"/>
          <w:szCs w:val="21"/>
        </w:rPr>
        <w:t>《深圳经济特区政府采购条例》第五十七条</w:t>
      </w:r>
      <w:r>
        <w:rPr>
          <w:rFonts w:ascii="宋体" w:hAnsi="宋体" w:hint="eastAsia"/>
          <w:color w:val="FF0000"/>
          <w:szCs w:val="21"/>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spacing w:line="240" w:lineRule="exact"/>
        <w:ind w:firstLine="420" w:firstLineChars="200"/>
        <w:rPr>
          <w:rFonts w:ascii="宋体" w:hAnsi="宋体"/>
          <w:color w:val="FF0000"/>
          <w:szCs w:val="21"/>
        </w:rPr>
      </w:pPr>
      <w:r>
        <w:rPr>
          <w:rFonts w:ascii="宋体" w:hAnsi="宋体" w:hint="eastAsia"/>
          <w:color w:val="FF0000"/>
          <w:szCs w:val="21"/>
        </w:rPr>
        <w:t>（一）在采购活动中应当回避而未回避的；</w:t>
      </w:r>
    </w:p>
    <w:p>
      <w:pPr>
        <w:spacing w:line="240" w:lineRule="exact"/>
        <w:ind w:firstLine="420" w:firstLineChars="200"/>
        <w:rPr>
          <w:rFonts w:ascii="宋体" w:hAnsi="宋体"/>
          <w:color w:val="FF0000"/>
          <w:szCs w:val="21"/>
        </w:rPr>
      </w:pPr>
      <w:r>
        <w:rPr>
          <w:rFonts w:ascii="宋体" w:hAnsi="宋体" w:hint="eastAsia"/>
          <w:color w:val="FF0000"/>
          <w:szCs w:val="21"/>
        </w:rPr>
        <w:t>（二）未按本条例规定签订、履行采购合同，造成严重后果的；</w:t>
      </w:r>
    </w:p>
    <w:p>
      <w:pPr>
        <w:spacing w:line="240" w:lineRule="exact"/>
        <w:ind w:firstLine="420" w:firstLineChars="200"/>
        <w:rPr>
          <w:rFonts w:ascii="宋体" w:hAnsi="宋体"/>
          <w:color w:val="FF0000"/>
          <w:szCs w:val="21"/>
        </w:rPr>
      </w:pPr>
      <w:r>
        <w:rPr>
          <w:rFonts w:ascii="宋体" w:hAnsi="宋体" w:hint="eastAsia"/>
          <w:color w:val="FF0000"/>
          <w:szCs w:val="21"/>
        </w:rPr>
        <w:t>（三）隐瞒真实情况，提供虚假资料的；</w:t>
      </w:r>
    </w:p>
    <w:p>
      <w:pPr>
        <w:spacing w:line="240" w:lineRule="exact"/>
        <w:ind w:firstLine="420" w:firstLineChars="200"/>
        <w:rPr>
          <w:rFonts w:ascii="宋体" w:hAnsi="宋体"/>
          <w:color w:val="FF0000"/>
          <w:szCs w:val="21"/>
        </w:rPr>
      </w:pPr>
      <w:r>
        <w:rPr>
          <w:rFonts w:ascii="宋体" w:hAnsi="宋体" w:hint="eastAsia"/>
          <w:color w:val="FF0000"/>
          <w:szCs w:val="21"/>
        </w:rPr>
        <w:t>（四）以非法手段排斥其他供应商参与竞争的；</w:t>
      </w:r>
    </w:p>
    <w:p>
      <w:pPr>
        <w:spacing w:line="240" w:lineRule="exact"/>
        <w:ind w:firstLine="420" w:firstLineChars="200"/>
        <w:rPr>
          <w:rFonts w:ascii="宋体" w:hAnsi="宋体"/>
          <w:color w:val="FF0000"/>
          <w:szCs w:val="21"/>
        </w:rPr>
      </w:pPr>
      <w:r>
        <w:rPr>
          <w:rFonts w:ascii="宋体" w:hAnsi="宋体" w:hint="eastAsia"/>
          <w:color w:val="FF0000"/>
          <w:szCs w:val="21"/>
        </w:rPr>
        <w:t>（五）与其他采购参加人串通投标的；</w:t>
      </w:r>
    </w:p>
    <w:p>
      <w:pPr>
        <w:spacing w:line="240" w:lineRule="exact"/>
        <w:ind w:firstLine="420" w:firstLineChars="200"/>
        <w:rPr>
          <w:rFonts w:ascii="宋体" w:hAnsi="宋体"/>
          <w:color w:val="FF0000"/>
          <w:szCs w:val="21"/>
        </w:rPr>
      </w:pPr>
      <w:r>
        <w:rPr>
          <w:rFonts w:ascii="宋体" w:hAnsi="宋体" w:hint="eastAsia"/>
          <w:color w:val="FF0000"/>
          <w:szCs w:val="21"/>
        </w:rPr>
        <w:t>（六）恶意投诉的；</w:t>
      </w:r>
    </w:p>
    <w:p>
      <w:pPr>
        <w:spacing w:line="240" w:lineRule="exact"/>
        <w:ind w:firstLine="420" w:firstLineChars="200"/>
        <w:rPr>
          <w:rFonts w:ascii="宋体" w:hAnsi="宋体"/>
          <w:color w:val="FF0000"/>
          <w:szCs w:val="21"/>
        </w:rPr>
      </w:pPr>
      <w:r>
        <w:rPr>
          <w:rFonts w:ascii="宋体" w:hAnsi="宋体" w:hint="eastAsia"/>
          <w:color w:val="FF0000"/>
          <w:szCs w:val="21"/>
        </w:rPr>
        <w:t>（七）向采购项目相关人行贿或者提供其他不当利益的；</w:t>
      </w:r>
    </w:p>
    <w:p>
      <w:pPr>
        <w:spacing w:line="240" w:lineRule="exact"/>
        <w:ind w:firstLine="420" w:firstLineChars="200"/>
        <w:rPr>
          <w:rFonts w:ascii="宋体" w:hAnsi="宋体"/>
          <w:color w:val="FF0000"/>
          <w:szCs w:val="21"/>
        </w:rPr>
      </w:pPr>
      <w:r>
        <w:rPr>
          <w:rFonts w:ascii="宋体" w:hAnsi="宋体" w:hint="eastAsia"/>
          <w:color w:val="FF0000"/>
          <w:szCs w:val="21"/>
        </w:rPr>
        <w:t>（八）阻碍、抗拒主管部门监督检查的；</w:t>
      </w:r>
    </w:p>
    <w:p>
      <w:pPr>
        <w:spacing w:line="240" w:lineRule="exact"/>
        <w:ind w:firstLine="420" w:firstLineChars="200"/>
        <w:rPr>
          <w:rFonts w:ascii="宋体" w:hAnsi="宋体"/>
          <w:color w:val="FF0000"/>
          <w:szCs w:val="21"/>
        </w:rPr>
      </w:pPr>
      <w:r>
        <w:rPr>
          <w:rFonts w:ascii="宋体" w:hAnsi="宋体" w:hint="eastAsia"/>
          <w:color w:val="FF0000"/>
          <w:szCs w:val="21"/>
        </w:rPr>
        <w:t>（九）其他违反本条例规定的行为。</w:t>
      </w:r>
    </w:p>
    <w:p>
      <w:pPr>
        <w:spacing w:line="240" w:lineRule="exact"/>
        <w:ind w:firstLine="420" w:firstLineChars="200"/>
        <w:rPr>
          <w:rFonts w:ascii="宋体" w:hAnsi="宋体"/>
          <w:color w:val="FF0000"/>
          <w:szCs w:val="21"/>
        </w:rPr>
      </w:pPr>
      <w:r>
        <w:rPr>
          <w:rFonts w:ascii="宋体" w:hAnsi="宋体" w:hint="eastAsia"/>
          <w:color w:val="FF0000"/>
          <w:szCs w:val="21"/>
        </w:rPr>
        <w:t>二、</w:t>
      </w:r>
      <w:r>
        <w:rPr>
          <w:rFonts w:ascii="宋体" w:hAnsi="宋体" w:hint="eastAsia"/>
          <w:b/>
          <w:bCs/>
          <w:color w:val="FF0000"/>
          <w:szCs w:val="21"/>
        </w:rPr>
        <w:t xml:space="preserve">《深圳经济特区政府采购条例实施细则》第七十五条 </w:t>
      </w:r>
      <w:r>
        <w:rPr>
          <w:rFonts w:ascii="宋体" w:hAnsi="宋体" w:hint="eastAsia"/>
          <w:color w:val="FF0000"/>
          <w:szCs w:val="21"/>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spacing w:line="240" w:lineRule="exact"/>
        <w:ind w:firstLine="420" w:firstLineChars="200"/>
        <w:rPr>
          <w:rFonts w:ascii="宋体" w:hAnsi="宋体"/>
          <w:color w:val="FF0000"/>
          <w:szCs w:val="21"/>
        </w:rPr>
      </w:pPr>
      <w:r>
        <w:rPr>
          <w:rFonts w:ascii="宋体" w:hAnsi="宋体" w:hint="eastAsia"/>
          <w:b/>
          <w:bCs/>
          <w:color w:val="FF0000"/>
          <w:szCs w:val="21"/>
        </w:rPr>
        <w:t xml:space="preserve">三、《深圳经济特区政府采购条例实施细则》第七十七条 </w:t>
      </w:r>
      <w:r>
        <w:rPr>
          <w:rFonts w:ascii="宋体" w:hAnsi="宋体" w:hint="eastAsia"/>
          <w:color w:val="FF0000"/>
          <w:szCs w:val="21"/>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spacing w:line="240" w:lineRule="exact"/>
        <w:ind w:firstLine="420" w:firstLineChars="200"/>
        <w:rPr>
          <w:rFonts w:ascii="宋体" w:hAnsi="宋体"/>
          <w:color w:val="FF0000"/>
          <w:szCs w:val="21"/>
        </w:rPr>
      </w:pPr>
      <w:r>
        <w:rPr>
          <w:rFonts w:ascii="宋体" w:hAnsi="宋体" w:hint="eastAsia"/>
          <w:color w:val="FF0000"/>
          <w:szCs w:val="21"/>
        </w:rPr>
        <w:t>投标供应商不能提供项目负责人或者主要技术人员的劳动合同、社会保险等劳动关系证明材料的，视为存在前款第（三）项规定的情形。</w:t>
      </w:r>
    </w:p>
    <w:p>
      <w:pPr>
        <w:spacing w:line="240" w:lineRule="exact"/>
        <w:ind w:firstLine="420" w:firstLineChars="200"/>
        <w:rPr>
          <w:rFonts w:ascii="宋体" w:hAnsi="宋体"/>
          <w:color w:val="FF0000"/>
          <w:sz w:val="20"/>
          <w:szCs w:val="20"/>
        </w:rPr>
      </w:pPr>
      <w:r>
        <w:rPr>
          <w:rFonts w:ascii="宋体" w:hAnsi="宋体" w:hint="eastAsia"/>
          <w:color w:val="FF0000"/>
          <w:sz w:val="20"/>
          <w:szCs w:val="20"/>
        </w:rPr>
        <w:t>四、供应商在使用深圳政府采购智慧平台的投标文件制作工具创建投标文件时，该工具将自动在投标文件中记录文件创建标识码，同时提取投标文件制作电脑的网卡MAC地址、硬盘序列号、CPU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spacing w:line="240" w:lineRule="exact"/>
        <w:ind w:firstLine="420" w:firstLineChars="200"/>
        <w:rPr>
          <w:rFonts w:ascii="宋体" w:hAnsi="宋体"/>
          <w:color w:val="FF0000"/>
          <w:sz w:val="20"/>
          <w:szCs w:val="20"/>
        </w:rPr>
      </w:pPr>
      <w:r>
        <w:rPr>
          <w:rFonts w:ascii="宋体" w:hAnsi="宋体" w:hint="eastAsia"/>
          <w:color w:val="FF0000"/>
          <w:sz w:val="20"/>
          <w:szCs w:val="20"/>
        </w:rPr>
        <w:t>五、为避免出现不同供应商投标文件的文件制作机器码、文件创建标识码、IP 地址一致的异常情况，建议各供应商编制、上传投标文件时不要使用公共电脑设备或公共网络。</w:t>
      </w:r>
    </w:p>
    <w:p>
      <w:pPr>
        <w:spacing w:line="240" w:lineRule="exact"/>
        <w:ind w:firstLine="420" w:firstLineChars="200"/>
        <w:rPr>
          <w:rFonts w:ascii="宋体" w:hAnsi="宋体"/>
          <w:color w:val="FF0000"/>
          <w:sz w:val="20"/>
          <w:szCs w:val="20"/>
        </w:rPr>
      </w:pPr>
      <w:r>
        <w:rPr>
          <w:rFonts w:ascii="宋体" w:hAnsi="宋体" w:hint="eastAsia"/>
          <w:color w:val="FF0000"/>
          <w:sz w:val="20"/>
          <w:szCs w:val="20"/>
        </w:rPr>
        <w:t>六、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pPr>
        <w:pStyle w:val="BodyText"/>
      </w:pPr>
    </w:p>
    <w:p>
      <w:pPr>
        <w:rPr>
          <w:rFonts w:ascii="宋体" w:hAnsi="宋体"/>
          <w:color w:val="FF0000"/>
          <w:sz w:val="20"/>
          <w:szCs w:val="20"/>
        </w:rPr>
      </w:pPr>
      <w:r>
        <w:rPr>
          <w:rFonts w:ascii="宋体" w:hAnsi="宋体" w:hint="eastAsia"/>
          <w:color w:val="FF0000"/>
          <w:sz w:val="20"/>
          <w:szCs w:val="20"/>
        </w:rPr>
        <w:br w:type="page"/>
      </w:r>
    </w:p>
    <w:p>
      <w:pPr>
        <w:pStyle w:val="BodyText"/>
      </w:pPr>
    </w:p>
    <w:p>
      <w:pPr>
        <w:pStyle w:val="Heading1"/>
      </w:pPr>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1" w:name="_Hlk71994379"/>
      <w:r>
        <w:rPr>
          <w:rFonts w:ascii="宋体" w:hAnsi="宋体" w:hint="eastAsia"/>
          <w:szCs w:val="21"/>
        </w:rPr>
        <w:t>对通用条款的补充内容及其他关键信息</w:t>
      </w:r>
      <w:bookmarkEnd w:id="1"/>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ind w:left="630" w:firstLine="630" w:leftChars="300" w:firstLineChars="300"/>
        <w:jc w:val="left"/>
        <w:rPr>
          <w:rFonts w:ascii="宋体" w:hAnsi="宋体"/>
          <w:szCs w:val="21"/>
        </w:rPr>
      </w:pPr>
      <w:r>
        <w:rPr>
          <w:rFonts w:ascii="宋体" w:hAnsi="宋体" w:hint="eastAsia"/>
          <w:szCs w:val="21"/>
        </w:rPr>
        <w:t>第六章  政府采购履约异常情况反馈表</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rFonts w:ascii="宋体" w:hAnsi="宋体"/>
          <w:szCs w:val="21"/>
        </w:rPr>
      </w:pPr>
      <w:r>
        <w:rPr>
          <w:rFonts w:ascii="宋体" w:hAnsi="宋体" w:hint="eastAsia"/>
          <w:szCs w:val="21"/>
        </w:rPr>
        <w:t>第十一章  质疑处理</w:t>
      </w:r>
    </w:p>
    <w:p>
      <w:pPr>
        <w:pStyle w:val="BodyText"/>
      </w:pPr>
    </w:p>
    <w:p>
      <w:pPr>
        <w:spacing w:line="360" w:lineRule="auto"/>
        <w:ind w:firstLine="420" w:firstLineChars="200"/>
        <w:jc w:val="left"/>
        <w:rPr>
          <w:rFonts w:ascii="宋体" w:hAnsi="宋体"/>
          <w:szCs w:val="21"/>
        </w:rPr>
      </w:pPr>
    </w:p>
    <w:p>
      <w:pPr>
        <w:pStyle w:val="Heading1"/>
        <w:rPr>
          <w:sz w:val="24"/>
        </w:rPr>
      </w:pPr>
      <w:r>
        <w:br w:type="page"/>
      </w:r>
      <w:bookmarkStart w:id="2" w:name="bt投标文件签署授权委托书"/>
      <w:bookmarkEnd w:id="2"/>
      <w:bookmarkStart w:id="3" w:name="bt其他资料2"/>
      <w:bookmarkEnd w:id="3"/>
      <w:bookmarkStart w:id="4" w:name="bt合同条款及格式"/>
      <w:bookmarkEnd w:id="4"/>
      <w:bookmarkStart w:id="5" w:name="bt其他资料由投标人自定"/>
      <w:bookmarkEnd w:id="5"/>
      <w:bookmarkStart w:id="6" w:name="bt合同条款"/>
      <w:bookmarkEnd w:id="6"/>
      <w:bookmarkStart w:id="7" w:name="bt技术标投标文件格式"/>
      <w:bookmarkEnd w:id="7"/>
      <w:bookmarkStart w:id="8" w:name="bt投标人须知"/>
      <w:bookmarkEnd w:id="8"/>
      <w:bookmarkStart w:id="9" w:name="bt项目管理班子配备情况"/>
      <w:bookmarkEnd w:id="9"/>
      <w:bookmarkStart w:id="10" w:name="bt投标报价汇总表"/>
      <w:bookmarkEnd w:id="10"/>
      <w:bookmarkStart w:id="11" w:name="bt开标一览表"/>
      <w:bookmarkEnd w:id="11"/>
      <w:bookmarkStart w:id="12" w:name="bt投标人情况介绍"/>
      <w:bookmarkEnd w:id="12"/>
      <w:bookmarkStart w:id="13" w:name="bt商务标投标文件格式"/>
      <w:bookmarkEnd w:id="13"/>
      <w:bookmarkStart w:id="14" w:name="bt合同格式"/>
      <w:bookmarkEnd w:id="14"/>
      <w:bookmarkStart w:id="15" w:name="合同格式"/>
      <w:bookmarkEnd w:id="15"/>
      <w:bookmarkStart w:id="16" w:name="bt说明"/>
      <w:bookmarkEnd w:id="16"/>
      <w:bookmarkStart w:id="17" w:name="bt本工程承诺书"/>
      <w:bookmarkEnd w:id="17"/>
      <w:bookmarkStart w:id="18" w:name="bt投标函"/>
      <w:bookmarkEnd w:id="18"/>
      <w:r>
        <w:rPr>
          <w:rFonts w:hint="eastAsia"/>
        </w:rPr>
        <w:t>第一册专用条款</w:t>
      </w:r>
    </w:p>
    <w:p>
      <w:pPr>
        <w:pStyle w:val="Heading2"/>
        <w:numPr>
          <w:ilvl w:val="0"/>
          <w:numId w:val="7"/>
        </w:numPr>
      </w:pPr>
      <w:r>
        <w:rPr>
          <w:rFonts w:hint="eastAsia"/>
        </w:rPr>
        <w:t xml:space="preserve"> 招标公告  </w:t>
      </w:r>
    </w:p>
    <w:p>
      <w:pPr>
        <w:pStyle w:val="NormalIndent"/>
        <w:spacing w:before="60" w:beforeLines="25" w:after="60" w:afterLines="25"/>
        <w:ind w:firstLine="393" w:firstLineChars="187"/>
        <w:rPr>
          <w:rFonts w:ascii="宋体" w:hAnsi="宋体" w:cs="宋体"/>
          <w:b/>
          <w:bCs/>
          <w:kern w:val="0"/>
          <w:szCs w:val="21"/>
        </w:rPr>
      </w:pPr>
      <w:r>
        <w:rPr>
          <w:rFonts w:ascii="宋体" w:hAnsi="宋体" w:cs="宋体" w:hint="eastAsia"/>
          <w:b/>
          <w:bCs/>
          <w:kern w:val="0"/>
          <w:szCs w:val="21"/>
        </w:rPr>
        <w:t>一、项目基本情况</w:t>
      </w:r>
    </w:p>
    <w:p>
      <w:pPr>
        <w:pStyle w:val="NormalIndent"/>
        <w:spacing w:before="60" w:beforeLines="25" w:after="60" w:afterLines="25"/>
        <w:ind w:firstLine="393" w:firstLineChars="187"/>
        <w:rPr>
          <w:rFonts w:ascii="宋体" w:hAnsi="宋体" w:cs="宋体" w:hint="eastAsia"/>
          <w:kern w:val="0"/>
          <w:szCs w:val="21"/>
        </w:rPr>
      </w:pPr>
      <w:r>
        <w:rPr>
          <w:rFonts w:ascii="宋体" w:hAnsi="宋体" w:cs="宋体" w:hint="eastAsia"/>
          <w:kern w:val="0"/>
          <w:szCs w:val="21"/>
        </w:rPr>
        <w:t>1.项目编号：</w:t>
      </w:r>
      <w:r>
        <w:rPr>
          <w:rFonts w:ascii="宋体" w:hAnsi="宋体" w:cs="宋体" w:hint="eastAsia"/>
          <w:kern w:val="0"/>
          <w:szCs w:val="21"/>
          <w:lang w:val="en-US" w:eastAsia="zh-CN"/>
        </w:rPr>
        <w:t>PSCG2023000185</w:t>
      </w:r>
    </w:p>
    <w:p>
      <w:pPr>
        <w:pStyle w:val="NormalIndent"/>
        <w:spacing w:before="60" w:beforeLines="25" w:after="60" w:afterLines="25"/>
        <w:ind w:firstLine="393" w:firstLineChars="187"/>
        <w:rPr>
          <w:rFonts w:ascii="宋体" w:hAnsi="宋体" w:cs="宋体"/>
          <w:kern w:val="0"/>
          <w:szCs w:val="21"/>
        </w:rPr>
      </w:pPr>
      <w:r>
        <w:rPr>
          <w:rFonts w:ascii="宋体" w:hAnsi="宋体" w:cs="宋体" w:hint="eastAsia"/>
          <w:kern w:val="0"/>
          <w:szCs w:val="21"/>
        </w:rPr>
        <w:t>2.项目名称：深圳平乐骨伤科医院（深圳市坪山区中医院）互联互通标准化成熟度测评四级甲等咨询服务项目</w:t>
      </w:r>
    </w:p>
    <w:p>
      <w:pPr>
        <w:pStyle w:val="NormalIndent"/>
        <w:spacing w:before="60" w:beforeLines="25" w:after="60" w:afterLines="25"/>
        <w:ind w:firstLine="393" w:firstLineChars="187"/>
        <w:rPr>
          <w:rFonts w:ascii="宋体" w:hAnsi="宋体" w:cs="宋体"/>
          <w:kern w:val="0"/>
          <w:szCs w:val="21"/>
        </w:rPr>
      </w:pPr>
      <w:r>
        <w:rPr>
          <w:rFonts w:ascii="宋体" w:hAnsi="宋体" w:cs="宋体" w:hint="eastAsia"/>
          <w:kern w:val="0"/>
          <w:szCs w:val="21"/>
        </w:rPr>
        <w:t>3.预算金额：</w:t>
      </w:r>
      <w:r>
        <w:rPr>
          <w:rFonts w:ascii="宋体" w:hAnsi="宋体" w:cs="宋体" w:hint="eastAsia"/>
          <w:kern w:val="0"/>
          <w:szCs w:val="21"/>
          <w:lang w:val="en-US" w:eastAsia="zh-CN"/>
        </w:rPr>
        <w:t>450000</w:t>
      </w:r>
      <w:r>
        <w:rPr>
          <w:rFonts w:ascii="宋体" w:hAnsi="宋体" w:cs="宋体" w:hint="eastAsia"/>
          <w:kern w:val="0"/>
          <w:szCs w:val="21"/>
        </w:rPr>
        <w:t>元</w:t>
      </w:r>
    </w:p>
    <w:p>
      <w:pPr>
        <w:pStyle w:val="NormalIndent"/>
        <w:spacing w:before="60" w:beforeLines="25" w:after="60" w:afterLines="25"/>
        <w:ind w:firstLine="393" w:firstLineChars="187"/>
        <w:rPr>
          <w:rFonts w:ascii="宋体" w:hAnsi="宋体" w:cs="宋体"/>
          <w:kern w:val="0"/>
          <w:szCs w:val="21"/>
        </w:rPr>
      </w:pPr>
      <w:r>
        <w:rPr>
          <w:rFonts w:ascii="宋体" w:hAnsi="宋体" w:cs="宋体" w:hint="eastAsia"/>
          <w:kern w:val="0"/>
          <w:szCs w:val="21"/>
        </w:rPr>
        <w:t>4.最高限价：无</w:t>
      </w:r>
    </w:p>
    <w:p>
      <w:pPr>
        <w:pStyle w:val="NormalIndent"/>
        <w:spacing w:before="60" w:beforeLines="25" w:after="60" w:afterLines="25"/>
        <w:ind w:firstLine="393" w:firstLineChars="187"/>
        <w:rPr>
          <w:rFonts w:ascii="宋体" w:hAnsi="宋体" w:cs="宋体"/>
          <w:b/>
          <w:bCs/>
          <w:kern w:val="0"/>
          <w:szCs w:val="21"/>
        </w:rPr>
      </w:pPr>
      <w:r>
        <w:rPr>
          <w:rFonts w:ascii="宋体" w:hAnsi="宋体" w:cs="宋体" w:hint="eastAsia"/>
          <w:b/>
          <w:bCs/>
          <w:kern w:val="0"/>
          <w:szCs w:val="21"/>
        </w:rPr>
        <w:t>二、申请人的资格要求：</w:t>
      </w:r>
    </w:p>
    <w:p>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19" w:name="_Hlk72162904"/>
      <w:r>
        <w:rPr>
          <w:rFonts w:ascii="宋体" w:hAnsi="宋体" w:cs="宋体" w:hint="eastAsia"/>
          <w:kern w:val="0"/>
          <w:szCs w:val="21"/>
        </w:rPr>
        <w:t>具有独立法人资格或是具有独立承担民事责任能力的其它组织（提供营业执照或事业单位法人证书等证明资料扫描件，原件备查）；</w:t>
      </w:r>
      <w:bookmarkEnd w:id="19"/>
    </w:p>
    <w:p>
      <w:pPr>
        <w:ind w:firstLine="630" w:firstLineChars="300"/>
        <w:rPr>
          <w:rFonts w:ascii="宋体" w:hAnsi="宋体" w:cs="宋体"/>
          <w:kern w:val="0"/>
          <w:szCs w:val="21"/>
        </w:rPr>
      </w:pPr>
      <w:r>
        <w:rPr>
          <w:rFonts w:ascii="宋体" w:hAnsi="宋体" w:cs="宋体" w:hint="eastAsia"/>
          <w:kern w:val="0"/>
          <w:szCs w:val="21"/>
        </w:rPr>
        <w:t>2.本项目不接受联合体投标，不允许分包；</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参与本项目投标前三年内，在经营活动中没有重大违法记录（由供应商在《政府采购投标及履约承诺函》中作出声明）；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与其他投标供应商不存在单位负责人为同一人或者存在直接控股、管理关系；未对本次采购项目提供整体设计、规范编制或者项目管理、监理、检测等服务。（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6</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pPr>
        <w:numPr>
          <w:ilvl w:val="255"/>
          <w:numId w:val="0"/>
        </w:numPr>
        <w:ind w:firstLine="630" w:firstLineChars="300"/>
        <w:rPr>
          <w:rFonts w:ascii="宋体" w:hAnsi="宋体" w:cs="宋体"/>
          <w:kern w:val="0"/>
          <w:szCs w:val="21"/>
          <w:highlight w:val="yellow"/>
        </w:rPr>
      </w:pPr>
      <w:r>
        <w:rPr>
          <w:rFonts w:ascii="宋体" w:hAnsi="宋体" w:cs="宋体" w:hint="eastAsia"/>
          <w:kern w:val="0"/>
          <w:szCs w:val="21"/>
          <w:highlight w:val="yellow"/>
        </w:rPr>
        <w:t>7.落实政府采购政策需满足的资格要求：无。</w:t>
      </w:r>
    </w:p>
    <w:p>
      <w:pPr>
        <w:ind w:firstLine="420" w:firstLineChars="200"/>
        <w:rPr>
          <w:rFonts w:ascii="宋体" w:hAnsi="宋体" w:cs="宋体"/>
          <w:kern w:val="0"/>
          <w:szCs w:val="21"/>
        </w:rPr>
      </w:pPr>
    </w:p>
    <w:p>
      <w:pPr>
        <w:ind w:firstLine="420" w:firstLineChars="200"/>
        <w:rPr>
          <w:rFonts w:ascii="宋体" w:hAnsi="宋体" w:cs="宋体"/>
          <w:kern w:val="0"/>
          <w:szCs w:val="21"/>
        </w:rPr>
      </w:pPr>
      <w:r>
        <w:rPr>
          <w:rFonts w:ascii="宋体" w:hAnsi="宋体" w:cs="宋体" w:hint="eastAsia"/>
          <w:kern w:val="0"/>
          <w:szCs w:val="21"/>
        </w:rPr>
        <w:t>注：（1）“信用中国”、“中国政府采购网”、“深圳信用网”以及“深圳市政府采购监管网”为供应商信用信息的查询渠道，相关信息以开标当日的查询结果为准；</w:t>
      </w:r>
    </w:p>
    <w:p>
      <w:pPr>
        <w:numPr>
          <w:ilvl w:val="0"/>
          <w:numId w:val="8"/>
        </w:numPr>
        <w:ind w:firstLine="420" w:firstLineChars="200"/>
        <w:rPr>
          <w:rFonts w:ascii="宋体" w:hAnsi="宋体"/>
        </w:rPr>
      </w:pPr>
      <w:r>
        <w:rPr>
          <w:rFonts w:ascii="宋体" w:hAnsi="宋体" w:hint="eastAsia"/>
        </w:rPr>
        <w:t>供应商</w:t>
      </w:r>
      <w:bookmarkStart w:id="20" w:name="_Hlk72353022"/>
      <w:r>
        <w:rPr>
          <w:rFonts w:ascii="宋体" w:hAnsi="宋体" w:hint="eastAsia"/>
        </w:rPr>
        <w:t>投标（上传投标文件）</w:t>
      </w:r>
      <w:bookmarkEnd w:id="20"/>
      <w:r>
        <w:rPr>
          <w:rFonts w:ascii="宋体" w:hAnsi="宋体" w:hint="eastAsia"/>
        </w:rPr>
        <w:t>必须先行办理注册手续，具体请按照本公告“六、其他补充事宜</w:t>
      </w:r>
      <w:r>
        <w:rPr>
          <w:rFonts w:ascii="宋体" w:hAnsi="宋体"/>
        </w:rPr>
        <w:t>”</w:t>
      </w:r>
      <w:r>
        <w:rPr>
          <w:rFonts w:ascii="宋体" w:hAnsi="宋体" w:hint="eastAsia"/>
        </w:rPr>
        <w:t>相关内容指引办理。</w:t>
      </w:r>
    </w:p>
    <w:p>
      <w:pPr>
        <w:numPr>
          <w:ilvl w:val="0"/>
          <w:numId w:val="8"/>
        </w:numPr>
        <w:ind w:firstLine="420" w:firstLineChars="200"/>
        <w:rPr>
          <w:rFonts w:ascii="宋体" w:hAnsi="宋体"/>
        </w:rPr>
      </w:pPr>
      <w:r>
        <w:rPr>
          <w:rFonts w:ascii="宋体" w:hAnsi="宋体" w:hint="eastAsia"/>
        </w:rPr>
        <w:t>投标人如提供外文资料须同时提供对应的中文翻译资料。</w:t>
      </w:r>
    </w:p>
    <w:p>
      <w:pPr>
        <w:pStyle w:val="NormalIndent"/>
        <w:tabs>
          <w:tab w:val="center" w:pos="4156"/>
        </w:tabs>
        <w:spacing w:before="60" w:beforeLines="25" w:after="60" w:afterLines="25"/>
        <w:ind w:firstLine="420" w:firstLineChars="200"/>
        <w:rPr>
          <w:b/>
          <w:bCs/>
        </w:rPr>
      </w:pPr>
      <w:r>
        <w:rPr>
          <w:b/>
          <w:bCs/>
        </w:rPr>
        <w:t>完整公告内容详见</w:t>
      </w:r>
      <w:r>
        <w:rPr>
          <w:rFonts w:hint="eastAsia"/>
          <w:b/>
          <w:bCs/>
        </w:rPr>
        <w:t>：深圳公共资源交易网（https://www.szggzy.com）</w:t>
      </w:r>
    </w:p>
    <w:p>
      <w:pPr>
        <w:pStyle w:val="BodyText"/>
      </w:pPr>
    </w:p>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1" w:name="_Toc73518117"/>
      <w:bookmarkStart w:id="22" w:name="_Toc73521547"/>
      <w:bookmarkStart w:id="23" w:name="_Toc100052364"/>
      <w:bookmarkStart w:id="24" w:name="_Toc101074876"/>
      <w:bookmarkStart w:id="25" w:name="_Toc73521635"/>
      <w:bookmarkStart w:id="26" w:name="_Toc60631620"/>
      <w:bookmarkStart w:id="27" w:name="_Toc60560625"/>
      <w:bookmarkStart w:id="28" w:name="_Toc73517639"/>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1"/>
            <w:bookmarkEnd w:id="22"/>
            <w:bookmarkEnd w:id="23"/>
            <w:bookmarkEnd w:id="24"/>
            <w:bookmarkEnd w:id="25"/>
            <w:bookmarkEnd w:id="26"/>
            <w:bookmarkEnd w:id="27"/>
            <w:bookmarkEnd w:id="28"/>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eastAsia="宋体" w:hAnsi="宋体" w:hint="eastAsia"/>
                <w:lang w:val="en-US" w:eastAsia="zh-CN"/>
              </w:rPr>
            </w:pPr>
            <w:r>
              <w:rPr>
                <w:rFonts w:ascii="宋体" w:hAnsi="宋体" w:hint="eastAsia"/>
                <w:color w:val="FF0000"/>
                <w:lang w:val="en-US" w:eastAsia="zh-CN"/>
              </w:rPr>
              <w:t>深圳平乐骨伤科医院（深圳市坪山区中医院）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rPr>
            </w:pPr>
            <w:r>
              <w:rPr>
                <w:rFonts w:ascii="宋体" w:hAnsi="宋体" w:hint="eastAsia"/>
              </w:rPr>
              <w:t>深圳公共资源交易中心（深圳交易集团有限公司坪山分公司）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rPr>
            </w:pPr>
            <w:r>
              <w:rPr>
                <w:rFonts w:hint="eastAsia"/>
              </w:rPr>
              <w:t>招标公告中</w:t>
            </w:r>
            <w:r>
              <w:rPr>
                <w:rFonts w:ascii="宋体" w:hAnsi="宋体" w:hint="eastAsia"/>
              </w:rPr>
              <w:t>详见申请人的资格要求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1</w:t>
            </w:r>
          </w:p>
        </w:tc>
        <w:tc>
          <w:tcPr>
            <w:tcW w:w="2409" w:type="dxa"/>
            <w:vAlign w:val="center"/>
          </w:tcPr>
          <w:p>
            <w:pPr>
              <w:jc w:val="center"/>
              <w:rPr>
                <w:rFonts w:ascii="宋体" w:hAnsi="宋体"/>
              </w:rPr>
            </w:pPr>
            <w:r>
              <w:rPr>
                <w:rFonts w:ascii="宋体" w:hAnsi="宋体" w:hint="eastAsia"/>
              </w:rPr>
              <w:t>关于投标保证金</w:t>
            </w:r>
          </w:p>
        </w:tc>
        <w:tc>
          <w:tcPr>
            <w:tcW w:w="4980" w:type="dxa"/>
            <w:vAlign w:val="center"/>
          </w:tcPr>
          <w:p>
            <w:pPr>
              <w:jc w:val="center"/>
              <w:rPr>
                <w:rFonts w:ascii="宋体" w:hAnsi="宋体"/>
              </w:rPr>
            </w:pPr>
            <w:r>
              <w:rPr>
                <w:rFonts w:ascii="宋体" w:hAnsi="宋体" w:hint="eastAsia"/>
              </w:rPr>
              <w:t>不需要</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29" w:name="_Hlk71664860"/>
            <w:r>
              <w:rPr>
                <w:rFonts w:ascii="宋体" w:hAnsi="宋体" w:hint="eastAsia"/>
              </w:rPr>
              <w:t>样品、现场演示、方案讲解</w:t>
            </w:r>
            <w:bookmarkEnd w:id="29"/>
          </w:p>
        </w:tc>
        <w:tc>
          <w:tcPr>
            <w:tcW w:w="4980" w:type="dxa"/>
            <w:vAlign w:val="center"/>
          </w:tcPr>
          <w:p>
            <w:pPr>
              <w:jc w:val="center"/>
              <w:rPr>
                <w:rFonts w:ascii="宋体" w:hAnsi="宋体"/>
              </w:rPr>
            </w:pPr>
            <w:r>
              <w:rPr>
                <w:rFonts w:ascii="宋体" w:hAnsi="宋体" w:hint="eastAsia"/>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highlight w:val="yellow"/>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pStyle w:val="ListParagraph"/>
        <w:numPr>
          <w:ilvl w:val="255"/>
          <w:numId w:val="0"/>
        </w:numPr>
        <w:ind w:left="3360"/>
        <w:rPr>
          <w:b/>
        </w:rPr>
      </w:pPr>
      <w:bookmarkStart w:id="30" w:name="_Hlk72579465"/>
      <w:r>
        <w:rPr>
          <w:rFonts w:hint="eastAsia"/>
          <w:b/>
        </w:rPr>
        <w:t>中标供应商数量信息</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center"/>
          </w:tcPr>
          <w:p>
            <w:pPr>
              <w:jc w:val="center"/>
            </w:pPr>
            <w:r>
              <w:rPr>
                <w:rFonts w:hint="eastAsia"/>
                <w:b/>
                <w:bCs/>
              </w:rPr>
              <w:t>中标供应商数量</w:t>
            </w:r>
          </w:p>
        </w:tc>
        <w:tc>
          <w:tcPr>
            <w:tcW w:w="4265" w:type="dxa"/>
            <w:vAlign w:val="center"/>
          </w:tcPr>
          <w:p>
            <w:pPr>
              <w:jc w:val="center"/>
            </w:pPr>
            <w:r>
              <w:rPr>
                <w:rFonts w:hint="eastAsia"/>
              </w:rPr>
              <w:t>1</w:t>
            </w:r>
          </w:p>
        </w:tc>
      </w:tr>
      <w:tr>
        <w:tblPrEx>
          <w:tblW w:w="8529" w:type="dxa"/>
          <w:tblInd w:w="0" w:type="dxa"/>
          <w:tblLayout w:type="fixed"/>
          <w:tblCellMar>
            <w:top w:w="0" w:type="dxa"/>
            <w:left w:w="108" w:type="dxa"/>
            <w:bottom w:w="0" w:type="dxa"/>
            <w:right w:w="108" w:type="dxa"/>
          </w:tblCellMar>
        </w:tblPrEx>
        <w:tc>
          <w:tcPr>
            <w:tcW w:w="4264" w:type="dxa"/>
            <w:vAlign w:val="center"/>
          </w:tcPr>
          <w:p>
            <w:pPr>
              <w:jc w:val="center"/>
            </w:pPr>
            <w:r>
              <w:rPr>
                <w:rFonts w:ascii="宋体" w:hAnsi="宋体" w:hint="eastAsia"/>
                <w:b/>
              </w:rPr>
              <w:t>候选中标供应商数量</w:t>
            </w:r>
          </w:p>
        </w:tc>
        <w:tc>
          <w:tcPr>
            <w:tcW w:w="4265" w:type="dxa"/>
            <w:vAlign w:val="center"/>
          </w:tcPr>
          <w:p>
            <w:pPr>
              <w:jc w:val="center"/>
            </w:pPr>
            <w:r>
              <w:rPr>
                <w:rFonts w:hint="eastAsia"/>
                <w:highlight w:val="yellow"/>
              </w:rPr>
              <w:t>3</w:t>
            </w:r>
          </w:p>
        </w:tc>
      </w:tr>
    </w:tbl>
    <w:p>
      <w:pPr>
        <w:pStyle w:val="ListParagraph"/>
        <w:ind w:left="3823" w:firstLine="0" w:firstLineChars="0"/>
        <w:rPr>
          <w:b/>
        </w:rPr>
      </w:pPr>
    </w:p>
    <w:p>
      <w:pPr>
        <w:rPr>
          <w:rFonts w:ascii="宋体" w:hAnsi="宋体"/>
          <w:b/>
        </w:rPr>
      </w:pPr>
    </w:p>
    <w:p>
      <w:pPr>
        <w:ind w:firstLine="420" w:firstLineChars="200"/>
        <w:rPr>
          <w:b/>
          <w:bCs/>
        </w:rPr>
      </w:pPr>
      <w:bookmarkEnd w:id="30"/>
      <w:r>
        <w:rPr>
          <w:rFonts w:hint="eastAsia"/>
          <w:b/>
        </w:rPr>
        <w:t>（二）其他事项</w:t>
      </w:r>
    </w:p>
    <w:p>
      <w:pPr>
        <w:ind w:firstLine="420" w:firstLineChars="200"/>
      </w:pPr>
      <w:r>
        <w:t>1</w:t>
      </w:r>
      <w:r>
        <w:rPr>
          <w:rFonts w:hint="eastAsia"/>
        </w:rPr>
        <w:t>.关于享受优惠政策的主体及价格扣除比例</w:t>
      </w:r>
    </w:p>
    <w:p>
      <w:pPr>
        <w:ind w:firstLine="420" w:firstLineChars="200"/>
        <w:rPr>
          <w:rFonts w:ascii="宋体" w:hAnsi="宋体" w:cs="宋体"/>
        </w:rPr>
      </w:pPr>
      <w:r>
        <w:rPr>
          <w:rFonts w:ascii="宋体" w:hAnsi="宋体" w:cs="宋体" w:hint="eastAsia"/>
        </w:rPr>
        <w:t>（1）投标人提供的服务全部均由优惠主体承接，则对其投标总价给予</w:t>
      </w:r>
      <w:r>
        <w:rPr>
          <w:rFonts w:ascii="宋体" w:hAnsi="宋体" w:cs="宋体" w:hint="eastAsia"/>
          <w:highlight w:val="yellow"/>
          <w:u w:val="single"/>
        </w:rPr>
        <w:t xml:space="preserve"> 10%</w:t>
      </w:r>
      <w:r>
        <w:rPr>
          <w:rFonts w:ascii="宋体" w:hAnsi="宋体" w:cs="宋体" w:hint="eastAsia"/>
        </w:rPr>
        <w:t>的扣除，用扣除后的价格参与评审。满足多项优惠政策的企业，不重复享受多项价格扣除政策。</w:t>
      </w:r>
    </w:p>
    <w:p>
      <w:pPr>
        <w:ind w:firstLine="420" w:firstLineChars="200"/>
        <w:rPr>
          <w:rFonts w:ascii="宋体" w:hAnsi="宋体" w:cs="宋体"/>
        </w:rPr>
      </w:pPr>
      <w:r>
        <w:rPr>
          <w:rFonts w:ascii="宋体" w:hAnsi="宋体" w:cs="宋体" w:hint="eastAsia"/>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承接是指提供服务的人员为中小企业依照《中华人民共和国劳动合同法》订立劳动合同的从业人员。</w:t>
      </w:r>
    </w:p>
    <w:p>
      <w:pPr>
        <w:ind w:firstLine="420" w:firstLineChars="200"/>
        <w:rPr>
          <w:rFonts w:ascii="宋体" w:hAnsi="宋体" w:cs="宋体"/>
        </w:rPr>
      </w:pPr>
      <w:r>
        <w:rPr>
          <w:rFonts w:ascii="宋体" w:hAnsi="宋体" w:cs="宋体" w:hint="eastAsia"/>
        </w:rPr>
        <w:t>（2）根据</w:t>
      </w:r>
      <w:r>
        <w:rPr>
          <w:rFonts w:ascii="宋体" w:hAnsi="宋体" w:cs="宋体" w:hint="eastAsia"/>
          <w:szCs w:val="22"/>
        </w:rPr>
        <w:t>《工业和信息化部、国家统计局、国家发展和改革委员会、财政部关于印发中小企业划型标准规定的通知》（工信部联企业〔2011〕300 号）</w:t>
      </w:r>
      <w:r>
        <w:rPr>
          <w:rFonts w:ascii="宋体" w:hAnsi="宋体" w:cs="宋体" w:hint="eastAsia"/>
        </w:rPr>
        <w:t>，</w:t>
      </w:r>
      <w:bookmarkStart w:id="31" w:name="_Hlk71970739"/>
      <w:r>
        <w:rPr>
          <w:rFonts w:ascii="宋体" w:hAnsi="宋体" w:cs="宋体" w:hint="eastAsia"/>
        </w:rPr>
        <w:t>本项目</w:t>
      </w:r>
      <w:bookmarkStart w:id="32" w:name="_Hlk71924718"/>
      <w:r>
        <w:rPr>
          <w:rFonts w:ascii="宋体" w:hAnsi="宋体" w:cs="宋体" w:hint="eastAsia"/>
        </w:rPr>
        <w:t>采购标的（服务需求）对应的中小企业划分标准所属行业</w:t>
      </w:r>
      <w:bookmarkEnd w:id="32"/>
      <w:r>
        <w:rPr>
          <w:rFonts w:ascii="宋体" w:hAnsi="宋体" w:cs="宋体" w:hint="eastAsia"/>
        </w:rPr>
        <w:t>为</w:t>
      </w:r>
      <w:r>
        <w:rPr>
          <w:rFonts w:ascii="宋体" w:hAnsi="宋体" w:cs="宋体" w:hint="eastAsia"/>
          <w:color w:val="FF0000"/>
          <w:highlight w:val="yellow"/>
          <w:u w:val="single"/>
        </w:rPr>
        <w:t xml:space="preserve"> 软件和信息技术服务业</w:t>
      </w:r>
      <w:r>
        <w:rPr>
          <w:rFonts w:ascii="宋体" w:hAnsi="宋体" w:cs="宋体" w:hint="eastAsia"/>
        </w:rPr>
        <w:t>。</w:t>
      </w:r>
      <w:bookmarkEnd w:id="31"/>
    </w:p>
    <w:p>
      <w:pPr>
        <w:ind w:firstLine="420" w:firstLineChars="200"/>
        <w:rPr>
          <w:rFonts w:ascii="宋体" w:hAnsi="宋体" w:cs="宋体"/>
        </w:rPr>
      </w:pPr>
      <w:r>
        <w:rPr>
          <w:rFonts w:ascii="宋体" w:hAnsi="宋体" w:cs="宋体" w:hint="eastAsia"/>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四章 投标文件组成要求及格式”中“四、中小企业声明函、残疾人福利性单位声明函及监狱企业声明函”章节提供的格式）。</w:t>
      </w:r>
    </w:p>
    <w:p>
      <w:pPr>
        <w:ind w:firstLine="420" w:firstLineChars="200"/>
        <w:rPr>
          <w:rFonts w:ascii="宋体" w:hAnsi="宋体" w:cs="宋体"/>
        </w:rPr>
      </w:pPr>
      <w:r>
        <w:rPr>
          <w:rFonts w:ascii="宋体" w:hAnsi="宋体" w:cs="宋体" w:hint="eastAsia"/>
        </w:rPr>
        <w:t>（4）享受价格扣除获得政府采购合同的，小微企业不得将合同分包给大中型企业。</w:t>
      </w:r>
    </w:p>
    <w:p>
      <w:pPr>
        <w:ind w:firstLine="420" w:firstLineChars="200"/>
      </w:pPr>
      <w:r>
        <w:rPr>
          <w:rFonts w:hint="eastAsia"/>
        </w:rPr>
        <w:t>（5）</w:t>
      </w:r>
      <w:r>
        <w:rPr>
          <w:rFonts w:ascii="宋体" w:hAnsi="宋体" w:cs="宋体" w:hint="eastAsia"/>
          <w:kern w:val="0"/>
          <w:szCs w:val="21"/>
        </w:rPr>
        <w:t>（不接受联合体投标的项目，本条不适用）</w:t>
      </w:r>
      <w:r>
        <w:rPr>
          <w:rFonts w:hint="eastAsia"/>
        </w:rPr>
        <w:t>联合体投标的情况下：1、联合体各方均为优惠主体的，该联合体视同为优惠主体享受同比例价格扣除；2、联合体共同投标协议中明确注明约定优惠主体的协议合同金额占到联合体协议总金额30%以上的，对该联合体的投标总价给予</w:t>
      </w:r>
      <w:r>
        <w:rPr>
          <w:rFonts w:ascii="宋体" w:hAnsi="宋体"/>
          <w:color w:val="FF0000"/>
          <w:u w:val="single"/>
        </w:rPr>
        <w:t xml:space="preserve">  </w:t>
      </w:r>
      <w:r>
        <w:rPr>
          <w:rFonts w:ascii="宋体" w:hAnsi="宋体" w:hint="eastAsia"/>
          <w:color w:val="FF0000"/>
          <w:u w:val="single"/>
        </w:rPr>
        <w:t xml:space="preserve"> </w:t>
      </w:r>
      <w:r>
        <w:rPr>
          <w:rFonts w:ascii="宋体" w:hAnsi="宋体"/>
          <w:color w:val="FF0000"/>
          <w:u w:val="single"/>
        </w:rPr>
        <w:t xml:space="preserve">  %</w:t>
      </w:r>
      <w:r>
        <w:rPr>
          <w:rFonts w:hint="eastAsia"/>
        </w:rPr>
        <w:t>的扣除，用扣除后的价格参与评审。</w:t>
      </w:r>
    </w:p>
    <w:p>
      <w:pPr>
        <w:ind w:firstLine="420" w:firstLineChars="200"/>
      </w:pPr>
      <w:r>
        <w:rPr>
          <w:rFonts w:hint="eastAsia"/>
        </w:rPr>
        <w:t>（6）关于不可偏离条款的说明</w:t>
      </w:r>
    </w:p>
    <w:p>
      <w:pPr>
        <w:ind w:firstLine="420" w:firstLineChars="200"/>
      </w:pPr>
      <w:r>
        <w:rPr>
          <w:rFonts w:hint="eastAsia"/>
        </w:rPr>
        <w:t>招标文件中带“★”指标项为不可偏离条款，如出现负偏离，将被视为未实质性满足招标文件要求作投标无效处理。</w:t>
      </w:r>
    </w:p>
    <w:p>
      <w:pPr>
        <w:ind w:firstLine="420" w:firstLineChars="200"/>
      </w:pPr>
      <w:r>
        <w:rPr>
          <w:rFonts w:hint="eastAsia"/>
        </w:rPr>
        <w:t>招标文件中所有涉及“▲”（或其他符号）的条款均为非不可偏离条款，仅作为综合评分时的重要依据。</w:t>
      </w:r>
    </w:p>
    <w:p>
      <w:pPr>
        <w:ind w:firstLine="420" w:firstLineChars="200"/>
        <w:rPr>
          <w:rFonts w:ascii="宋体" w:hAnsi="宋体" w:cs="宋体"/>
        </w:rPr>
      </w:pPr>
      <w:r>
        <w:rPr>
          <w:rFonts w:ascii="宋体" w:hAnsi="宋体" w:cs="宋体" w:hint="eastAsia"/>
        </w:rPr>
        <w:t>2.关于政府采购订单融资政策</w:t>
      </w:r>
    </w:p>
    <w:p>
      <w:pPr>
        <w:ind w:firstLine="420" w:firstLineChars="200"/>
        <w:rPr>
          <w:rFonts w:ascii="宋体" w:hAnsi="宋体" w:cs="宋体"/>
        </w:rPr>
      </w:pPr>
      <w:r>
        <w:rPr>
          <w:rFonts w:ascii="宋体" w:hAnsi="宋体" w:cs="宋体" w:hint="eastAsia"/>
        </w:rPr>
        <w:t>（1）为深入贯彻落实国家深化政府采购制度改革精神，充分发挥政府采购扶持中小企业发展的政策功能，缓解中小微企业融资难、融资贵的问题，根据2020年9月深圳市财政局出台《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详情可登录深圳交易集团融资服务平台查看：http://zfcg.szggzy.com:8081/financeplatform/，或联系深圳交易集团订单融资咨询热线：0755-88653372。</w:t>
      </w:r>
    </w:p>
    <w:p>
      <w:pPr>
        <w:ind w:firstLine="420" w:firstLineChars="200"/>
      </w:pPr>
      <w:r>
        <w:rPr>
          <w:rFonts w:ascii="宋体" w:hAnsi="宋体" w:cs="宋体" w:hint="eastAsia"/>
        </w:rPr>
        <w:t>（2）为进一步拓宽企业融资渠道，降低企业融资成本，我市推出政府采购订单融资服务，中标（成交）供应商可以凭借中标（成交）通知书或政府采购合同向金融机构提出融资申请。订单融资具体流程可登录深圳交易集团融资服务平台（http://zfcg.szggzy.com:8081/financeplatform/），相关政策法规参阅深圳市政府采购监管网（http://zfcg.sz.gov.cn/）信息公开栏目。咨询电话：0755-88653372。</w:t>
      </w:r>
    </w:p>
    <w:p>
      <w:pPr>
        <w:ind w:firstLine="420" w:firstLineChars="200"/>
      </w:pPr>
      <w:r>
        <w:rPr>
          <w:rFonts w:hint="eastAsia"/>
        </w:rPr>
        <w:t>3.本项目向中标供应商收取代理服务费。</w:t>
      </w:r>
    </w:p>
    <w:p>
      <w:pPr>
        <w:ind w:firstLine="420" w:firstLineChars="200"/>
      </w:pPr>
      <w:r>
        <w:rPr>
          <w:rFonts w:hint="eastAsia"/>
        </w:rPr>
        <w:t>中标供应商在领取《中标通知书》之前须向深圳公共资源交易中心（深圳交易集团有限公司坪山分公司）交纳代理服务费。若因中标供应商交纳代理服务费所产生的时间影响到合同签订的，由中标供应商自行承担责任。代理服务费标准参照深</w:t>
      </w:r>
      <w:r>
        <w:rPr>
          <w:rFonts w:ascii="宋体" w:hAnsi="宋体" w:cs="宋体" w:hint="eastAsia"/>
        </w:rPr>
        <w:t>财购〔2018〕27号</w:t>
      </w:r>
      <w:r>
        <w:rPr>
          <w:rFonts w:hint="eastAsia"/>
        </w:rPr>
        <w:t>、</w:t>
      </w:r>
      <w:r>
        <w:rPr>
          <w:rFonts w:ascii="宋体" w:hAnsi="宋体" w:hint="eastAsia"/>
          <w:szCs w:val="21"/>
        </w:rPr>
        <w:t>深交易〔2020〕123号</w:t>
      </w:r>
      <w:r>
        <w:rPr>
          <w:rFonts w:hint="eastAsia"/>
        </w:rPr>
        <w:t>文所列标准收取。本项目类型为</w:t>
      </w:r>
      <w:r>
        <w:rPr>
          <w:rFonts w:hint="eastAsia"/>
          <w:highlight w:val="yellow"/>
          <w:u w:val="single"/>
        </w:rPr>
        <w:t>服务类</w:t>
      </w:r>
      <w:r>
        <w:rPr>
          <w:rFonts w:hint="eastAsia"/>
        </w:rPr>
        <w:t>：</w:t>
      </w:r>
    </w:p>
    <w:p>
      <w:pPr>
        <w:ind w:firstLine="420" w:firstLineChars="200"/>
      </w:pPr>
      <w:r>
        <w:rPr>
          <w:rFonts w:hint="eastAsia"/>
        </w:rPr>
        <w:t>（一）代理服务费以《中标通知书》确定的中标金额作为计算基数，按差额定率累进法计算。</w:t>
      </w:r>
    </w:p>
    <w:p>
      <w:pPr>
        <w:ind w:firstLine="420" w:firstLineChars="200"/>
      </w:pPr>
      <w:r>
        <w:rPr>
          <w:rFonts w:hint="eastAsia"/>
        </w:rPr>
        <w:t>（二）中标金额的各部分费率如下表：</w:t>
      </w:r>
    </w:p>
    <w:tbl>
      <w:tblPr>
        <w:tblStyle w:val="TableNormal"/>
        <w:tblW w:w="8526" w:type="dxa"/>
        <w:jc w:val="center"/>
        <w:tblLayout w:type="fixed"/>
        <w:tblCellMar>
          <w:top w:w="0" w:type="dxa"/>
          <w:left w:w="108" w:type="dxa"/>
          <w:bottom w:w="0" w:type="dxa"/>
          <w:right w:w="108" w:type="dxa"/>
        </w:tblCellMar>
      </w:tblPr>
      <w:tblGrid>
        <w:gridCol w:w="3438"/>
        <w:gridCol w:w="1715"/>
        <w:gridCol w:w="1660"/>
        <w:gridCol w:w="1713"/>
      </w:tblGrid>
      <w:tr>
        <w:tblPrEx>
          <w:tblW w:w="8526" w:type="dxa"/>
          <w:jc w:val="center"/>
          <w:tblLayout w:type="fixed"/>
          <w:tblCellMar>
            <w:top w:w="0" w:type="dxa"/>
            <w:left w:w="108" w:type="dxa"/>
            <w:bottom w:w="0" w:type="dxa"/>
            <w:right w:w="108" w:type="dxa"/>
          </w:tblCellMar>
        </w:tblPrEx>
        <w:trPr>
          <w:trHeight w:val="531"/>
          <w:jc w:val="center"/>
        </w:trPr>
        <w:tc>
          <w:tcPr>
            <w:tcW w:w="3438" w:type="dxa"/>
            <w:tcBorders>
              <w:top w:val="single" w:sz="4" w:space="0" w:color="auto"/>
              <w:left w:val="single" w:sz="4" w:space="0" w:color="auto"/>
              <w:bottom w:val="single" w:sz="4" w:space="0" w:color="auto"/>
              <w:right w:val="single" w:sz="4" w:space="0" w:color="auto"/>
              <w:tl2br w:val="single" w:sz="4" w:space="0" w:color="auto"/>
            </w:tcBorders>
            <w:vAlign w:val="center"/>
          </w:tcPr>
          <w:p>
            <w:pPr>
              <w:ind w:firstLine="1890" w:firstLineChars="900"/>
              <w:rPr>
                <w:rFonts w:ascii="宋体" w:hAnsi="宋体"/>
                <w:bCs/>
              </w:rPr>
            </w:pPr>
            <w:r>
              <w:rPr>
                <w:rFonts w:ascii="宋体" w:hAnsi="宋体" w:hint="eastAsia"/>
                <w:bCs/>
              </w:rPr>
              <w:t>类别</w:t>
            </w:r>
          </w:p>
          <w:p>
            <w:pPr>
              <w:rPr>
                <w:rFonts w:ascii="宋体" w:hAnsi="宋体"/>
                <w:bCs/>
              </w:rPr>
            </w:pPr>
            <w:r>
              <w:rPr>
                <w:rFonts w:ascii="宋体" w:hAnsi="宋体" w:hint="eastAsia"/>
                <w:bCs/>
              </w:rPr>
              <w:t>金额(万元)</w:t>
            </w:r>
          </w:p>
        </w:tc>
        <w:tc>
          <w:tcPr>
            <w:tcW w:w="1715"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bCs/>
              </w:rPr>
            </w:pPr>
            <w:r>
              <w:rPr>
                <w:rFonts w:ascii="宋体" w:hAnsi="宋体" w:hint="eastAsia"/>
                <w:bCs/>
              </w:rPr>
              <w:t>工程采购</w:t>
            </w:r>
          </w:p>
        </w:tc>
        <w:tc>
          <w:tcPr>
            <w:tcW w:w="1660" w:type="dxa"/>
            <w:tcBorders>
              <w:top w:val="single" w:sz="4" w:space="0" w:color="auto"/>
              <w:left w:val="nil"/>
              <w:bottom w:val="single" w:sz="4" w:space="0" w:color="auto"/>
              <w:right w:val="single" w:sz="4" w:space="0" w:color="auto"/>
            </w:tcBorders>
            <w:vAlign w:val="center"/>
          </w:tcPr>
          <w:p>
            <w:pPr>
              <w:jc w:val="center"/>
              <w:rPr>
                <w:rFonts w:ascii="宋体" w:hAnsi="宋体"/>
                <w:bCs/>
              </w:rPr>
            </w:pPr>
            <w:r>
              <w:rPr>
                <w:rFonts w:ascii="宋体" w:hAnsi="宋体" w:hint="eastAsia"/>
                <w:bCs/>
              </w:rPr>
              <w:t>货物采购</w:t>
            </w:r>
          </w:p>
        </w:tc>
        <w:tc>
          <w:tcPr>
            <w:tcW w:w="1713" w:type="dxa"/>
            <w:tcBorders>
              <w:top w:val="single" w:sz="4" w:space="0" w:color="auto"/>
              <w:left w:val="nil"/>
              <w:bottom w:val="single" w:sz="4" w:space="0" w:color="auto"/>
              <w:right w:val="single" w:sz="4" w:space="0" w:color="auto"/>
            </w:tcBorders>
            <w:vAlign w:val="center"/>
          </w:tcPr>
          <w:p>
            <w:pPr>
              <w:jc w:val="center"/>
              <w:rPr>
                <w:rFonts w:ascii="宋体" w:hAnsi="宋体"/>
                <w:bCs/>
              </w:rPr>
            </w:pPr>
            <w:r>
              <w:rPr>
                <w:rFonts w:ascii="宋体" w:hAnsi="宋体" w:hint="eastAsia"/>
                <w:bCs/>
              </w:rPr>
              <w:t>服务采购</w:t>
            </w:r>
          </w:p>
        </w:tc>
      </w:tr>
      <w:tr>
        <w:tblPrEx>
          <w:tblW w:w="8526" w:type="dxa"/>
          <w:jc w:val="center"/>
          <w:tblLayout w:type="fixed"/>
          <w:tblCellMar>
            <w:top w:w="0" w:type="dxa"/>
            <w:left w:w="108" w:type="dxa"/>
            <w:bottom w:w="0" w:type="dxa"/>
            <w:right w:w="108" w:type="dxa"/>
          </w:tblCellMar>
        </w:tblPrEx>
        <w:trPr>
          <w:trHeight w:val="402"/>
          <w:jc w:val="center"/>
        </w:trPr>
        <w:tc>
          <w:tcPr>
            <w:tcW w:w="3438" w:type="dxa"/>
            <w:tcBorders>
              <w:top w:val="single" w:sz="4"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100以下</w:t>
            </w:r>
          </w:p>
        </w:tc>
        <w:tc>
          <w:tcPr>
            <w:tcW w:w="1715" w:type="dxa"/>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1.00%</w:t>
            </w:r>
          </w:p>
        </w:tc>
        <w:tc>
          <w:tcPr>
            <w:tcW w:w="1660" w:type="dxa"/>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1.50%</w:t>
            </w:r>
          </w:p>
        </w:tc>
        <w:tc>
          <w:tcPr>
            <w:tcW w:w="1713" w:type="dxa"/>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1.50%</w:t>
            </w:r>
          </w:p>
        </w:tc>
      </w:tr>
      <w:tr>
        <w:tblPrEx>
          <w:tblW w:w="8526" w:type="dxa"/>
          <w:jc w:val="center"/>
          <w:tblLayout w:type="fixed"/>
          <w:tblCellMar>
            <w:top w:w="0" w:type="dxa"/>
            <w:left w:w="108" w:type="dxa"/>
            <w:bottom w:w="0" w:type="dxa"/>
            <w:right w:w="108" w:type="dxa"/>
          </w:tblCellMar>
        </w:tblPrEx>
        <w:trPr>
          <w:trHeight w:val="402"/>
          <w:jc w:val="center"/>
        </w:trPr>
        <w:tc>
          <w:tcPr>
            <w:tcW w:w="3438" w:type="dxa"/>
            <w:tcBorders>
              <w:top w:val="nil"/>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100-500</w:t>
            </w:r>
          </w:p>
        </w:tc>
        <w:tc>
          <w:tcPr>
            <w:tcW w:w="1715" w:type="dxa"/>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0.70%</w:t>
            </w:r>
          </w:p>
        </w:tc>
        <w:tc>
          <w:tcPr>
            <w:tcW w:w="1660" w:type="dxa"/>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1.10%</w:t>
            </w:r>
          </w:p>
        </w:tc>
        <w:tc>
          <w:tcPr>
            <w:tcW w:w="1713" w:type="dxa"/>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0.80%</w:t>
            </w:r>
          </w:p>
        </w:tc>
      </w:tr>
      <w:tr>
        <w:tblPrEx>
          <w:tblW w:w="8526" w:type="dxa"/>
          <w:jc w:val="center"/>
          <w:tblLayout w:type="fixed"/>
          <w:tblCellMar>
            <w:top w:w="0" w:type="dxa"/>
            <w:left w:w="108" w:type="dxa"/>
            <w:bottom w:w="0" w:type="dxa"/>
            <w:right w:w="108" w:type="dxa"/>
          </w:tblCellMar>
        </w:tblPrEx>
        <w:trPr>
          <w:trHeight w:val="402"/>
          <w:jc w:val="center"/>
        </w:trPr>
        <w:tc>
          <w:tcPr>
            <w:tcW w:w="3438" w:type="dxa"/>
            <w:tcBorders>
              <w:top w:val="nil"/>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500-1000</w:t>
            </w:r>
          </w:p>
        </w:tc>
        <w:tc>
          <w:tcPr>
            <w:tcW w:w="1715" w:type="dxa"/>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0.55%</w:t>
            </w:r>
          </w:p>
        </w:tc>
        <w:tc>
          <w:tcPr>
            <w:tcW w:w="1660" w:type="dxa"/>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0.80%</w:t>
            </w:r>
          </w:p>
        </w:tc>
        <w:tc>
          <w:tcPr>
            <w:tcW w:w="1713" w:type="dxa"/>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0.45%</w:t>
            </w:r>
          </w:p>
        </w:tc>
      </w:tr>
      <w:tr>
        <w:tblPrEx>
          <w:tblW w:w="8526" w:type="dxa"/>
          <w:jc w:val="center"/>
          <w:tblLayout w:type="fixed"/>
          <w:tblCellMar>
            <w:top w:w="0" w:type="dxa"/>
            <w:left w:w="108" w:type="dxa"/>
            <w:bottom w:w="0" w:type="dxa"/>
            <w:right w:w="108" w:type="dxa"/>
          </w:tblCellMar>
        </w:tblPrEx>
        <w:trPr>
          <w:trHeight w:val="402"/>
          <w:jc w:val="center"/>
        </w:trPr>
        <w:tc>
          <w:tcPr>
            <w:tcW w:w="3438" w:type="dxa"/>
            <w:tcBorders>
              <w:top w:val="nil"/>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1000-5000</w:t>
            </w:r>
          </w:p>
        </w:tc>
        <w:tc>
          <w:tcPr>
            <w:tcW w:w="1715" w:type="dxa"/>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0.35%</w:t>
            </w:r>
          </w:p>
        </w:tc>
        <w:tc>
          <w:tcPr>
            <w:tcW w:w="1660" w:type="dxa"/>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0.50%</w:t>
            </w:r>
          </w:p>
        </w:tc>
        <w:tc>
          <w:tcPr>
            <w:tcW w:w="1713" w:type="dxa"/>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0.25%</w:t>
            </w:r>
          </w:p>
        </w:tc>
      </w:tr>
      <w:tr>
        <w:tblPrEx>
          <w:tblW w:w="8526" w:type="dxa"/>
          <w:jc w:val="center"/>
          <w:tblLayout w:type="fixed"/>
          <w:tblCellMar>
            <w:top w:w="0" w:type="dxa"/>
            <w:left w:w="108" w:type="dxa"/>
            <w:bottom w:w="0" w:type="dxa"/>
            <w:right w:w="108" w:type="dxa"/>
          </w:tblCellMar>
        </w:tblPrEx>
        <w:trPr>
          <w:trHeight w:val="402"/>
          <w:jc w:val="center"/>
        </w:trPr>
        <w:tc>
          <w:tcPr>
            <w:tcW w:w="3438" w:type="dxa"/>
            <w:tcBorders>
              <w:top w:val="nil"/>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5000-10000</w:t>
            </w:r>
          </w:p>
        </w:tc>
        <w:tc>
          <w:tcPr>
            <w:tcW w:w="1715" w:type="dxa"/>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0.20%</w:t>
            </w:r>
          </w:p>
        </w:tc>
        <w:tc>
          <w:tcPr>
            <w:tcW w:w="1660" w:type="dxa"/>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0.25%</w:t>
            </w:r>
          </w:p>
        </w:tc>
        <w:tc>
          <w:tcPr>
            <w:tcW w:w="1713" w:type="dxa"/>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0.10%</w:t>
            </w:r>
          </w:p>
        </w:tc>
      </w:tr>
      <w:tr>
        <w:tblPrEx>
          <w:tblW w:w="8526" w:type="dxa"/>
          <w:jc w:val="center"/>
          <w:tblLayout w:type="fixed"/>
          <w:tblCellMar>
            <w:top w:w="0" w:type="dxa"/>
            <w:left w:w="108" w:type="dxa"/>
            <w:bottom w:w="0" w:type="dxa"/>
            <w:right w:w="108" w:type="dxa"/>
          </w:tblCellMar>
        </w:tblPrEx>
        <w:trPr>
          <w:trHeight w:val="402"/>
          <w:jc w:val="center"/>
        </w:trPr>
        <w:tc>
          <w:tcPr>
            <w:tcW w:w="3438" w:type="dxa"/>
            <w:tcBorders>
              <w:top w:val="nil"/>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10000-50000</w:t>
            </w:r>
          </w:p>
        </w:tc>
        <w:tc>
          <w:tcPr>
            <w:tcW w:w="1715" w:type="dxa"/>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0.05%</w:t>
            </w:r>
          </w:p>
        </w:tc>
        <w:tc>
          <w:tcPr>
            <w:tcW w:w="1660" w:type="dxa"/>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0.05%</w:t>
            </w:r>
          </w:p>
        </w:tc>
        <w:tc>
          <w:tcPr>
            <w:tcW w:w="1713" w:type="dxa"/>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0.05%</w:t>
            </w:r>
          </w:p>
        </w:tc>
      </w:tr>
      <w:tr>
        <w:tblPrEx>
          <w:tblW w:w="8526" w:type="dxa"/>
          <w:jc w:val="center"/>
          <w:tblLayout w:type="fixed"/>
          <w:tblCellMar>
            <w:top w:w="0" w:type="dxa"/>
            <w:left w:w="108" w:type="dxa"/>
            <w:bottom w:w="0" w:type="dxa"/>
            <w:right w:w="108" w:type="dxa"/>
          </w:tblCellMar>
        </w:tblPrEx>
        <w:trPr>
          <w:trHeight w:val="402"/>
          <w:jc w:val="center"/>
        </w:trPr>
        <w:tc>
          <w:tcPr>
            <w:tcW w:w="3438" w:type="dxa"/>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50000-100000</w:t>
            </w:r>
          </w:p>
        </w:tc>
        <w:tc>
          <w:tcPr>
            <w:tcW w:w="1715" w:type="dxa"/>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0.035%</w:t>
            </w:r>
          </w:p>
        </w:tc>
        <w:tc>
          <w:tcPr>
            <w:tcW w:w="1660" w:type="dxa"/>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0.035%</w:t>
            </w:r>
          </w:p>
        </w:tc>
        <w:tc>
          <w:tcPr>
            <w:tcW w:w="1713" w:type="dxa"/>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0.035%</w:t>
            </w:r>
          </w:p>
        </w:tc>
      </w:tr>
      <w:tr>
        <w:tblPrEx>
          <w:tblW w:w="8526" w:type="dxa"/>
          <w:jc w:val="center"/>
          <w:tblLayout w:type="fixed"/>
          <w:tblCellMar>
            <w:top w:w="0" w:type="dxa"/>
            <w:left w:w="108" w:type="dxa"/>
            <w:bottom w:w="0" w:type="dxa"/>
            <w:right w:w="108" w:type="dxa"/>
          </w:tblCellMar>
        </w:tblPrEx>
        <w:trPr>
          <w:trHeight w:val="402"/>
          <w:jc w:val="center"/>
        </w:trPr>
        <w:tc>
          <w:tcPr>
            <w:tcW w:w="3438" w:type="dxa"/>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100000-500000</w:t>
            </w:r>
          </w:p>
        </w:tc>
        <w:tc>
          <w:tcPr>
            <w:tcW w:w="1715" w:type="dxa"/>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0.008%</w:t>
            </w:r>
          </w:p>
        </w:tc>
        <w:tc>
          <w:tcPr>
            <w:tcW w:w="1660" w:type="dxa"/>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0.008%</w:t>
            </w:r>
          </w:p>
        </w:tc>
        <w:tc>
          <w:tcPr>
            <w:tcW w:w="1713" w:type="dxa"/>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0.008%</w:t>
            </w:r>
          </w:p>
        </w:tc>
      </w:tr>
      <w:tr>
        <w:tblPrEx>
          <w:tblW w:w="8526" w:type="dxa"/>
          <w:jc w:val="center"/>
          <w:tblLayout w:type="fixed"/>
          <w:tblCellMar>
            <w:top w:w="0" w:type="dxa"/>
            <w:left w:w="108" w:type="dxa"/>
            <w:bottom w:w="0" w:type="dxa"/>
            <w:right w:w="108" w:type="dxa"/>
          </w:tblCellMar>
        </w:tblPrEx>
        <w:trPr>
          <w:trHeight w:val="402"/>
          <w:jc w:val="center"/>
        </w:trPr>
        <w:tc>
          <w:tcPr>
            <w:tcW w:w="3438" w:type="dxa"/>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500000-1000000</w:t>
            </w:r>
          </w:p>
        </w:tc>
        <w:tc>
          <w:tcPr>
            <w:tcW w:w="1715" w:type="dxa"/>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0.006%</w:t>
            </w:r>
          </w:p>
        </w:tc>
        <w:tc>
          <w:tcPr>
            <w:tcW w:w="1660" w:type="dxa"/>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0.006%</w:t>
            </w:r>
          </w:p>
        </w:tc>
        <w:tc>
          <w:tcPr>
            <w:tcW w:w="1713" w:type="dxa"/>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0.006%</w:t>
            </w:r>
          </w:p>
        </w:tc>
      </w:tr>
      <w:tr>
        <w:tblPrEx>
          <w:tblW w:w="8526" w:type="dxa"/>
          <w:jc w:val="center"/>
          <w:tblLayout w:type="fixed"/>
          <w:tblCellMar>
            <w:top w:w="0" w:type="dxa"/>
            <w:left w:w="108" w:type="dxa"/>
            <w:bottom w:w="0" w:type="dxa"/>
            <w:right w:w="108" w:type="dxa"/>
          </w:tblCellMar>
        </w:tblPrEx>
        <w:trPr>
          <w:trHeight w:val="402"/>
          <w:jc w:val="center"/>
        </w:trPr>
        <w:tc>
          <w:tcPr>
            <w:tcW w:w="3438" w:type="dxa"/>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1000000以上</w:t>
            </w:r>
          </w:p>
        </w:tc>
        <w:tc>
          <w:tcPr>
            <w:tcW w:w="1715" w:type="dxa"/>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0.004%</w:t>
            </w:r>
          </w:p>
        </w:tc>
        <w:tc>
          <w:tcPr>
            <w:tcW w:w="1660" w:type="dxa"/>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0.004%</w:t>
            </w:r>
          </w:p>
        </w:tc>
        <w:tc>
          <w:tcPr>
            <w:tcW w:w="1713" w:type="dxa"/>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0.004%</w:t>
            </w:r>
          </w:p>
        </w:tc>
      </w:tr>
    </w:tbl>
    <w:p>
      <w:pPr>
        <w:ind w:firstLine="420" w:firstLineChars="200"/>
      </w:pPr>
    </w:p>
    <w:p>
      <w:pPr>
        <w:ind w:firstLine="420" w:firstLineChars="200"/>
        <w:rPr>
          <w:rFonts w:ascii="宋体" w:hAnsi="宋体" w:cs="宋体"/>
        </w:rPr>
      </w:pPr>
      <w:r>
        <w:rPr>
          <w:rFonts w:ascii="宋体" w:hAnsi="宋体" w:cs="宋体" w:hint="eastAsia"/>
        </w:rPr>
        <w:t>如某货物采购项目，中标金额为600万元，总共交纳的代理服务费的具体计算过程如下：</w:t>
      </w:r>
    </w:p>
    <w:p>
      <w:pPr>
        <w:ind w:firstLine="420" w:firstLineChars="200"/>
        <w:rPr>
          <w:rFonts w:ascii="宋体" w:hAnsi="宋体" w:cs="宋体"/>
        </w:rPr>
      </w:pPr>
      <w:r>
        <w:rPr>
          <w:rFonts w:ascii="宋体" w:hAnsi="宋体" w:cs="宋体" w:hint="eastAsia"/>
        </w:rPr>
        <w:t>标准代理服务费＝（100万以下部分的代理服务费）+（100万～500万部分的代理服务费）+（500万～600万部分的代理服务费）＝100万元×1.5%+（500-100）万元×1.1%+（600-500）万元×0.8%=1.5万元+4.4万元+0.8万元＝6.7万元</w:t>
      </w:r>
    </w:p>
    <w:p>
      <w:pPr>
        <w:ind w:firstLine="420" w:firstLineChars="200"/>
        <w:rPr>
          <w:rFonts w:ascii="宋体" w:hAnsi="宋体" w:cs="宋体"/>
        </w:rPr>
      </w:pPr>
      <w:r>
        <w:rPr>
          <w:rFonts w:ascii="宋体" w:hAnsi="宋体" w:cs="宋体" w:hint="eastAsia"/>
        </w:rPr>
        <w:t>每宗交易代理服务费不低于8000元。</w:t>
      </w:r>
    </w:p>
    <w:p>
      <w:pPr>
        <w:ind w:firstLine="420" w:firstLineChars="200"/>
      </w:pPr>
      <w:r>
        <w:rPr>
          <w:rFonts w:hint="eastAsia"/>
        </w:rPr>
        <w:t>（三）中标供应商中标后，必须按规定采用银行对公转账方式向深圳交易集团有限公司直接交纳代理服务费，交纳信息及要求按以下规定执行：</w:t>
      </w:r>
    </w:p>
    <w:p>
      <w:pPr>
        <w:ind w:firstLine="420" w:firstLineChars="200"/>
        <w:rPr>
          <w:rFonts w:ascii="宋体" w:hAnsi="宋体" w:cs="宋体"/>
          <w:szCs w:val="21"/>
        </w:rPr>
      </w:pPr>
      <w:r>
        <w:rPr>
          <w:rFonts w:ascii="宋体" w:hAnsi="宋体" w:cs="宋体" w:hint="eastAsia"/>
          <w:szCs w:val="21"/>
        </w:rPr>
        <w:t>经营性账户信息如下：</w:t>
      </w:r>
    </w:p>
    <w:p>
      <w:pPr>
        <w:pStyle w:val="BodyText"/>
        <w:spacing w:line="240" w:lineRule="auto"/>
        <w:ind w:firstLine="420" w:firstLineChars="200"/>
        <w:rPr>
          <w:rFonts w:ascii="宋体" w:hAnsi="宋体" w:cs="宋体"/>
          <w:sz w:val="21"/>
          <w:szCs w:val="21"/>
        </w:rPr>
      </w:pPr>
      <w:r>
        <w:rPr>
          <w:rFonts w:ascii="宋体" w:hAnsi="宋体" w:cs="宋体" w:hint="eastAsia"/>
          <w:sz w:val="21"/>
          <w:szCs w:val="21"/>
        </w:rPr>
        <w:t>账户名称：深圳交易集团有限公司</w:t>
      </w:r>
    </w:p>
    <w:p>
      <w:pPr>
        <w:pStyle w:val="BodyText"/>
        <w:spacing w:line="240" w:lineRule="auto"/>
        <w:ind w:firstLine="420" w:firstLineChars="200"/>
        <w:rPr>
          <w:rFonts w:ascii="宋体" w:hAnsi="宋体" w:cs="宋体"/>
          <w:sz w:val="21"/>
          <w:szCs w:val="21"/>
        </w:rPr>
      </w:pPr>
      <w:r>
        <w:rPr>
          <w:rFonts w:ascii="宋体" w:hAnsi="宋体" w:cs="宋体" w:hint="eastAsia"/>
          <w:sz w:val="21"/>
          <w:szCs w:val="21"/>
        </w:rPr>
        <w:t>银行名称：中国民生银行</w:t>
      </w:r>
    </w:p>
    <w:p>
      <w:pPr>
        <w:pStyle w:val="BodyText"/>
        <w:spacing w:line="240" w:lineRule="auto"/>
        <w:ind w:firstLine="420" w:firstLineChars="200"/>
        <w:rPr>
          <w:rFonts w:ascii="宋体" w:hAnsi="宋体" w:cs="宋体"/>
          <w:sz w:val="21"/>
          <w:szCs w:val="21"/>
        </w:rPr>
      </w:pPr>
      <w:r>
        <w:rPr>
          <w:rFonts w:ascii="宋体" w:hAnsi="宋体" w:cs="宋体" w:hint="eastAsia"/>
          <w:sz w:val="21"/>
          <w:szCs w:val="21"/>
        </w:rPr>
        <w:t>开户行：民生银行深圳五洲支行</w:t>
      </w:r>
    </w:p>
    <w:p>
      <w:pPr>
        <w:pStyle w:val="BodyText"/>
        <w:spacing w:line="240" w:lineRule="auto"/>
        <w:ind w:firstLine="420" w:firstLineChars="200"/>
        <w:rPr>
          <w:rFonts w:ascii="宋体" w:hAnsi="宋体" w:cs="宋体"/>
          <w:sz w:val="21"/>
          <w:szCs w:val="21"/>
        </w:rPr>
      </w:pPr>
      <w:r>
        <w:rPr>
          <w:rFonts w:ascii="宋体" w:hAnsi="宋体" w:cs="宋体" w:hint="eastAsia"/>
          <w:sz w:val="21"/>
          <w:szCs w:val="21"/>
        </w:rPr>
        <w:t>银行账号：632766208</w:t>
      </w:r>
    </w:p>
    <w:p>
      <w:pPr>
        <w:pStyle w:val="BodyText"/>
        <w:spacing w:line="240" w:lineRule="auto"/>
        <w:ind w:firstLine="420"/>
        <w:rPr>
          <w:rFonts w:ascii="宋体" w:hAnsi="宋体" w:cs="宋体"/>
          <w:sz w:val="21"/>
          <w:szCs w:val="21"/>
        </w:rPr>
      </w:pPr>
      <w:r>
        <w:rPr>
          <w:rFonts w:ascii="宋体" w:hAnsi="宋体" w:cs="宋体" w:hint="eastAsia"/>
          <w:sz w:val="21"/>
          <w:szCs w:val="21"/>
        </w:rPr>
        <w:t>备注：项目编号+项目名称+中标金额+中标供应商名称。</w:t>
      </w:r>
    </w:p>
    <w:p>
      <w:pPr>
        <w:rPr>
          <w:b/>
        </w:rPr>
      </w:pPr>
      <w:r>
        <w:rPr>
          <w:b/>
        </w:rPr>
        <w:br w:type="page"/>
      </w:r>
    </w:p>
    <w:p>
      <w:pPr>
        <w:pStyle w:val="Heading2"/>
        <w:rPr>
          <w:sz w:val="28"/>
          <w:szCs w:val="28"/>
        </w:rPr>
      </w:pPr>
      <w:bookmarkStart w:id="33" w:name="_Toc128884461"/>
      <w:r>
        <w:rPr>
          <w:rFonts w:hint="eastAsia"/>
          <w:sz w:val="28"/>
          <w:szCs w:val="28"/>
        </w:rPr>
        <w:t>第三章 用户需求书</w:t>
      </w:r>
    </w:p>
    <w:p>
      <w:pPr>
        <w:keepNext/>
        <w:keepLines/>
        <w:adjustRightInd w:val="0"/>
        <w:spacing w:before="260" w:after="260"/>
        <w:jc w:val="center"/>
        <w:textAlignment w:val="baseline"/>
        <w:outlineLvl w:val="1"/>
        <w:rPr>
          <w:rFonts w:ascii="宋体" w:hAnsi="宋体"/>
          <w:b/>
          <w:bCs/>
          <w:kern w:val="0"/>
          <w:sz w:val="24"/>
        </w:rPr>
      </w:pPr>
      <w:bookmarkEnd w:id="33"/>
      <w:r>
        <w:rPr>
          <w:rFonts w:ascii="宋体" w:hAnsi="宋体" w:hint="eastAsia"/>
          <w:b/>
          <w:bCs/>
          <w:kern w:val="0"/>
          <w:sz w:val="24"/>
        </w:rPr>
        <w:t>一、项目基本信息</w:t>
      </w:r>
    </w:p>
    <w:tbl>
      <w:tblPr>
        <w:tblStyle w:val="TableNormal"/>
        <w:tblpPr w:leftFromText="180" w:rightFromText="180" w:vertAnchor="text" w:horzAnchor="margin" w:tblpY="173"/>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
        <w:gridCol w:w="2597"/>
        <w:gridCol w:w="3154"/>
        <w:gridCol w:w="2349"/>
      </w:tblGrid>
      <w:tr>
        <w:tblPrEx>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426" w:type="dxa"/>
            <w:vAlign w:val="center"/>
          </w:tcPr>
          <w:p>
            <w:pPr>
              <w:jc w:val="center"/>
              <w:rPr>
                <w:bCs/>
                <w:szCs w:val="21"/>
              </w:rPr>
            </w:pPr>
            <w:r>
              <w:rPr>
                <w:rFonts w:hint="eastAsia"/>
                <w:bCs/>
                <w:szCs w:val="21"/>
              </w:rPr>
              <w:t>序号</w:t>
            </w:r>
          </w:p>
        </w:tc>
        <w:tc>
          <w:tcPr>
            <w:tcW w:w="2597" w:type="dxa"/>
            <w:vAlign w:val="center"/>
          </w:tcPr>
          <w:p>
            <w:pPr>
              <w:jc w:val="center"/>
              <w:rPr>
                <w:bCs/>
                <w:szCs w:val="21"/>
              </w:rPr>
            </w:pPr>
            <w:r>
              <w:rPr>
                <w:rFonts w:hint="eastAsia"/>
                <w:szCs w:val="21"/>
              </w:rPr>
              <w:t>采购计划编号</w:t>
            </w:r>
          </w:p>
        </w:tc>
        <w:tc>
          <w:tcPr>
            <w:tcW w:w="3154" w:type="dxa"/>
            <w:vAlign w:val="center"/>
          </w:tcPr>
          <w:p>
            <w:pPr>
              <w:jc w:val="center"/>
              <w:rPr>
                <w:bCs/>
                <w:szCs w:val="21"/>
              </w:rPr>
            </w:pPr>
            <w:r>
              <w:rPr>
                <w:rFonts w:hint="eastAsia"/>
                <w:bCs/>
                <w:szCs w:val="21"/>
              </w:rPr>
              <w:t>采购项目名称</w:t>
            </w:r>
          </w:p>
        </w:tc>
        <w:tc>
          <w:tcPr>
            <w:tcW w:w="2349" w:type="dxa"/>
            <w:vAlign w:val="center"/>
          </w:tcPr>
          <w:p>
            <w:pPr>
              <w:jc w:val="center"/>
              <w:rPr>
                <w:b/>
                <w:bCs/>
                <w:color w:val="FF0000"/>
                <w:szCs w:val="21"/>
              </w:rPr>
            </w:pPr>
            <w:r>
              <w:rPr>
                <w:rFonts w:hint="eastAsia"/>
                <w:b/>
                <w:bCs/>
                <w:color w:val="FF0000"/>
                <w:szCs w:val="21"/>
              </w:rPr>
              <w:t>财政预算限额（元）</w:t>
            </w:r>
          </w:p>
        </w:tc>
      </w:tr>
      <w:tr>
        <w:tblPrEx>
          <w:tblW w:w="8526" w:type="dxa"/>
          <w:tblInd w:w="0" w:type="dxa"/>
          <w:tblLayout w:type="fixed"/>
          <w:tblCellMar>
            <w:top w:w="0" w:type="dxa"/>
            <w:left w:w="108" w:type="dxa"/>
            <w:bottom w:w="0" w:type="dxa"/>
            <w:right w:w="108" w:type="dxa"/>
          </w:tblCellMar>
        </w:tblPrEx>
        <w:trPr>
          <w:trHeight w:val="290"/>
        </w:trPr>
        <w:tc>
          <w:tcPr>
            <w:tcW w:w="426" w:type="dxa"/>
            <w:vAlign w:val="center"/>
          </w:tcPr>
          <w:p>
            <w:pPr>
              <w:jc w:val="center"/>
              <w:rPr>
                <w:bCs/>
                <w:color w:val="FF0000"/>
                <w:szCs w:val="21"/>
              </w:rPr>
            </w:pPr>
            <w:r>
              <w:rPr>
                <w:rFonts w:hint="eastAsia"/>
                <w:bCs/>
                <w:color w:val="FF0000"/>
                <w:szCs w:val="21"/>
              </w:rPr>
              <w:t>1</w:t>
            </w:r>
          </w:p>
        </w:tc>
        <w:tc>
          <w:tcPr>
            <w:tcW w:w="2597" w:type="dxa"/>
            <w:vAlign w:val="center"/>
          </w:tcPr>
          <w:p>
            <w:pPr>
              <w:jc w:val="center"/>
              <w:rPr>
                <w:bCs/>
                <w:color w:val="FF0000"/>
                <w:szCs w:val="21"/>
              </w:rPr>
            </w:pPr>
            <w:r>
              <w:rPr>
                <w:bCs/>
                <w:color w:val="FF0000"/>
                <w:szCs w:val="21"/>
              </w:rPr>
              <w:t>ZXBZ20234403103805</w:t>
            </w:r>
          </w:p>
        </w:tc>
        <w:tc>
          <w:tcPr>
            <w:tcW w:w="3154" w:type="dxa"/>
            <w:vAlign w:val="center"/>
          </w:tcPr>
          <w:p>
            <w:pPr>
              <w:jc w:val="center"/>
              <w:rPr>
                <w:rFonts w:eastAsia="宋体" w:hint="eastAsia"/>
                <w:b/>
                <w:bCs/>
                <w:color w:val="FF0000"/>
                <w:szCs w:val="21"/>
                <w:lang w:val="en-US" w:eastAsia="zh-CN"/>
              </w:rPr>
            </w:pPr>
            <w:r>
              <w:rPr>
                <w:rFonts w:eastAsia="宋体" w:hint="eastAsia"/>
                <w:b/>
                <w:bCs/>
                <w:color w:val="FF0000"/>
                <w:szCs w:val="21"/>
                <w:lang w:val="en-US" w:eastAsia="zh-CN"/>
              </w:rPr>
              <w:t>深圳平乐骨伤科医院（深圳市坪山区中医院）互联互通标准化成熟度测评四级甲等咨询服务项目</w:t>
            </w:r>
          </w:p>
        </w:tc>
        <w:tc>
          <w:tcPr>
            <w:tcW w:w="2349" w:type="dxa"/>
            <w:vAlign w:val="center"/>
          </w:tcPr>
          <w:p>
            <w:pPr>
              <w:jc w:val="center"/>
              <w:rPr>
                <w:rFonts w:eastAsia="宋体" w:hint="default"/>
                <w:bCs/>
                <w:color w:val="FF0000"/>
                <w:szCs w:val="21"/>
                <w:lang w:val="en-US" w:eastAsia="zh-CN"/>
              </w:rPr>
            </w:pPr>
            <w:r>
              <w:rPr>
                <w:rFonts w:hint="eastAsia"/>
                <w:bCs/>
                <w:color w:val="FF0000"/>
                <w:szCs w:val="21"/>
                <w:lang w:val="en-US" w:eastAsia="zh-CN"/>
              </w:rPr>
              <w:t>450000</w:t>
            </w:r>
          </w:p>
        </w:tc>
      </w:tr>
    </w:tbl>
    <w:p>
      <w:pPr>
        <w:rPr>
          <w:rFonts w:ascii="宋体" w:hAnsi="宋体"/>
          <w:b/>
          <w:color w:val="FF0000"/>
          <w:szCs w:val="21"/>
        </w:rPr>
      </w:pPr>
    </w:p>
    <w:p>
      <w:pPr>
        <w:keepNext/>
        <w:keepLines/>
        <w:adjustRightInd w:val="0"/>
        <w:spacing w:before="120" w:beforeLines="50" w:after="120" w:afterLines="50"/>
        <w:jc w:val="center"/>
        <w:textAlignment w:val="baseline"/>
        <w:outlineLvl w:val="1"/>
        <w:rPr>
          <w:rFonts w:ascii="宋体" w:hAnsi="宋体"/>
          <w:b/>
          <w:bCs/>
          <w:kern w:val="0"/>
          <w:sz w:val="24"/>
        </w:rPr>
      </w:pPr>
      <w:r>
        <w:rPr>
          <w:rFonts w:ascii="宋体" w:hAnsi="宋体" w:hint="eastAsia"/>
          <w:b/>
          <w:bCs/>
          <w:kern w:val="0"/>
          <w:sz w:val="24"/>
        </w:rPr>
        <w:t>二、项目概况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根据国家医政医管局发布的《关于进一步推进以电子病历为核心的医疗机构信息化建设工作的通知》（国卫办医发〔2018〕20号）的要求，到2020年三级医院要实现院内各诊疗环节信息互联互通，达到医院信息互联互通标准化成熟度测评4级水平。医疗健康信息跨区域互联互通和信息共享是当前深圳市医疗健康信息标准建设重点建设内容之一，针对于深圳市医疗健康信息化发展现状，加快推进全市医疗健康信息互联互通标准化成熟度测评工作，将进一步促进各级各类医疗卫生机构信息互联互通和业务协同，推动人口健康信息化建设服务于民、惠及于民的目标实现。</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深圳平乐骨伤科医院（深圳市坪山区中医院）</w:t>
      </w:r>
      <w:r>
        <w:rPr>
          <w:rFonts w:ascii="宋体" w:eastAsia="宋体" w:hAnsi="宋体" w:cs="宋体" w:hint="eastAsia"/>
          <w:sz w:val="21"/>
          <w:szCs w:val="21"/>
        </w:rPr>
        <w:t>包含福田院区、坪山总院区、坪山坑梓院区，目前为一院三址，且下辖6家社区健康服务中心。根据医院多院区一体化、同质化管理要求，对医院信息化建设中的主数据管理、信息系统间互联互通的标准化也提出了更高的要求。根据信息互联互通标准化成熟度测评标准的要求，同时结合医院</w:t>
      </w:r>
      <w:r>
        <w:rPr>
          <w:rFonts w:ascii="宋体" w:eastAsia="宋体" w:hAnsi="宋体" w:cs="宋体" w:hint="eastAsia"/>
          <w:sz w:val="21"/>
          <w:szCs w:val="21"/>
          <w:lang w:val="en-US" w:eastAsia="zh-CN"/>
        </w:rPr>
        <w:t>集团化</w:t>
      </w:r>
      <w:r>
        <w:rPr>
          <w:rFonts w:ascii="宋体" w:eastAsia="宋体" w:hAnsi="宋体" w:cs="宋体" w:hint="eastAsia"/>
          <w:sz w:val="21"/>
          <w:szCs w:val="21"/>
        </w:rPr>
        <w:t>高质量发展的需要，医院计划开展医院信息互联互通标准化成熟度测评工作。</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为保障医院信息互联互通标准化的建设，我院计划采购医疗健康信息互联互通标准化成熟度测评咨询服务，中标方</w:t>
      </w:r>
      <w:r>
        <w:rPr>
          <w:rFonts w:ascii="宋体" w:eastAsia="宋体" w:hAnsi="宋体" w:cs="宋体" w:hint="eastAsia"/>
          <w:sz w:val="21"/>
          <w:szCs w:val="21"/>
          <w:lang w:val="en-US" w:eastAsia="zh-CN"/>
        </w:rPr>
        <w:t>需具备相关标准的编制或丰富的测评经验，安排掌握测评标准并有实际项目经验的项目团队</w:t>
      </w:r>
      <w:r>
        <w:rPr>
          <w:rFonts w:ascii="宋体" w:eastAsia="宋体" w:hAnsi="宋体" w:cs="宋体" w:hint="eastAsia"/>
          <w:sz w:val="21"/>
          <w:szCs w:val="21"/>
        </w:rPr>
        <w:t>为医院提供标准解读、现状梳理、建设与评审规划</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自评分析</w:t>
      </w:r>
      <w:r>
        <w:rPr>
          <w:rFonts w:ascii="宋体" w:eastAsia="宋体" w:hAnsi="宋体" w:cs="宋体" w:hint="eastAsia"/>
          <w:sz w:val="21"/>
          <w:szCs w:val="21"/>
        </w:rPr>
        <w:t>等测评咨询服务。</w:t>
      </w:r>
      <w:r>
        <w:rPr>
          <w:rFonts w:ascii="宋体" w:eastAsia="宋体" w:hAnsi="宋体" w:cs="宋体" w:hint="eastAsia"/>
          <w:sz w:val="21"/>
          <w:szCs w:val="21"/>
          <w:lang w:val="en-US" w:eastAsia="zh-CN"/>
        </w:rPr>
        <w:t>通过</w:t>
      </w:r>
      <w:r>
        <w:rPr>
          <w:rFonts w:ascii="宋体" w:eastAsia="宋体" w:hAnsi="宋体" w:cs="宋体" w:hint="eastAsia"/>
          <w:sz w:val="21"/>
          <w:szCs w:val="21"/>
        </w:rPr>
        <w:t>以评促建为</w:t>
      </w:r>
      <w:r>
        <w:rPr>
          <w:rFonts w:ascii="宋体" w:eastAsia="宋体" w:hAnsi="宋体" w:cs="宋体" w:hint="eastAsia"/>
          <w:sz w:val="21"/>
          <w:szCs w:val="21"/>
          <w:lang w:val="en-US" w:eastAsia="zh-CN"/>
        </w:rPr>
        <w:t>推进</w:t>
      </w:r>
      <w:r>
        <w:rPr>
          <w:rFonts w:ascii="宋体" w:eastAsia="宋体" w:hAnsi="宋体" w:cs="宋体" w:hint="eastAsia"/>
          <w:sz w:val="21"/>
          <w:szCs w:val="21"/>
        </w:rPr>
        <w:t>医院医疗卫生信息数据的准确性、可靠性、真实性、一致性</w:t>
      </w:r>
      <w:r>
        <w:rPr>
          <w:rFonts w:ascii="宋体" w:eastAsia="宋体" w:hAnsi="宋体" w:cs="宋体" w:hint="eastAsia"/>
          <w:sz w:val="21"/>
          <w:szCs w:val="21"/>
          <w:lang w:val="en-US" w:eastAsia="zh-CN"/>
        </w:rPr>
        <w:t>以及数据的标准化互联互通</w:t>
      </w:r>
      <w:r>
        <w:rPr>
          <w:rFonts w:ascii="宋体" w:eastAsia="宋体" w:hAnsi="宋体" w:cs="宋体" w:hint="eastAsia"/>
          <w:sz w:val="21"/>
          <w:szCs w:val="21"/>
        </w:rPr>
        <w:t>奠定基础，实现医疗健康信息互通共享及业务协同，为将来全面实现医院医疗信息互通共享提供保障。</w:t>
      </w:r>
    </w:p>
    <w:p>
      <w:pPr>
        <w:keepNext/>
        <w:keepLines/>
        <w:adjustRightInd w:val="0"/>
        <w:spacing w:before="120" w:beforeLines="50" w:after="120" w:afterLines="50"/>
        <w:jc w:val="center"/>
        <w:textAlignment w:val="baseline"/>
        <w:outlineLvl w:val="1"/>
        <w:rPr>
          <w:rFonts w:ascii="宋体" w:hAnsi="宋体"/>
          <w:b/>
          <w:bCs/>
          <w:kern w:val="0"/>
          <w:sz w:val="24"/>
        </w:rPr>
      </w:pPr>
      <w:r>
        <w:rPr>
          <w:rFonts w:ascii="宋体" w:hAnsi="宋体" w:hint="eastAsia"/>
          <w:b/>
          <w:bCs/>
          <w:kern w:val="0"/>
          <w:sz w:val="24"/>
        </w:rPr>
        <w:t>三、</w:t>
      </w:r>
      <w:bookmarkStart w:id="34" w:name="_Hlk72073432"/>
      <w:r>
        <w:rPr>
          <w:rFonts w:ascii="宋体" w:hAnsi="宋体" w:hint="eastAsia"/>
          <w:b/>
          <w:bCs/>
          <w:kern w:val="0"/>
          <w:sz w:val="24"/>
        </w:rPr>
        <w:t>服务需求明细</w:t>
      </w:r>
      <w:bookmarkEnd w:id="34"/>
    </w:p>
    <w:tbl>
      <w:tblPr>
        <w:tblStyle w:val="TableNormal"/>
        <w:tblpPr w:leftFromText="180" w:rightFromText="180" w:vertAnchor="text" w:horzAnchor="margin" w:tblpY="173"/>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5"/>
        <w:gridCol w:w="1191"/>
        <w:gridCol w:w="3746"/>
        <w:gridCol w:w="814"/>
        <w:gridCol w:w="2040"/>
      </w:tblGrid>
      <w:tr>
        <w:tblPrEx>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trPr>
        <w:tc>
          <w:tcPr>
            <w:tcW w:w="735" w:type="dxa"/>
            <w:vAlign w:val="center"/>
          </w:tcPr>
          <w:p>
            <w:pPr>
              <w:jc w:val="center"/>
              <w:rPr>
                <w:bCs/>
                <w:szCs w:val="21"/>
              </w:rPr>
            </w:pPr>
            <w:r>
              <w:rPr>
                <w:rFonts w:hint="eastAsia"/>
                <w:bCs/>
                <w:szCs w:val="21"/>
              </w:rPr>
              <w:t>序号</w:t>
            </w:r>
          </w:p>
        </w:tc>
        <w:tc>
          <w:tcPr>
            <w:tcW w:w="1191" w:type="dxa"/>
            <w:vAlign w:val="center"/>
          </w:tcPr>
          <w:p>
            <w:pPr>
              <w:jc w:val="center"/>
              <w:rPr>
                <w:bCs/>
                <w:szCs w:val="21"/>
              </w:rPr>
            </w:pPr>
            <w:r>
              <w:rPr>
                <w:rFonts w:hint="eastAsia"/>
                <w:szCs w:val="21"/>
              </w:rPr>
              <w:t>采购计划编号</w:t>
            </w:r>
          </w:p>
        </w:tc>
        <w:tc>
          <w:tcPr>
            <w:tcW w:w="3746" w:type="dxa"/>
            <w:vAlign w:val="center"/>
          </w:tcPr>
          <w:p>
            <w:pPr>
              <w:jc w:val="center"/>
              <w:rPr>
                <w:bCs/>
                <w:szCs w:val="21"/>
              </w:rPr>
            </w:pPr>
            <w:r>
              <w:rPr>
                <w:rFonts w:hint="eastAsia"/>
                <w:bCs/>
                <w:szCs w:val="21"/>
              </w:rPr>
              <w:t>服务需求名称（标的名称）</w:t>
            </w:r>
          </w:p>
        </w:tc>
        <w:tc>
          <w:tcPr>
            <w:tcW w:w="814" w:type="dxa"/>
            <w:vAlign w:val="center"/>
          </w:tcPr>
          <w:p>
            <w:pPr>
              <w:jc w:val="center"/>
              <w:rPr>
                <w:bCs/>
                <w:szCs w:val="21"/>
              </w:rPr>
            </w:pPr>
            <w:r>
              <w:rPr>
                <w:rFonts w:hint="eastAsia"/>
                <w:bCs/>
                <w:szCs w:val="21"/>
              </w:rPr>
              <w:t>数量</w:t>
            </w:r>
          </w:p>
        </w:tc>
        <w:tc>
          <w:tcPr>
            <w:tcW w:w="2040" w:type="dxa"/>
            <w:vAlign w:val="center"/>
          </w:tcPr>
          <w:p>
            <w:pPr>
              <w:jc w:val="center"/>
              <w:rPr>
                <w:bCs/>
                <w:szCs w:val="21"/>
              </w:rPr>
            </w:pPr>
            <w:r>
              <w:rPr>
                <w:rFonts w:hint="eastAsia"/>
                <w:bCs/>
                <w:szCs w:val="21"/>
              </w:rPr>
              <w:t>单位</w:t>
            </w:r>
          </w:p>
        </w:tc>
      </w:tr>
      <w:tr>
        <w:tblPrEx>
          <w:tblW w:w="8526" w:type="dxa"/>
          <w:tblInd w:w="0" w:type="dxa"/>
          <w:tblLayout w:type="fixed"/>
          <w:tblCellMar>
            <w:top w:w="0" w:type="dxa"/>
            <w:left w:w="108" w:type="dxa"/>
            <w:bottom w:w="0" w:type="dxa"/>
            <w:right w:w="108" w:type="dxa"/>
          </w:tblCellMar>
        </w:tblPrEx>
        <w:trPr>
          <w:trHeight w:val="170"/>
        </w:trPr>
        <w:tc>
          <w:tcPr>
            <w:tcW w:w="735" w:type="dxa"/>
            <w:vAlign w:val="center"/>
          </w:tcPr>
          <w:p>
            <w:pPr>
              <w:jc w:val="center"/>
              <w:rPr>
                <w:bCs/>
                <w:szCs w:val="21"/>
              </w:rPr>
            </w:pPr>
            <w:r>
              <w:rPr>
                <w:rFonts w:hint="eastAsia"/>
                <w:bCs/>
                <w:szCs w:val="21"/>
              </w:rPr>
              <w:t>1</w:t>
            </w:r>
          </w:p>
        </w:tc>
        <w:tc>
          <w:tcPr>
            <w:tcW w:w="1191" w:type="dxa"/>
            <w:vAlign w:val="center"/>
          </w:tcPr>
          <w:p>
            <w:pPr>
              <w:jc w:val="center"/>
              <w:rPr>
                <w:bCs/>
                <w:szCs w:val="21"/>
              </w:rPr>
            </w:pPr>
            <w:r>
              <w:rPr>
                <w:bCs/>
                <w:szCs w:val="21"/>
              </w:rPr>
              <w:t>ZXBZ20234403103805</w:t>
            </w:r>
          </w:p>
        </w:tc>
        <w:tc>
          <w:tcPr>
            <w:tcW w:w="3746" w:type="dxa"/>
            <w:vAlign w:val="center"/>
          </w:tcPr>
          <w:p>
            <w:pPr>
              <w:jc w:val="center"/>
              <w:rPr>
                <w:bCs/>
                <w:szCs w:val="21"/>
              </w:rPr>
            </w:pPr>
            <w:r>
              <w:rPr>
                <w:rFonts w:hint="eastAsia"/>
                <w:bCs/>
                <w:szCs w:val="21"/>
                <w:lang w:val="en-US" w:eastAsia="zh-CN"/>
              </w:rPr>
              <w:t>深圳平乐骨伤科医院（深圳市坪山区中医院）互联互通标准化成熟度测评四级甲等咨询服务项目</w:t>
            </w:r>
          </w:p>
        </w:tc>
        <w:tc>
          <w:tcPr>
            <w:tcW w:w="814" w:type="dxa"/>
            <w:vAlign w:val="center"/>
          </w:tcPr>
          <w:p>
            <w:pPr>
              <w:jc w:val="center"/>
              <w:rPr>
                <w:rFonts w:eastAsia="宋体" w:hint="eastAsia"/>
                <w:bCs/>
                <w:szCs w:val="21"/>
                <w:lang w:val="en-US" w:eastAsia="zh-CN"/>
              </w:rPr>
            </w:pPr>
            <w:r>
              <w:rPr>
                <w:rFonts w:hint="eastAsia"/>
                <w:bCs/>
                <w:szCs w:val="21"/>
                <w:lang w:val="en-US" w:eastAsia="zh-CN"/>
              </w:rPr>
              <w:t>1</w:t>
            </w:r>
          </w:p>
        </w:tc>
        <w:tc>
          <w:tcPr>
            <w:tcW w:w="2040" w:type="dxa"/>
            <w:vAlign w:val="center"/>
          </w:tcPr>
          <w:p>
            <w:pPr>
              <w:jc w:val="center"/>
              <w:rPr>
                <w:rFonts w:eastAsia="宋体" w:hint="eastAsia"/>
                <w:bCs/>
                <w:szCs w:val="21"/>
                <w:lang w:val="en-US" w:eastAsia="zh-CN"/>
              </w:rPr>
            </w:pPr>
            <w:r>
              <w:rPr>
                <w:rFonts w:hint="eastAsia"/>
                <w:bCs/>
                <w:szCs w:val="21"/>
                <w:lang w:val="en-US" w:eastAsia="zh-CN"/>
              </w:rPr>
              <w:t>项</w:t>
            </w:r>
          </w:p>
        </w:tc>
      </w:tr>
    </w:tbl>
    <w:p>
      <w:pPr>
        <w:rPr>
          <w:rFonts w:ascii="宋体" w:hAnsi="宋体"/>
          <w:b/>
          <w:color w:val="FF0000"/>
          <w:szCs w:val="21"/>
        </w:rPr>
      </w:pPr>
    </w:p>
    <w:p>
      <w:pPr>
        <w:keepNext/>
        <w:keepLines/>
        <w:adjustRightInd w:val="0"/>
        <w:spacing w:before="120" w:beforeLines="50" w:after="120" w:afterLines="50"/>
        <w:jc w:val="center"/>
        <w:textAlignment w:val="baseline"/>
        <w:outlineLvl w:val="1"/>
        <w:rPr>
          <w:rFonts w:ascii="宋体" w:hAnsi="宋体"/>
          <w:b/>
          <w:bCs/>
          <w:kern w:val="0"/>
          <w:sz w:val="24"/>
        </w:rPr>
      </w:pPr>
      <w:r>
        <w:rPr>
          <w:rFonts w:ascii="宋体" w:hAnsi="宋体" w:hint="eastAsia"/>
          <w:b/>
          <w:bCs/>
          <w:kern w:val="0"/>
          <w:sz w:val="24"/>
        </w:rPr>
        <w:t>四、实质性条款</w:t>
      </w:r>
    </w:p>
    <w:tbl>
      <w:tblPr>
        <w:tblStyle w:val="TableNormal"/>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61"/>
        <w:gridCol w:w="7865"/>
      </w:tblGrid>
      <w:tr>
        <w:tblPrEx>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661"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865"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526" w:type="dxa"/>
          <w:tblInd w:w="0" w:type="dxa"/>
          <w:tblLayout w:type="fixed"/>
          <w:tblCellMar>
            <w:top w:w="0" w:type="dxa"/>
            <w:left w:w="108" w:type="dxa"/>
            <w:bottom w:w="0" w:type="dxa"/>
            <w:right w:w="108" w:type="dxa"/>
          </w:tblCellMar>
        </w:tblPrEx>
        <w:tc>
          <w:tcPr>
            <w:tcW w:w="661"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865" w:type="dxa"/>
            <w:vAlign w:val="center"/>
          </w:tcPr>
          <w:p>
            <w:pPr>
              <w:jc w:val="left"/>
              <w:rPr>
                <w:rFonts w:hAnsi="宋体"/>
                <w:kern w:val="0"/>
                <w:szCs w:val="21"/>
              </w:rPr>
            </w:pPr>
            <w:r>
              <w:rPr>
                <w:rFonts w:hAnsi="宋体" w:hint="eastAsia"/>
                <w:kern w:val="0"/>
                <w:szCs w:val="21"/>
              </w:rPr>
              <w:t>★服务时间：合同签订之日12个月内完成，如未在合同期内完成互联互通四级甲等测评，则顺延至通过为止。</w:t>
            </w:r>
          </w:p>
        </w:tc>
      </w:tr>
    </w:tbl>
    <w:p>
      <w:r>
        <w:rPr>
          <w:rFonts w:hint="eastAsia"/>
        </w:rPr>
        <w:t>注：上表所列内容为不可负偏离条款，负偏离将视为未实质性满足招标文件要求作投标无效处理。</w:t>
      </w:r>
    </w:p>
    <w:p>
      <w:pPr>
        <w:rPr>
          <w:b/>
          <w:bCs/>
          <w:sz w:val="24"/>
        </w:rPr>
      </w:pPr>
    </w:p>
    <w:p>
      <w:pPr>
        <w:keepNext/>
        <w:keepLines/>
        <w:adjustRightInd w:val="0"/>
        <w:spacing w:before="120" w:beforeLines="50" w:after="120" w:afterLines="50"/>
        <w:jc w:val="center"/>
        <w:textAlignment w:val="baseline"/>
        <w:outlineLvl w:val="1"/>
        <w:rPr>
          <w:rFonts w:ascii="宋体" w:hAnsi="宋体"/>
          <w:b/>
          <w:bCs/>
          <w:kern w:val="0"/>
          <w:sz w:val="24"/>
        </w:rPr>
      </w:pPr>
      <w:r>
        <w:rPr>
          <w:rFonts w:ascii="宋体" w:hAnsi="宋体" w:hint="eastAsia"/>
          <w:b/>
          <w:bCs/>
          <w:kern w:val="0"/>
          <w:sz w:val="24"/>
        </w:rPr>
        <w:t>五、技术要求</w:t>
      </w:r>
    </w:p>
    <w:tbl>
      <w:tblPr>
        <w:tblStyle w:val="TableNormal"/>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97"/>
        <w:gridCol w:w="2423"/>
        <w:gridCol w:w="5406"/>
      </w:tblGrid>
      <w:tr>
        <w:tblPrEx>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99"/>
        </w:trPr>
        <w:tc>
          <w:tcPr>
            <w:tcW w:w="697" w:type="dxa"/>
            <w:shd w:val="clear" w:color="auto" w:fill="auto"/>
            <w:vAlign w:val="center"/>
          </w:tcPr>
          <w:p>
            <w:pPr>
              <w:widowControl/>
              <w:jc w:val="center"/>
              <w:rPr>
                <w:rFonts w:ascii="宋体" w:hAnsi="宋体" w:cs="宋体"/>
                <w:b/>
                <w:bCs/>
                <w:kern w:val="0"/>
                <w:szCs w:val="21"/>
              </w:rPr>
            </w:pPr>
            <w:r>
              <w:rPr>
                <w:rFonts w:ascii="宋体" w:hAnsi="宋体" w:cs="宋体" w:hint="eastAsia"/>
                <w:b/>
                <w:bCs/>
                <w:kern w:val="0"/>
                <w:szCs w:val="21"/>
              </w:rPr>
              <w:t>序号</w:t>
            </w:r>
          </w:p>
        </w:tc>
        <w:tc>
          <w:tcPr>
            <w:tcW w:w="2423" w:type="dxa"/>
            <w:shd w:val="clear" w:color="auto" w:fill="auto"/>
            <w:vAlign w:val="center"/>
          </w:tcPr>
          <w:p>
            <w:pPr>
              <w:widowControl/>
              <w:jc w:val="center"/>
              <w:rPr>
                <w:rFonts w:ascii="宋体" w:hAnsi="宋体" w:cs="宋体"/>
                <w:b/>
                <w:bCs/>
                <w:kern w:val="0"/>
                <w:szCs w:val="21"/>
              </w:rPr>
            </w:pPr>
            <w:r>
              <w:rPr>
                <w:rFonts w:ascii="宋体" w:hAnsi="宋体" w:cs="宋体" w:hint="eastAsia"/>
                <w:b/>
                <w:bCs/>
                <w:kern w:val="0"/>
                <w:szCs w:val="21"/>
              </w:rPr>
              <w:t>名称</w:t>
            </w:r>
          </w:p>
        </w:tc>
        <w:tc>
          <w:tcPr>
            <w:tcW w:w="5406" w:type="dxa"/>
            <w:shd w:val="clear" w:color="auto" w:fill="auto"/>
            <w:vAlign w:val="center"/>
          </w:tcPr>
          <w:p>
            <w:pPr>
              <w:widowControl/>
              <w:jc w:val="center"/>
              <w:rPr>
                <w:rFonts w:ascii="宋体" w:hAnsi="宋体" w:cs="宋体"/>
                <w:b/>
                <w:bCs/>
                <w:kern w:val="0"/>
                <w:szCs w:val="21"/>
              </w:rPr>
            </w:pPr>
            <w:r>
              <w:rPr>
                <w:rFonts w:ascii="宋体" w:hAnsi="宋体" w:cs="宋体" w:hint="eastAsia"/>
                <w:b/>
                <w:bCs/>
                <w:kern w:val="0"/>
                <w:szCs w:val="21"/>
              </w:rPr>
              <w:t>服务技术要求</w:t>
            </w:r>
          </w:p>
        </w:tc>
      </w:tr>
      <w:tr>
        <w:tblPrEx>
          <w:tblW w:w="8526" w:type="dxa"/>
          <w:tblInd w:w="0" w:type="dxa"/>
          <w:tblLayout w:type="fixed"/>
          <w:tblCellMar>
            <w:top w:w="0" w:type="dxa"/>
            <w:left w:w="108" w:type="dxa"/>
            <w:bottom w:w="0" w:type="dxa"/>
            <w:right w:w="108" w:type="dxa"/>
          </w:tblCellMar>
        </w:tblPrEx>
        <w:trPr>
          <w:trHeight w:val="949"/>
        </w:trPr>
        <w:tc>
          <w:tcPr>
            <w:tcW w:w="697" w:type="dxa"/>
            <w:shd w:val="clear" w:color="auto" w:fill="auto"/>
            <w:vAlign w:val="center"/>
          </w:tcPr>
          <w:p>
            <w:pPr>
              <w:widowControl/>
              <w:jc w:val="center"/>
              <w:rPr>
                <w:rFonts w:ascii="宋体" w:hAnsi="宋体" w:cs="宋体"/>
                <w:kern w:val="0"/>
                <w:szCs w:val="21"/>
              </w:rPr>
            </w:pPr>
            <w:r>
              <w:rPr>
                <w:rFonts w:ascii="宋体" w:hAnsi="宋体" w:cs="宋体" w:hint="eastAsia"/>
                <w:kern w:val="0"/>
                <w:szCs w:val="21"/>
              </w:rPr>
              <w:t>1</w:t>
            </w:r>
          </w:p>
        </w:tc>
        <w:tc>
          <w:tcPr>
            <w:tcW w:w="2423" w:type="dxa"/>
            <w:shd w:val="clear" w:color="000000" w:fill="FFFFFF"/>
            <w:vAlign w:val="center"/>
          </w:tcPr>
          <w:p>
            <w:pPr>
              <w:widowControl/>
              <w:adjustRightInd w:val="0"/>
              <w:snapToGrid w:val="0"/>
              <w:jc w:val="left"/>
              <w:rPr>
                <w:rFonts w:ascii="宋体" w:hAnsi="宋体" w:cs="宋体"/>
                <w:b w:val="0"/>
                <w:bCs w:val="0"/>
                <w:kern w:val="0"/>
                <w:szCs w:val="21"/>
              </w:rPr>
            </w:pPr>
            <w:r>
              <w:rPr>
                <w:rFonts w:hint="eastAsia"/>
                <w:b w:val="0"/>
                <w:bCs w:val="0"/>
              </w:rPr>
              <w:t>▲</w:t>
            </w:r>
            <w:r>
              <w:rPr>
                <w:rFonts w:cs="宋体" w:hint="eastAsia"/>
                <w:b w:val="0"/>
                <w:bCs w:val="0"/>
                <w:szCs w:val="21"/>
              </w:rPr>
              <w:t>标准体系培训</w:t>
            </w:r>
          </w:p>
        </w:tc>
        <w:tc>
          <w:tcPr>
            <w:tcW w:w="5406" w:type="dxa"/>
            <w:shd w:val="clear" w:color="000000" w:fill="FFFFFF"/>
            <w:vAlign w:val="center"/>
          </w:tcPr>
          <w:p>
            <w:pPr>
              <w:keepNext w:val="0"/>
              <w:keepLines w:val="0"/>
              <w:pageBreakBefore w:val="0"/>
              <w:kinsoku/>
              <w:wordWrap/>
              <w:overflowPunct/>
              <w:topLinePunct w:val="0"/>
              <w:autoSpaceDE/>
              <w:autoSpaceDN/>
              <w:bidi w:val="0"/>
              <w:adjustRightInd w:val="0"/>
              <w:snapToGrid w:val="0"/>
              <w:ind w:firstLine="0" w:firstLineChars="0"/>
              <w:jc w:val="left"/>
              <w:textAlignment w:val="auto"/>
              <w:rPr>
                <w:szCs w:val="21"/>
              </w:rPr>
            </w:pPr>
            <w:r>
              <w:rPr>
                <w:rFonts w:cs="宋体" w:hint="eastAsia"/>
                <w:szCs w:val="21"/>
              </w:rPr>
              <w:t>咨询服务供应商应提供熟悉各项医疗标准具有主导实际测评经验的项目负责人。投标人具有参与国家相关标准的编制工作，能够根据测评标准要求，对医院开展《</w:t>
            </w:r>
            <w:r>
              <w:rPr>
                <w:szCs w:val="21"/>
              </w:rPr>
              <w:t>WS363</w:t>
            </w:r>
            <w:r>
              <w:rPr>
                <w:rFonts w:cs="宋体" w:hint="eastAsia"/>
                <w:szCs w:val="21"/>
              </w:rPr>
              <w:t>卫生信息数据元目录》、《</w:t>
            </w:r>
            <w:r>
              <w:rPr>
                <w:szCs w:val="21"/>
              </w:rPr>
              <w:t xml:space="preserve">WS364 </w:t>
            </w:r>
            <w:r>
              <w:rPr>
                <w:rFonts w:cs="宋体" w:hint="eastAsia"/>
                <w:szCs w:val="21"/>
              </w:rPr>
              <w:t>卫生信息数据元值域代码》、《</w:t>
            </w:r>
            <w:r>
              <w:rPr>
                <w:szCs w:val="21"/>
              </w:rPr>
              <w:t xml:space="preserve">WS445-2014 </w:t>
            </w:r>
            <w:r>
              <w:rPr>
                <w:rFonts w:cs="宋体" w:hint="eastAsia"/>
                <w:szCs w:val="21"/>
              </w:rPr>
              <w:t>电子病历基本数据集》、《</w:t>
            </w:r>
            <w:r>
              <w:rPr>
                <w:szCs w:val="21"/>
              </w:rPr>
              <w:t xml:space="preserve">WS/T 500 -2016 </w:t>
            </w:r>
            <w:r>
              <w:rPr>
                <w:rFonts w:cs="宋体" w:hint="eastAsia"/>
                <w:szCs w:val="21"/>
              </w:rPr>
              <w:t>电子病历共享文档规范》、《医院信息平台基本交互规范》、《</w:t>
            </w:r>
            <w:r>
              <w:rPr>
                <w:szCs w:val="21"/>
              </w:rPr>
              <w:t xml:space="preserve">WS/T 447-2014 </w:t>
            </w:r>
            <w:r>
              <w:rPr>
                <w:rFonts w:cs="宋体" w:hint="eastAsia"/>
                <w:szCs w:val="21"/>
              </w:rPr>
              <w:t>基于电子病历的医院信息平台技术规范》以及《国家医疗健康信息医院信息互联互通标准化成熟度测评方案（</w:t>
            </w:r>
            <w:r>
              <w:rPr>
                <w:szCs w:val="21"/>
              </w:rPr>
              <w:t xml:space="preserve">2020 </w:t>
            </w:r>
            <w:r>
              <w:rPr>
                <w:rFonts w:cs="宋体" w:hint="eastAsia"/>
                <w:szCs w:val="21"/>
              </w:rPr>
              <w:t>年版）》等测评标准体系培训，使医院能够理解测评标准并针对测评标准进行标准化改造。</w:t>
            </w:r>
          </w:p>
        </w:tc>
      </w:tr>
      <w:tr>
        <w:tblPrEx>
          <w:tblW w:w="8526" w:type="dxa"/>
          <w:tblInd w:w="0" w:type="dxa"/>
          <w:tblLayout w:type="fixed"/>
          <w:tblCellMar>
            <w:top w:w="0" w:type="dxa"/>
            <w:left w:w="108" w:type="dxa"/>
            <w:bottom w:w="0" w:type="dxa"/>
            <w:right w:w="108" w:type="dxa"/>
          </w:tblCellMar>
        </w:tblPrEx>
        <w:trPr>
          <w:trHeight w:val="900"/>
        </w:trPr>
        <w:tc>
          <w:tcPr>
            <w:tcW w:w="697" w:type="dxa"/>
            <w:shd w:val="clear" w:color="auto" w:fill="auto"/>
            <w:vAlign w:val="center"/>
          </w:tcPr>
          <w:p>
            <w:pPr>
              <w:widowControl/>
              <w:jc w:val="center"/>
              <w:rPr>
                <w:rFonts w:ascii="宋体" w:hAnsi="宋体" w:cs="宋体"/>
                <w:kern w:val="0"/>
                <w:szCs w:val="21"/>
              </w:rPr>
            </w:pPr>
            <w:r>
              <w:rPr>
                <w:rFonts w:ascii="宋体" w:hAnsi="宋体" w:cs="宋体" w:hint="eastAsia"/>
                <w:kern w:val="0"/>
                <w:szCs w:val="21"/>
              </w:rPr>
              <w:t>2</w:t>
            </w:r>
          </w:p>
        </w:tc>
        <w:tc>
          <w:tcPr>
            <w:tcW w:w="2423" w:type="dxa"/>
            <w:shd w:val="clear" w:color="000000" w:fill="FFFFFF"/>
            <w:vAlign w:val="center"/>
          </w:tcPr>
          <w:p>
            <w:pPr>
              <w:widowControl/>
              <w:adjustRightInd w:val="0"/>
              <w:snapToGrid w:val="0"/>
              <w:jc w:val="left"/>
              <w:rPr>
                <w:rFonts w:ascii="宋体" w:hAnsi="宋体" w:cs="宋体"/>
                <w:b w:val="0"/>
                <w:bCs w:val="0"/>
                <w:kern w:val="0"/>
                <w:szCs w:val="21"/>
              </w:rPr>
            </w:pPr>
            <w:r>
              <w:rPr>
                <w:rFonts w:cs="宋体" w:hint="eastAsia"/>
                <w:b w:val="0"/>
                <w:bCs w:val="0"/>
                <w:szCs w:val="21"/>
              </w:rPr>
              <w:t>测评流程讲解</w:t>
            </w:r>
          </w:p>
        </w:tc>
        <w:tc>
          <w:tcPr>
            <w:tcW w:w="5406" w:type="dxa"/>
            <w:shd w:val="clear" w:color="000000" w:fill="FFFFFF"/>
            <w:vAlign w:val="center"/>
          </w:tcPr>
          <w:p>
            <w:pPr>
              <w:keepNext w:val="0"/>
              <w:keepLines w:val="0"/>
              <w:pageBreakBefore w:val="0"/>
              <w:kinsoku/>
              <w:wordWrap/>
              <w:overflowPunct/>
              <w:topLinePunct w:val="0"/>
              <w:autoSpaceDE/>
              <w:autoSpaceDN/>
              <w:bidi w:val="0"/>
              <w:adjustRightInd w:val="0"/>
              <w:snapToGrid w:val="0"/>
              <w:ind w:firstLine="0" w:firstLineChars="0"/>
              <w:jc w:val="left"/>
              <w:textAlignment w:val="auto"/>
              <w:rPr>
                <w:szCs w:val="21"/>
              </w:rPr>
            </w:pPr>
            <w:r>
              <w:rPr>
                <w:rFonts w:cs="宋体" w:hint="eastAsia"/>
                <w:szCs w:val="21"/>
              </w:rPr>
              <w:t>根据《国家医疗健康信息医院信息互联互通标准化成熟度测评方案（</w:t>
            </w:r>
            <w:r>
              <w:rPr>
                <w:szCs w:val="21"/>
              </w:rPr>
              <w:t>2020</w:t>
            </w:r>
            <w:r>
              <w:rPr>
                <w:rFonts w:cs="宋体" w:hint="eastAsia"/>
                <w:szCs w:val="21"/>
              </w:rPr>
              <w:t>年版）》医院互联互通标准化成熟度测评分为测评申请、测评准备、测评实施、测评定级和测评授牌五个大的阶段，测评实施阶段又分为定量测试、专家文审和现场查验三个环节。中标人从整个流程上对医院进行讲解，使医院能够从各个流程环节中把握测评的重点工作，从而顺利推进测评工作开展。</w:t>
            </w:r>
          </w:p>
        </w:tc>
      </w:tr>
      <w:tr>
        <w:tblPrEx>
          <w:tblW w:w="8526" w:type="dxa"/>
          <w:tblInd w:w="0" w:type="dxa"/>
          <w:tblLayout w:type="fixed"/>
          <w:tblCellMar>
            <w:top w:w="0" w:type="dxa"/>
            <w:left w:w="108" w:type="dxa"/>
            <w:bottom w:w="0" w:type="dxa"/>
            <w:right w:w="108" w:type="dxa"/>
          </w:tblCellMar>
        </w:tblPrEx>
        <w:trPr>
          <w:trHeight w:val="840"/>
        </w:trPr>
        <w:tc>
          <w:tcPr>
            <w:tcW w:w="697" w:type="dxa"/>
            <w:shd w:val="clear" w:color="auto" w:fill="auto"/>
            <w:vAlign w:val="center"/>
          </w:tcPr>
          <w:p>
            <w:pPr>
              <w:widowControl/>
              <w:jc w:val="center"/>
              <w:rPr>
                <w:rFonts w:ascii="宋体" w:hAnsi="宋体" w:cs="宋体"/>
                <w:kern w:val="0"/>
                <w:szCs w:val="21"/>
              </w:rPr>
            </w:pPr>
            <w:r>
              <w:rPr>
                <w:rFonts w:ascii="宋体" w:hAnsi="宋体" w:cs="宋体" w:hint="eastAsia"/>
                <w:kern w:val="0"/>
                <w:szCs w:val="21"/>
              </w:rPr>
              <w:t>3</w:t>
            </w:r>
          </w:p>
        </w:tc>
        <w:tc>
          <w:tcPr>
            <w:tcW w:w="2423" w:type="dxa"/>
            <w:shd w:val="clear" w:color="000000" w:fill="FFFFFF"/>
            <w:vAlign w:val="center"/>
          </w:tcPr>
          <w:p>
            <w:pPr>
              <w:widowControl/>
              <w:jc w:val="left"/>
              <w:rPr>
                <w:rFonts w:ascii="宋体" w:hAnsi="宋体" w:cs="宋体"/>
                <w:b w:val="0"/>
                <w:bCs w:val="0"/>
                <w:kern w:val="0"/>
                <w:szCs w:val="21"/>
              </w:rPr>
            </w:pPr>
            <w:r>
              <w:rPr>
                <w:rFonts w:hint="eastAsia"/>
                <w:b w:val="0"/>
                <w:bCs w:val="0"/>
              </w:rPr>
              <w:t>▲</w:t>
            </w:r>
            <w:r>
              <w:rPr>
                <w:rFonts w:cs="宋体" w:hint="eastAsia"/>
                <w:b w:val="0"/>
                <w:bCs w:val="0"/>
                <w:szCs w:val="21"/>
              </w:rPr>
              <w:t>测评指标体系培训</w:t>
            </w:r>
          </w:p>
        </w:tc>
        <w:tc>
          <w:tcPr>
            <w:tcW w:w="5406" w:type="dxa"/>
            <w:shd w:val="clear" w:color="000000" w:fill="FFFFFF"/>
            <w:vAlign w:val="center"/>
          </w:tcPr>
          <w:p>
            <w:pPr>
              <w:keepNext w:val="0"/>
              <w:keepLines w:val="0"/>
              <w:pageBreakBefore w:val="0"/>
              <w:kinsoku/>
              <w:wordWrap/>
              <w:overflowPunct/>
              <w:topLinePunct w:val="0"/>
              <w:autoSpaceDE/>
              <w:autoSpaceDN/>
              <w:bidi w:val="0"/>
              <w:adjustRightInd w:val="0"/>
              <w:snapToGrid w:val="0"/>
              <w:ind w:firstLine="0" w:firstLineChars="0"/>
              <w:jc w:val="left"/>
              <w:textAlignment w:val="auto"/>
              <w:rPr>
                <w:szCs w:val="21"/>
              </w:rPr>
            </w:pPr>
            <w:r>
              <w:rPr>
                <w:rFonts w:cs="宋体" w:hint="eastAsia"/>
                <w:szCs w:val="21"/>
              </w:rPr>
              <w:t>根据《国家医疗健康信息医院信息互联互通标准化成熟度测评方案》整个测评指标分为定量和定性两个部分，其中定量指标分值上占</w:t>
            </w:r>
            <w:r>
              <w:rPr>
                <w:szCs w:val="21"/>
              </w:rPr>
              <w:t xml:space="preserve"> 60%</w:t>
            </w:r>
            <w:r>
              <w:rPr>
                <w:rFonts w:cs="宋体" w:hint="eastAsia"/>
                <w:szCs w:val="21"/>
              </w:rPr>
              <w:t>，定性指标占</w:t>
            </w:r>
            <w:r>
              <w:rPr>
                <w:szCs w:val="21"/>
              </w:rPr>
              <w:t xml:space="preserve"> 40%</w:t>
            </w:r>
            <w:r>
              <w:rPr>
                <w:rFonts w:cs="宋体" w:hint="eastAsia"/>
                <w:szCs w:val="21"/>
              </w:rPr>
              <w:t>。对医院进行不少于</w:t>
            </w:r>
            <w:r>
              <w:rPr>
                <w:szCs w:val="21"/>
              </w:rPr>
              <w:t>2</w:t>
            </w:r>
            <w:r>
              <w:rPr>
                <w:rFonts w:cs="宋体" w:hint="eastAsia"/>
                <w:szCs w:val="21"/>
              </w:rPr>
              <w:t>次测评指标体系培训，使医院对整个测评指标体系进行理解和梳理，从而制定整体改造计划，详细部署测评各项工作开展。</w:t>
            </w:r>
          </w:p>
        </w:tc>
      </w:tr>
      <w:tr>
        <w:tblPrEx>
          <w:tblW w:w="8526" w:type="dxa"/>
          <w:tblInd w:w="0" w:type="dxa"/>
          <w:tblLayout w:type="fixed"/>
          <w:tblCellMar>
            <w:top w:w="0" w:type="dxa"/>
            <w:left w:w="108" w:type="dxa"/>
            <w:bottom w:w="0" w:type="dxa"/>
            <w:right w:w="108" w:type="dxa"/>
          </w:tblCellMar>
        </w:tblPrEx>
        <w:trPr>
          <w:trHeight w:val="840"/>
        </w:trPr>
        <w:tc>
          <w:tcPr>
            <w:tcW w:w="697" w:type="dxa"/>
            <w:shd w:val="clear" w:color="auto" w:fill="auto"/>
            <w:vAlign w:val="center"/>
          </w:tcPr>
          <w:p>
            <w:pPr>
              <w:widowControl/>
              <w:jc w:val="center"/>
              <w:rPr>
                <w:rFonts w:ascii="宋体" w:hAnsi="宋体" w:cs="宋体"/>
                <w:kern w:val="0"/>
                <w:szCs w:val="21"/>
              </w:rPr>
            </w:pPr>
            <w:r>
              <w:rPr>
                <w:rFonts w:ascii="宋体" w:hAnsi="宋体" w:cs="宋体" w:hint="eastAsia"/>
                <w:kern w:val="0"/>
                <w:szCs w:val="21"/>
              </w:rPr>
              <w:t>4</w:t>
            </w:r>
          </w:p>
        </w:tc>
        <w:tc>
          <w:tcPr>
            <w:tcW w:w="2423" w:type="dxa"/>
            <w:shd w:val="clear" w:color="000000" w:fill="FFFFFF"/>
            <w:vAlign w:val="center"/>
          </w:tcPr>
          <w:p>
            <w:pPr>
              <w:widowControl/>
              <w:jc w:val="left"/>
              <w:rPr>
                <w:rFonts w:ascii="宋体" w:hAnsi="宋体" w:cs="宋体"/>
                <w:kern w:val="0"/>
                <w:szCs w:val="21"/>
              </w:rPr>
            </w:pPr>
            <w:r>
              <w:rPr>
                <w:rFonts w:ascii="宋体" w:hAnsi="宋体" w:cs="宋体"/>
                <w:kern w:val="0"/>
                <w:szCs w:val="21"/>
              </w:rPr>
              <w:t>指导并协助自测</w:t>
            </w:r>
          </w:p>
        </w:tc>
        <w:tc>
          <w:tcPr>
            <w:tcW w:w="5406" w:type="dxa"/>
            <w:shd w:val="clear" w:color="000000" w:fill="FFFFFF"/>
            <w:vAlign w:val="center"/>
          </w:tcPr>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kern w:val="0"/>
                <w:szCs w:val="21"/>
              </w:rPr>
            </w:pPr>
            <w:r>
              <w:rPr>
                <w:rFonts w:ascii="宋体" w:hAnsi="宋体" w:cs="宋体" w:hint="eastAsia"/>
                <w:kern w:val="0"/>
                <w:szCs w:val="21"/>
              </w:rPr>
              <w:t>提供医疗健康信息互联互通标准化成熟度测试平台，为医院提供项目正式申报前的测评申报指导和自测服务，使医院能够熟悉整体测评流程，明确当前信息化建设与测评指标的差异，便于测评整体工作计划的梳理以及测评工作计划的可执行性。</w:t>
            </w:r>
          </w:p>
        </w:tc>
      </w:tr>
      <w:tr>
        <w:tblPrEx>
          <w:tblW w:w="8526" w:type="dxa"/>
          <w:tblInd w:w="0" w:type="dxa"/>
          <w:tblLayout w:type="fixed"/>
          <w:tblCellMar>
            <w:top w:w="0" w:type="dxa"/>
            <w:left w:w="108" w:type="dxa"/>
            <w:bottom w:w="0" w:type="dxa"/>
            <w:right w:w="108" w:type="dxa"/>
          </w:tblCellMar>
        </w:tblPrEx>
        <w:trPr>
          <w:trHeight w:val="840"/>
        </w:trPr>
        <w:tc>
          <w:tcPr>
            <w:tcW w:w="697" w:type="dxa"/>
            <w:shd w:val="clear" w:color="auto" w:fill="auto"/>
            <w:vAlign w:val="center"/>
          </w:tcPr>
          <w:p>
            <w:pPr>
              <w:widowControl/>
              <w:jc w:val="center"/>
              <w:rPr>
                <w:rFonts w:ascii="宋体" w:hAnsi="宋体" w:cs="宋体"/>
                <w:kern w:val="0"/>
                <w:szCs w:val="21"/>
              </w:rPr>
            </w:pPr>
            <w:r>
              <w:rPr>
                <w:rFonts w:ascii="宋体" w:hAnsi="宋体" w:cs="宋体" w:hint="eastAsia"/>
                <w:kern w:val="0"/>
                <w:szCs w:val="21"/>
              </w:rPr>
              <w:t>5</w:t>
            </w:r>
          </w:p>
        </w:tc>
        <w:tc>
          <w:tcPr>
            <w:tcW w:w="2423" w:type="dxa"/>
            <w:shd w:val="clear" w:color="000000" w:fill="FFFFFF"/>
            <w:vAlign w:val="center"/>
          </w:tcPr>
          <w:p>
            <w:pPr>
              <w:widowControl/>
              <w:jc w:val="left"/>
              <w:rPr>
                <w:rFonts w:ascii="宋体" w:hAnsi="宋体" w:cs="宋体"/>
                <w:kern w:val="0"/>
                <w:szCs w:val="21"/>
              </w:rPr>
            </w:pPr>
            <w:r>
              <w:rPr>
                <w:rFonts w:ascii="宋体" w:hAnsi="宋体" w:cs="宋体"/>
                <w:kern w:val="0"/>
                <w:szCs w:val="21"/>
              </w:rPr>
              <w:t>指导测评申请服务</w:t>
            </w:r>
          </w:p>
        </w:tc>
        <w:tc>
          <w:tcPr>
            <w:tcW w:w="5406" w:type="dxa"/>
            <w:shd w:val="clear" w:color="000000" w:fill="FFFFFF"/>
            <w:vAlign w:val="center"/>
          </w:tcPr>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kern w:val="0"/>
                <w:szCs w:val="21"/>
              </w:rPr>
            </w:pPr>
            <w:r>
              <w:rPr>
                <w:rFonts w:ascii="宋体" w:hAnsi="宋体" w:cs="宋体" w:hint="eastAsia"/>
                <w:kern w:val="0"/>
                <w:szCs w:val="21"/>
              </w:rPr>
              <w:t>通过对医院开展测评方案、测试规范、体系文件的培训，分别从测评指标理解、标准化改造、定量测试准备工作等方面进行有针对性的培训工作，能够有效指导医院完成测评申报材料的准备，包括互联互通标准化成熟度测评申请表的填写，知识产权资料准备，自评估问卷填写等。</w:t>
            </w:r>
          </w:p>
        </w:tc>
      </w:tr>
      <w:tr>
        <w:tblPrEx>
          <w:tblW w:w="8526" w:type="dxa"/>
          <w:tblInd w:w="0" w:type="dxa"/>
          <w:tblLayout w:type="fixed"/>
          <w:tblCellMar>
            <w:top w:w="0" w:type="dxa"/>
            <w:left w:w="108" w:type="dxa"/>
            <w:bottom w:w="0" w:type="dxa"/>
            <w:right w:w="108" w:type="dxa"/>
          </w:tblCellMar>
        </w:tblPrEx>
        <w:trPr>
          <w:trHeight w:val="840"/>
        </w:trPr>
        <w:tc>
          <w:tcPr>
            <w:tcW w:w="697" w:type="dxa"/>
            <w:shd w:val="clear" w:color="auto" w:fill="auto"/>
            <w:vAlign w:val="center"/>
          </w:tcPr>
          <w:p>
            <w:pPr>
              <w:widowControl/>
              <w:jc w:val="center"/>
              <w:rPr>
                <w:rFonts w:ascii="宋体" w:hAnsi="宋体" w:cs="宋体"/>
                <w:kern w:val="0"/>
                <w:szCs w:val="21"/>
              </w:rPr>
            </w:pPr>
            <w:r>
              <w:rPr>
                <w:rFonts w:ascii="宋体" w:hAnsi="宋体" w:cs="宋体" w:hint="eastAsia"/>
                <w:kern w:val="0"/>
                <w:szCs w:val="21"/>
              </w:rPr>
              <w:t>6</w:t>
            </w:r>
          </w:p>
        </w:tc>
        <w:tc>
          <w:tcPr>
            <w:tcW w:w="2423" w:type="dxa"/>
            <w:shd w:val="clear" w:color="000000" w:fill="FFFFFF"/>
            <w:vAlign w:val="center"/>
          </w:tcPr>
          <w:p>
            <w:pPr>
              <w:widowControl/>
              <w:jc w:val="left"/>
              <w:rPr>
                <w:rFonts w:ascii="宋体" w:hAnsi="宋体" w:cs="宋体"/>
                <w:kern w:val="0"/>
                <w:szCs w:val="21"/>
              </w:rPr>
            </w:pPr>
            <w:r>
              <w:rPr>
                <w:rFonts w:ascii="宋体" w:hAnsi="宋体" w:cs="宋体"/>
                <w:kern w:val="0"/>
                <w:szCs w:val="21"/>
              </w:rPr>
              <w:t>数据资源标准化建设情况调研</w:t>
            </w:r>
          </w:p>
        </w:tc>
        <w:tc>
          <w:tcPr>
            <w:tcW w:w="5406" w:type="dxa"/>
            <w:shd w:val="clear" w:color="000000" w:fill="FFFFFF"/>
            <w:vAlign w:val="center"/>
          </w:tcPr>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kern w:val="0"/>
                <w:szCs w:val="21"/>
              </w:rPr>
            </w:pPr>
            <w:r>
              <w:rPr>
                <w:rFonts w:ascii="宋体" w:hAnsi="宋体" w:cs="宋体" w:hint="eastAsia"/>
                <w:kern w:val="0"/>
                <w:szCs w:val="21"/>
              </w:rPr>
              <w:t>按照数据集和共享文档的定量指标满足所申报等级测试要求，对采购人的患者基本信息、基本健康信息、卫生事件摘要、费用记录、门急诊病历、急诊留观病历、西药处方、中药处方、检查记录、检验记录、治疗记录、一般手术记录等</w:t>
            </w:r>
            <w:r>
              <w:rPr>
                <w:rFonts w:ascii="宋体" w:hAnsi="宋体" w:cs="宋体"/>
                <w:kern w:val="0"/>
                <w:szCs w:val="21"/>
              </w:rPr>
              <w:t xml:space="preserve"> 58 个基本数据集以及病历摘要、门急诊病历、急诊留观病历、西药处方、中药处方、检查记录、检验记录、治疗记录、一般手术记录、麻醉术前访视记录、麻醉记录和法定医学报告及健康体检等 53 个共享文档情况进行调研并形成调研报告。</w:t>
            </w:r>
          </w:p>
        </w:tc>
      </w:tr>
      <w:tr>
        <w:tblPrEx>
          <w:tblW w:w="8526" w:type="dxa"/>
          <w:tblInd w:w="0" w:type="dxa"/>
          <w:tblLayout w:type="fixed"/>
          <w:tblCellMar>
            <w:top w:w="0" w:type="dxa"/>
            <w:left w:w="108" w:type="dxa"/>
            <w:bottom w:w="0" w:type="dxa"/>
            <w:right w:w="108" w:type="dxa"/>
          </w:tblCellMar>
        </w:tblPrEx>
        <w:trPr>
          <w:trHeight w:val="840"/>
        </w:trPr>
        <w:tc>
          <w:tcPr>
            <w:tcW w:w="697" w:type="dxa"/>
            <w:shd w:val="clear" w:color="auto" w:fill="auto"/>
            <w:vAlign w:val="center"/>
          </w:tcPr>
          <w:p>
            <w:pPr>
              <w:widowControl/>
              <w:jc w:val="center"/>
              <w:rPr>
                <w:rFonts w:ascii="宋体" w:hAnsi="宋体" w:cs="宋体"/>
                <w:kern w:val="0"/>
                <w:szCs w:val="21"/>
              </w:rPr>
            </w:pPr>
            <w:r>
              <w:rPr>
                <w:rFonts w:ascii="宋体" w:hAnsi="宋体" w:cs="宋体" w:hint="eastAsia"/>
                <w:kern w:val="0"/>
                <w:szCs w:val="21"/>
              </w:rPr>
              <w:t>7</w:t>
            </w:r>
          </w:p>
        </w:tc>
        <w:tc>
          <w:tcPr>
            <w:tcW w:w="2423" w:type="dxa"/>
            <w:shd w:val="clear" w:color="000000" w:fill="FFFFFF"/>
            <w:vAlign w:val="center"/>
          </w:tcPr>
          <w:p>
            <w:pPr>
              <w:widowControl/>
              <w:jc w:val="left"/>
              <w:rPr>
                <w:rFonts w:ascii="宋体" w:hAnsi="宋体" w:cs="宋体"/>
                <w:kern w:val="0"/>
                <w:szCs w:val="21"/>
              </w:rPr>
            </w:pPr>
            <w:r>
              <w:rPr>
                <w:rFonts w:ascii="宋体" w:hAnsi="宋体" w:cs="宋体"/>
                <w:kern w:val="0"/>
                <w:szCs w:val="21"/>
              </w:rPr>
              <w:t>互联互通标准化建设情况调研</w:t>
            </w:r>
          </w:p>
        </w:tc>
        <w:tc>
          <w:tcPr>
            <w:tcW w:w="5406" w:type="dxa"/>
            <w:shd w:val="clear" w:color="000000" w:fill="FFFFFF"/>
            <w:vAlign w:val="center"/>
          </w:tcPr>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kern w:val="0"/>
                <w:szCs w:val="21"/>
              </w:rPr>
            </w:pPr>
            <w:r>
              <w:rPr>
                <w:rFonts w:ascii="宋体" w:hAnsi="宋体" w:cs="宋体" w:hint="eastAsia"/>
                <w:kern w:val="0"/>
                <w:szCs w:val="21"/>
              </w:rPr>
              <w:t>按照互联互通的标准化建设情况满足所申报等级测评要求，对采购人的文档注册、查询服务；个人信息注册、查询服务；医疗卫生机构注册、查询服务；医疗卫生人员注册、查询服务；就诊信息交互服务；医嘱信息交互服务；申请单信息交互服务；状态信息交互服务；术语注册、查询服务；预约信息交互服务等</w:t>
            </w:r>
            <w:r>
              <w:rPr>
                <w:rFonts w:ascii="宋体" w:hAnsi="宋体" w:cs="宋体"/>
                <w:kern w:val="0"/>
                <w:szCs w:val="21"/>
              </w:rPr>
              <w:t xml:space="preserve"> 46 个交互服务进行调研并形成调研报告。</w:t>
            </w:r>
          </w:p>
        </w:tc>
      </w:tr>
      <w:tr>
        <w:tblPrEx>
          <w:tblW w:w="8526" w:type="dxa"/>
          <w:tblInd w:w="0" w:type="dxa"/>
          <w:tblLayout w:type="fixed"/>
          <w:tblCellMar>
            <w:top w:w="0" w:type="dxa"/>
            <w:left w:w="108" w:type="dxa"/>
            <w:bottom w:w="0" w:type="dxa"/>
            <w:right w:w="108" w:type="dxa"/>
          </w:tblCellMar>
        </w:tblPrEx>
        <w:trPr>
          <w:trHeight w:val="840"/>
        </w:trPr>
        <w:tc>
          <w:tcPr>
            <w:tcW w:w="697" w:type="dxa"/>
            <w:shd w:val="clear" w:color="auto" w:fill="auto"/>
            <w:vAlign w:val="center"/>
          </w:tcPr>
          <w:p>
            <w:pPr>
              <w:widowControl/>
              <w:jc w:val="center"/>
              <w:rPr>
                <w:rFonts w:ascii="宋体" w:hAnsi="宋体" w:cs="宋体"/>
                <w:kern w:val="0"/>
                <w:szCs w:val="21"/>
              </w:rPr>
            </w:pPr>
            <w:r>
              <w:rPr>
                <w:rFonts w:ascii="宋体" w:hAnsi="宋体" w:cs="宋体" w:hint="eastAsia"/>
                <w:kern w:val="0"/>
                <w:szCs w:val="21"/>
              </w:rPr>
              <w:t>8</w:t>
            </w:r>
          </w:p>
        </w:tc>
        <w:tc>
          <w:tcPr>
            <w:tcW w:w="2423" w:type="dxa"/>
            <w:shd w:val="clear" w:color="000000" w:fill="FFFFFF"/>
            <w:vAlign w:val="center"/>
          </w:tcPr>
          <w:p>
            <w:pPr>
              <w:widowControl/>
              <w:jc w:val="left"/>
              <w:rPr>
                <w:rFonts w:ascii="宋体" w:hAnsi="宋体" w:cs="宋体"/>
                <w:kern w:val="0"/>
                <w:szCs w:val="21"/>
              </w:rPr>
            </w:pPr>
            <w:r>
              <w:rPr>
                <w:rFonts w:ascii="宋体" w:hAnsi="宋体" w:cs="宋体"/>
                <w:kern w:val="0"/>
                <w:szCs w:val="21"/>
              </w:rPr>
              <w:t>基础设施建设情况调研</w:t>
            </w:r>
          </w:p>
        </w:tc>
        <w:tc>
          <w:tcPr>
            <w:tcW w:w="5406" w:type="dxa"/>
            <w:shd w:val="clear" w:color="000000" w:fill="FFFFFF"/>
            <w:vAlign w:val="center"/>
          </w:tcPr>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kern w:val="0"/>
                <w:szCs w:val="21"/>
              </w:rPr>
            </w:pPr>
            <w:r>
              <w:rPr>
                <w:rFonts w:ascii="宋体" w:hAnsi="宋体" w:cs="宋体" w:hint="eastAsia"/>
                <w:kern w:val="0"/>
                <w:szCs w:val="21"/>
              </w:rPr>
              <w:t>按照基础设施建设情况满足所申报等级测评要求，采购人的平台硬件建设情况、网络及网络安全建设情况、信息安全情况以及业务系统的应用情况进行调研并形成调研报告。</w:t>
            </w:r>
          </w:p>
        </w:tc>
      </w:tr>
      <w:tr>
        <w:tblPrEx>
          <w:tblW w:w="8526" w:type="dxa"/>
          <w:tblInd w:w="0" w:type="dxa"/>
          <w:tblLayout w:type="fixed"/>
          <w:tblCellMar>
            <w:top w:w="0" w:type="dxa"/>
            <w:left w:w="108" w:type="dxa"/>
            <w:bottom w:w="0" w:type="dxa"/>
            <w:right w:w="108" w:type="dxa"/>
          </w:tblCellMar>
        </w:tblPrEx>
        <w:trPr>
          <w:trHeight w:val="840"/>
        </w:trPr>
        <w:tc>
          <w:tcPr>
            <w:tcW w:w="697" w:type="dxa"/>
            <w:shd w:val="clear" w:color="auto" w:fill="auto"/>
            <w:vAlign w:val="center"/>
          </w:tcPr>
          <w:p>
            <w:pPr>
              <w:widowControl/>
              <w:jc w:val="center"/>
              <w:rPr>
                <w:rFonts w:ascii="宋体" w:hAnsi="宋体" w:cs="宋体"/>
                <w:kern w:val="0"/>
                <w:szCs w:val="21"/>
              </w:rPr>
            </w:pPr>
            <w:r>
              <w:rPr>
                <w:rFonts w:ascii="宋体" w:hAnsi="宋体" w:cs="宋体" w:hint="eastAsia"/>
                <w:kern w:val="0"/>
                <w:szCs w:val="21"/>
              </w:rPr>
              <w:t>9</w:t>
            </w:r>
          </w:p>
        </w:tc>
        <w:tc>
          <w:tcPr>
            <w:tcW w:w="2423" w:type="dxa"/>
            <w:shd w:val="clear" w:color="000000" w:fill="FFFFFF"/>
            <w:vAlign w:val="center"/>
          </w:tcPr>
          <w:p>
            <w:pPr>
              <w:widowControl/>
              <w:jc w:val="left"/>
              <w:rPr>
                <w:rFonts w:ascii="宋体" w:hAnsi="宋体" w:cs="宋体"/>
                <w:kern w:val="0"/>
                <w:szCs w:val="21"/>
              </w:rPr>
            </w:pPr>
            <w:r>
              <w:rPr>
                <w:rFonts w:ascii="宋体" w:hAnsi="宋体" w:cs="宋体"/>
                <w:kern w:val="0"/>
                <w:szCs w:val="21"/>
              </w:rPr>
              <w:t>互联互通应用效果调研</w:t>
            </w:r>
          </w:p>
        </w:tc>
        <w:tc>
          <w:tcPr>
            <w:tcW w:w="5406" w:type="dxa"/>
            <w:shd w:val="clear" w:color="000000" w:fill="FFFFFF"/>
            <w:vAlign w:val="center"/>
          </w:tcPr>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kern w:val="0"/>
                <w:szCs w:val="21"/>
              </w:rPr>
            </w:pPr>
            <w:r>
              <w:rPr>
                <w:rFonts w:ascii="宋体" w:hAnsi="宋体" w:cs="宋体" w:hint="eastAsia"/>
                <w:kern w:val="0"/>
                <w:szCs w:val="21"/>
              </w:rPr>
              <w:t>按照互联互通应用效果满足所申报等级测评要求，对采购人的平台上的公众服务应用系统建设情况及利用情况、平台上的医疗服务应用系统建设情况及利用情况、平台上的卫生管理应用系统建设情况及利用情况以及平台内联通业务情况和平台外的联通业务情况进行调研，确保互联互通应用效果满足所申报等级测评要求。</w:t>
            </w:r>
          </w:p>
        </w:tc>
      </w:tr>
      <w:tr>
        <w:tblPrEx>
          <w:tblW w:w="8526" w:type="dxa"/>
          <w:tblInd w:w="0" w:type="dxa"/>
          <w:tblLayout w:type="fixed"/>
          <w:tblCellMar>
            <w:top w:w="0" w:type="dxa"/>
            <w:left w:w="108" w:type="dxa"/>
            <w:bottom w:w="0" w:type="dxa"/>
            <w:right w:w="108" w:type="dxa"/>
          </w:tblCellMar>
        </w:tblPrEx>
        <w:trPr>
          <w:trHeight w:val="840"/>
        </w:trPr>
        <w:tc>
          <w:tcPr>
            <w:tcW w:w="697" w:type="dxa"/>
            <w:shd w:val="clear" w:color="auto" w:fill="auto"/>
            <w:vAlign w:val="center"/>
          </w:tcPr>
          <w:p>
            <w:pPr>
              <w:widowControl/>
              <w:jc w:val="center"/>
              <w:rPr>
                <w:rFonts w:ascii="宋体" w:hAnsi="宋体" w:cs="宋体"/>
                <w:kern w:val="0"/>
                <w:szCs w:val="21"/>
              </w:rPr>
            </w:pPr>
            <w:r>
              <w:rPr>
                <w:rFonts w:ascii="宋体" w:hAnsi="宋体" w:cs="宋体" w:hint="eastAsia"/>
                <w:kern w:val="0"/>
                <w:szCs w:val="21"/>
              </w:rPr>
              <w:t>1</w:t>
            </w:r>
            <w:r>
              <w:rPr>
                <w:rFonts w:ascii="宋体" w:hAnsi="宋体" w:cs="宋体"/>
                <w:kern w:val="0"/>
                <w:szCs w:val="21"/>
              </w:rPr>
              <w:t>0</w:t>
            </w:r>
          </w:p>
        </w:tc>
        <w:tc>
          <w:tcPr>
            <w:tcW w:w="2423" w:type="dxa"/>
            <w:shd w:val="clear" w:color="000000" w:fill="FFFFFF"/>
            <w:vAlign w:val="center"/>
          </w:tcPr>
          <w:p>
            <w:pPr>
              <w:widowControl/>
              <w:jc w:val="left"/>
              <w:rPr>
                <w:rFonts w:ascii="宋体" w:eastAsia="宋体" w:hAnsi="宋体" w:cs="宋体" w:hint="eastAsia"/>
                <w:kern w:val="0"/>
                <w:szCs w:val="21"/>
                <w:lang w:val="en-US" w:eastAsia="zh-CN"/>
              </w:rPr>
            </w:pPr>
            <w:r>
              <w:rPr>
                <w:rFonts w:hint="eastAsia"/>
              </w:rPr>
              <w:t>▲</w:t>
            </w:r>
            <w:r>
              <w:rPr>
                <w:rFonts w:ascii="宋体" w:hAnsi="宋体" w:cs="宋体"/>
                <w:kern w:val="0"/>
                <w:szCs w:val="21"/>
              </w:rPr>
              <w:t>差异分析，输出差异分析报告</w:t>
            </w:r>
            <w:r>
              <w:rPr>
                <w:rFonts w:ascii="宋体" w:hAnsi="宋体" w:cs="宋体" w:hint="eastAsia"/>
                <w:kern w:val="0"/>
                <w:szCs w:val="21"/>
                <w:lang w:val="en-US" w:eastAsia="zh-CN"/>
              </w:rPr>
              <w:t>并编制整体改造方案与计划</w:t>
            </w:r>
          </w:p>
        </w:tc>
        <w:tc>
          <w:tcPr>
            <w:tcW w:w="5406" w:type="dxa"/>
            <w:shd w:val="clear" w:color="000000" w:fill="FFFFFF"/>
            <w:vAlign w:val="center"/>
          </w:tcPr>
          <w:p>
            <w:pPr>
              <w:keepNext w:val="0"/>
              <w:keepLines w:val="0"/>
              <w:pageBreakBefore w:val="0"/>
              <w:widowControl/>
              <w:kinsoku/>
              <w:wordWrap/>
              <w:overflowPunct/>
              <w:topLinePunct w:val="0"/>
              <w:autoSpaceDE/>
              <w:autoSpaceDN/>
              <w:bidi w:val="0"/>
              <w:ind w:firstLine="0" w:firstLineChars="0"/>
              <w:jc w:val="left"/>
              <w:textAlignment w:val="auto"/>
              <w:rPr>
                <w:rFonts w:ascii="宋体" w:eastAsia="宋体" w:hAnsi="宋体" w:cs="宋体" w:hint="eastAsia"/>
                <w:kern w:val="0"/>
                <w:szCs w:val="21"/>
                <w:lang w:eastAsia="zh-CN"/>
              </w:rPr>
            </w:pPr>
            <w:r>
              <w:rPr>
                <w:rFonts w:ascii="宋体" w:hAnsi="宋体" w:cs="宋体" w:hint="eastAsia"/>
                <w:kern w:val="0"/>
                <w:szCs w:val="21"/>
              </w:rPr>
              <w:t>根据以上调研结果，提供差异分析报告。差异分析报告将详细列举医院参加测评尚需改造的内容，并根据差异分析情况编制医疗健康信息互联互通标准化成熟度测评整体改造工作方案以及详细工作计划，计划应当落实到采购人信息科具体负责工程师，由采购人组织其信息化厂商配合改造。并及时跟踪项目计划完成情况并反馈给采购人。</w:t>
            </w:r>
          </w:p>
        </w:tc>
      </w:tr>
      <w:tr>
        <w:tblPrEx>
          <w:tblW w:w="8526" w:type="dxa"/>
          <w:tblInd w:w="0" w:type="dxa"/>
          <w:tblLayout w:type="fixed"/>
          <w:tblCellMar>
            <w:top w:w="0" w:type="dxa"/>
            <w:left w:w="108" w:type="dxa"/>
            <w:bottom w:w="0" w:type="dxa"/>
            <w:right w:w="108" w:type="dxa"/>
          </w:tblCellMar>
        </w:tblPrEx>
        <w:trPr>
          <w:trHeight w:val="368"/>
        </w:trPr>
        <w:tc>
          <w:tcPr>
            <w:tcW w:w="697" w:type="dxa"/>
            <w:shd w:val="clear" w:color="auto" w:fill="auto"/>
            <w:vAlign w:val="center"/>
          </w:tcPr>
          <w:p>
            <w:pPr>
              <w:widowControl/>
              <w:jc w:val="center"/>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hint="eastAsia"/>
                <w:kern w:val="0"/>
                <w:szCs w:val="21"/>
                <w:lang w:val="en-US" w:eastAsia="zh-CN"/>
              </w:rPr>
              <w:t>1</w:t>
            </w:r>
          </w:p>
        </w:tc>
        <w:tc>
          <w:tcPr>
            <w:tcW w:w="2423" w:type="dxa"/>
            <w:shd w:val="clear" w:color="000000" w:fill="FFFFFF"/>
            <w:vAlign w:val="center"/>
          </w:tcPr>
          <w:p>
            <w:pPr>
              <w:widowControl/>
              <w:jc w:val="left"/>
              <w:rPr>
                <w:rFonts w:ascii="宋体" w:hAnsi="宋体" w:cs="宋体"/>
                <w:kern w:val="0"/>
                <w:szCs w:val="21"/>
              </w:rPr>
            </w:pPr>
            <w:r>
              <w:rPr>
                <w:rFonts w:hint="eastAsia"/>
              </w:rPr>
              <w:t>▲</w:t>
            </w:r>
            <w:r>
              <w:rPr>
                <w:rFonts w:ascii="宋体" w:hAnsi="宋体" w:cs="宋体"/>
                <w:kern w:val="0"/>
                <w:szCs w:val="21"/>
              </w:rPr>
              <w:t>确定各测评指标改造内容</w:t>
            </w:r>
          </w:p>
        </w:tc>
        <w:tc>
          <w:tcPr>
            <w:tcW w:w="5406" w:type="dxa"/>
            <w:shd w:val="clear" w:color="000000" w:fill="FFFFFF"/>
            <w:vAlign w:val="center"/>
          </w:tcPr>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kern w:val="0"/>
                <w:szCs w:val="21"/>
              </w:rPr>
            </w:pPr>
            <w:r>
              <w:rPr>
                <w:rFonts w:ascii="宋体" w:hAnsi="宋体" w:cs="宋体"/>
                <w:kern w:val="0"/>
                <w:szCs w:val="21"/>
              </w:rPr>
              <w:t>1)</w:t>
            </w:r>
            <w:r>
              <w:rPr>
                <w:rFonts w:ascii="宋体" w:hAnsi="宋体" w:cs="宋体"/>
                <w:kern w:val="0"/>
                <w:szCs w:val="21"/>
              </w:rPr>
              <w:tab/>
            </w:r>
            <w:r>
              <w:rPr>
                <w:rFonts w:ascii="宋体" w:hAnsi="宋体" w:cs="宋体"/>
                <w:kern w:val="0"/>
                <w:szCs w:val="21"/>
              </w:rPr>
              <w:t>确定定量指标改造内容：</w:t>
            </w:r>
            <w:r>
              <w:rPr>
                <w:rFonts w:ascii="宋体" w:hAnsi="宋体" w:cs="宋体" w:hint="eastAsia"/>
                <w:kern w:val="0"/>
                <w:szCs w:val="21"/>
                <w:lang w:val="en-US" w:eastAsia="zh-CN"/>
              </w:rPr>
              <w:t>组织</w:t>
            </w:r>
            <w:r>
              <w:rPr>
                <w:rFonts w:ascii="宋体" w:hAnsi="宋体" w:cs="宋体"/>
                <w:kern w:val="0"/>
                <w:szCs w:val="21"/>
              </w:rPr>
              <w:t>咨询服务方、采购人、厂商等多方一起开会讨论数据集标准化情况、共享文档标准化情况及交互服务规范情况，以确定数据集、共享文档及交互服务的改造内容。</w:t>
            </w:r>
          </w:p>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kern w:val="0"/>
                <w:szCs w:val="21"/>
              </w:rPr>
            </w:pPr>
            <w:r>
              <w:rPr>
                <w:rFonts w:ascii="宋体" w:hAnsi="宋体" w:cs="宋体"/>
                <w:kern w:val="0"/>
                <w:szCs w:val="21"/>
              </w:rPr>
              <w:t>2)</w:t>
            </w:r>
            <w:r>
              <w:rPr>
                <w:rFonts w:ascii="宋体" w:hAnsi="宋体" w:cs="宋体"/>
                <w:kern w:val="0"/>
                <w:szCs w:val="21"/>
              </w:rPr>
              <w:tab/>
            </w:r>
            <w:r>
              <w:rPr>
                <w:rFonts w:ascii="宋体" w:hAnsi="宋体" w:cs="宋体"/>
                <w:kern w:val="0"/>
                <w:szCs w:val="21"/>
              </w:rPr>
              <w:t>确定定性指标改造内容：重点跟进采购人所申报等级的定性指标进行改造情况，主要内容包含平台技术架构情况（信息整合方式、信息整合技术、信息资源库、统一身份认证、平台可视化功能），硬件基础情况（服务器设备、存储设备、网络设备），网络及网络安全（网络带宽、接入域、网络安全），信息安全（机房环境安全、应用安全、数据安全、隐私管理、机房管理），业务应用系统建设情况（临床业务系统、医疗管理系统、运营管理系统），平台上的应用功能（公众服务应用、医疗服务应用、卫生管理应用）数量；连通的业务系统（临床服务系统、医疗管理系统</w:t>
            </w:r>
            <w:r>
              <w:rPr>
                <w:rFonts w:ascii="宋体" w:hAnsi="宋体" w:cs="宋体" w:hint="eastAsia"/>
                <w:kern w:val="0"/>
                <w:szCs w:val="21"/>
              </w:rPr>
              <w:t>、运营管理系统）</w:t>
            </w:r>
            <w:r>
              <w:rPr>
                <w:rFonts w:ascii="宋体" w:hAnsi="宋体" w:cs="宋体"/>
                <w:kern w:val="0"/>
                <w:szCs w:val="21"/>
              </w:rPr>
              <w:t xml:space="preserve"> 数量；联通的外部机构数量。</w:t>
            </w:r>
          </w:p>
        </w:tc>
      </w:tr>
      <w:tr>
        <w:tblPrEx>
          <w:tblW w:w="8526" w:type="dxa"/>
          <w:tblInd w:w="0" w:type="dxa"/>
          <w:tblLayout w:type="fixed"/>
          <w:tblCellMar>
            <w:top w:w="0" w:type="dxa"/>
            <w:left w:w="108" w:type="dxa"/>
            <w:bottom w:w="0" w:type="dxa"/>
            <w:right w:w="108" w:type="dxa"/>
          </w:tblCellMar>
        </w:tblPrEx>
        <w:trPr>
          <w:trHeight w:val="840"/>
        </w:trPr>
        <w:tc>
          <w:tcPr>
            <w:tcW w:w="697" w:type="dxa"/>
            <w:shd w:val="clear" w:color="auto" w:fill="auto"/>
            <w:vAlign w:val="center"/>
          </w:tcPr>
          <w:p>
            <w:pPr>
              <w:widowControl/>
              <w:jc w:val="center"/>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hint="eastAsia"/>
                <w:kern w:val="0"/>
                <w:szCs w:val="21"/>
                <w:lang w:val="en-US" w:eastAsia="zh-CN"/>
              </w:rPr>
              <w:t>2</w:t>
            </w:r>
          </w:p>
        </w:tc>
        <w:tc>
          <w:tcPr>
            <w:tcW w:w="2423" w:type="dxa"/>
            <w:shd w:val="clear" w:color="000000" w:fill="FFFFFF"/>
            <w:vAlign w:val="center"/>
          </w:tcPr>
          <w:p>
            <w:pPr>
              <w:widowControl/>
              <w:jc w:val="left"/>
              <w:rPr>
                <w:rFonts w:ascii="宋体" w:hAnsi="宋体" w:cs="宋体"/>
                <w:kern w:val="0"/>
                <w:szCs w:val="21"/>
              </w:rPr>
            </w:pPr>
            <w:r>
              <w:rPr>
                <w:rFonts w:hint="eastAsia"/>
              </w:rPr>
              <w:t>▲</w:t>
            </w:r>
            <w:r>
              <w:rPr>
                <w:rFonts w:ascii="宋体" w:hAnsi="宋体" w:cs="宋体"/>
                <w:kern w:val="0"/>
                <w:szCs w:val="21"/>
              </w:rPr>
              <w:t>跟进各项测评指标改造情况并评审</w:t>
            </w:r>
          </w:p>
        </w:tc>
        <w:tc>
          <w:tcPr>
            <w:tcW w:w="5406" w:type="dxa"/>
            <w:shd w:val="clear" w:color="000000" w:fill="FFFFFF"/>
            <w:vAlign w:val="center"/>
          </w:tcPr>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kern w:val="0"/>
                <w:szCs w:val="21"/>
              </w:rPr>
            </w:pPr>
            <w:r>
              <w:rPr>
                <w:rFonts w:ascii="宋体" w:hAnsi="宋体" w:cs="宋体" w:hint="eastAsia"/>
                <w:kern w:val="0"/>
                <w:szCs w:val="21"/>
              </w:rPr>
              <w:t>对定量指标改造情况和定性指标改造情况每月进行评审并将评审结果及时反馈给采购人，通过采购人协调各业务系统厂商积极参与改造，确保各项改造内容满足测评要求。</w:t>
            </w:r>
          </w:p>
        </w:tc>
      </w:tr>
      <w:tr>
        <w:tblPrEx>
          <w:tblW w:w="8526" w:type="dxa"/>
          <w:tblInd w:w="0" w:type="dxa"/>
          <w:tblLayout w:type="fixed"/>
          <w:tblCellMar>
            <w:top w:w="0" w:type="dxa"/>
            <w:left w:w="108" w:type="dxa"/>
            <w:bottom w:w="0" w:type="dxa"/>
            <w:right w:w="108" w:type="dxa"/>
          </w:tblCellMar>
        </w:tblPrEx>
        <w:trPr>
          <w:trHeight w:val="840"/>
        </w:trPr>
        <w:tc>
          <w:tcPr>
            <w:tcW w:w="697" w:type="dxa"/>
            <w:shd w:val="clear" w:color="auto" w:fill="auto"/>
            <w:vAlign w:val="center"/>
          </w:tcPr>
          <w:p>
            <w:pPr>
              <w:widowControl/>
              <w:jc w:val="center"/>
              <w:rPr>
                <w:rFonts w:ascii="宋体" w:eastAsia="宋体" w:hAnsi="宋体" w:cs="宋体" w:hint="eastAsia"/>
                <w:kern w:val="0"/>
                <w:szCs w:val="21"/>
                <w:lang w:eastAsia="zh-CN"/>
              </w:rPr>
            </w:pPr>
            <w:r>
              <w:rPr>
                <w:rFonts w:ascii="宋体" w:hAnsi="宋体" w:cs="宋体" w:hint="eastAsia"/>
                <w:kern w:val="0"/>
                <w:szCs w:val="21"/>
                <w:lang w:val="en-US" w:eastAsia="zh-CN"/>
              </w:rPr>
              <w:t>13</w:t>
            </w:r>
          </w:p>
        </w:tc>
        <w:tc>
          <w:tcPr>
            <w:tcW w:w="2423" w:type="dxa"/>
            <w:shd w:val="clear" w:color="000000" w:fill="FFFFFF"/>
            <w:vAlign w:val="center"/>
          </w:tcPr>
          <w:p>
            <w:pPr>
              <w:widowControl/>
              <w:jc w:val="left"/>
              <w:rPr>
                <w:rFonts w:ascii="宋体" w:hAnsi="宋体" w:cs="宋体"/>
                <w:kern w:val="0"/>
                <w:szCs w:val="21"/>
              </w:rPr>
            </w:pPr>
            <w:r>
              <w:rPr>
                <w:rFonts w:ascii="宋体" w:hAnsi="宋体" w:cs="宋体"/>
                <w:kern w:val="0"/>
                <w:szCs w:val="21"/>
              </w:rPr>
              <w:t>协助医院准备盲审材料</w:t>
            </w:r>
          </w:p>
        </w:tc>
        <w:tc>
          <w:tcPr>
            <w:tcW w:w="5406" w:type="dxa"/>
            <w:shd w:val="clear" w:color="000000" w:fill="FFFFFF"/>
            <w:vAlign w:val="center"/>
          </w:tcPr>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kern w:val="0"/>
                <w:szCs w:val="21"/>
              </w:rPr>
            </w:pPr>
            <w:r>
              <w:rPr>
                <w:rFonts w:ascii="宋体" w:hAnsi="宋体" w:cs="宋体" w:hint="eastAsia"/>
                <w:kern w:val="0"/>
                <w:szCs w:val="21"/>
              </w:rPr>
              <w:t>向医院提供《医院信息互联互通标准化成熟度测评自评问卷及证明材料》模板，根据《医院信息互联互通标准化成熟度测评自评问卷》里医院所勾选的指标和《医院信息互联互通标准化成熟度测评自评问卷及证明材料》的要求，指导医院截取相关系统功能图片，协助医院完成各项指标的佐证材料并审核所有报名材料，及时跟踪国家报名盲审结果并向医院汇报。</w:t>
            </w:r>
          </w:p>
        </w:tc>
      </w:tr>
      <w:tr>
        <w:tblPrEx>
          <w:tblW w:w="8526" w:type="dxa"/>
          <w:tblInd w:w="0" w:type="dxa"/>
          <w:tblLayout w:type="fixed"/>
          <w:tblCellMar>
            <w:top w:w="0" w:type="dxa"/>
            <w:left w:w="108" w:type="dxa"/>
            <w:bottom w:w="0" w:type="dxa"/>
            <w:right w:w="108" w:type="dxa"/>
          </w:tblCellMar>
        </w:tblPrEx>
        <w:trPr>
          <w:trHeight w:val="840"/>
        </w:trPr>
        <w:tc>
          <w:tcPr>
            <w:tcW w:w="697" w:type="dxa"/>
            <w:shd w:val="clear" w:color="auto" w:fill="auto"/>
            <w:vAlign w:val="center"/>
          </w:tcPr>
          <w:p>
            <w:pPr>
              <w:widowControl/>
              <w:jc w:val="center"/>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hint="eastAsia"/>
                <w:kern w:val="0"/>
                <w:szCs w:val="21"/>
                <w:lang w:val="en-US" w:eastAsia="zh-CN"/>
              </w:rPr>
              <w:t>4</w:t>
            </w:r>
          </w:p>
        </w:tc>
        <w:tc>
          <w:tcPr>
            <w:tcW w:w="2423" w:type="dxa"/>
            <w:shd w:val="clear" w:color="000000" w:fill="FFFFFF"/>
            <w:vAlign w:val="center"/>
          </w:tcPr>
          <w:p>
            <w:pPr>
              <w:widowControl/>
              <w:jc w:val="left"/>
              <w:rPr>
                <w:rFonts w:ascii="宋体" w:hAnsi="宋体" w:cs="宋体"/>
                <w:kern w:val="0"/>
                <w:szCs w:val="21"/>
              </w:rPr>
            </w:pPr>
            <w:r>
              <w:rPr>
                <w:rFonts w:hint="eastAsia"/>
              </w:rPr>
              <w:t>▲</w:t>
            </w:r>
            <w:r>
              <w:rPr>
                <w:rFonts w:ascii="宋体" w:hAnsi="宋体" w:cs="宋体"/>
                <w:kern w:val="0"/>
                <w:szCs w:val="21"/>
              </w:rPr>
              <w:t>提供定性指标改造及解决方案</w:t>
            </w:r>
          </w:p>
        </w:tc>
        <w:tc>
          <w:tcPr>
            <w:tcW w:w="5406" w:type="dxa"/>
            <w:shd w:val="clear" w:color="000000" w:fill="FFFFFF"/>
            <w:vAlign w:val="center"/>
          </w:tcPr>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kern w:val="0"/>
                <w:szCs w:val="21"/>
              </w:rPr>
            </w:pPr>
            <w:r>
              <w:rPr>
                <w:rFonts w:ascii="宋体" w:hAnsi="宋体" w:cs="宋体" w:hint="eastAsia"/>
                <w:kern w:val="0"/>
                <w:szCs w:val="21"/>
              </w:rPr>
              <w:t>对测评对象的信息整合方式、信息整合技术、信息资源库建设、共享文档管理引擎、统一身份认证及门户服务、主索引等定性改造内容符合测评要求。</w:t>
            </w:r>
          </w:p>
        </w:tc>
      </w:tr>
      <w:tr>
        <w:tblPrEx>
          <w:tblW w:w="8526" w:type="dxa"/>
          <w:tblInd w:w="0" w:type="dxa"/>
          <w:tblLayout w:type="fixed"/>
          <w:tblCellMar>
            <w:top w:w="0" w:type="dxa"/>
            <w:left w:w="108" w:type="dxa"/>
            <w:bottom w:w="0" w:type="dxa"/>
            <w:right w:w="108" w:type="dxa"/>
          </w:tblCellMar>
        </w:tblPrEx>
        <w:trPr>
          <w:trHeight w:val="6235"/>
        </w:trPr>
        <w:tc>
          <w:tcPr>
            <w:tcW w:w="697" w:type="dxa"/>
            <w:shd w:val="clear" w:color="auto" w:fill="auto"/>
            <w:vAlign w:val="center"/>
          </w:tcPr>
          <w:p>
            <w:pPr>
              <w:widowControl/>
              <w:jc w:val="center"/>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hint="eastAsia"/>
                <w:kern w:val="0"/>
                <w:szCs w:val="21"/>
                <w:lang w:val="en-US" w:eastAsia="zh-CN"/>
              </w:rPr>
              <w:t>5</w:t>
            </w:r>
          </w:p>
        </w:tc>
        <w:tc>
          <w:tcPr>
            <w:tcW w:w="2423" w:type="dxa"/>
            <w:shd w:val="clear" w:color="000000" w:fill="FFFFFF"/>
            <w:vAlign w:val="center"/>
          </w:tcPr>
          <w:p>
            <w:pPr>
              <w:widowControl/>
              <w:jc w:val="left"/>
              <w:rPr>
                <w:rFonts w:ascii="宋体" w:hAnsi="宋体" w:cs="宋体"/>
                <w:kern w:val="0"/>
                <w:szCs w:val="21"/>
              </w:rPr>
            </w:pPr>
            <w:r>
              <w:rPr>
                <w:rFonts w:hint="eastAsia"/>
              </w:rPr>
              <w:t>▲</w:t>
            </w:r>
            <w:r>
              <w:rPr>
                <w:rFonts w:hint="eastAsia"/>
                <w:lang w:val="en-US" w:eastAsia="zh-CN"/>
              </w:rPr>
              <w:t>按照真实测评标准与要求为采购方进行自评测试，并书面反馈自评报告</w:t>
            </w:r>
          </w:p>
        </w:tc>
        <w:tc>
          <w:tcPr>
            <w:tcW w:w="5406" w:type="dxa"/>
            <w:shd w:val="clear" w:color="000000" w:fill="FFFFFF"/>
            <w:vAlign w:val="center"/>
          </w:tcPr>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hint="eastAsia"/>
                <w:kern w:val="0"/>
                <w:szCs w:val="21"/>
                <w:lang w:val="en-US" w:eastAsia="zh-CN"/>
              </w:rPr>
            </w:pPr>
            <w:r>
              <w:rPr>
                <w:rFonts w:ascii="宋体" w:hAnsi="宋体" w:cs="宋体" w:hint="eastAsia"/>
                <w:kern w:val="0"/>
                <w:szCs w:val="21"/>
                <w:lang w:val="en-US" w:eastAsia="zh-CN"/>
              </w:rPr>
              <w:t>1.</w:t>
            </w:r>
            <w:r>
              <w:rPr>
                <w:rFonts w:ascii="宋体" w:hAnsi="宋体" w:cs="宋体"/>
                <w:kern w:val="0"/>
                <w:szCs w:val="21"/>
              </w:rPr>
              <w:t>共享文档标准化跟进测试</w:t>
            </w:r>
            <w:r>
              <w:rPr>
                <w:rFonts w:ascii="宋体" w:hAnsi="宋体" w:cs="宋体" w:hint="eastAsia"/>
                <w:kern w:val="0"/>
                <w:szCs w:val="21"/>
                <w:lang w:eastAsia="zh-CN"/>
              </w:rPr>
              <w:t>：</w:t>
            </w:r>
            <w:r>
              <w:rPr>
                <w:rFonts w:ascii="宋体" w:hAnsi="宋体" w:cs="宋体" w:hint="eastAsia"/>
                <w:kern w:val="0"/>
                <w:szCs w:val="21"/>
              </w:rPr>
              <w:t>根据《</w:t>
            </w:r>
            <w:r>
              <w:rPr>
                <w:rFonts w:ascii="宋体" w:hAnsi="宋体" w:cs="宋体"/>
                <w:kern w:val="0"/>
                <w:szCs w:val="21"/>
              </w:rPr>
              <w:t>WS 363 卫生信息数据元目录》、《WS 445-2014 电子病历基本数据集》、《WS/T 500 -2016 电子病历共享文档规范》的标准要求，对医院提供的共享文档里的测试数据进行数据类型、表示格式、数据元值及代码等数据元属性的标准化程度测试，对共享文档结构、内容的标准化进行测试，对不符合标准的数据元、共享文档提供指导与改造建议。</w:t>
            </w:r>
          </w:p>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kern w:val="0"/>
                <w:szCs w:val="21"/>
              </w:rPr>
            </w:pPr>
            <w:r>
              <w:rPr>
                <w:rFonts w:ascii="宋体" w:hAnsi="宋体" w:cs="宋体" w:hint="eastAsia"/>
                <w:kern w:val="0"/>
                <w:szCs w:val="21"/>
                <w:lang w:val="en-US" w:eastAsia="zh-CN"/>
              </w:rPr>
              <w:t>2.</w:t>
            </w:r>
            <w:r>
              <w:rPr>
                <w:rFonts w:ascii="宋体" w:hAnsi="宋体" w:cs="宋体"/>
                <w:kern w:val="0"/>
                <w:szCs w:val="21"/>
              </w:rPr>
              <w:t>交互服务规范性跟进测试</w:t>
            </w:r>
            <w:r>
              <w:rPr>
                <w:rFonts w:ascii="宋体" w:hAnsi="宋体" w:cs="宋体" w:hint="eastAsia"/>
                <w:kern w:val="0"/>
                <w:szCs w:val="21"/>
                <w:lang w:eastAsia="zh-CN"/>
              </w:rPr>
              <w:t>：</w:t>
            </w:r>
            <w:r>
              <w:rPr>
                <w:rFonts w:ascii="宋体" w:hAnsi="宋体" w:cs="宋体" w:hint="eastAsia"/>
                <w:kern w:val="0"/>
                <w:szCs w:val="21"/>
              </w:rPr>
              <w:t>根据《医院信息平台基本交互规范》的要求，对医院提供的所有交互服务的测试样例进行结构、内容的规范性测试，并对有错误的交互服务提供指导与改造建议。</w:t>
            </w:r>
          </w:p>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kern w:val="0"/>
                <w:szCs w:val="21"/>
              </w:rPr>
            </w:pPr>
            <w:r>
              <w:rPr>
                <w:rFonts w:ascii="宋体" w:hAnsi="宋体" w:cs="宋体" w:hint="eastAsia"/>
                <w:kern w:val="0"/>
                <w:szCs w:val="21"/>
                <w:lang w:val="en-US" w:eastAsia="zh-CN"/>
              </w:rPr>
              <w:t>3.</w:t>
            </w:r>
            <w:r>
              <w:rPr>
                <w:rFonts w:ascii="宋体" w:hAnsi="宋体" w:cs="宋体"/>
                <w:kern w:val="0"/>
                <w:szCs w:val="21"/>
              </w:rPr>
              <w:t>模拟定量测试</w:t>
            </w:r>
            <w:r>
              <w:rPr>
                <w:rFonts w:ascii="宋体" w:hAnsi="宋体" w:cs="宋体" w:hint="eastAsia"/>
                <w:kern w:val="0"/>
                <w:szCs w:val="21"/>
                <w:lang w:eastAsia="zh-CN"/>
              </w:rPr>
              <w:t>：</w:t>
            </w:r>
            <w:r>
              <w:rPr>
                <w:rFonts w:ascii="宋体" w:hAnsi="宋体" w:cs="宋体" w:hint="eastAsia"/>
                <w:kern w:val="0"/>
                <w:szCs w:val="21"/>
              </w:rPr>
              <w:t>根据《医院信息互联互通标准化成熟度测评定量测试记录表》的要求及流程，提供不少于</w:t>
            </w:r>
            <w:r>
              <w:rPr>
                <w:rFonts w:ascii="宋体" w:hAnsi="宋体" w:cs="宋体"/>
                <w:kern w:val="0"/>
                <w:szCs w:val="21"/>
              </w:rPr>
              <w:t xml:space="preserve"> 3 次现场对医院整套共享文档和交互服务进行模拟测试，并提供模拟测试报告及改造建议。</w:t>
            </w:r>
          </w:p>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协助定量测试</w:t>
            </w:r>
            <w:r>
              <w:rPr>
                <w:rFonts w:ascii="宋体" w:hAnsi="宋体" w:cs="宋体" w:hint="eastAsia"/>
                <w:kern w:val="0"/>
                <w:szCs w:val="21"/>
                <w:lang w:eastAsia="zh-CN"/>
              </w:rPr>
              <w:t>：</w:t>
            </w:r>
            <w:r>
              <w:rPr>
                <w:rFonts w:ascii="宋体" w:hAnsi="宋体" w:cs="宋体" w:hint="eastAsia"/>
                <w:kern w:val="0"/>
                <w:szCs w:val="21"/>
              </w:rPr>
              <w:t>项目周期内统一协调资源，开展医疗健康信息互联互通标准化成熟度测评定量测试。提供定量测试要求，提供定量测试相关模板，指导医院填写定量测试相关流程文档，并进行审查，协助医院进行定量测试前的工作准备。</w:t>
            </w:r>
          </w:p>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kern w:val="0"/>
                <w:szCs w:val="21"/>
              </w:rPr>
            </w:pPr>
            <w:r>
              <w:rPr>
                <w:rFonts w:ascii="宋体" w:hAnsi="宋体" w:cs="宋体" w:hint="eastAsia"/>
                <w:kern w:val="0"/>
                <w:szCs w:val="21"/>
                <w:lang w:val="en-US" w:eastAsia="zh-CN"/>
              </w:rPr>
              <w:t>5.</w:t>
            </w:r>
            <w:r>
              <w:rPr>
                <w:rFonts w:ascii="宋体" w:hAnsi="宋体" w:cs="宋体"/>
                <w:kern w:val="0"/>
                <w:szCs w:val="21"/>
              </w:rPr>
              <w:t>进行文审材料预审查</w:t>
            </w:r>
            <w:r>
              <w:rPr>
                <w:rFonts w:ascii="宋体" w:hAnsi="宋体" w:cs="宋体" w:hint="eastAsia"/>
                <w:kern w:val="0"/>
                <w:szCs w:val="21"/>
                <w:lang w:eastAsia="zh-CN"/>
              </w:rPr>
              <w:t>：</w:t>
            </w:r>
            <w:r>
              <w:rPr>
                <w:rFonts w:ascii="宋体" w:hAnsi="宋体" w:cs="宋体" w:hint="eastAsia"/>
                <w:kern w:val="0"/>
                <w:szCs w:val="21"/>
              </w:rPr>
              <w:t>在项目执行期内提供不少于</w:t>
            </w:r>
            <w:r>
              <w:rPr>
                <w:rFonts w:ascii="宋体" w:hAnsi="宋体" w:cs="宋体"/>
                <w:kern w:val="0"/>
                <w:szCs w:val="21"/>
              </w:rPr>
              <w:t>2次的文审材料预审查服务，主要针对互联互通标准化建设中的技术架构、基础设施建设以及互联互通和创新服务应用效果等定性指标，结合申请机构提交的评估问卷及相关证明材料，采用文件审查、答疑等方式对每个定性指标进行审查，并提供文审材料审查报告及改造意见，确保医院熟悉专家文审流程，提前进行对标改造和材料修改。</w:t>
            </w:r>
          </w:p>
        </w:tc>
      </w:tr>
      <w:tr>
        <w:tblPrEx>
          <w:tblW w:w="8526" w:type="dxa"/>
          <w:tblInd w:w="0" w:type="dxa"/>
          <w:tblLayout w:type="fixed"/>
          <w:tblCellMar>
            <w:top w:w="0" w:type="dxa"/>
            <w:left w:w="108" w:type="dxa"/>
            <w:bottom w:w="0" w:type="dxa"/>
            <w:right w:w="108" w:type="dxa"/>
          </w:tblCellMar>
        </w:tblPrEx>
        <w:trPr>
          <w:trHeight w:val="840"/>
        </w:trPr>
        <w:tc>
          <w:tcPr>
            <w:tcW w:w="697" w:type="dxa"/>
            <w:shd w:val="clear" w:color="auto" w:fill="auto"/>
            <w:vAlign w:val="center"/>
          </w:tcPr>
          <w:p>
            <w:pPr>
              <w:widowControl/>
              <w:jc w:val="center"/>
              <w:rPr>
                <w:rFonts w:ascii="宋体" w:eastAsia="宋体" w:hAnsi="宋体" w:cs="宋体" w:hint="eastAsia"/>
                <w:kern w:val="0"/>
                <w:szCs w:val="21"/>
                <w:lang w:val="en-US" w:eastAsia="zh-CN"/>
              </w:rPr>
            </w:pPr>
            <w:r>
              <w:rPr>
                <w:rFonts w:ascii="宋体" w:hAnsi="宋体" w:cs="宋体" w:hint="eastAsia"/>
                <w:kern w:val="0"/>
                <w:szCs w:val="21"/>
                <w:lang w:val="en-US" w:eastAsia="zh-CN"/>
              </w:rPr>
              <w:t>16</w:t>
            </w:r>
          </w:p>
        </w:tc>
        <w:tc>
          <w:tcPr>
            <w:tcW w:w="2423" w:type="dxa"/>
            <w:shd w:val="clear" w:color="000000" w:fill="FFFFFF"/>
            <w:vAlign w:val="center"/>
          </w:tcPr>
          <w:p>
            <w:pPr>
              <w:widowControl/>
              <w:jc w:val="left"/>
              <w:rPr>
                <w:rFonts w:ascii="宋体" w:hAnsi="宋体" w:cs="宋体"/>
                <w:kern w:val="0"/>
                <w:szCs w:val="21"/>
              </w:rPr>
            </w:pPr>
            <w:r>
              <w:rPr>
                <w:rFonts w:ascii="宋体" w:hAnsi="宋体" w:cs="宋体"/>
                <w:kern w:val="0"/>
                <w:szCs w:val="21"/>
              </w:rPr>
              <w:t>协助专家文审</w:t>
            </w:r>
          </w:p>
        </w:tc>
        <w:tc>
          <w:tcPr>
            <w:tcW w:w="5406" w:type="dxa"/>
            <w:shd w:val="clear" w:color="000000" w:fill="FFFFFF"/>
            <w:vAlign w:val="center"/>
          </w:tcPr>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kern w:val="0"/>
                <w:szCs w:val="21"/>
              </w:rPr>
            </w:pPr>
            <w:r>
              <w:rPr>
                <w:rFonts w:ascii="宋体" w:hAnsi="宋体" w:cs="宋体" w:hint="eastAsia"/>
                <w:kern w:val="0"/>
                <w:szCs w:val="21"/>
              </w:rPr>
              <w:t>指导医院根据《国家医院信息互联互通标准化成熟度测评方案》的测评指标要求，指导医院组织文审证明材料撰写，并为医院提供详细的评审意见，对不符合文审要求的内容指导医院在规定时间段内及时进行完善。协助医院组织召开专家文审会议，收集《专家文审意见表》及《文审专家汇总表》，根据专家反馈的评审意见，指导医院进行整改及完善文审证明材料，为现场查验工作做好准备。</w:t>
            </w:r>
          </w:p>
        </w:tc>
      </w:tr>
      <w:tr>
        <w:tblPrEx>
          <w:tblW w:w="8526" w:type="dxa"/>
          <w:tblInd w:w="0" w:type="dxa"/>
          <w:tblLayout w:type="fixed"/>
          <w:tblCellMar>
            <w:top w:w="0" w:type="dxa"/>
            <w:left w:w="108" w:type="dxa"/>
            <w:bottom w:w="0" w:type="dxa"/>
            <w:right w:w="108" w:type="dxa"/>
          </w:tblCellMar>
        </w:tblPrEx>
        <w:trPr>
          <w:trHeight w:val="840"/>
        </w:trPr>
        <w:tc>
          <w:tcPr>
            <w:tcW w:w="697" w:type="dxa"/>
            <w:shd w:val="clear" w:color="auto" w:fill="auto"/>
            <w:vAlign w:val="center"/>
          </w:tcPr>
          <w:p>
            <w:pPr>
              <w:widowControl/>
              <w:jc w:val="center"/>
              <w:rPr>
                <w:rFonts w:ascii="宋体" w:eastAsia="宋体" w:hAnsi="宋体" w:cs="宋体" w:hint="eastAsia"/>
                <w:kern w:val="0"/>
                <w:szCs w:val="21"/>
                <w:lang w:val="en-US" w:eastAsia="zh-CN"/>
              </w:rPr>
            </w:pPr>
            <w:r>
              <w:rPr>
                <w:rFonts w:ascii="宋体" w:hAnsi="宋体" w:cs="宋体" w:hint="eastAsia"/>
                <w:kern w:val="0"/>
                <w:szCs w:val="21"/>
                <w:lang w:val="en-US" w:eastAsia="zh-CN"/>
              </w:rPr>
              <w:t>17</w:t>
            </w:r>
          </w:p>
        </w:tc>
        <w:tc>
          <w:tcPr>
            <w:tcW w:w="2423" w:type="dxa"/>
            <w:shd w:val="clear" w:color="000000" w:fill="FFFFFF"/>
            <w:vAlign w:val="center"/>
          </w:tcPr>
          <w:p>
            <w:pPr>
              <w:widowControl/>
              <w:jc w:val="left"/>
              <w:rPr>
                <w:rFonts w:ascii="宋体" w:hAnsi="宋体" w:cs="宋体"/>
                <w:kern w:val="0"/>
                <w:szCs w:val="21"/>
              </w:rPr>
            </w:pPr>
            <w:r>
              <w:rPr>
                <w:rFonts w:hint="eastAsia"/>
              </w:rPr>
              <w:t>▲</w:t>
            </w:r>
            <w:r>
              <w:rPr>
                <w:rFonts w:ascii="宋体" w:hAnsi="宋体" w:cs="宋体"/>
                <w:kern w:val="0"/>
                <w:szCs w:val="21"/>
              </w:rPr>
              <w:t>组织专家进行现场模拟查验</w:t>
            </w:r>
          </w:p>
        </w:tc>
        <w:tc>
          <w:tcPr>
            <w:tcW w:w="5406" w:type="dxa"/>
            <w:shd w:val="clear" w:color="000000" w:fill="FFFFFF"/>
            <w:vAlign w:val="center"/>
          </w:tcPr>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kern w:val="0"/>
                <w:szCs w:val="21"/>
              </w:rPr>
            </w:pPr>
            <w:r>
              <w:rPr>
                <w:rFonts w:ascii="宋体" w:hAnsi="宋体" w:cs="宋体" w:hint="eastAsia"/>
                <w:kern w:val="0"/>
                <w:szCs w:val="21"/>
              </w:rPr>
              <w:t>在项目执行期内提供不少于</w:t>
            </w:r>
            <w:r>
              <w:rPr>
                <w:rFonts w:ascii="宋体" w:hAnsi="宋体" w:cs="宋体"/>
                <w:kern w:val="0"/>
                <w:szCs w:val="21"/>
              </w:rPr>
              <w:t>1次的国家级专家现场预查验服务，组织专家按照现场查验的流程及内容进行预查验，提出相应的问题及改造意见，让采购人能够进一步明确差异分析和改造内容，完善定量测试数据和定量指标改造，熟悉现场查验流程，满足现场查验要求。</w:t>
            </w:r>
          </w:p>
        </w:tc>
      </w:tr>
      <w:tr>
        <w:tblPrEx>
          <w:tblW w:w="8526" w:type="dxa"/>
          <w:tblInd w:w="0" w:type="dxa"/>
          <w:tblLayout w:type="fixed"/>
          <w:tblCellMar>
            <w:top w:w="0" w:type="dxa"/>
            <w:left w:w="108" w:type="dxa"/>
            <w:bottom w:w="0" w:type="dxa"/>
            <w:right w:w="108" w:type="dxa"/>
          </w:tblCellMar>
        </w:tblPrEx>
        <w:trPr>
          <w:trHeight w:val="840"/>
        </w:trPr>
        <w:tc>
          <w:tcPr>
            <w:tcW w:w="697" w:type="dxa"/>
            <w:shd w:val="clear" w:color="auto" w:fill="auto"/>
            <w:vAlign w:val="center"/>
          </w:tcPr>
          <w:p>
            <w:pPr>
              <w:widowControl/>
              <w:jc w:val="center"/>
              <w:rPr>
                <w:rFonts w:ascii="宋体" w:eastAsia="宋体" w:hAnsi="宋体" w:cs="宋体" w:hint="eastAsia"/>
                <w:kern w:val="0"/>
                <w:szCs w:val="21"/>
                <w:lang w:val="en-US" w:eastAsia="zh-CN"/>
              </w:rPr>
            </w:pPr>
            <w:r>
              <w:rPr>
                <w:rFonts w:ascii="宋体" w:hAnsi="宋体" w:cs="宋体" w:hint="eastAsia"/>
                <w:kern w:val="0"/>
                <w:szCs w:val="21"/>
                <w:lang w:val="en-US" w:eastAsia="zh-CN"/>
              </w:rPr>
              <w:t>18</w:t>
            </w:r>
          </w:p>
        </w:tc>
        <w:tc>
          <w:tcPr>
            <w:tcW w:w="2423" w:type="dxa"/>
            <w:shd w:val="clear" w:color="000000" w:fill="FFFFFF"/>
            <w:vAlign w:val="center"/>
          </w:tcPr>
          <w:p>
            <w:pPr>
              <w:widowControl/>
              <w:jc w:val="left"/>
              <w:rPr>
                <w:rFonts w:ascii="宋体" w:hAnsi="宋体" w:cs="宋体"/>
                <w:kern w:val="0"/>
                <w:szCs w:val="21"/>
              </w:rPr>
            </w:pPr>
            <w:r>
              <w:rPr>
                <w:rFonts w:ascii="宋体" w:hAnsi="宋体" w:cs="宋体"/>
                <w:kern w:val="0"/>
                <w:szCs w:val="21"/>
              </w:rPr>
              <w:t>协助现场查验</w:t>
            </w:r>
          </w:p>
        </w:tc>
        <w:tc>
          <w:tcPr>
            <w:tcW w:w="5406" w:type="dxa"/>
            <w:shd w:val="clear" w:color="000000" w:fill="FFFFFF"/>
            <w:vAlign w:val="center"/>
          </w:tcPr>
          <w:p>
            <w:pPr>
              <w:keepNext w:val="0"/>
              <w:keepLines w:val="0"/>
              <w:pageBreakBefore w:val="0"/>
              <w:widowControl/>
              <w:kinsoku/>
              <w:wordWrap/>
              <w:overflowPunct/>
              <w:topLinePunct w:val="0"/>
              <w:autoSpaceDE/>
              <w:autoSpaceDN/>
              <w:bidi w:val="0"/>
              <w:ind w:firstLine="0" w:firstLineChars="0"/>
              <w:jc w:val="left"/>
              <w:textAlignment w:val="auto"/>
              <w:rPr>
                <w:rFonts w:ascii="宋体" w:hAnsi="宋体" w:cs="宋体"/>
                <w:kern w:val="0"/>
                <w:szCs w:val="21"/>
              </w:rPr>
            </w:pPr>
            <w:r>
              <w:rPr>
                <w:rFonts w:ascii="宋体" w:hAnsi="宋体" w:cs="宋体" w:hint="eastAsia"/>
                <w:kern w:val="0"/>
                <w:szCs w:val="21"/>
              </w:rPr>
              <w:t>提供《医院信息互联互通标准化成熟度测评现场查验工作方案及要求》、《医院信息互联互通标准化成熟度测评现场查验工作日程》（模板）、《医院信息互联互通标准化成熟度测评现场查验记录表》等资料，并以字面告知医院在现场查验时需要准备的资料和注意事项，在现场查验前一天帮助医院检查材料是否准备充分，同时协调专家人员参与现场查验，协助医院组织开展现场查验工作。</w:t>
            </w:r>
          </w:p>
        </w:tc>
      </w:tr>
    </w:tbl>
    <w:p>
      <w:pPr>
        <w:keepNext/>
        <w:keepLines/>
        <w:adjustRightInd w:val="0"/>
        <w:spacing w:before="120" w:beforeLines="50" w:after="120" w:afterLines="50"/>
        <w:jc w:val="center"/>
        <w:textAlignment w:val="baseline"/>
        <w:outlineLvl w:val="1"/>
        <w:rPr>
          <w:rFonts w:ascii="宋体" w:hAnsi="宋体" w:hint="eastAsia"/>
          <w:b/>
          <w:bCs/>
          <w:kern w:val="0"/>
          <w:sz w:val="24"/>
        </w:rPr>
      </w:pPr>
    </w:p>
    <w:p>
      <w:pPr>
        <w:keepNext/>
        <w:keepLines/>
        <w:adjustRightInd w:val="0"/>
        <w:spacing w:before="120" w:beforeLines="50" w:after="120" w:afterLines="50"/>
        <w:jc w:val="center"/>
        <w:textAlignment w:val="baseline"/>
        <w:outlineLvl w:val="1"/>
        <w:rPr>
          <w:rFonts w:ascii="宋体" w:hAnsi="宋体" w:hint="eastAsia"/>
          <w:b/>
          <w:bCs/>
          <w:kern w:val="0"/>
          <w:sz w:val="24"/>
        </w:rPr>
      </w:pPr>
    </w:p>
    <w:p>
      <w:pPr>
        <w:keepNext/>
        <w:keepLines/>
        <w:adjustRightInd w:val="0"/>
        <w:spacing w:before="120" w:beforeLines="50" w:after="120" w:afterLines="50"/>
        <w:jc w:val="center"/>
        <w:textAlignment w:val="baseline"/>
        <w:outlineLvl w:val="1"/>
        <w:rPr>
          <w:rFonts w:ascii="宋体" w:hAnsi="宋体"/>
          <w:b/>
          <w:bCs/>
          <w:kern w:val="0"/>
          <w:sz w:val="24"/>
        </w:rPr>
      </w:pPr>
      <w:r>
        <w:rPr>
          <w:rFonts w:ascii="宋体" w:hAnsi="宋体" w:hint="eastAsia"/>
          <w:b/>
          <w:bCs/>
          <w:kern w:val="0"/>
          <w:sz w:val="24"/>
        </w:rPr>
        <w:t>六、商务要求</w:t>
      </w:r>
    </w:p>
    <w:p>
      <w:pPr>
        <w:ind w:firstLine="420" w:firstLineChars="200"/>
        <w:jc w:val="left"/>
        <w:rPr>
          <w:rFonts w:asciiTheme="minorEastAsia" w:eastAsiaTheme="minorEastAsia" w:hAnsiTheme="minorEastAsia"/>
          <w:b/>
          <w:bCs/>
          <w:highlight w:val="yellow"/>
        </w:rPr>
      </w:pPr>
      <w:r>
        <w:rPr>
          <w:rFonts w:asciiTheme="minorEastAsia" w:eastAsiaTheme="minorEastAsia" w:hAnsiTheme="minorEastAsia" w:hint="eastAsia"/>
          <w:highlight w:val="yellow"/>
        </w:rPr>
        <w:t>1.★服务时间：合同签订之日12个月内完成，如未在合同期内完成互联互通四级甲等测评，则顺延至通过为止。</w:t>
      </w:r>
    </w:p>
    <w:p>
      <w:pPr>
        <w:ind w:firstLine="420" w:firstLineChars="200"/>
        <w:jc w:val="left"/>
        <w:rPr>
          <w:rFonts w:asciiTheme="minorEastAsia" w:eastAsiaTheme="minorEastAsia" w:hAnsiTheme="minorEastAsia"/>
          <w:b/>
          <w:bCs/>
        </w:rPr>
      </w:pPr>
      <w:r>
        <w:rPr>
          <w:rFonts w:asciiTheme="minorEastAsia" w:eastAsiaTheme="minorEastAsia" w:hAnsiTheme="minorEastAsia" w:hint="eastAsia"/>
        </w:rPr>
        <w:t>2.服务地点：采购人指定地点。</w:t>
      </w:r>
    </w:p>
    <w:p>
      <w:pPr>
        <w:ind w:firstLine="420" w:firstLineChars="200"/>
        <w:jc w:val="left"/>
        <w:rPr>
          <w:rFonts w:asciiTheme="minorEastAsia" w:eastAsiaTheme="minorEastAsia" w:hAnsiTheme="minorEastAsia"/>
          <w:b/>
          <w:bCs/>
        </w:rPr>
      </w:pPr>
      <w:r>
        <w:rPr>
          <w:rFonts w:asciiTheme="minorEastAsia" w:eastAsiaTheme="minorEastAsia" w:hAnsiTheme="minorEastAsia" w:hint="eastAsia"/>
        </w:rPr>
        <w:t>3.报价：人民币报价，本项目</w:t>
      </w:r>
      <w:r>
        <w:rPr>
          <w:rFonts w:ascii="宋体" w:eastAsia="宋体" w:hAnsi="宋体" w:cs="宋体" w:hint="eastAsia"/>
          <w:bCs/>
          <w:szCs w:val="21"/>
        </w:rPr>
        <w:t>采用包干制</w:t>
      </w:r>
      <w:r>
        <w:rPr>
          <w:rFonts w:asciiTheme="minorEastAsia" w:eastAsiaTheme="minorEastAsia" w:hAnsiTheme="minorEastAsia" w:hint="eastAsia"/>
        </w:rPr>
        <w:t>，应包括本次项目服务包括合同履行的全部费用以及所有风险、责任等所有费用。</w:t>
      </w:r>
    </w:p>
    <w:p>
      <w:pPr>
        <w:ind w:firstLine="420" w:firstLineChars="200"/>
        <w:jc w:val="left"/>
        <w:rPr>
          <w:rFonts w:asciiTheme="minorEastAsia" w:eastAsiaTheme="minorEastAsia" w:hAnsiTheme="minorEastAsia"/>
          <w:b/>
          <w:bCs/>
        </w:rPr>
      </w:pPr>
      <w:r>
        <w:rPr>
          <w:rFonts w:asciiTheme="minorEastAsia" w:eastAsiaTheme="minorEastAsia" w:hAnsiTheme="minorEastAsia" w:hint="eastAsia"/>
        </w:rPr>
        <w:t>4.人员要求：</w:t>
      </w:r>
    </w:p>
    <w:p>
      <w:pPr>
        <w:numPr>
          <w:ilvl w:val="255"/>
          <w:numId w:val="0"/>
        </w:numPr>
        <w:ind w:firstLine="420" w:firstLineChars="200"/>
        <w:jc w:val="left"/>
        <w:rPr>
          <w:rFonts w:asciiTheme="minorEastAsia" w:eastAsiaTheme="minorEastAsia" w:hAnsiTheme="minorEastAsia"/>
          <w:b/>
          <w:bCs/>
        </w:rPr>
      </w:pPr>
      <w:r>
        <w:rPr>
          <w:rFonts w:asciiTheme="minorEastAsia" w:eastAsiaTheme="minorEastAsia" w:hAnsiTheme="minorEastAsia" w:hint="eastAsia"/>
        </w:rPr>
        <w:t>（1）中标人在项目执行过程中全职参与，如需更换人员，则新替换人员所有条件不得低于被替换人员，并经采购人审核后方可更换。</w:t>
      </w:r>
    </w:p>
    <w:p>
      <w:pPr>
        <w:numPr>
          <w:ilvl w:val="255"/>
          <w:numId w:val="0"/>
        </w:numPr>
        <w:ind w:firstLine="420" w:firstLineChars="200"/>
        <w:rPr>
          <w:rFonts w:asciiTheme="minorEastAsia" w:eastAsiaTheme="minorEastAsia" w:hAnsiTheme="minorEastAsia"/>
          <w:b/>
          <w:bCs/>
        </w:rPr>
      </w:pPr>
      <w:r>
        <w:rPr>
          <w:rFonts w:asciiTheme="minorEastAsia" w:eastAsiaTheme="minorEastAsia" w:hAnsiTheme="minorEastAsia" w:hint="eastAsia"/>
        </w:rPr>
        <w:t>（2）中标人在项目现场需严格遵守采购人关于网络安全相关管理要求。</w:t>
      </w:r>
    </w:p>
    <w:p>
      <w:pPr>
        <w:numPr>
          <w:ilvl w:val="255"/>
          <w:numId w:val="0"/>
        </w:numPr>
        <w:ind w:firstLine="420" w:firstLineChars="200"/>
      </w:pPr>
      <w:r>
        <w:rPr>
          <w:rFonts w:hint="eastAsia"/>
        </w:rPr>
        <w:t>（3）本项目服务人员要求</w:t>
      </w:r>
    </w:p>
    <w:tbl>
      <w:tblPr>
        <w:tblStyle w:val="TableNormal"/>
        <w:tblpPr w:leftFromText="180" w:rightFromText="180" w:vertAnchor="text" w:tblpXSpec="center" w:tblpY="1"/>
        <w:tblOverlap w:val="never"/>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59"/>
        <w:gridCol w:w="1157"/>
        <w:gridCol w:w="720"/>
        <w:gridCol w:w="1537"/>
        <w:gridCol w:w="2129"/>
        <w:gridCol w:w="2224"/>
      </w:tblGrid>
      <w:tr>
        <w:tblPrEx>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12"/>
        </w:trPr>
        <w:tc>
          <w:tcPr>
            <w:tcW w:w="759" w:type="dxa"/>
            <w:vAlign w:val="center"/>
          </w:tcPr>
          <w:p>
            <w:pPr>
              <w:jc w:val="center"/>
              <w:rPr>
                <w:rFonts w:ascii="宋体" w:hAnsi="宋体"/>
                <w:b/>
                <w:bCs/>
                <w:szCs w:val="21"/>
              </w:rPr>
            </w:pPr>
            <w:r>
              <w:rPr>
                <w:rFonts w:ascii="宋体" w:hAnsi="宋体" w:hint="eastAsia"/>
                <w:b/>
                <w:bCs/>
                <w:szCs w:val="21"/>
              </w:rPr>
              <w:t>序号</w:t>
            </w:r>
          </w:p>
        </w:tc>
        <w:tc>
          <w:tcPr>
            <w:tcW w:w="1157" w:type="dxa"/>
            <w:vAlign w:val="center"/>
          </w:tcPr>
          <w:p>
            <w:pPr>
              <w:jc w:val="center"/>
              <w:rPr>
                <w:rFonts w:ascii="宋体" w:hAnsi="宋体"/>
                <w:b/>
                <w:bCs/>
                <w:szCs w:val="21"/>
              </w:rPr>
            </w:pPr>
            <w:r>
              <w:rPr>
                <w:rFonts w:ascii="宋体" w:hAnsi="宋体" w:hint="eastAsia"/>
                <w:b/>
                <w:bCs/>
                <w:szCs w:val="21"/>
              </w:rPr>
              <w:t>人员类别</w:t>
            </w:r>
          </w:p>
        </w:tc>
        <w:tc>
          <w:tcPr>
            <w:tcW w:w="720" w:type="dxa"/>
            <w:vAlign w:val="center"/>
          </w:tcPr>
          <w:p>
            <w:pPr>
              <w:jc w:val="center"/>
              <w:rPr>
                <w:rFonts w:ascii="宋体" w:hAnsi="宋体"/>
                <w:b/>
                <w:bCs/>
                <w:szCs w:val="21"/>
              </w:rPr>
            </w:pPr>
            <w:r>
              <w:rPr>
                <w:rFonts w:ascii="宋体" w:hAnsi="宋体" w:hint="eastAsia"/>
                <w:b/>
                <w:bCs/>
                <w:szCs w:val="21"/>
              </w:rPr>
              <w:t>数量</w:t>
            </w:r>
          </w:p>
        </w:tc>
        <w:tc>
          <w:tcPr>
            <w:tcW w:w="1537" w:type="dxa"/>
            <w:vAlign w:val="center"/>
          </w:tcPr>
          <w:p>
            <w:pPr>
              <w:jc w:val="center"/>
              <w:rPr>
                <w:rFonts w:ascii="宋体" w:hAnsi="宋体"/>
                <w:b/>
                <w:bCs/>
                <w:szCs w:val="21"/>
              </w:rPr>
            </w:pPr>
            <w:r>
              <w:rPr>
                <w:rFonts w:ascii="宋体" w:hAnsi="宋体" w:hint="eastAsia"/>
                <w:b/>
                <w:bCs/>
                <w:szCs w:val="21"/>
              </w:rPr>
              <w:t>人员具备条件</w:t>
            </w:r>
          </w:p>
        </w:tc>
        <w:tc>
          <w:tcPr>
            <w:tcW w:w="2129" w:type="dxa"/>
            <w:vAlign w:val="center"/>
          </w:tcPr>
          <w:p>
            <w:pPr>
              <w:jc w:val="center"/>
              <w:rPr>
                <w:rFonts w:ascii="宋体" w:hAnsi="宋体"/>
                <w:b/>
                <w:bCs/>
                <w:szCs w:val="21"/>
              </w:rPr>
            </w:pPr>
            <w:r>
              <w:rPr>
                <w:rFonts w:ascii="宋体" w:hAnsi="宋体" w:hint="eastAsia"/>
                <w:b/>
                <w:bCs/>
                <w:szCs w:val="21"/>
              </w:rPr>
              <w:t>工作职责内容</w:t>
            </w:r>
          </w:p>
        </w:tc>
        <w:tc>
          <w:tcPr>
            <w:tcW w:w="2224" w:type="dxa"/>
            <w:vAlign w:val="center"/>
          </w:tcPr>
          <w:p>
            <w:pPr>
              <w:jc w:val="center"/>
              <w:rPr>
                <w:rFonts w:ascii="宋体" w:hAnsi="宋体"/>
                <w:b/>
                <w:bCs/>
                <w:szCs w:val="21"/>
              </w:rPr>
            </w:pPr>
            <w:r>
              <w:rPr>
                <w:rFonts w:ascii="宋体" w:hAnsi="宋体" w:hint="eastAsia"/>
                <w:b/>
                <w:bCs/>
                <w:szCs w:val="21"/>
              </w:rPr>
              <w:t>人员可偏离条件</w:t>
            </w:r>
          </w:p>
        </w:tc>
      </w:tr>
      <w:tr>
        <w:tblPrEx>
          <w:tblW w:w="8526" w:type="dxa"/>
          <w:tblInd w:w="0" w:type="dxa"/>
          <w:tblLayout w:type="fixed"/>
          <w:tblCellMar>
            <w:top w:w="0" w:type="dxa"/>
            <w:left w:w="108" w:type="dxa"/>
            <w:bottom w:w="0" w:type="dxa"/>
            <w:right w:w="108" w:type="dxa"/>
          </w:tblCellMar>
        </w:tblPrEx>
        <w:trPr>
          <w:trHeight w:val="151"/>
        </w:trPr>
        <w:tc>
          <w:tcPr>
            <w:tcW w:w="759" w:type="dxa"/>
            <w:vAlign w:val="center"/>
          </w:tcPr>
          <w:p>
            <w:pPr>
              <w:jc w:val="center"/>
              <w:rPr>
                <w:rFonts w:ascii="宋体" w:hAnsi="宋体"/>
                <w:szCs w:val="21"/>
              </w:rPr>
            </w:pPr>
            <w:r>
              <w:rPr>
                <w:rFonts w:ascii="宋体" w:hAnsi="宋体" w:hint="eastAsia"/>
                <w:szCs w:val="21"/>
              </w:rPr>
              <w:t>1</w:t>
            </w:r>
          </w:p>
        </w:tc>
        <w:tc>
          <w:tcPr>
            <w:tcW w:w="1157" w:type="dxa"/>
            <w:vAlign w:val="center"/>
          </w:tcPr>
          <w:p>
            <w:pPr>
              <w:jc w:val="center"/>
              <w:rPr>
                <w:rFonts w:ascii="宋体" w:hAnsi="宋体"/>
                <w:szCs w:val="21"/>
              </w:rPr>
            </w:pPr>
            <w:r>
              <w:rPr>
                <w:rFonts w:ascii="宋体" w:hAnsi="宋体" w:hint="eastAsia"/>
                <w:bCs/>
                <w:szCs w:val="21"/>
              </w:rPr>
              <w:t>项目负责人</w:t>
            </w:r>
          </w:p>
        </w:tc>
        <w:tc>
          <w:tcPr>
            <w:tcW w:w="720" w:type="dxa"/>
            <w:vAlign w:val="center"/>
          </w:tcPr>
          <w:p>
            <w:pPr>
              <w:jc w:val="center"/>
              <w:rPr>
                <w:rFonts w:ascii="宋体" w:hAnsi="宋体"/>
                <w:szCs w:val="21"/>
              </w:rPr>
            </w:pPr>
            <w:r>
              <w:rPr>
                <w:rFonts w:ascii="宋体" w:hAnsi="宋体" w:hint="eastAsia"/>
                <w:szCs w:val="21"/>
              </w:rPr>
              <w:t>1人</w:t>
            </w:r>
          </w:p>
        </w:tc>
        <w:tc>
          <w:tcPr>
            <w:tcW w:w="1537" w:type="dxa"/>
            <w:vMerge w:val="restart"/>
            <w:vAlign w:val="center"/>
          </w:tcPr>
          <w:p>
            <w:pPr>
              <w:jc w:val="left"/>
            </w:pPr>
            <w:r>
              <w:rPr>
                <w:rFonts w:hint="eastAsia"/>
              </w:rPr>
              <w:t>自有员工</w:t>
            </w:r>
          </w:p>
        </w:tc>
        <w:tc>
          <w:tcPr>
            <w:tcW w:w="2129" w:type="dxa"/>
            <w:vAlign w:val="center"/>
          </w:tcPr>
          <w:p>
            <w:pPr>
              <w:numPr>
                <w:ilvl w:val="0"/>
                <w:numId w:val="9"/>
              </w:numPr>
              <w:wordWrap w:val="0"/>
              <w:ind w:left="360" w:hanging="360"/>
              <w:rPr>
                <w:rFonts w:ascii="Calibri" w:hAnsi="Calibri"/>
                <w:szCs w:val="22"/>
              </w:rPr>
            </w:pPr>
            <w:r>
              <w:rPr>
                <w:rFonts w:ascii="Calibri" w:hAnsi="Calibri" w:hint="eastAsia"/>
                <w:szCs w:val="22"/>
              </w:rPr>
              <w:t>负责项目整体进度的把控。</w:t>
            </w:r>
          </w:p>
          <w:p>
            <w:pPr>
              <w:numPr>
                <w:ilvl w:val="0"/>
                <w:numId w:val="9"/>
              </w:numPr>
              <w:wordWrap w:val="0"/>
              <w:ind w:left="360" w:hanging="360"/>
              <w:rPr>
                <w:rFonts w:ascii="Calibri" w:hAnsi="Calibri"/>
                <w:szCs w:val="22"/>
              </w:rPr>
            </w:pPr>
            <w:r>
              <w:rPr>
                <w:rFonts w:ascii="Calibri" w:hAnsi="Calibri" w:hint="eastAsia"/>
                <w:szCs w:val="22"/>
              </w:rPr>
              <w:t>组织协调项目团队成员开展项目工作。</w:t>
            </w:r>
          </w:p>
          <w:p>
            <w:pPr>
              <w:numPr>
                <w:ilvl w:val="0"/>
                <w:numId w:val="9"/>
              </w:numPr>
              <w:wordWrap w:val="0"/>
              <w:ind w:left="360" w:hanging="360"/>
              <w:rPr>
                <w:rFonts w:ascii="Calibri" w:hAnsi="Calibri"/>
                <w:szCs w:val="22"/>
              </w:rPr>
            </w:pPr>
            <w:r>
              <w:rPr>
                <w:rFonts w:ascii="Calibri" w:hAnsi="Calibri" w:hint="eastAsia"/>
                <w:szCs w:val="22"/>
              </w:rPr>
              <w:t>对互联互通测评标准进行培训。</w:t>
            </w:r>
          </w:p>
          <w:p>
            <w:pPr>
              <w:numPr>
                <w:ilvl w:val="0"/>
                <w:numId w:val="9"/>
              </w:numPr>
              <w:wordWrap w:val="0"/>
              <w:ind w:left="360" w:hanging="360"/>
              <w:rPr>
                <w:rFonts w:ascii="Calibri" w:hAnsi="Calibri"/>
                <w:szCs w:val="22"/>
              </w:rPr>
            </w:pPr>
            <w:r>
              <w:rPr>
                <w:rFonts w:ascii="Calibri" w:hAnsi="Calibri" w:hint="eastAsia"/>
                <w:szCs w:val="22"/>
              </w:rPr>
              <w:t>对指标进行评定，确认定量、定性指标均符合要求。</w:t>
            </w:r>
          </w:p>
        </w:tc>
        <w:tc>
          <w:tcPr>
            <w:tcW w:w="2224" w:type="dxa"/>
            <w:vAlign w:val="center"/>
          </w:tcPr>
          <w:p>
            <w:pPr>
              <w:widowControl/>
              <w:wordWrap w:val="0"/>
              <w:jc w:val="left"/>
            </w:pPr>
            <w:r>
              <w:rPr>
                <w:rFonts w:hint="eastAsia"/>
              </w:rPr>
              <w:t>具有研究生学历；</w:t>
            </w:r>
          </w:p>
          <w:p>
            <w:pPr>
              <w:widowControl/>
              <w:wordWrap w:val="0"/>
              <w:jc w:val="left"/>
            </w:pPr>
            <w:r>
              <w:rPr>
                <w:rFonts w:hint="eastAsia"/>
              </w:rPr>
              <w:t>具有人社部门</w:t>
            </w:r>
            <w:r>
              <w:rPr>
                <w:rFonts w:hint="eastAsia"/>
                <w:lang w:eastAsia="zh-CN"/>
              </w:rPr>
              <w:t>（</w:t>
            </w:r>
            <w:r>
              <w:rPr>
                <w:rFonts w:hint="eastAsia"/>
              </w:rPr>
              <w:t>或央企或高校</w:t>
            </w:r>
            <w:r>
              <w:rPr>
                <w:rFonts w:hint="eastAsia"/>
                <w:lang w:eastAsia="zh-CN"/>
              </w:rPr>
              <w:t>）</w:t>
            </w:r>
            <w:r>
              <w:rPr>
                <w:rFonts w:hint="eastAsia"/>
              </w:rPr>
              <w:t>评定的计算机或信息管理专业副高级职称；</w:t>
            </w:r>
          </w:p>
          <w:p>
            <w:pPr>
              <w:widowControl/>
              <w:wordWrap w:val="0"/>
              <w:jc w:val="left"/>
            </w:pPr>
            <w:r>
              <w:rPr>
                <w:rFonts w:hint="eastAsia"/>
              </w:rPr>
              <w:t>具有互联互通测评评审经验；</w:t>
            </w:r>
          </w:p>
          <w:p>
            <w:pPr>
              <w:widowControl/>
              <w:wordWrap w:val="0"/>
              <w:jc w:val="left"/>
            </w:pPr>
            <w:r>
              <w:rPr>
                <w:rFonts w:hint="eastAsia"/>
              </w:rPr>
              <w:t>具有卫生信息行业标准编制经验。</w:t>
            </w:r>
          </w:p>
        </w:tc>
      </w:tr>
      <w:tr>
        <w:tblPrEx>
          <w:tblW w:w="8526" w:type="dxa"/>
          <w:tblInd w:w="0" w:type="dxa"/>
          <w:tblLayout w:type="fixed"/>
          <w:tblCellMar>
            <w:top w:w="0" w:type="dxa"/>
            <w:left w:w="108" w:type="dxa"/>
            <w:bottom w:w="0" w:type="dxa"/>
            <w:right w:w="108" w:type="dxa"/>
          </w:tblCellMar>
        </w:tblPrEx>
        <w:trPr>
          <w:trHeight w:val="151"/>
        </w:trPr>
        <w:tc>
          <w:tcPr>
            <w:tcW w:w="759" w:type="dxa"/>
            <w:vAlign w:val="center"/>
          </w:tcPr>
          <w:p>
            <w:pPr>
              <w:jc w:val="center"/>
              <w:rPr>
                <w:rFonts w:ascii="宋体" w:hAnsi="宋体"/>
                <w:szCs w:val="21"/>
              </w:rPr>
            </w:pPr>
            <w:r>
              <w:rPr>
                <w:rFonts w:ascii="宋体" w:hAnsi="宋体" w:hint="eastAsia"/>
                <w:szCs w:val="21"/>
              </w:rPr>
              <w:t>2</w:t>
            </w:r>
          </w:p>
        </w:tc>
        <w:tc>
          <w:tcPr>
            <w:tcW w:w="1157" w:type="dxa"/>
            <w:vAlign w:val="center"/>
          </w:tcPr>
          <w:p>
            <w:pPr>
              <w:jc w:val="center"/>
              <w:rPr>
                <w:rFonts w:ascii="宋体" w:hAnsi="宋体"/>
                <w:szCs w:val="21"/>
              </w:rPr>
            </w:pPr>
            <w:r>
              <w:rPr>
                <w:rFonts w:ascii="宋体" w:hAnsi="宋体" w:cs="宋体" w:hint="eastAsia"/>
                <w:szCs w:val="21"/>
              </w:rPr>
              <w:t>团队成员</w:t>
            </w:r>
          </w:p>
        </w:tc>
        <w:tc>
          <w:tcPr>
            <w:tcW w:w="720" w:type="dxa"/>
            <w:vAlign w:val="center"/>
          </w:tcPr>
          <w:p>
            <w:pPr>
              <w:jc w:val="center"/>
              <w:rPr>
                <w:rFonts w:ascii="宋体" w:hAnsi="宋体"/>
                <w:szCs w:val="21"/>
              </w:rPr>
            </w:pPr>
            <w:r>
              <w:rPr>
                <w:rFonts w:ascii="宋体" w:hAnsi="宋体" w:hint="eastAsia"/>
                <w:szCs w:val="21"/>
              </w:rPr>
              <w:t>4人或以上</w:t>
            </w:r>
          </w:p>
        </w:tc>
        <w:tc>
          <w:tcPr>
            <w:tcW w:w="1537" w:type="dxa"/>
            <w:vMerge/>
            <w:vAlign w:val="center"/>
          </w:tcPr>
          <w:p>
            <w:pPr>
              <w:rPr>
                <w:rFonts w:ascii="宋体" w:hAnsi="宋体"/>
                <w:szCs w:val="21"/>
              </w:rPr>
            </w:pPr>
          </w:p>
        </w:tc>
        <w:tc>
          <w:tcPr>
            <w:tcW w:w="2129" w:type="dxa"/>
            <w:vAlign w:val="center"/>
          </w:tcPr>
          <w:p>
            <w:pPr>
              <w:numPr>
                <w:ilvl w:val="0"/>
                <w:numId w:val="10"/>
              </w:numPr>
              <w:wordWrap w:val="0"/>
              <w:ind w:left="360" w:hanging="360"/>
              <w:rPr>
                <w:rFonts w:ascii="Calibri" w:hAnsi="Calibri"/>
                <w:szCs w:val="22"/>
              </w:rPr>
            </w:pPr>
            <w:r>
              <w:rPr>
                <w:rFonts w:ascii="Calibri" w:hAnsi="Calibri" w:hint="eastAsia"/>
                <w:szCs w:val="22"/>
              </w:rPr>
              <w:t>完成互联互通测评指标的各项调研工作；</w:t>
            </w:r>
          </w:p>
          <w:p>
            <w:pPr>
              <w:numPr>
                <w:ilvl w:val="0"/>
                <w:numId w:val="10"/>
              </w:numPr>
              <w:ind w:left="360" w:hanging="360"/>
              <w:rPr>
                <w:szCs w:val="20"/>
              </w:rPr>
            </w:pPr>
            <w:r>
              <w:rPr>
                <w:rFonts w:hint="eastAsia"/>
                <w:szCs w:val="20"/>
              </w:rPr>
              <w:t>完成互联互通定量测试；</w:t>
            </w:r>
          </w:p>
          <w:p>
            <w:pPr>
              <w:numPr>
                <w:ilvl w:val="0"/>
                <w:numId w:val="10"/>
              </w:numPr>
              <w:ind w:left="360" w:hanging="360"/>
              <w:rPr>
                <w:rFonts w:ascii="Calibri" w:hAnsi="Calibri"/>
                <w:szCs w:val="22"/>
              </w:rPr>
            </w:pPr>
            <w:r>
              <w:rPr>
                <w:rFonts w:ascii="Calibri" w:hAnsi="Calibri" w:hint="eastAsia"/>
                <w:szCs w:val="22"/>
              </w:rPr>
              <w:t>协助客户完成各项文档编写；</w:t>
            </w:r>
          </w:p>
          <w:p>
            <w:pPr>
              <w:numPr>
                <w:ilvl w:val="0"/>
                <w:numId w:val="10"/>
              </w:numPr>
              <w:ind w:left="360" w:hanging="360"/>
              <w:rPr>
                <w:rFonts w:ascii="Calibri" w:hAnsi="Calibri"/>
                <w:szCs w:val="22"/>
              </w:rPr>
            </w:pPr>
            <w:r>
              <w:rPr>
                <w:rFonts w:ascii="Calibri" w:hAnsi="Calibri" w:hint="eastAsia"/>
                <w:szCs w:val="22"/>
              </w:rPr>
              <w:t>指导客户完成各项指标的整改。</w:t>
            </w:r>
          </w:p>
        </w:tc>
        <w:tc>
          <w:tcPr>
            <w:tcW w:w="2224" w:type="dxa"/>
            <w:vAlign w:val="center"/>
          </w:tcPr>
          <w:p>
            <w:r>
              <w:rPr>
                <w:rFonts w:hint="eastAsia"/>
              </w:rPr>
              <w:t>具有本科或以上学历；</w:t>
            </w:r>
          </w:p>
          <w:p>
            <w:r>
              <w:rPr>
                <w:rFonts w:hint="eastAsia"/>
              </w:rPr>
              <w:t>具有人社部门</w:t>
            </w:r>
            <w:r>
              <w:rPr>
                <w:rFonts w:eastAsia="宋体" w:hint="eastAsia"/>
                <w:lang w:eastAsia="zh-CN"/>
              </w:rPr>
              <w:t>（</w:t>
            </w:r>
            <w:r>
              <w:rPr>
                <w:rFonts w:hint="eastAsia"/>
              </w:rPr>
              <w:t>或央企或高校</w:t>
            </w:r>
            <w:r>
              <w:rPr>
                <w:rFonts w:eastAsia="宋体" w:hint="eastAsia"/>
                <w:lang w:eastAsia="zh-CN"/>
              </w:rPr>
              <w:t>）</w:t>
            </w:r>
            <w:r>
              <w:rPr>
                <w:rFonts w:hint="eastAsia"/>
              </w:rPr>
              <w:t>评定的计算机或信息管理类副高级及以上职称；</w:t>
            </w:r>
          </w:p>
          <w:p>
            <w:pPr>
              <w:wordWrap w:val="0"/>
            </w:pPr>
            <w:r>
              <w:rPr>
                <w:rFonts w:hint="eastAsia"/>
              </w:rPr>
              <w:t>具有政府部门颁发的医学信息相关的奖项。</w:t>
            </w:r>
          </w:p>
        </w:tc>
      </w:tr>
      <w:tr>
        <w:tblPrEx>
          <w:tblW w:w="8526" w:type="dxa"/>
          <w:tblInd w:w="0" w:type="dxa"/>
          <w:tblLayout w:type="fixed"/>
          <w:tblCellMar>
            <w:top w:w="0" w:type="dxa"/>
            <w:left w:w="108" w:type="dxa"/>
            <w:bottom w:w="0" w:type="dxa"/>
            <w:right w:w="108" w:type="dxa"/>
          </w:tblCellMar>
        </w:tblPrEx>
        <w:trPr>
          <w:trHeight w:val="104"/>
        </w:trPr>
        <w:tc>
          <w:tcPr>
            <w:tcW w:w="1916" w:type="dxa"/>
            <w:gridSpan w:val="2"/>
            <w:vAlign w:val="center"/>
          </w:tcPr>
          <w:p>
            <w:pPr>
              <w:jc w:val="center"/>
              <w:rPr>
                <w:rFonts w:ascii="宋体" w:hAnsi="宋体"/>
                <w:b/>
                <w:bCs/>
                <w:szCs w:val="21"/>
              </w:rPr>
            </w:pPr>
            <w:r>
              <w:rPr>
                <w:rFonts w:ascii="宋体" w:hAnsi="宋体" w:hint="eastAsia"/>
                <w:b/>
                <w:bCs/>
                <w:szCs w:val="21"/>
              </w:rPr>
              <w:t>合计</w:t>
            </w:r>
          </w:p>
        </w:tc>
        <w:tc>
          <w:tcPr>
            <w:tcW w:w="720" w:type="dxa"/>
            <w:vAlign w:val="center"/>
          </w:tcPr>
          <w:p>
            <w:pPr>
              <w:jc w:val="center"/>
              <w:rPr>
                <w:rFonts w:ascii="宋体" w:hAnsi="宋体"/>
                <w:b/>
                <w:bCs/>
                <w:szCs w:val="21"/>
              </w:rPr>
            </w:pPr>
            <w:r>
              <w:rPr>
                <w:rFonts w:ascii="宋体" w:hAnsi="宋体" w:hint="eastAsia"/>
                <w:szCs w:val="21"/>
              </w:rPr>
              <w:t>5人或以上</w:t>
            </w:r>
          </w:p>
        </w:tc>
        <w:tc>
          <w:tcPr>
            <w:tcW w:w="1537" w:type="dxa"/>
            <w:vAlign w:val="center"/>
          </w:tcPr>
          <w:p>
            <w:pPr>
              <w:rPr>
                <w:rFonts w:ascii="宋体" w:hAnsi="宋体"/>
                <w:szCs w:val="21"/>
              </w:rPr>
            </w:pPr>
            <w:r>
              <w:rPr>
                <w:rFonts w:ascii="宋体" w:hAnsi="宋体" w:hint="eastAsia"/>
                <w:szCs w:val="21"/>
              </w:rPr>
              <w:t>/</w:t>
            </w:r>
          </w:p>
        </w:tc>
        <w:tc>
          <w:tcPr>
            <w:tcW w:w="2129" w:type="dxa"/>
            <w:vAlign w:val="center"/>
          </w:tcPr>
          <w:p>
            <w:pPr>
              <w:jc w:val="center"/>
              <w:rPr>
                <w:rFonts w:ascii="宋体" w:hAnsi="宋体"/>
                <w:szCs w:val="21"/>
              </w:rPr>
            </w:pPr>
            <w:r>
              <w:rPr>
                <w:rFonts w:ascii="宋体" w:hAnsi="宋体" w:hint="eastAsia"/>
                <w:szCs w:val="21"/>
              </w:rPr>
              <w:t>/</w:t>
            </w:r>
          </w:p>
        </w:tc>
        <w:tc>
          <w:tcPr>
            <w:tcW w:w="2224" w:type="dxa"/>
            <w:vAlign w:val="center"/>
          </w:tcPr>
          <w:p>
            <w:pPr>
              <w:jc w:val="center"/>
              <w:rPr>
                <w:rFonts w:ascii="宋体" w:hAnsi="宋体"/>
                <w:szCs w:val="21"/>
              </w:rPr>
            </w:pPr>
            <w:r>
              <w:rPr>
                <w:rFonts w:ascii="宋体" w:hAnsi="宋体" w:hint="eastAsia"/>
                <w:szCs w:val="21"/>
              </w:rPr>
              <w:t>/</w:t>
            </w:r>
          </w:p>
        </w:tc>
      </w:tr>
    </w:tbl>
    <w:p>
      <w:pPr>
        <w:ind w:firstLine="420" w:firstLineChars="200"/>
        <w:jc w:val="left"/>
        <w:rPr>
          <w:rFonts w:asciiTheme="minorEastAsia" w:eastAsiaTheme="minorEastAsia" w:hAnsiTheme="minorEastAsia"/>
          <w:b/>
          <w:bCs/>
        </w:rPr>
      </w:pPr>
      <w:r>
        <w:rPr>
          <w:rFonts w:asciiTheme="minorEastAsia" w:eastAsiaTheme="minorEastAsia" w:hAnsiTheme="minorEastAsia" w:hint="eastAsia"/>
        </w:rPr>
        <w:t>5.验收标准：采购人通过国家医疗健康信息互联互通标准化成熟度测评四级甲等的现场查验。</w:t>
      </w:r>
    </w:p>
    <w:p>
      <w:pPr>
        <w:ind w:firstLine="420" w:firstLineChars="200"/>
        <w:jc w:val="left"/>
        <w:rPr>
          <w:rFonts w:asciiTheme="minorEastAsia" w:eastAsiaTheme="minorEastAsia" w:hAnsiTheme="minorEastAsia"/>
          <w:b/>
          <w:bCs/>
        </w:rPr>
      </w:pPr>
      <w:r>
        <w:rPr>
          <w:rFonts w:asciiTheme="minorEastAsia" w:eastAsiaTheme="minorEastAsia" w:hAnsiTheme="minorEastAsia" w:hint="eastAsia"/>
          <w:lang w:val="en-US" w:eastAsia="zh-CN"/>
        </w:rPr>
        <w:t>5</w:t>
      </w:r>
      <w:r>
        <w:rPr>
          <w:rFonts w:asciiTheme="minorEastAsia" w:eastAsiaTheme="minorEastAsia" w:hAnsiTheme="minorEastAsia" w:hint="eastAsia"/>
        </w:rPr>
        <w:t>.付款条件：</w:t>
      </w:r>
    </w:p>
    <w:p>
      <w:pPr>
        <w:ind w:firstLine="420" w:firstLineChars="200"/>
        <w:jc w:val="left"/>
        <w:rPr>
          <w:rFonts w:asciiTheme="minorEastAsia" w:eastAsiaTheme="minorEastAsia" w:hAnsiTheme="minorEastAsia"/>
          <w:b/>
          <w:bCs/>
        </w:rPr>
      </w:pPr>
      <w:r>
        <w:rPr>
          <w:rFonts w:asciiTheme="minorEastAsia" w:eastAsiaTheme="minorEastAsia" w:hAnsiTheme="minorEastAsia" w:hint="eastAsia"/>
        </w:rPr>
        <w:t>（1）合同签订后，经采购人确认，付合同价款的</w:t>
      </w:r>
      <w:r>
        <w:rPr>
          <w:rFonts w:asciiTheme="minorEastAsia" w:eastAsiaTheme="minorEastAsia" w:hAnsiTheme="minorEastAsia" w:hint="eastAsia"/>
          <w:lang w:val="en-US" w:eastAsia="zh-CN"/>
        </w:rPr>
        <w:t>3</w:t>
      </w:r>
      <w:r>
        <w:rPr>
          <w:rFonts w:asciiTheme="minorEastAsia" w:eastAsiaTheme="minorEastAsia" w:hAnsiTheme="minorEastAsia" w:hint="eastAsia"/>
        </w:rPr>
        <w:t>0％；</w:t>
      </w:r>
    </w:p>
    <w:p>
      <w:pPr>
        <w:ind w:firstLine="420" w:firstLineChars="200"/>
        <w:jc w:val="left"/>
        <w:rPr>
          <w:rFonts w:asciiTheme="minorEastAsia" w:eastAsiaTheme="minorEastAsia" w:hAnsiTheme="minorEastAsia"/>
          <w:b/>
          <w:bCs/>
        </w:rPr>
      </w:pPr>
      <w:r>
        <w:rPr>
          <w:rFonts w:asciiTheme="minorEastAsia" w:eastAsiaTheme="minorEastAsia" w:hAnsiTheme="minorEastAsia" w:hint="eastAsia"/>
        </w:rPr>
        <w:t>（2）项目通过医疗信息互联互通标准化成熟度四级测评文审，经采购人确认，付合同价款的30%；</w:t>
      </w:r>
    </w:p>
    <w:p>
      <w:pPr>
        <w:ind w:firstLine="420" w:firstLineChars="200"/>
        <w:jc w:val="left"/>
        <w:rPr>
          <w:rFonts w:asciiTheme="minorEastAsia" w:eastAsiaTheme="minorEastAsia" w:hAnsiTheme="minorEastAsia"/>
          <w:b/>
          <w:bCs/>
        </w:rPr>
      </w:pPr>
      <w:r>
        <w:rPr>
          <w:rFonts w:asciiTheme="minorEastAsia" w:eastAsiaTheme="minorEastAsia" w:hAnsiTheme="minorEastAsia" w:hint="eastAsia"/>
        </w:rPr>
        <w:t>（3）通过验收要求，经采购人确认，支付剩余尾款</w:t>
      </w:r>
      <w:r>
        <w:rPr>
          <w:rFonts w:asciiTheme="minorEastAsia" w:eastAsiaTheme="minorEastAsia" w:hAnsiTheme="minorEastAsia" w:hint="eastAsia"/>
          <w:lang w:val="en-US" w:eastAsia="zh-CN"/>
        </w:rPr>
        <w:t>4</w:t>
      </w:r>
      <w:r>
        <w:rPr>
          <w:rFonts w:asciiTheme="minorEastAsia" w:eastAsiaTheme="minorEastAsia" w:hAnsiTheme="minorEastAsia" w:hint="eastAsia"/>
        </w:rPr>
        <w:t>0%。</w:t>
      </w:r>
    </w:p>
    <w:p>
      <w:pPr>
        <w:ind w:firstLine="420" w:firstLineChars="200"/>
        <w:jc w:val="left"/>
        <w:rPr>
          <w:rFonts w:asciiTheme="minorEastAsia" w:eastAsiaTheme="minorEastAsia" w:hAnsiTheme="minorEastAsia"/>
          <w:b/>
          <w:bCs/>
        </w:rPr>
      </w:pPr>
      <w:r>
        <w:rPr>
          <w:rFonts w:asciiTheme="minorEastAsia" w:eastAsiaTheme="minorEastAsia" w:hAnsiTheme="minorEastAsia" w:hint="eastAsia"/>
          <w:lang w:val="en-US" w:eastAsia="zh-CN"/>
        </w:rPr>
        <w:t>6</w:t>
      </w:r>
      <w:r>
        <w:rPr>
          <w:rFonts w:asciiTheme="minorEastAsia" w:eastAsiaTheme="minorEastAsia" w:hAnsiTheme="minorEastAsia" w:hint="eastAsia"/>
        </w:rPr>
        <w:t>.违约责任：由于中标人的原因，未按照合同协议约定提供服务的，采购人有权要求中标人按照服务费用的30%支付违约金，并赔偿采购人由此受到的损失。</w:t>
      </w:r>
    </w:p>
    <w:p>
      <w:pPr>
        <w:ind w:firstLine="420" w:firstLineChars="200"/>
        <w:jc w:val="left"/>
        <w:rPr>
          <w:rFonts w:asciiTheme="minorEastAsia" w:eastAsiaTheme="minorEastAsia" w:hAnsiTheme="minorEastAsia"/>
          <w:b/>
          <w:bCs/>
        </w:rPr>
      </w:pPr>
      <w:r>
        <w:rPr>
          <w:rFonts w:asciiTheme="minorEastAsia" w:eastAsiaTheme="minorEastAsia" w:hAnsiTheme="minorEastAsia" w:hint="eastAsia"/>
          <w:lang w:val="en-US" w:eastAsia="zh-CN"/>
        </w:rPr>
        <w:t>7</w:t>
      </w:r>
      <w:r>
        <w:rPr>
          <w:rFonts w:asciiTheme="minorEastAsia" w:eastAsiaTheme="minorEastAsia" w:hAnsiTheme="minorEastAsia" w:hint="eastAsia"/>
        </w:rPr>
        <w:t>．知识产权</w:t>
      </w:r>
      <w:r>
        <w:rPr>
          <w:rFonts w:asciiTheme="minorEastAsia" w:eastAsiaTheme="minorEastAsia" w:hAnsiTheme="minorEastAsia" w:hint="eastAsia"/>
        </w:rPr>
        <w:tab/>
      </w:r>
    </w:p>
    <w:p>
      <w:pPr>
        <w:ind w:firstLine="420" w:firstLineChars="200"/>
        <w:jc w:val="left"/>
        <w:rPr>
          <w:rFonts w:asciiTheme="minorEastAsia" w:eastAsiaTheme="minorEastAsia" w:hAnsiTheme="minorEastAsia"/>
          <w:b/>
          <w:bCs/>
        </w:rPr>
      </w:pPr>
      <w:r>
        <w:rPr>
          <w:rFonts w:asciiTheme="minorEastAsia" w:eastAsiaTheme="minorEastAsia" w:hAnsiTheme="minorEastAsia" w:hint="eastAsia"/>
        </w:rPr>
        <w:t>（1）中标人应保证采购人在使用该货物或其任何一部分时免受第三方提出侵犯其专利、商标、版权等知识产权或商品名称及其他权利的起诉及索赔。若采购人因此被第三方起诉或以其它方式追究责任，中标人应赔偿因采购人被第三方索赔所引起的一切损失，包括但不限于采购人所支付的侵权损害赔偿费、律师费、诉讼费、仲裁费、办案差旅费等因应诉、沟通协调所发的一切费用。</w:t>
      </w:r>
    </w:p>
    <w:p>
      <w:pPr>
        <w:ind w:firstLine="420" w:firstLineChars="200"/>
        <w:jc w:val="left"/>
        <w:rPr>
          <w:rFonts w:asciiTheme="minorEastAsia" w:eastAsiaTheme="minorEastAsia" w:hAnsiTheme="minorEastAsia"/>
          <w:b/>
          <w:bCs/>
        </w:rPr>
      </w:pPr>
      <w:r>
        <w:rPr>
          <w:rFonts w:asciiTheme="minorEastAsia" w:eastAsiaTheme="minorEastAsia" w:hAnsiTheme="minorEastAsia" w:hint="eastAsia"/>
        </w:rPr>
        <w:t>（2）除第三人依法享有知识产权的除外，中标人实施本项目所形成成果的知识产权归采购人所有，未经采购人许可，中标人不得随意使用。</w:t>
      </w:r>
    </w:p>
    <w:p>
      <w:pPr>
        <w:ind w:firstLine="420" w:firstLineChars="200"/>
        <w:jc w:val="left"/>
        <w:rPr>
          <w:rFonts w:ascii="宋体" w:hAnsi="宋体" w:cs="宋体"/>
          <w:color w:val="000000"/>
          <w:sz w:val="20"/>
          <w:szCs w:val="20"/>
        </w:rPr>
      </w:pPr>
      <w:r>
        <w:rPr>
          <w:rFonts w:asciiTheme="minorEastAsia" w:eastAsiaTheme="minorEastAsia" w:hAnsiTheme="minorEastAsia" w:hint="eastAsia"/>
          <w:lang w:val="en-US" w:eastAsia="zh-CN"/>
        </w:rPr>
        <w:t>8</w:t>
      </w:r>
      <w:r>
        <w:rPr>
          <w:rFonts w:asciiTheme="minorEastAsia" w:eastAsiaTheme="minorEastAsia" w:hAnsiTheme="minorEastAsia"/>
        </w:rPr>
        <w:t>.</w:t>
      </w:r>
      <w:r>
        <w:rPr>
          <w:rFonts w:asciiTheme="minorEastAsia" w:eastAsiaTheme="minorEastAsia" w:hAnsiTheme="minorEastAsia" w:hint="eastAsia"/>
        </w:rPr>
        <w:t>在合同履行期间，如出现因违法经营受到刑事处罚或者责令停产停业、吊销许可证或者执照、较大数额罚款等行政处罚，导致不满足《中华人民共和国政府采购法》第二十二条供应商要求的，一经查证属实，采购人有权单方解除协议（合同）或不予续签下一年度合同，且无需承担任何违约责任。</w:t>
      </w:r>
    </w:p>
    <w:p>
      <w:pPr>
        <w:keepNext/>
        <w:keepLines/>
        <w:adjustRightInd w:val="0"/>
        <w:spacing w:before="120" w:beforeLines="50" w:after="120" w:afterLines="50"/>
        <w:jc w:val="center"/>
        <w:textAlignment w:val="baseline"/>
        <w:outlineLvl w:val="1"/>
        <w:rPr>
          <w:rFonts w:ascii="宋体" w:hAnsi="宋体"/>
          <w:b/>
          <w:bCs/>
          <w:kern w:val="0"/>
          <w:sz w:val="24"/>
        </w:rPr>
      </w:pPr>
      <w:r>
        <w:rPr>
          <w:rFonts w:ascii="宋体" w:hAnsi="宋体" w:hint="eastAsia"/>
          <w:b/>
          <w:bCs/>
          <w:kern w:val="0"/>
          <w:sz w:val="24"/>
        </w:rPr>
        <w:t>七、其他重要条款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pStyle w:val="NormalIndent"/>
        <w:spacing w:before="60" w:beforeLines="25" w:after="60" w:afterLines="25"/>
        <w:ind w:firstLine="393" w:firstLineChars="187"/>
        <w:rPr>
          <w:rFonts w:ascii="宋体" w:hAnsi="宋体"/>
          <w:szCs w:val="21"/>
        </w:rPr>
      </w:pPr>
      <w:r>
        <w:rPr>
          <w:bCs/>
          <w:szCs w:val="21"/>
        </w:rPr>
        <w:t>6</w:t>
      </w:r>
      <w:r>
        <w:rPr>
          <w:rFonts w:hint="eastAsia"/>
          <w:bCs/>
          <w:szCs w:val="21"/>
        </w:rPr>
        <w:t>、“信用中国”、“中国政府采购网”、“深圳信用网”以及“深圳市政府采购监管网”为供应商信用信息的查询渠道，相关信息以开标当日的查询结果为准。如开标当日“信用中国”、“中国政府采购网”、“深圳信用网”以及“深圳市政府采购监管网”四个网站出现网站无法打开的特殊情况，相关信息则以中标通知书发出前的查询结果为准。</w:t>
      </w:r>
    </w:p>
    <w:p>
      <w:pPr>
        <w:pStyle w:val="NormalIndent"/>
        <w:spacing w:before="60" w:beforeLines="25" w:after="60" w:afterLines="25"/>
        <w:ind w:firstLine="393" w:firstLineChars="187"/>
        <w:rPr>
          <w:rFonts w:ascii="宋体" w:hAnsi="宋体"/>
          <w:szCs w:val="21"/>
        </w:rPr>
      </w:pP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widowControl/>
        <w:jc w:val="left"/>
        <w:rPr>
          <w:rFonts w:ascii="仿宋_GB2312" w:eastAsia="仿宋_GB2312"/>
          <w:kern w:val="0"/>
          <w:sz w:val="24"/>
          <w:highlight w:val="yellow"/>
        </w:rPr>
      </w:pPr>
      <w:r>
        <w:rPr>
          <w:rFonts w:ascii="仿宋_GB2312" w:eastAsia="仿宋_GB2312" w:hint="eastAsia"/>
          <w:sz w:val="24"/>
        </w:rPr>
        <w:t xml:space="preserve">    </w:t>
      </w:r>
      <w:r>
        <w:rPr>
          <w:rFonts w:ascii="仿宋_GB2312" w:eastAsia="仿宋_GB2312" w:hint="eastAsia"/>
          <w:kern w:val="0"/>
          <w:sz w:val="24"/>
          <w:highlight w:val="yellow"/>
        </w:rPr>
        <w:t>投标文件正文（信息公开部分）必须编制于“投标书目录”部分，投标文件附件（非信息公开部分）必须编制于“投标书附件”部分，如下图所示。</w:t>
      </w:r>
    </w:p>
    <w:p>
      <w:pPr>
        <w:widowControl/>
        <w:jc w:val="left"/>
        <w:rPr>
          <w:rFonts w:ascii="宋体" w:eastAsia="Times New Roman" w:hAnsi="宋体" w:cs="宋体"/>
          <w:kern w:val="0"/>
          <w:sz w:val="24"/>
          <w:highlight w:val="green"/>
        </w:rPr>
      </w:pPr>
      <w:r>
        <w:rPr>
          <w:rFonts w:ascii="仿宋_GB2312" w:eastAsia="仿宋_GB2312"/>
          <w:kern w:val="0"/>
          <w:sz w:val="24"/>
          <w:highlight w:val="green"/>
        </w:rPr>
        <w:drawing>
          <wp:inline distT="0" distB="0" distL="0" distR="0">
            <wp:extent cx="5278755" cy="4126230"/>
            <wp:effectExtent l="0" t="0" r="9525" b="381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5278755" cy="4126230"/>
                    </a:xfrm>
                    <a:prstGeom prst="rect">
                      <a:avLst/>
                    </a:prstGeom>
                    <a:noFill/>
                    <a:ln>
                      <a:noFill/>
                    </a:ln>
                  </pic:spPr>
                </pic:pic>
              </a:graphicData>
            </a:graphic>
          </wp:inline>
        </w:drawing>
      </w:r>
    </w:p>
    <w:p>
      <w:pPr>
        <w:widowControl/>
        <w:jc w:val="left"/>
        <w:rPr>
          <w:rFonts w:ascii="宋体" w:hAnsi="宋体" w:cs="宋体"/>
          <w:kern w:val="0"/>
          <w:sz w:val="24"/>
        </w:rPr>
      </w:pPr>
      <w:r>
        <w:rPr>
          <w:rFonts w:ascii="仿宋_GB2312" w:eastAsia="仿宋_GB2312" w:hint="eastAsia"/>
          <w:sz w:val="24"/>
        </w:rPr>
        <w:t>注：投标文件编制操作指引请各投标人关注https://www.szggzy.com/xxgk/tzgg/content_201792.html</w:t>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b/>
          <w:sz w:val="24"/>
        </w:rPr>
      </w:pPr>
    </w:p>
    <w:p>
      <w:pPr>
        <w:rPr>
          <w:rFonts w:ascii="宋体" w:hAnsi="宋体"/>
          <w:sz w:val="24"/>
        </w:rPr>
      </w:pPr>
      <w:r>
        <w:rPr>
          <w:rFonts w:ascii="宋体" w:hAnsi="宋体" w:hint="eastAsia"/>
          <w:sz w:val="24"/>
        </w:rPr>
        <w:br w:type="page"/>
      </w:r>
    </w:p>
    <w:p>
      <w:pPr>
        <w:rPr>
          <w:rFonts w:ascii="宋体" w:hAnsi="宋体"/>
          <w:sz w:val="24"/>
        </w:rPr>
      </w:pPr>
      <w:r>
        <w:rPr>
          <w:rFonts w:ascii="宋体" w:hAnsi="宋体" w:hint="eastAsia"/>
          <w:sz w:val="24"/>
        </w:rPr>
        <w:t>投标文件组成：</w:t>
      </w:r>
    </w:p>
    <w:p>
      <w:pPr>
        <w:ind w:firstLine="1050" w:firstLineChars="500"/>
        <w:outlineLvl w:val="1"/>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35" w:name="_Hlk72070784"/>
      <w:r>
        <w:rPr>
          <w:rFonts w:hint="eastAsia"/>
          <w:szCs w:val="21"/>
        </w:rPr>
        <w:t>投标函</w:t>
      </w:r>
      <w:bookmarkEnd w:id="35"/>
    </w:p>
    <w:p>
      <w:pPr>
        <w:ind w:left="718" w:firstLine="1418" w:leftChars="342" w:firstLineChars="675"/>
        <w:rPr>
          <w:szCs w:val="21"/>
        </w:rPr>
      </w:pPr>
      <w:r>
        <w:rPr>
          <w:rFonts w:hint="eastAsia"/>
          <w:szCs w:val="21"/>
        </w:rPr>
        <w:t>（2）</w:t>
      </w:r>
      <w:bookmarkStart w:id="36" w:name="_Hlk72062521"/>
      <w:r>
        <w:rPr>
          <w:rFonts w:hint="eastAsia"/>
          <w:szCs w:val="21"/>
        </w:rPr>
        <w:t>政府采购投标及履约承诺函</w:t>
      </w:r>
      <w:bookmarkEnd w:id="36"/>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szCs w:val="21"/>
        </w:rPr>
      </w:pPr>
      <w:bookmarkStart w:id="37" w:name="_Hlk72257201"/>
      <w:r>
        <w:rPr>
          <w:rFonts w:hint="eastAsia"/>
          <w:szCs w:val="21"/>
        </w:rPr>
        <w:t>（</w:t>
      </w:r>
      <w:r>
        <w:rPr>
          <w:szCs w:val="21"/>
        </w:rPr>
        <w:t>4</w:t>
      </w:r>
      <w:r>
        <w:rPr>
          <w:rFonts w:hint="eastAsia"/>
          <w:szCs w:val="21"/>
        </w:rPr>
        <w:t>）中小企业声明函、残疾人福利性单位声明函及监狱企业声明函</w:t>
      </w:r>
    </w:p>
    <w:p>
      <w:pPr>
        <w:ind w:left="718" w:firstLine="1418" w:leftChars="342" w:firstLineChars="675"/>
        <w:rPr>
          <w:szCs w:val="21"/>
        </w:rPr>
      </w:pPr>
      <w:r>
        <w:rPr>
          <w:rFonts w:hint="eastAsia"/>
          <w:szCs w:val="21"/>
        </w:rPr>
        <w:t>（5）项目详细报价</w:t>
      </w:r>
    </w:p>
    <w:p>
      <w:pPr>
        <w:ind w:left="718" w:firstLine="1418" w:leftChars="342" w:firstLineChars="675"/>
        <w:rPr>
          <w:rFonts w:hint="eastAsia"/>
          <w:szCs w:val="21"/>
        </w:rPr>
      </w:pPr>
      <w:r>
        <w:rPr>
          <w:rFonts w:hint="eastAsia"/>
          <w:szCs w:val="21"/>
        </w:rPr>
        <w:t>（</w:t>
      </w:r>
      <w:r>
        <w:rPr>
          <w:szCs w:val="21"/>
        </w:rPr>
        <w:t>6</w:t>
      </w:r>
      <w:r>
        <w:rPr>
          <w:rFonts w:hint="eastAsia"/>
          <w:szCs w:val="21"/>
        </w:rPr>
        <w:t>）供应商认证情况</w:t>
      </w:r>
    </w:p>
    <w:p>
      <w:pPr>
        <w:ind w:left="718" w:firstLine="1418" w:leftChars="342" w:firstLineChars="675"/>
        <w:rPr>
          <w:rFonts w:hint="eastAsia"/>
          <w:szCs w:val="21"/>
        </w:rPr>
      </w:pPr>
      <w:r>
        <w:rPr>
          <w:rFonts w:hint="eastAsia"/>
          <w:szCs w:val="21"/>
        </w:rPr>
        <w:t>（</w:t>
      </w:r>
      <w:r>
        <w:rPr>
          <w:rFonts w:hint="eastAsia"/>
          <w:szCs w:val="21"/>
          <w:lang w:val="en-US" w:eastAsia="zh-CN"/>
        </w:rPr>
        <w:t>7</w:t>
      </w:r>
      <w:r>
        <w:rPr>
          <w:rFonts w:hint="eastAsia"/>
          <w:szCs w:val="21"/>
        </w:rPr>
        <w:t>）标准规范</w:t>
      </w:r>
    </w:p>
    <w:p>
      <w:pPr>
        <w:ind w:left="718" w:firstLine="1418" w:leftChars="342" w:firstLineChars="675"/>
        <w:rPr>
          <w:szCs w:val="21"/>
        </w:rPr>
      </w:pPr>
      <w:r>
        <w:rPr>
          <w:rFonts w:hint="eastAsia"/>
          <w:szCs w:val="21"/>
        </w:rPr>
        <w:t>（</w:t>
      </w:r>
      <w:r>
        <w:rPr>
          <w:rFonts w:hint="eastAsia"/>
          <w:szCs w:val="21"/>
          <w:lang w:val="en-US" w:eastAsia="zh-CN"/>
        </w:rPr>
        <w:t>8</w:t>
      </w:r>
      <w:r>
        <w:rPr>
          <w:rFonts w:hint="eastAsia"/>
          <w:szCs w:val="21"/>
        </w:rPr>
        <w:t>）相关业绩证明</w:t>
      </w:r>
    </w:p>
    <w:p>
      <w:pPr>
        <w:ind w:left="718" w:firstLine="1418" w:leftChars="342" w:firstLineChars="675"/>
        <w:rPr>
          <w:szCs w:val="21"/>
        </w:rPr>
      </w:pPr>
      <w:r>
        <w:rPr>
          <w:rFonts w:hint="eastAsia"/>
          <w:szCs w:val="21"/>
        </w:rPr>
        <w:t>（</w:t>
      </w:r>
      <w:r>
        <w:rPr>
          <w:rFonts w:hint="eastAsia"/>
          <w:szCs w:val="21"/>
          <w:lang w:val="en-US" w:eastAsia="zh-CN"/>
        </w:rPr>
        <w:t>9</w:t>
      </w:r>
      <w:r>
        <w:rPr>
          <w:rFonts w:hint="eastAsia"/>
          <w:szCs w:val="21"/>
        </w:rPr>
        <w:t>）投标人认为需要加以说明的其他内容（公开）</w:t>
      </w:r>
    </w:p>
    <w:p>
      <w:pPr>
        <w:ind w:left="718" w:firstLine="1418" w:leftChars="342" w:firstLineChars="675"/>
        <w:rPr>
          <w:szCs w:val="21"/>
        </w:rPr>
      </w:pPr>
    </w:p>
    <w:p>
      <w:pPr>
        <w:ind w:firstLine="1050" w:firstLineChars="500"/>
        <w:outlineLvl w:val="1"/>
        <w:rPr>
          <w:rFonts w:ascii="宋体" w:hAnsi="宋体"/>
          <w:sz w:val="24"/>
        </w:rPr>
      </w:pPr>
      <w:bookmarkEnd w:id="37"/>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（1）法定代表人（负责人）证明书</w:t>
      </w:r>
    </w:p>
    <w:p>
      <w:pPr>
        <w:ind w:left="718" w:firstLine="1418" w:leftChars="342" w:firstLineChars="675"/>
        <w:rPr>
          <w:szCs w:val="21"/>
        </w:rPr>
      </w:pPr>
      <w:r>
        <w:rPr>
          <w:rFonts w:hint="eastAsia"/>
          <w:szCs w:val="21"/>
        </w:rPr>
        <w:t>（2）投标文件签署授权委托书</w:t>
      </w:r>
    </w:p>
    <w:p>
      <w:pPr>
        <w:ind w:left="718" w:firstLine="1418" w:leftChars="342" w:firstLineChars="675"/>
        <w:rPr>
          <w:szCs w:val="21"/>
        </w:rPr>
      </w:pPr>
      <w:r>
        <w:rPr>
          <w:rFonts w:hint="eastAsia"/>
          <w:szCs w:val="21"/>
        </w:rPr>
        <w:t>（3）</w:t>
      </w:r>
      <w:r>
        <w:rPr>
          <w:szCs w:val="21"/>
        </w:rPr>
        <w:t>实质性条款响应情况表</w:t>
      </w:r>
    </w:p>
    <w:p>
      <w:pPr>
        <w:ind w:left="718" w:firstLine="1418" w:leftChars="342" w:firstLineChars="675"/>
        <w:rPr>
          <w:rFonts w:hint="eastAsia"/>
          <w:szCs w:val="21"/>
        </w:rPr>
      </w:pPr>
      <w:r>
        <w:rPr>
          <w:rFonts w:hint="eastAsia"/>
          <w:szCs w:val="21"/>
        </w:rPr>
        <w:t>（4）项目实施方案</w:t>
      </w:r>
    </w:p>
    <w:p>
      <w:pPr>
        <w:ind w:left="718" w:firstLine="1418" w:leftChars="342" w:firstLineChars="675"/>
        <w:rPr>
          <w:szCs w:val="21"/>
        </w:rPr>
      </w:pPr>
      <w:r>
        <w:rPr>
          <w:rFonts w:hint="eastAsia"/>
          <w:szCs w:val="21"/>
        </w:rPr>
        <w:t>（</w:t>
      </w:r>
      <w:r>
        <w:rPr>
          <w:rFonts w:hint="eastAsia"/>
          <w:szCs w:val="21"/>
          <w:lang w:val="en-US" w:eastAsia="zh-CN"/>
        </w:rPr>
        <w:t>5</w:t>
      </w:r>
      <w:r>
        <w:rPr>
          <w:rFonts w:hint="eastAsia"/>
          <w:szCs w:val="21"/>
        </w:rPr>
        <w:t>）项目重点难点分析、应对措施及相关的合理化建议</w:t>
      </w:r>
    </w:p>
    <w:p>
      <w:pPr>
        <w:ind w:left="718" w:firstLine="1418" w:leftChars="342" w:firstLineChars="675"/>
        <w:rPr>
          <w:szCs w:val="21"/>
        </w:rPr>
      </w:pPr>
      <w:r>
        <w:rPr>
          <w:rFonts w:hint="eastAsia"/>
          <w:szCs w:val="21"/>
        </w:rPr>
        <w:t>（</w:t>
      </w:r>
      <w:r>
        <w:rPr>
          <w:rFonts w:hint="eastAsia"/>
          <w:szCs w:val="21"/>
          <w:lang w:val="en-US" w:eastAsia="zh-CN"/>
        </w:rPr>
        <w:t>6</w:t>
      </w:r>
      <w:r>
        <w:rPr>
          <w:rFonts w:hint="eastAsia"/>
          <w:szCs w:val="21"/>
        </w:rPr>
        <w:t>）项目负责人（仅限一人）情况</w:t>
      </w:r>
    </w:p>
    <w:p>
      <w:pPr>
        <w:ind w:left="718" w:firstLine="1418" w:leftChars="342" w:firstLineChars="675"/>
        <w:rPr>
          <w:szCs w:val="21"/>
        </w:rPr>
      </w:pPr>
      <w:r>
        <w:rPr>
          <w:rFonts w:hint="eastAsia"/>
          <w:szCs w:val="21"/>
        </w:rPr>
        <w:t>（</w:t>
      </w:r>
      <w:r>
        <w:rPr>
          <w:rFonts w:hint="eastAsia"/>
          <w:szCs w:val="21"/>
          <w:lang w:val="en-US" w:eastAsia="zh-CN"/>
        </w:rPr>
        <w:t>7</w:t>
      </w:r>
      <w:r>
        <w:rPr>
          <w:rFonts w:hint="eastAsia"/>
          <w:szCs w:val="21"/>
        </w:rPr>
        <w:t>）拟安排的项目主要团队成员（主要技术人员）情况（项目负责人除外）</w:t>
      </w:r>
    </w:p>
    <w:p>
      <w:pPr>
        <w:ind w:left="718" w:firstLine="1418" w:leftChars="342" w:firstLineChars="675"/>
        <w:rPr>
          <w:rFonts w:hint="eastAsia"/>
          <w:szCs w:val="21"/>
        </w:rPr>
      </w:pPr>
      <w:r>
        <w:rPr>
          <w:rFonts w:hint="eastAsia"/>
          <w:szCs w:val="21"/>
        </w:rPr>
        <w:t>（</w:t>
      </w:r>
      <w:r>
        <w:rPr>
          <w:rFonts w:hint="eastAsia"/>
          <w:szCs w:val="21"/>
          <w:lang w:val="en-US" w:eastAsia="zh-CN"/>
        </w:rPr>
        <w:t>8</w:t>
      </w:r>
      <w:r>
        <w:rPr>
          <w:rFonts w:hint="eastAsia"/>
          <w:szCs w:val="21"/>
        </w:rPr>
        <w:t>）项目完成（服务期满）后的服务承诺</w:t>
      </w:r>
    </w:p>
    <w:p>
      <w:pPr>
        <w:ind w:left="718" w:firstLine="1418" w:leftChars="342" w:firstLineChars="675"/>
        <w:rPr>
          <w:rFonts w:hint="eastAsia"/>
          <w:szCs w:val="21"/>
        </w:rPr>
      </w:pPr>
      <w:r>
        <w:rPr>
          <w:rFonts w:hint="eastAsia"/>
          <w:szCs w:val="21"/>
        </w:rPr>
        <w:t>（</w:t>
      </w:r>
      <w:r>
        <w:rPr>
          <w:rFonts w:hint="eastAsia"/>
          <w:szCs w:val="21"/>
          <w:lang w:val="en-US" w:eastAsia="zh-CN"/>
        </w:rPr>
        <w:t>9</w:t>
      </w:r>
      <w:r>
        <w:rPr>
          <w:rFonts w:hint="eastAsia"/>
          <w:szCs w:val="21"/>
        </w:rPr>
        <w:t>）违约承诺</w:t>
      </w:r>
    </w:p>
    <w:p>
      <w:pPr>
        <w:ind w:left="718" w:firstLine="1418" w:leftChars="342" w:firstLineChars="675"/>
        <w:rPr>
          <w:rFonts w:hint="eastAsia"/>
          <w:szCs w:val="21"/>
        </w:rPr>
      </w:pPr>
      <w:r>
        <w:rPr>
          <w:rFonts w:hint="eastAsia"/>
          <w:szCs w:val="21"/>
        </w:rPr>
        <w:t>（</w:t>
      </w:r>
      <w:r>
        <w:rPr>
          <w:rFonts w:hint="eastAsia"/>
          <w:szCs w:val="21"/>
          <w:lang w:val="en-US" w:eastAsia="zh-CN"/>
        </w:rPr>
        <w:t>10</w:t>
      </w:r>
      <w:r>
        <w:rPr>
          <w:rFonts w:hint="eastAsia"/>
          <w:szCs w:val="21"/>
        </w:rPr>
        <w:t>）服务内容响应情况</w:t>
      </w:r>
    </w:p>
    <w:p>
      <w:pPr>
        <w:ind w:left="718" w:firstLine="1418" w:leftChars="342" w:firstLineChars="675"/>
        <w:rPr>
          <w:szCs w:val="21"/>
        </w:rPr>
      </w:pPr>
      <w:r>
        <w:rPr>
          <w:rFonts w:hint="eastAsia"/>
          <w:szCs w:val="21"/>
        </w:rPr>
        <w:t>（</w:t>
      </w:r>
      <w:r>
        <w:rPr>
          <w:rFonts w:hint="eastAsia"/>
          <w:szCs w:val="21"/>
          <w:lang w:val="en-US" w:eastAsia="zh-CN"/>
        </w:rPr>
        <w:t>11</w:t>
      </w:r>
      <w:r>
        <w:rPr>
          <w:rFonts w:hint="eastAsia"/>
          <w:szCs w:val="21"/>
        </w:rPr>
        <w:t>）政府采购违法行为风险知悉确认书</w:t>
      </w:r>
      <w:bookmarkStart w:id="38" w:name="_GoBack"/>
      <w:bookmarkEnd w:id="38"/>
    </w:p>
    <w:p>
      <w:pPr>
        <w:ind w:left="718" w:firstLine="1418" w:leftChars="342" w:firstLineChars="675"/>
        <w:rPr>
          <w:szCs w:val="21"/>
        </w:rPr>
      </w:pPr>
      <w:r>
        <w:rPr>
          <w:rFonts w:hint="eastAsia"/>
          <w:szCs w:val="21"/>
        </w:rPr>
        <w:t>（</w:t>
      </w:r>
      <w:r>
        <w:rPr>
          <w:rFonts w:hint="eastAsia"/>
          <w:szCs w:val="21"/>
          <w:lang w:val="en-US" w:eastAsia="zh-CN"/>
        </w:rPr>
        <w:t>12</w:t>
      </w:r>
      <w:r>
        <w:rPr>
          <w:rFonts w:hint="eastAsia"/>
          <w:szCs w:val="21"/>
        </w:rPr>
        <w:t>）投标人认为需要加以说明的其他内容（非公开）</w:t>
      </w: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2"/>
        <w:rPr>
          <w:rFonts w:ascii="黑体" w:eastAsia="黑体"/>
          <w:b w:val="0"/>
        </w:rPr>
      </w:pPr>
      <w:r>
        <w:rPr>
          <w:rFonts w:ascii="黑体" w:eastAsia="黑体" w:hint="eastAsia"/>
          <w:b w:val="0"/>
        </w:rPr>
        <w:t>一、投标函</w:t>
      </w:r>
    </w:p>
    <w:p>
      <w:pPr>
        <w:rPr>
          <w:szCs w:val="21"/>
        </w:rPr>
      </w:pPr>
      <w:r>
        <w:rPr>
          <w:rFonts w:hint="eastAsia"/>
          <w:szCs w:val="21"/>
        </w:rPr>
        <w:t>致：深圳公共资源交易中心（深圳交易集团有限公司坪山分公司）</w:t>
      </w:r>
    </w:p>
    <w:p>
      <w:pPr>
        <w:ind w:firstLine="420" w:firstLineChars="200"/>
        <w:rPr>
          <w:rFonts w:ascii="宋体" w:hAnsi="宋体"/>
          <w:szCs w:val="21"/>
        </w:rPr>
      </w:pPr>
      <w:bookmarkStart w:id="39" w:name="_Hlk73818812"/>
      <w:r>
        <w:rPr>
          <w:rFonts w:hint="eastAsia"/>
          <w:szCs w:val="21"/>
        </w:rPr>
        <w:t>1、根据已收到贵单位的项目编号为</w:t>
      </w:r>
      <w:r>
        <w:rPr>
          <w:rFonts w:hint="eastAsia"/>
          <w:szCs w:val="21"/>
          <w:u w:val="single"/>
        </w:rPr>
        <w:t xml:space="preserve">        </w:t>
      </w:r>
      <w:r>
        <w:rPr>
          <w:rFonts w:hint="eastAsia"/>
          <w:szCs w:val="21"/>
        </w:rPr>
        <w:t>的</w:t>
      </w:r>
      <w:r>
        <w:rPr>
          <w:rFonts w:hint="eastAsia"/>
          <w:szCs w:val="21"/>
          <w:u w:val="single"/>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40" w:name="_Hlk72263588"/>
      <w:r>
        <w:rPr>
          <w:rFonts w:hint="eastAsia"/>
          <w:szCs w:val="21"/>
        </w:rPr>
        <w:t>愿意按照招标文件要求承包上述项目并修补其任何缺陷。</w:t>
      </w:r>
      <w:bookmarkEnd w:id="40"/>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szCs w:val="21"/>
        </w:rPr>
      </w:pPr>
      <w:r>
        <w:rPr>
          <w:rFonts w:ascii="宋体" w:hAnsi="宋体" w:hint="eastAsia"/>
          <w:szCs w:val="21"/>
        </w:rPr>
        <w:t>6、</w:t>
      </w:r>
      <w:r>
        <w:rPr>
          <w:rFonts w:ascii="宋体" w:hAnsi="宋体" w:hint="eastAsia"/>
          <w:color w:val="000000"/>
          <w:szCs w:val="21"/>
        </w:rPr>
        <w:t>我</w:t>
      </w:r>
      <w:r>
        <w:rPr>
          <w:rFonts w:hint="eastAsia"/>
          <w:szCs w:val="21"/>
        </w:rPr>
        <w:t>方</w:t>
      </w:r>
      <w:r>
        <w:rPr>
          <w:rFonts w:ascii="宋体" w:hAnsi="宋体" w:hint="eastAsia"/>
          <w:color w:val="000000"/>
          <w:szCs w:val="21"/>
        </w:rPr>
        <w:t>完全理解贵方不一定要接受最低报价的投标或收到的任何投标。</w:t>
      </w:r>
      <w:bookmarkEnd w:id="39"/>
    </w:p>
    <w:p>
      <w:pPr>
        <w:ind w:left="420" w:leftChars="200"/>
        <w:rPr>
          <w:szCs w:val="21"/>
          <w:u w:val="single"/>
        </w:rPr>
      </w:pPr>
      <w:r>
        <w:rPr>
          <w:rFonts w:hint="eastAsia"/>
          <w:szCs w:val="21"/>
        </w:rPr>
        <w:t>投标人：</w:t>
      </w:r>
      <w:r>
        <w:rPr>
          <w:rFonts w:hint="eastAsia"/>
          <w:szCs w:val="21"/>
          <w:u w:val="single"/>
        </w:rPr>
        <w:t xml:space="preserve">                   </w:t>
      </w:r>
      <w:r>
        <w:rPr>
          <w:rFonts w:hint="eastAsia"/>
          <w:szCs w:val="21"/>
        </w:rPr>
        <w:t xml:space="preserve">    单位地址：</w:t>
      </w:r>
      <w:r>
        <w:rPr>
          <w:rFonts w:hint="eastAsia"/>
          <w:szCs w:val="21"/>
          <w:u w:val="single"/>
        </w:rPr>
        <w:t xml:space="preserve">               </w:t>
      </w:r>
    </w:p>
    <w:p>
      <w:pPr>
        <w:ind w:left="540" w:leftChars="257"/>
        <w:rPr>
          <w:szCs w:val="21"/>
          <w:u w:val="single"/>
        </w:rPr>
      </w:pPr>
      <w:r>
        <w:rPr>
          <w:rFonts w:hint="eastAsia"/>
          <w:szCs w:val="21"/>
        </w:rPr>
        <w:t>法定代表人（负责人）或其委托代理人：</w:t>
      </w:r>
      <w:r>
        <w:rPr>
          <w:rFonts w:hint="eastAsia"/>
          <w:szCs w:val="21"/>
          <w:u w:val="single"/>
        </w:rPr>
        <w:t xml:space="preserve">                   </w:t>
      </w:r>
    </w:p>
    <w:p>
      <w:pPr>
        <w:ind w:left="540" w:leftChars="257"/>
        <w:rPr>
          <w:szCs w:val="21"/>
          <w:u w:val="single"/>
        </w:rPr>
      </w:pPr>
      <w:r>
        <w:rPr>
          <w:rFonts w:hint="eastAsia"/>
          <w:szCs w:val="21"/>
        </w:rPr>
        <w:t>邮政编码：</w:t>
      </w:r>
      <w:r>
        <w:rPr>
          <w:rFonts w:hint="eastAsia"/>
          <w:szCs w:val="21"/>
          <w:u w:val="single"/>
        </w:rPr>
        <w:t xml:space="preserve">          </w:t>
      </w:r>
      <w:r>
        <w:rPr>
          <w:rFonts w:hint="eastAsia"/>
          <w:szCs w:val="21"/>
        </w:rPr>
        <w:t xml:space="preserve">  电话：</w:t>
      </w:r>
      <w:r>
        <w:rPr>
          <w:rFonts w:hint="eastAsia"/>
          <w:szCs w:val="21"/>
          <w:u w:val="single"/>
        </w:rPr>
        <w:t xml:space="preserve">          </w:t>
      </w:r>
      <w:r>
        <w:rPr>
          <w:rFonts w:hint="eastAsia"/>
          <w:szCs w:val="21"/>
        </w:rPr>
        <w:t xml:space="preserve">  传真：</w:t>
      </w:r>
      <w:r>
        <w:rPr>
          <w:rFonts w:hint="eastAsia"/>
          <w:szCs w:val="21"/>
          <w:u w:val="single"/>
        </w:rPr>
        <w:t xml:space="preserve">            </w:t>
      </w:r>
    </w:p>
    <w:p>
      <w:pPr>
        <w:ind w:left="540" w:leftChars="257"/>
        <w:rPr>
          <w:szCs w:val="21"/>
        </w:rPr>
      </w:pPr>
      <w:r>
        <w:rPr>
          <w:rFonts w:hint="eastAsia"/>
          <w:szCs w:val="21"/>
        </w:rPr>
        <w:t>开户银行名称：</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ab/>
      </w:r>
      <w:r>
        <w:rPr>
          <w:rFonts w:hint="eastAsia"/>
          <w:szCs w:val="21"/>
        </w:rPr>
        <w:t>开户银行账号：</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firstLine="540" w:firstLineChars="257"/>
        <w:rPr>
          <w:sz w:val="24"/>
        </w:rPr>
      </w:pPr>
      <w:r>
        <w:rPr>
          <w:rFonts w:ascii="宋体" w:hAnsi="宋体" w:hint="eastAsia"/>
          <w:szCs w:val="21"/>
        </w:rPr>
        <w:t>日期：</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r>
        <w:rPr>
          <w:rFonts w:hint="eastAsia"/>
          <w:sz w:val="24"/>
        </w:rPr>
        <w:t xml:space="preserve">                                </w:t>
      </w:r>
    </w:p>
    <w:p>
      <w:pPr>
        <w:rPr>
          <w:rFonts w:ascii="黑体" w:eastAsia="黑体" w:hAnsi="宋体"/>
        </w:rPr>
      </w:pPr>
    </w:p>
    <w:p>
      <w:pPr>
        <w:widowControl/>
        <w:jc w:val="left"/>
        <w:rPr>
          <w:rFonts w:ascii="黑体" w:eastAsia="黑体" w:hAnsi="宋体"/>
          <w:bCs/>
          <w:kern w:val="0"/>
          <w:sz w:val="24"/>
          <w:szCs w:val="20"/>
        </w:rPr>
      </w:pPr>
      <w:r>
        <w:rPr>
          <w:rFonts w:ascii="黑体" w:eastAsia="黑体"/>
          <w:b/>
        </w:rPr>
        <w:br w:type="page"/>
      </w:r>
    </w:p>
    <w:p>
      <w:pPr>
        <w:pStyle w:val="Heading2"/>
        <w:rPr>
          <w:rFonts w:ascii="黑体" w:eastAsia="黑体"/>
          <w:b w:val="0"/>
        </w:rPr>
      </w:pPr>
      <w:r>
        <w:rPr>
          <w:rFonts w:ascii="黑体" w:eastAsia="黑体" w:hint="eastAsia"/>
          <w:b w:val="0"/>
        </w:rPr>
        <w:t>二、政府采购投标及履约承诺函</w:t>
      </w:r>
    </w:p>
    <w:p>
      <w:pPr>
        <w:rPr>
          <w:rFonts w:ascii="宋体" w:hAnsi="宋体"/>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致：深圳公共资源交易中心（深圳交易集团有限公司坪山分公司）</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r>
        <w:rPr>
          <w:rFonts w:ascii="宋体" w:hAnsi="宋体" w:hint="eastAsia"/>
          <w:szCs w:val="21"/>
        </w:rPr>
        <w:t>，并已知悉并同意中标（成交）结果信息公示（公开）的内容。</w:t>
      </w:r>
    </w:p>
    <w:p>
      <w:pPr>
        <w:ind w:firstLine="420" w:firstLineChars="200"/>
        <w:rPr>
          <w:rFonts w:ascii="宋体" w:hAnsi="宋体"/>
          <w:szCs w:val="21"/>
        </w:rPr>
      </w:pPr>
      <w:r>
        <w:rPr>
          <w:rFonts w:ascii="宋体" w:hAnsi="宋体" w:hint="eastAsia"/>
          <w:szCs w:val="21"/>
        </w:rPr>
        <w:t>2.我单位参与本项目投标前三年内，在经营活动中没有重大违法记录。</w:t>
      </w:r>
    </w:p>
    <w:p>
      <w:pPr>
        <w:ind w:firstLine="420" w:firstLineChars="200"/>
        <w:rPr>
          <w:rFonts w:ascii="宋体" w:hAnsi="宋体"/>
          <w:szCs w:val="21"/>
        </w:rPr>
      </w:pPr>
      <w:r>
        <w:rPr>
          <w:rFonts w:ascii="宋体" w:hAnsi="宋体" w:hint="eastAsia"/>
          <w:szCs w:val="21"/>
        </w:rPr>
        <w:t>3.我单位参与本项目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4.我单位具备《中华人民共和国政府采购法》第二十二条第一款规定的六项条件。</w:t>
      </w:r>
    </w:p>
    <w:p>
      <w:pPr>
        <w:ind w:firstLine="420" w:firstLineChars="200"/>
        <w:rPr>
          <w:rFonts w:ascii="宋体" w:hAnsi="宋体"/>
          <w:szCs w:val="21"/>
          <w:highlight w:val="yellow"/>
        </w:rPr>
      </w:pPr>
      <w:r>
        <w:rPr>
          <w:rFonts w:ascii="宋体" w:hAnsi="宋体" w:hint="eastAsia"/>
          <w:szCs w:val="21"/>
          <w:highlight w:val="yellow"/>
        </w:rPr>
        <w:t>5.我单位不存在违反《中华人民共和国政府采购法实施条例》第十八条规定的情形。与其他投标供应商不存在单位负责人为同一人或者存在直接控股、管理关系；未对本次采购项目提供整体设计、规范编制或者项目管理、监理、检测等服务的情形。</w:t>
      </w:r>
    </w:p>
    <w:p>
      <w:pPr>
        <w:ind w:firstLine="420" w:firstLineChars="200"/>
        <w:rPr>
          <w:rFonts w:ascii="宋体" w:hAnsi="宋体"/>
          <w:szCs w:val="21"/>
        </w:rPr>
      </w:pPr>
      <w:r>
        <w:rPr>
          <w:rFonts w:ascii="宋体" w:hAnsi="宋体" w:hint="eastAsia"/>
          <w:szCs w:val="21"/>
        </w:rPr>
        <w:t>6.我单位未被列入失信被执行人、重大税收违法案件当事人名单、政府采购严重违法失信行为记录名单。</w:t>
      </w:r>
    </w:p>
    <w:p>
      <w:pPr>
        <w:ind w:firstLine="420" w:firstLineChars="200"/>
        <w:rPr>
          <w:rFonts w:ascii="宋体" w:hAnsi="宋体"/>
          <w:szCs w:val="21"/>
        </w:rPr>
      </w:pPr>
      <w:r>
        <w:rPr>
          <w:rFonts w:ascii="宋体" w:hAnsi="宋体" w:hint="eastAsia"/>
          <w:szCs w:val="21"/>
        </w:rPr>
        <w:t>7.</w:t>
      </w:r>
      <w:bookmarkStart w:id="41" w:name="_Hlk72587269"/>
      <w:bookmarkStart w:id="42"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41"/>
      <w:r>
        <w:rPr>
          <w:rFonts w:ascii="宋体" w:hAnsi="宋体" w:hint="eastAsia"/>
          <w:szCs w:val="21"/>
        </w:rPr>
        <w:t>。</w:t>
      </w:r>
    </w:p>
    <w:p>
      <w:pPr>
        <w:ind w:firstLine="420" w:firstLineChars="200"/>
        <w:rPr>
          <w:rFonts w:ascii="宋体" w:hAnsi="宋体"/>
          <w:szCs w:val="21"/>
        </w:rPr>
      </w:pPr>
      <w:bookmarkEnd w:id="42"/>
      <w:r>
        <w:rPr>
          <w:rFonts w:ascii="宋体" w:hAnsi="宋体" w:hint="eastAsia"/>
          <w:szCs w:val="21"/>
        </w:rPr>
        <w:t>8.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9.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10.我单位承诺中标后项目不转包，未经招标文件允许或采购人同意不进行分包。</w:t>
      </w:r>
    </w:p>
    <w:p>
      <w:pPr>
        <w:ind w:firstLine="420" w:firstLineChars="200"/>
        <w:rPr>
          <w:rFonts w:ascii="宋体" w:hAnsi="宋体"/>
        </w:rPr>
      </w:pPr>
      <w:r>
        <w:rPr>
          <w:rFonts w:ascii="宋体" w:hAnsi="宋体" w:hint="eastAsia"/>
          <w:szCs w:val="21"/>
        </w:rPr>
        <w:t>11</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rPr>
      </w:pPr>
      <w:r>
        <w:rPr>
          <w:rFonts w:ascii="宋体" w:hAnsi="宋体"/>
        </w:rPr>
        <w:t>1</w:t>
      </w:r>
      <w:r>
        <w:rPr>
          <w:rFonts w:ascii="宋体" w:hAnsi="宋体" w:hint="eastAsia"/>
        </w:rPr>
        <w:t>2</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pPr>
        <w:ind w:firstLine="420" w:firstLineChars="200"/>
        <w:rPr>
          <w:highlight w:val="yellow"/>
        </w:rPr>
      </w:pPr>
      <w:r>
        <w:rPr>
          <w:rFonts w:ascii="宋体" w:hAnsi="宋体" w:hint="eastAsia"/>
          <w:highlight w:val="yellow"/>
        </w:rPr>
        <w:t>13.如我单位提交样品，且未在规定时间内取回样品的，视同放弃取回，同意深圳公共资源交易中心对我单位提交的样品进行清理。</w:t>
      </w: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widowControl/>
        <w:jc w:val="left"/>
        <w:rPr>
          <w:rFonts w:ascii="黑体" w:eastAsia="黑体" w:hAnsi="宋体"/>
          <w:bCs/>
          <w:kern w:val="0"/>
          <w:sz w:val="24"/>
          <w:szCs w:val="20"/>
        </w:rPr>
      </w:pPr>
      <w:r>
        <w:rPr>
          <w:rFonts w:ascii="黑体" w:eastAsia="黑体"/>
          <w:b/>
        </w:rPr>
        <w:br w:type="page"/>
      </w:r>
    </w:p>
    <w:p>
      <w:pPr>
        <w:pStyle w:val="Heading2"/>
        <w:rPr>
          <w:rFonts w:ascii="黑体" w:eastAsia="黑体"/>
          <w:b w:val="0"/>
        </w:rPr>
      </w:pPr>
      <w:r>
        <w:rPr>
          <w:rFonts w:ascii="黑体" w:eastAsia="黑体" w:hint="eastAsia"/>
          <w:b w:val="0"/>
        </w:rPr>
        <w:t>三、投标人情况及资格证明文件</w:t>
      </w:r>
    </w:p>
    <w:p>
      <w:pPr>
        <w:ind w:firstLine="2310" w:firstLineChars="1100"/>
        <w:outlineLvl w:val="2"/>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ind w:firstLine="420" w:firstLineChars="200"/>
        <w:rPr>
          <w:b/>
          <w:sz w:val="24"/>
        </w:rPr>
      </w:pPr>
    </w:p>
    <w:p>
      <w:pPr>
        <w:pStyle w:val="Heading2"/>
        <w:rPr>
          <w:rFonts w:ascii="黑体" w:eastAsia="黑体"/>
          <w:b w:val="0"/>
        </w:rPr>
      </w:pPr>
      <w:r>
        <w:rPr>
          <w:rFonts w:ascii="黑体" w:eastAsia="黑体" w:hint="eastAsia"/>
          <w:b w:val="0"/>
        </w:rPr>
        <w:t>四、中小企业声明函、残疾人福利性单位声明函及监狱企业声明函</w:t>
      </w:r>
    </w:p>
    <w:p>
      <w:pPr>
        <w:jc w:val="left"/>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2、该部分内容填写需要参考的相关文件：(1)《政府采购促进中小企业发展管理办法》（财库〔2020〕46号），链接：</w:t>
      </w:r>
      <w:r>
        <w:fldChar w:fldCharType="begin"/>
      </w:r>
      <w:r>
        <w:instrText xml:space="preserve"> HYPERLINK "http://www.ccgp.gov.cn/news/202012/t20201229_15715888.htm" </w:instrText>
      </w:r>
      <w:r>
        <w:fldChar w:fldCharType="separate"/>
      </w:r>
      <w:r>
        <w:rPr>
          <w:rStyle w:val="FollowedHyperlink"/>
          <w:rFonts w:ascii="黑体" w:eastAsia="黑体" w:hAnsi="黑体" w:hint="eastAsia"/>
          <w:szCs w:val="21"/>
        </w:rPr>
        <w:t>www.ccgp.gov.cn/news/202012/t20201229_15715888.htm</w:t>
      </w:r>
      <w:r>
        <w:rPr>
          <w:rStyle w:val="FollowedHyperlink"/>
          <w:rFonts w:ascii="黑体" w:eastAsia="黑体" w:hAnsi="黑体" w:hint="eastAsia"/>
          <w:szCs w:val="21"/>
        </w:rPr>
        <w:fldChar w:fldCharType="end"/>
      </w:r>
    </w:p>
    <w:p>
      <w:pPr>
        <w:ind w:firstLine="420" w:firstLineChars="200"/>
        <w:outlineLvl w:val="3"/>
        <w:rPr>
          <w:rFonts w:ascii="黑体" w:eastAsia="黑体" w:hAnsi="黑体"/>
          <w:color w:val="FF0000"/>
          <w:szCs w:val="21"/>
        </w:rPr>
      </w:pPr>
      <w:r>
        <w:rPr>
          <w:rFonts w:ascii="黑体" w:eastAsia="黑体" w:hAnsi="黑体" w:hint="eastAsia"/>
          <w:color w:val="FF0000"/>
          <w:szCs w:val="21"/>
        </w:rPr>
        <w:t>(2)《关于印发中小企业划型标准规定的通知》（工信部联企业〔2011〕300 号），链接：</w:t>
      </w:r>
      <w:r>
        <w:fldChar w:fldCharType="begin"/>
      </w:r>
      <w:r>
        <w:instrText xml:space="preserve"> HYPERLINK "http://www.gov.cn/zwgk/2011-07/04/content_1898747.htm" </w:instrText>
      </w:r>
      <w:r>
        <w:fldChar w:fldCharType="separate"/>
      </w:r>
      <w:r>
        <w:rPr>
          <w:rStyle w:val="FollowedHyperlink"/>
          <w:rFonts w:ascii="黑体" w:eastAsia="黑体" w:hAnsi="黑体" w:hint="eastAsia"/>
          <w:szCs w:val="21"/>
        </w:rPr>
        <w:t>www.gov.cn/zwgk/2011-07/04/content_1898747.htm</w:t>
      </w:r>
      <w:r>
        <w:rPr>
          <w:rStyle w:val="FollowedHyperlink"/>
          <w:rFonts w:ascii="黑体" w:eastAsia="黑体" w:hAnsi="黑体" w:hint="eastAsia"/>
          <w:szCs w:val="21"/>
        </w:rPr>
        <w:fldChar w:fldCharType="end"/>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 号），链接：</w:t>
      </w:r>
      <w:r>
        <w:fldChar w:fldCharType="begin"/>
      </w:r>
      <w:r>
        <w:instrText xml:space="preserve"> HYPERLINK "http://www.stats.gov.cn/tjsj/tjbz/201801/t20180103_1569357.html" </w:instrText>
      </w:r>
      <w:r>
        <w:fldChar w:fldCharType="separate"/>
      </w:r>
      <w:r>
        <w:rPr>
          <w:rStyle w:val="FollowedHyperlink"/>
          <w:rFonts w:ascii="黑体" w:eastAsia="黑体" w:hAnsi="黑体" w:hint="eastAsia"/>
          <w:szCs w:val="21"/>
        </w:rPr>
        <w:t>www.stats.gov.cn/tjsj/tjbz/201801/t20180103_1569357.html</w:t>
      </w:r>
      <w:r>
        <w:rPr>
          <w:rStyle w:val="FollowedHyperlink"/>
          <w:rFonts w:ascii="黑体" w:eastAsia="黑体" w:hAnsi="黑体" w:hint="eastAsia"/>
          <w:szCs w:val="21"/>
        </w:rPr>
        <w:fldChar w:fldCharType="end"/>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(4)《关于促进残疾人就业政府采购政策的通知》（财库〔2017〕141号），链接：</w:t>
      </w:r>
      <w:r>
        <w:fldChar w:fldCharType="begin"/>
      </w:r>
      <w:r>
        <w:instrText xml:space="preserve"> HYPERLINK "http://www.ccgp.gov.cn/zcfg/mof/201709/t20170904_8787205.shtml" </w:instrText>
      </w:r>
      <w:r>
        <w:fldChar w:fldCharType="separate"/>
      </w:r>
      <w:r>
        <w:rPr>
          <w:rStyle w:val="FollowedHyperlink"/>
          <w:rFonts w:ascii="黑体" w:eastAsia="黑体" w:hAnsi="黑体" w:hint="eastAsia"/>
          <w:szCs w:val="21"/>
        </w:rPr>
        <w:t>www.ccgp.gov.cn/zcfg/mof/201709/t20170904_8787205.shtml</w:t>
      </w:r>
      <w:r>
        <w:rPr>
          <w:rStyle w:val="FollowedHyperlink"/>
          <w:rFonts w:ascii="黑体" w:eastAsia="黑体" w:hAnsi="黑体" w:hint="eastAsia"/>
          <w:szCs w:val="21"/>
        </w:rPr>
        <w:fldChar w:fldCharType="end"/>
      </w:r>
    </w:p>
    <w:p>
      <w:pPr>
        <w:autoSpaceDE w:val="0"/>
        <w:autoSpaceDN w:val="0"/>
        <w:adjustRightInd w:val="0"/>
        <w:ind w:firstLine="420" w:firstLineChars="200"/>
        <w:jc w:val="left"/>
        <w:textAlignment w:val="baseline"/>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(5)《关于政府采购支持监狱企业发展有关问题的通知》（财库〔2014〕68号），链接：</w:t>
      </w:r>
      <w:r>
        <w:fldChar w:fldCharType="begin"/>
      </w:r>
      <w:r>
        <w:instrText xml:space="preserve"> HYPERLINK "http://www.ccgp.gov.cn/zcfg/mof/201406/t20140616_4619272.htm" </w:instrText>
      </w:r>
      <w:r>
        <w:fldChar w:fldCharType="separate"/>
      </w:r>
      <w:r>
        <w:rPr>
          <w:rFonts w:ascii="黑体" w:eastAsia="黑体" w:hAnsi="黑体" w:hint="eastAsia"/>
          <w:color w:val="FF0000"/>
          <w:szCs w:val="21"/>
        </w:rPr>
        <w:t>www.ccgp.gov.cn/zcfg/mof/201406/t20140616_4619272.htm</w:t>
      </w:r>
      <w:r>
        <w:rPr>
          <w:rFonts w:ascii="黑体" w:eastAsia="黑体" w:hAnsi="黑体" w:hint="eastAsia"/>
          <w:color w:val="FF0000"/>
          <w:szCs w:val="21"/>
        </w:rPr>
        <w:fldChar w:fldCharType="end"/>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第一处，在“采购人名称”下划线处如实填写采购人名称（深圳公共资源交易中心不是本项目的采购人，而是组织实施机构）；</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第三处，在“标的名称”下划线处填写所采购服务（标的）的具体名称（以</w:t>
      </w:r>
      <w:bookmarkStart w:id="43" w:name="_Hlk72259001"/>
      <w:r>
        <w:rPr>
          <w:rFonts w:ascii="黑体" w:eastAsia="黑体" w:hAnsi="宋体" w:hint="eastAsia"/>
          <w:bCs/>
          <w:color w:val="FF0000"/>
          <w:kern w:val="0"/>
          <w:szCs w:val="21"/>
        </w:rPr>
        <w:t>招标文件第一册第三章</w:t>
      </w:r>
      <w:bookmarkEnd w:id="43"/>
      <w:r>
        <w:rPr>
          <w:rFonts w:ascii="黑体" w:eastAsia="黑体" w:hAnsi="宋体" w:hint="eastAsia"/>
          <w:bCs/>
          <w:color w:val="FF0000"/>
          <w:kern w:val="0"/>
          <w:szCs w:val="21"/>
        </w:rPr>
        <w:t>用户需求书“项目基本信息”的“采购项目名称”一栏为准）；如果涉及多个服务需求（标的）由同一企业承接，“标的名称”下划线处可以如实填写多个服务需求（标的）；</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承接企业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（2）声明是残疾人福利性单位须填写《残疾人福利性单位声明函》的相关内容（填写位置的字体已加粗），具体参照以上《中小企业声明函》填写要求执行。</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（3）声明是监狱企业须填写《监狱企业声明函》的相关内容（填写位置的字体已加粗），具体参照以上《中小企业声明函》填写要求执行。</w:t>
      </w:r>
    </w:p>
    <w:p>
      <w:pPr>
        <w:ind w:firstLine="420" w:firstLineChars="200"/>
      </w:pPr>
      <w:r>
        <w:rPr>
          <w:rFonts w:ascii="黑体" w:eastAsia="黑体" w:hAnsi="宋体" w:hint="eastAsia"/>
          <w:bCs/>
          <w:color w:val="FF0000"/>
          <w:kern w:val="0"/>
          <w:szCs w:val="21"/>
        </w:rPr>
        <w:t>5、声明函的有效性最终由评审委员会判定；如评审委员会判定声明函无效，相关供应商不享受</w:t>
      </w:r>
      <w:r>
        <w:rPr>
          <w:rFonts w:ascii="黑体" w:eastAsia="黑体" w:hAnsi="黑体" w:hint="eastAsia"/>
          <w:color w:val="FF0000"/>
          <w:szCs w:val="21"/>
        </w:rPr>
        <w:t>价格扣除</w:t>
      </w:r>
      <w:r>
        <w:rPr>
          <w:rFonts w:ascii="黑体" w:eastAsia="黑体" w:hAnsi="宋体" w:hint="eastAsia"/>
          <w:bCs/>
          <w:color w:val="FF0000"/>
          <w:kern w:val="0"/>
          <w:szCs w:val="21"/>
        </w:rPr>
        <w:t>（但不作投标无效处理）。</w:t>
      </w:r>
    </w:p>
    <w:p>
      <w:pPr>
        <w:ind w:firstLine="420" w:firstLineChars="200"/>
      </w:pPr>
    </w:p>
    <w:p>
      <w:pPr>
        <w:jc w:val="center"/>
        <w:outlineLvl w:val="3"/>
        <w:rPr>
          <w:b/>
          <w:sz w:val="24"/>
        </w:rPr>
      </w:pPr>
      <w:r>
        <w:rPr>
          <w:rFonts w:hint="eastAsia"/>
          <w:b/>
          <w:sz w:val="24"/>
        </w:rPr>
        <w:t>1、</w:t>
      </w:r>
      <w:r>
        <w:rPr>
          <w:b/>
          <w:sz w:val="24"/>
        </w:rPr>
        <w:t>中小企业声明函（</w:t>
      </w:r>
      <w:r>
        <w:rPr>
          <w:rFonts w:hint="eastAsia"/>
          <w:b/>
          <w:sz w:val="24"/>
        </w:rPr>
        <w:t>服务类</w:t>
      </w:r>
      <w:r>
        <w:rPr>
          <w:b/>
          <w:sz w:val="24"/>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全部由符合政策要求的中小企业</w:t>
      </w:r>
      <w:r>
        <w:rPr>
          <w:rFonts w:ascii="宋体" w:hAnsi="宋体" w:hint="eastAsia"/>
          <w:szCs w:val="21"/>
        </w:rPr>
        <w:t>承接</w:t>
      </w:r>
      <w:r>
        <w:rPr>
          <w:rFonts w:ascii="宋体" w:hAnsi="宋体"/>
          <w:szCs w:val="21"/>
        </w:rPr>
        <w:t>。相关企业的具体情况如下：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hint="eastAsia"/>
          <w:szCs w:val="21"/>
        </w:rPr>
        <w:t>；</w:t>
      </w:r>
    </w:p>
    <w:p>
      <w:pPr>
        <w:ind w:firstLine="420" w:firstLineChars="200"/>
        <w:rPr>
          <w:rFonts w:ascii="宋体" w:hAnsi="宋体"/>
          <w:szCs w:val="21"/>
        </w:rPr>
      </w:pPr>
      <w:r>
        <w:rPr>
          <w:rFonts w:ascii="宋体" w:hAnsi="宋体"/>
          <w:szCs w:val="21"/>
        </w:rPr>
        <w:t xml:space="preserve">…… </w:t>
      </w:r>
    </w:p>
    <w:p>
      <w:pPr>
        <w:ind w:firstLine="420" w:firstLineChars="200"/>
        <w:rPr>
          <w:rFonts w:ascii="宋体" w:hAnsi="宋体" w:cs="宋体"/>
          <w:szCs w:val="21"/>
        </w:rPr>
      </w:pPr>
      <w:r>
        <w:rPr>
          <w:rFonts w:ascii="宋体" w:hAnsi="宋体" w:cs="宋体" w:hint="eastAsia"/>
          <w:szCs w:val="21"/>
        </w:rPr>
        <w:t>以上企业，不属于大企业的分支机构，不存在控股股东为大企业的情形，也不存在与大企业的负责人为同一人的情形。</w:t>
      </w:r>
    </w:p>
    <w:p>
      <w:pPr>
        <w:ind w:firstLine="420" w:firstLineChars="200"/>
      </w:pPr>
      <w:bookmarkStart w:id="44" w:name="_Hlk73562275"/>
      <w:r>
        <w:rPr>
          <w:rFonts w:ascii="宋体" w:hAnsi="宋体" w:cs="宋体" w:hint="eastAsi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号）第二十条规定，投标人按照本办法规定提供声明函内容不实的，属于提供虚假材料谋取中标，依照《政府采购法》等政府采购有关法律法规规定追究相应责任。</w:t>
      </w:r>
      <w:bookmarkEnd w:id="44"/>
    </w:p>
    <w:p>
      <w:pPr>
        <w:ind w:firstLine="420" w:firstLineChars="200"/>
      </w:pPr>
    </w:p>
    <w:p>
      <w:pPr>
        <w:pStyle w:val="BodyText"/>
      </w:pPr>
    </w:p>
    <w:p>
      <w:pPr>
        <w:jc w:val="center"/>
        <w:outlineLvl w:val="3"/>
        <w:rPr>
          <w:b/>
          <w:sz w:val="24"/>
        </w:rPr>
      </w:pPr>
      <w:r>
        <w:rPr>
          <w:rFonts w:hint="eastAsia"/>
          <w:b/>
          <w:sz w:val="24"/>
        </w:rPr>
        <w:t>2、残疾人福利性单位声明函（服务类）</w:t>
      </w:r>
    </w:p>
    <w:p>
      <w:pPr>
        <w:rPr>
          <w:b/>
          <w:bCs/>
        </w:rPr>
      </w:pP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残疾人福利性单位承接</w:t>
      </w:r>
      <w:r>
        <w:rPr>
          <w:rFonts w:ascii="宋体" w:hAnsi="宋体"/>
          <w:szCs w:val="21"/>
        </w:rPr>
        <w:t>。相关</w:t>
      </w:r>
      <w:r>
        <w:rPr>
          <w:rFonts w:ascii="宋体" w:hAnsi="宋体" w:hint="eastAsia"/>
          <w:szCs w:val="21"/>
        </w:rPr>
        <w:t>残疾人福利性单位</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pPr>
        <w:ind w:firstLine="420" w:firstLineChars="200"/>
        <w:rPr>
          <w:rFonts w:ascii="宋体" w:hAnsi="宋体"/>
          <w:szCs w:val="21"/>
        </w:rPr>
      </w:pPr>
      <w:r>
        <w:rPr>
          <w:rFonts w:ascii="宋体" w:hAnsi="宋体"/>
          <w:szCs w:val="21"/>
        </w:rPr>
        <w:t xml:space="preserve">…… </w:t>
      </w:r>
    </w:p>
    <w:p>
      <w:pPr>
        <w:ind w:firstLine="420" w:firstLineChars="200"/>
        <w:rPr>
          <w:rFonts w:ascii="宋体" w:hAnsi="宋体"/>
          <w:szCs w:val="21"/>
        </w:rPr>
      </w:pPr>
      <w:r>
        <w:rPr>
          <w:rFonts w:hint="eastAsia"/>
        </w:rPr>
        <w:t>本</w:t>
      </w:r>
      <w:r>
        <w:t>投标人</w:t>
      </w:r>
      <w:r>
        <w:rPr>
          <w:rFonts w:hint="eastAsia"/>
        </w:rPr>
        <w:t>已</w:t>
      </w:r>
      <w:r>
        <w:t>知悉</w:t>
      </w:r>
      <w:r>
        <w:rPr>
          <w:rFonts w:hint="eastAsia"/>
        </w:rPr>
        <w:t>《财政部民政部中国残疾人联合会关于促进残疾人就业政府采购政策的通知》（财库〔2017〕141号）</w:t>
      </w:r>
      <w:r>
        <w:t>的规定，承诺提供的声明函内容是真实的，如提供声明函内容不实，则依法追究相关法律责任</w:t>
      </w:r>
      <w:r>
        <w:rPr>
          <w:rFonts w:hint="eastAsia"/>
        </w:rPr>
        <w:t>。</w:t>
      </w:r>
    </w:p>
    <w:p>
      <w:pPr>
        <w:ind w:firstLine="420" w:firstLineChars="200"/>
        <w:rPr>
          <w:rFonts w:ascii="宋体" w:hAnsi="宋体"/>
          <w:szCs w:val="21"/>
        </w:rPr>
      </w:pPr>
    </w:p>
    <w:p>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pPr>
        <w:ind w:firstLine="420" w:firstLineChars="200"/>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pStyle w:val="BodyText"/>
      </w:pPr>
    </w:p>
    <w:p>
      <w:pPr>
        <w:jc w:val="center"/>
        <w:outlineLvl w:val="3"/>
        <w:rPr>
          <w:rFonts w:ascii="宋体" w:hAnsi="宋体" w:cs="宋体"/>
          <w:b/>
          <w:szCs w:val="21"/>
        </w:rPr>
      </w:pPr>
      <w:r>
        <w:rPr>
          <w:rFonts w:ascii="宋体" w:hAnsi="宋体" w:cs="宋体" w:hint="eastAsia"/>
          <w:b/>
          <w:sz w:val="24"/>
        </w:rPr>
        <w:t>4、含有优惠主体的联合体声明函</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u w:val="single"/>
        </w:rPr>
        <w:t xml:space="preserve">  （供应商名称、供应商名称）  </w:t>
      </w:r>
      <w:r>
        <w:rPr>
          <w:rFonts w:ascii="宋体" w:hAnsi="宋体" w:cs="宋体" w:hint="eastAsia"/>
          <w:kern w:val="0"/>
          <w:szCs w:val="21"/>
        </w:rPr>
        <w:t>共同组成联合体（详见联合体协议）。本联合体参加</w:t>
      </w:r>
      <w:r>
        <w:rPr>
          <w:rFonts w:ascii="宋体" w:hAnsi="宋体" w:cs="宋体" w:hint="eastAsia"/>
          <w:b/>
          <w:bCs/>
          <w:kern w:val="0"/>
          <w:szCs w:val="21"/>
          <w:u w:val="single"/>
        </w:rPr>
        <w:t>（采购人名称）</w:t>
      </w:r>
      <w:r>
        <w:rPr>
          <w:rFonts w:ascii="宋体" w:hAnsi="宋体" w:cs="宋体" w:hint="eastAsia"/>
          <w:kern w:val="0"/>
          <w:szCs w:val="21"/>
        </w:rPr>
        <w:t>的</w:t>
      </w:r>
      <w:r>
        <w:rPr>
          <w:rFonts w:ascii="宋体" w:hAnsi="宋体" w:cs="宋体" w:hint="eastAsia"/>
          <w:b/>
          <w:bCs/>
          <w:kern w:val="0"/>
          <w:szCs w:val="21"/>
          <w:u w:val="single"/>
        </w:rPr>
        <w:t>（项目名称）</w:t>
      </w:r>
      <w:r>
        <w:rPr>
          <w:rFonts w:ascii="宋体" w:hAnsi="宋体" w:cs="宋体" w:hint="eastAsia"/>
          <w:kern w:val="0"/>
          <w:szCs w:val="21"/>
        </w:rPr>
        <w:t>采购活动，郑重声明：</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rPr>
        <w:t>1.</w:t>
      </w:r>
      <w:r>
        <w:rPr>
          <w:rFonts w:ascii="宋体" w:hAnsi="宋体" w:cs="宋体" w:hint="eastAsia"/>
          <w:b/>
          <w:bCs/>
          <w:kern w:val="0"/>
          <w:szCs w:val="21"/>
          <w:u w:val="single"/>
        </w:rPr>
        <w:t>（标的名称）</w:t>
      </w:r>
      <w:r>
        <w:rPr>
          <w:rFonts w:ascii="宋体" w:hAnsi="宋体" w:cs="宋体" w:hint="eastAsia"/>
          <w:kern w:val="0"/>
          <w:szCs w:val="21"/>
        </w:rPr>
        <w:t>，属于</w:t>
      </w:r>
      <w:r>
        <w:rPr>
          <w:rFonts w:ascii="宋体" w:hAnsi="宋体" w:cs="宋体" w:hint="eastAsia"/>
          <w:b/>
          <w:bCs/>
          <w:kern w:val="0"/>
          <w:szCs w:val="21"/>
          <w:u w:val="single"/>
        </w:rPr>
        <w:t xml:space="preserve">（招标文件中明确的所属行业） </w:t>
      </w:r>
      <w:r>
        <w:rPr>
          <w:rFonts w:ascii="宋体" w:hAnsi="宋体" w:cs="宋体" w:hint="eastAsia"/>
          <w:kern w:val="0"/>
          <w:szCs w:val="21"/>
        </w:rPr>
        <w:t>行业；承接企业为</w:t>
      </w:r>
      <w:r>
        <w:rPr>
          <w:rFonts w:ascii="宋体" w:hAnsi="宋体" w:cs="宋体" w:hint="eastAsia"/>
          <w:b/>
          <w:bCs/>
          <w:kern w:val="0"/>
          <w:szCs w:val="21"/>
          <w:u w:val="single"/>
        </w:rPr>
        <w:t>（企业名称）</w:t>
      </w:r>
      <w:r>
        <w:rPr>
          <w:rFonts w:ascii="宋体" w:hAnsi="宋体" w:cs="宋体" w:hint="eastAsia"/>
          <w:kern w:val="0"/>
          <w:szCs w:val="21"/>
        </w:rPr>
        <w:t>，从业人员</w:t>
      </w:r>
      <w:r>
        <w:rPr>
          <w:rFonts w:ascii="宋体" w:hAnsi="宋体" w:cs="宋体" w:hint="eastAsia"/>
          <w:b/>
          <w:bCs/>
          <w:kern w:val="0"/>
          <w:szCs w:val="21"/>
          <w:u w:val="single"/>
        </w:rPr>
        <w:t xml:space="preserve">   </w:t>
      </w:r>
      <w:r>
        <w:rPr>
          <w:rFonts w:ascii="宋体" w:hAnsi="宋体" w:cs="宋体" w:hint="eastAsia"/>
          <w:kern w:val="0"/>
          <w:szCs w:val="21"/>
        </w:rPr>
        <w:t>人，营业收入为</w:t>
      </w:r>
      <w:r>
        <w:rPr>
          <w:rFonts w:ascii="宋体" w:hAnsi="宋体" w:cs="宋体" w:hint="eastAsia"/>
          <w:b/>
          <w:bCs/>
          <w:kern w:val="0"/>
          <w:szCs w:val="21"/>
          <w:u w:val="single"/>
        </w:rPr>
        <w:t xml:space="preserve">   </w:t>
      </w:r>
      <w:r>
        <w:rPr>
          <w:rFonts w:ascii="宋体" w:hAnsi="宋体" w:cs="宋体" w:hint="eastAsia"/>
          <w:kern w:val="0"/>
          <w:szCs w:val="21"/>
        </w:rPr>
        <w:t>万元，资产总额为</w:t>
      </w:r>
      <w:r>
        <w:rPr>
          <w:rFonts w:ascii="宋体" w:hAnsi="宋体" w:cs="宋体" w:hint="eastAsia"/>
          <w:b/>
          <w:bCs/>
          <w:kern w:val="0"/>
          <w:szCs w:val="21"/>
          <w:u w:val="single"/>
        </w:rPr>
        <w:t xml:space="preserve">   </w:t>
      </w:r>
      <w:r>
        <w:rPr>
          <w:rFonts w:ascii="宋体" w:hAnsi="宋体" w:cs="宋体" w:hint="eastAsia"/>
          <w:kern w:val="0"/>
          <w:szCs w:val="21"/>
        </w:rPr>
        <w:t>万元 ，属于</w:t>
      </w:r>
      <w:r>
        <w:rPr>
          <w:rFonts w:ascii="宋体" w:hAnsi="宋体" w:cs="宋体" w:hint="eastAsia"/>
          <w:b/>
          <w:bCs/>
          <w:kern w:val="0"/>
          <w:szCs w:val="21"/>
          <w:u w:val="single"/>
        </w:rPr>
        <w:t>（小型企业、微型企业、监狱企业、残疾人福利性单位）</w:t>
      </w:r>
      <w:r>
        <w:rPr>
          <w:rFonts w:ascii="宋体" w:hAnsi="宋体" w:cs="宋体" w:hint="eastAsia"/>
          <w:kern w:val="0"/>
          <w:szCs w:val="21"/>
        </w:rPr>
        <w:t xml:space="preserve">； </w:t>
      </w:r>
    </w:p>
    <w:p>
      <w:pPr>
        <w:widowControl/>
        <w:spacing w:after="60" w:afterLines="25"/>
        <w:ind w:firstLine="420" w:firstLineChars="200"/>
        <w:jc w:val="left"/>
        <w:rPr>
          <w:rFonts w:ascii="宋体" w:hAnsi="宋体" w:cs="宋体"/>
          <w:kern w:val="0"/>
          <w:szCs w:val="21"/>
          <w:u w:val="single"/>
        </w:rPr>
      </w:pPr>
      <w:r>
        <w:rPr>
          <w:rFonts w:ascii="宋体" w:hAnsi="宋体" w:cs="宋体" w:hint="eastAsia"/>
          <w:kern w:val="0"/>
          <w:szCs w:val="21"/>
        </w:rPr>
        <w:t>2.</w:t>
      </w:r>
      <w:r>
        <w:rPr>
          <w:rFonts w:ascii="宋体" w:hAnsi="宋体" w:cs="宋体" w:hint="eastAsia"/>
          <w:b/>
          <w:bCs/>
          <w:kern w:val="0"/>
          <w:szCs w:val="21"/>
          <w:u w:val="single"/>
        </w:rPr>
        <w:t>（标的名称）</w:t>
      </w:r>
      <w:r>
        <w:rPr>
          <w:rFonts w:ascii="宋体" w:hAnsi="宋体" w:cs="宋体" w:hint="eastAsia"/>
          <w:kern w:val="0"/>
          <w:szCs w:val="21"/>
        </w:rPr>
        <w:t>，属于</w:t>
      </w:r>
      <w:r>
        <w:rPr>
          <w:rFonts w:ascii="宋体" w:hAnsi="宋体" w:cs="宋体" w:hint="eastAsia"/>
          <w:b/>
          <w:bCs/>
          <w:kern w:val="0"/>
          <w:szCs w:val="21"/>
          <w:u w:val="single"/>
        </w:rPr>
        <w:t xml:space="preserve">（招标文件中明确的所属行业） </w:t>
      </w:r>
      <w:r>
        <w:rPr>
          <w:rFonts w:ascii="宋体" w:hAnsi="宋体" w:cs="宋体" w:hint="eastAsia"/>
          <w:kern w:val="0"/>
          <w:szCs w:val="21"/>
        </w:rPr>
        <w:t>行业；承接企业为</w:t>
      </w:r>
      <w:r>
        <w:rPr>
          <w:rFonts w:ascii="宋体" w:hAnsi="宋体" w:cs="宋体" w:hint="eastAsia"/>
          <w:b/>
          <w:bCs/>
          <w:kern w:val="0"/>
          <w:szCs w:val="21"/>
          <w:u w:val="single"/>
        </w:rPr>
        <w:t>（企业名称）</w:t>
      </w:r>
      <w:r>
        <w:rPr>
          <w:rFonts w:ascii="宋体" w:hAnsi="宋体" w:cs="宋体" w:hint="eastAsia"/>
          <w:kern w:val="0"/>
          <w:szCs w:val="21"/>
        </w:rPr>
        <w:t>，从业人员</w:t>
      </w:r>
      <w:r>
        <w:rPr>
          <w:rFonts w:ascii="宋体" w:hAnsi="宋体" w:cs="宋体" w:hint="eastAsia"/>
          <w:b/>
          <w:bCs/>
          <w:kern w:val="0"/>
          <w:szCs w:val="21"/>
          <w:u w:val="single"/>
        </w:rPr>
        <w:t xml:space="preserve">   </w:t>
      </w:r>
      <w:r>
        <w:rPr>
          <w:rFonts w:ascii="宋体" w:hAnsi="宋体" w:cs="宋体" w:hint="eastAsia"/>
          <w:kern w:val="0"/>
          <w:szCs w:val="21"/>
        </w:rPr>
        <w:t>人，营业收入为</w:t>
      </w:r>
      <w:r>
        <w:rPr>
          <w:rFonts w:ascii="宋体" w:hAnsi="宋体" w:cs="宋体" w:hint="eastAsia"/>
          <w:b/>
          <w:bCs/>
          <w:kern w:val="0"/>
          <w:szCs w:val="21"/>
          <w:u w:val="single"/>
        </w:rPr>
        <w:t xml:space="preserve">   </w:t>
      </w:r>
      <w:r>
        <w:rPr>
          <w:rFonts w:ascii="宋体" w:hAnsi="宋体" w:cs="宋体" w:hint="eastAsia"/>
          <w:kern w:val="0"/>
          <w:szCs w:val="21"/>
        </w:rPr>
        <w:t>万元，资产总额为</w:t>
      </w:r>
      <w:r>
        <w:rPr>
          <w:rFonts w:ascii="宋体" w:hAnsi="宋体" w:cs="宋体" w:hint="eastAsia"/>
          <w:b/>
          <w:bCs/>
          <w:kern w:val="0"/>
          <w:szCs w:val="21"/>
          <w:u w:val="single"/>
        </w:rPr>
        <w:t xml:space="preserve">   </w:t>
      </w:r>
      <w:r>
        <w:rPr>
          <w:rFonts w:ascii="宋体" w:hAnsi="宋体" w:cs="宋体" w:hint="eastAsia"/>
          <w:kern w:val="0"/>
          <w:szCs w:val="21"/>
        </w:rPr>
        <w:t>万元 ，属于</w:t>
      </w:r>
      <w:r>
        <w:rPr>
          <w:rFonts w:ascii="宋体" w:hAnsi="宋体" w:cs="宋体" w:hint="eastAsia"/>
          <w:b/>
          <w:bCs/>
          <w:kern w:val="0"/>
          <w:szCs w:val="21"/>
          <w:u w:val="single"/>
        </w:rPr>
        <w:t>（小型企业、微型企业、监狱企业、残疾人福利性单位）</w:t>
      </w:r>
      <w:r>
        <w:rPr>
          <w:rFonts w:ascii="宋体" w:hAnsi="宋体" w:cs="宋体" w:hint="eastAsia"/>
          <w:kern w:val="0"/>
          <w:szCs w:val="21"/>
        </w:rPr>
        <w:t>；</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rPr>
        <w:t xml:space="preserve">…… </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rPr>
        <w:t>上述优惠主体均符合《政府采购促进中小企业发展管理办法》（财库〔2020〕46号）或《关于政府采购支持监狱企业发展有关问题的通知》（财库〔2014〕68号）或《关于促进残疾人就业政府采购政策的通知》（财库〔2017〕141号）等文件的规定，且优惠主体的协议合同金额占到联合体协议总金额比例为</w:t>
      </w:r>
      <w:r>
        <w:rPr>
          <w:rFonts w:ascii="宋体" w:hAnsi="宋体" w:cs="宋体" w:hint="eastAsia"/>
          <w:kern w:val="0"/>
          <w:szCs w:val="21"/>
          <w:u w:val="single"/>
        </w:rPr>
        <w:t>_____</w:t>
      </w:r>
      <w:r>
        <w:rPr>
          <w:rFonts w:ascii="宋体" w:hAnsi="宋体" w:cs="宋体" w:hint="eastAsia"/>
          <w:kern w:val="0"/>
          <w:szCs w:val="21"/>
        </w:rPr>
        <w:t>%。</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rPr>
        <w:t>本联合体对上述声明的真实性负责。如有虚假，将依法承担相应责任。</w:t>
      </w:r>
    </w:p>
    <w:p>
      <w:pPr>
        <w:widowControl/>
        <w:spacing w:after="60" w:afterLines="25" w:line="300" w:lineRule="auto"/>
        <w:jc w:val="left"/>
        <w:rPr>
          <w:rFonts w:ascii="宋体" w:hAnsi="宋体" w:cs="宋体"/>
          <w:kern w:val="0"/>
          <w:szCs w:val="21"/>
        </w:rPr>
      </w:pPr>
    </w:p>
    <w:p>
      <w:pPr>
        <w:widowControl/>
        <w:spacing w:after="60" w:afterLines="25" w:line="300" w:lineRule="auto"/>
        <w:jc w:val="left"/>
        <w:rPr>
          <w:rFonts w:ascii="宋体" w:hAnsi="宋体" w:cs="宋体"/>
          <w:kern w:val="0"/>
          <w:szCs w:val="21"/>
        </w:rPr>
      </w:pPr>
      <w:r>
        <w:rPr>
          <w:rFonts w:ascii="宋体" w:hAnsi="宋体" w:cs="宋体" w:hint="eastAsia"/>
          <w:kern w:val="0"/>
          <w:szCs w:val="21"/>
        </w:rPr>
        <w:t xml:space="preserve">供应商名称：                              供应商名称： </w:t>
      </w:r>
    </w:p>
    <w:p>
      <w:pPr>
        <w:widowControl/>
        <w:spacing w:after="60" w:afterLines="25" w:line="300" w:lineRule="auto"/>
        <w:jc w:val="left"/>
        <w:rPr>
          <w:rFonts w:ascii="宋体" w:hAnsi="宋体" w:cs="宋体"/>
          <w:kern w:val="0"/>
          <w:szCs w:val="21"/>
        </w:rPr>
      </w:pPr>
      <w:r>
        <w:rPr>
          <w:rFonts w:ascii="宋体" w:hAnsi="宋体" w:cs="宋体" w:hint="eastAsia"/>
          <w:kern w:val="0"/>
          <w:szCs w:val="21"/>
        </w:rPr>
        <w:t xml:space="preserve">日期：                                    日期： </w:t>
      </w:r>
    </w:p>
    <w:p>
      <w:pPr>
        <w:widowControl/>
        <w:spacing w:after="60" w:afterLines="25" w:line="300" w:lineRule="auto"/>
        <w:jc w:val="left"/>
        <w:rPr>
          <w:rFonts w:ascii="宋体" w:hAnsi="宋体" w:cs="宋体"/>
          <w:kern w:val="0"/>
          <w:szCs w:val="21"/>
        </w:rPr>
      </w:pPr>
    </w:p>
    <w:p>
      <w:pPr>
        <w:widowControl/>
        <w:spacing w:after="60" w:afterLines="25" w:line="300" w:lineRule="auto"/>
        <w:jc w:val="left"/>
        <w:rPr>
          <w:rFonts w:ascii="宋体" w:hAnsi="宋体" w:cs="宋体"/>
          <w:kern w:val="0"/>
          <w:szCs w:val="21"/>
        </w:rPr>
      </w:pPr>
      <w:r>
        <w:rPr>
          <w:rFonts w:ascii="宋体" w:hAnsi="宋体" w:cs="宋体" w:hint="eastAsia"/>
          <w:kern w:val="0"/>
          <w:szCs w:val="21"/>
        </w:rPr>
        <w:t xml:space="preserve">供应商名称：       </w:t>
      </w:r>
    </w:p>
    <w:p>
      <w:pPr>
        <w:widowControl/>
        <w:wordWrap w:val="0"/>
        <w:spacing w:after="60" w:afterLines="25" w:line="300" w:lineRule="auto"/>
        <w:jc w:val="left"/>
        <w:rPr>
          <w:rFonts w:ascii="宋体" w:hAnsi="宋体" w:cs="宋体"/>
          <w:kern w:val="0"/>
          <w:szCs w:val="21"/>
        </w:rPr>
      </w:pPr>
      <w:r>
        <w:rPr>
          <w:rFonts w:ascii="宋体" w:hAnsi="宋体" w:cs="宋体" w:hint="eastAsia"/>
          <w:kern w:val="0"/>
          <w:szCs w:val="21"/>
        </w:rPr>
        <w:t xml:space="preserve">日期：       </w:t>
      </w:r>
    </w:p>
    <w:p>
      <w:pPr>
        <w:ind w:left="723" w:hanging="630" w:hangingChars="300"/>
        <w:rPr>
          <w:b/>
          <w:sz w:val="24"/>
        </w:rPr>
      </w:pPr>
    </w:p>
    <w:p>
      <w:pPr>
        <w:widowControl/>
        <w:jc w:val="left"/>
        <w:rPr>
          <w:rFonts w:ascii="黑体" w:eastAsia="黑体" w:hAnsi="宋体"/>
          <w:bCs/>
          <w:kern w:val="0"/>
          <w:sz w:val="24"/>
        </w:rPr>
      </w:pPr>
      <w:r>
        <w:rPr>
          <w:rFonts w:ascii="黑体" w:eastAsia="黑体"/>
          <w:b/>
        </w:rPr>
        <w:br w:type="page"/>
      </w:r>
    </w:p>
    <w:p>
      <w:pPr>
        <w:pStyle w:val="Heading2"/>
        <w:rPr>
          <w:rFonts w:ascii="黑体" w:eastAsia="黑体"/>
          <w:b w:val="0"/>
          <w:szCs w:val="24"/>
        </w:rPr>
      </w:pPr>
      <w:r>
        <w:rPr>
          <w:rFonts w:ascii="黑体" w:eastAsia="黑体" w:hint="eastAsia"/>
          <w:b w:val="0"/>
          <w:szCs w:val="24"/>
        </w:rPr>
        <w:t>五、项目详细报价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168" w:type="dxa"/>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4168" w:type="dxa"/>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480"/>
        </w:trPr>
        <w:tc>
          <w:tcPr>
            <w:tcW w:w="618" w:type="dxa"/>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1016" w:type="dxa"/>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val="restart"/>
            <w:tcBorders>
              <w:top w:val="nil"/>
              <w:left w:val="nil"/>
              <w:right w:val="single" w:sz="8" w:space="0" w:color="auto"/>
            </w:tcBorders>
            <w:shd w:val="clear" w:color="auto" w:fill="auto"/>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1016" w:type="dxa"/>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rPr>
          <w:rFonts w:hAnsi="宋体"/>
          <w:color w:val="000000" w:themeColor="text1"/>
          <w:szCs w:val="21"/>
          <w14:textFill>
            <w14:solidFill>
              <w14:schemeClr w14:val="tx1"/>
            </w14:solidFill>
          </w14:textFill>
        </w:rPr>
      </w:pPr>
      <w:r>
        <w:rPr>
          <w:rFonts w:hAnsi="宋体" w:hint="eastAsia"/>
          <w:color w:val="000000" w:themeColor="text1"/>
          <w:szCs w:val="21"/>
          <w14:textFill>
            <w14:solidFill>
              <w14:schemeClr w14:val="tx1"/>
            </w14:solidFill>
          </w14:textFill>
        </w:rPr>
        <w:t>注：本表格仅为指导性范本，供应商应根据项目具体情况对各分项内容进行调整提供详细分项报价。</w:t>
      </w: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（二）</w:t>
      </w:r>
      <w:bookmarkStart w:id="45" w:name="_Hlk72073235"/>
      <w:r>
        <w:rPr>
          <w:rFonts w:hint="eastAsia"/>
          <w:b/>
          <w:sz w:val="24"/>
        </w:rPr>
        <w:t>投标人认为需要涉及的其他内容报价清单</w:t>
      </w:r>
      <w:bookmarkEnd w:id="45"/>
    </w:p>
    <w:p>
      <w:pPr>
        <w:rPr>
          <w:b/>
          <w:bCs/>
        </w:rPr>
      </w:pPr>
    </w:p>
    <w:p/>
    <w:p>
      <w:pPr>
        <w:pStyle w:val="Heading2"/>
        <w:rPr>
          <w:rFonts w:ascii="黑体" w:eastAsia="黑体"/>
          <w:b w:val="0"/>
          <w:szCs w:val="24"/>
        </w:rPr>
      </w:pPr>
      <w:r>
        <w:t xml:space="preserve">  </w:t>
      </w:r>
      <w:r>
        <w:rPr>
          <w:rFonts w:hint="eastAsia"/>
          <w:lang w:val="en-US" w:eastAsia="zh-CN"/>
        </w:rPr>
        <w:t>六</w:t>
      </w:r>
      <w:r>
        <w:rPr>
          <w:rFonts w:ascii="黑体" w:eastAsia="黑体" w:hint="eastAsia"/>
          <w:b w:val="0"/>
          <w:szCs w:val="24"/>
        </w:rPr>
        <w:t>、供应商认证情况</w:t>
      </w:r>
    </w:p>
    <w:p>
      <w:pPr>
        <w:pStyle w:val="Heading2"/>
        <w:rPr>
          <w:rFonts w:ascii="黑体" w:eastAsia="黑体"/>
          <w:b w:val="0"/>
          <w:szCs w:val="24"/>
        </w:rPr>
      </w:pPr>
      <w:r>
        <w:rPr>
          <w:rFonts w:ascii="黑体" w:eastAsia="黑体" w:hint="eastAsia"/>
          <w:b w:val="0"/>
          <w:szCs w:val="24"/>
          <w:lang w:val="en-US" w:eastAsia="zh-CN"/>
        </w:rPr>
        <w:t>七</w:t>
      </w:r>
      <w:r>
        <w:rPr>
          <w:rFonts w:ascii="黑体" w:eastAsia="黑体" w:hint="eastAsia"/>
          <w:b w:val="0"/>
          <w:szCs w:val="24"/>
        </w:rPr>
        <w:t>、标准规范</w:t>
      </w:r>
    </w:p>
    <w:p>
      <w:pPr>
        <w:pStyle w:val="Heading2"/>
        <w:rPr>
          <w:rFonts w:ascii="黑体" w:eastAsia="黑体"/>
          <w:b w:val="0"/>
          <w:szCs w:val="24"/>
        </w:rPr>
      </w:pPr>
      <w:r>
        <w:rPr>
          <w:rFonts w:ascii="黑体" w:eastAsia="黑体" w:hint="eastAsia"/>
          <w:b w:val="0"/>
          <w:szCs w:val="24"/>
          <w:lang w:val="en-US" w:eastAsia="zh-CN"/>
        </w:rPr>
        <w:t>八</w:t>
      </w:r>
      <w:r>
        <w:rPr>
          <w:rFonts w:ascii="黑体" w:eastAsia="黑体" w:hint="eastAsia"/>
          <w:b w:val="0"/>
          <w:szCs w:val="24"/>
        </w:rPr>
        <w:t>、相关业绩证明</w:t>
      </w:r>
    </w:p>
    <w:p>
      <w:pPr>
        <w:pStyle w:val="Heading2"/>
      </w:pPr>
      <w:r>
        <w:rPr>
          <w:rFonts w:ascii="黑体" w:eastAsia="黑体" w:hint="eastAsia"/>
          <w:b w:val="0"/>
          <w:szCs w:val="24"/>
          <w:lang w:val="en-US" w:eastAsia="zh-CN"/>
        </w:rPr>
        <w:t>九</w:t>
      </w:r>
      <w:r>
        <w:rPr>
          <w:rFonts w:ascii="黑体" w:eastAsia="黑体" w:hint="eastAsia"/>
          <w:b w:val="0"/>
          <w:szCs w:val="24"/>
        </w:rPr>
        <w:t>、</w:t>
      </w:r>
      <w:r>
        <w:rPr>
          <w:rFonts w:hint="eastAsia"/>
          <w:szCs w:val="21"/>
        </w:rPr>
        <w:t>投标人认为需要加以说明的其他内容（公开）</w:t>
      </w:r>
    </w:p>
    <w:p>
      <w:pPr>
        <w:jc w:val="center"/>
        <w:rPr>
          <w:b/>
          <w:color w:val="FF0000"/>
          <w:sz w:val="24"/>
        </w:rPr>
      </w:pPr>
      <w:r>
        <w:rPr>
          <w:rFonts w:hint="eastAsia"/>
          <w:b/>
          <w:color w:val="FF0000"/>
          <w:sz w:val="24"/>
        </w:rPr>
        <w:t>（信息公开部分的内容到此为止！以下为信息不公开部分。）</w:t>
      </w:r>
    </w:p>
    <w:p>
      <w:pPr>
        <w:rPr>
          <w:b/>
          <w:sz w:val="32"/>
          <w:szCs w:val="32"/>
        </w:rPr>
      </w:pPr>
      <w:r>
        <w:rPr>
          <w:b/>
          <w:sz w:val="32"/>
          <w:szCs w:val="32"/>
        </w:rPr>
        <w:br w:type="page"/>
      </w:r>
    </w:p>
    <w:p>
      <w:pPr>
        <w:pStyle w:val="BodyText"/>
      </w:pP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2"/>
        <w:rPr>
          <w:rFonts w:ascii="黑体" w:eastAsia="黑体"/>
          <w:b w:val="0"/>
        </w:rPr>
      </w:pPr>
      <w:r>
        <w:rPr>
          <w:rFonts w:ascii="黑体" w:eastAsia="黑体" w:hint="eastAsia"/>
          <w:b w:val="0"/>
        </w:rPr>
        <w:t>一、</w:t>
      </w:r>
      <w:bookmarkStart w:id="46" w:name="_Hlk72092499"/>
      <w:r>
        <w:rPr>
          <w:rFonts w:ascii="黑体" w:eastAsia="黑体" w:hint="eastAsia"/>
          <w:b w:val="0"/>
        </w:rPr>
        <w:t>法定代表人（负责人）证明书</w:t>
      </w:r>
      <w:bookmarkEnd w:id="46"/>
    </w:p>
    <w:p>
      <w:pPr>
        <w:rPr>
          <w:sz w:val="24"/>
        </w:rPr>
      </w:pPr>
    </w:p>
    <w:p>
      <w:pPr>
        <w:spacing w:line="360" w:lineRule="auto"/>
        <w:rPr>
          <w:szCs w:val="21"/>
        </w:rPr>
      </w:pPr>
      <w:r>
        <w:rPr>
          <w:rFonts w:hint="eastAsia"/>
          <w:szCs w:val="21"/>
        </w:rPr>
        <w:t xml:space="preserve">   </w:t>
      </w:r>
      <w:r>
        <w:rPr>
          <w:rFonts w:hint="eastAsia"/>
          <w:szCs w:val="21"/>
          <w:u w:val="single"/>
        </w:rPr>
        <w:t xml:space="preserve">         </w:t>
      </w:r>
      <w:r>
        <w:rPr>
          <w:rFonts w:hint="eastAsia"/>
          <w:szCs w:val="21"/>
        </w:rPr>
        <w:t>同志，现任我单位</w:t>
      </w:r>
      <w:r>
        <w:rPr>
          <w:rFonts w:hint="eastAsia"/>
          <w:szCs w:val="21"/>
          <w:u w:val="single"/>
        </w:rPr>
        <w:t xml:space="preserve">         </w:t>
      </w:r>
      <w:r>
        <w:rPr>
          <w:rFonts w:hint="eastAsia"/>
          <w:szCs w:val="21"/>
        </w:rPr>
        <w:t>职务，为法定代表人（负责人），特此证明。</w:t>
      </w:r>
    </w:p>
    <w:p>
      <w:pPr>
        <w:spacing w:line="360" w:lineRule="auto"/>
        <w:rPr>
          <w:szCs w:val="21"/>
        </w:rPr>
      </w:pPr>
      <w:r>
        <w:rPr>
          <w:rFonts w:hint="eastAsia"/>
          <w:szCs w:val="21"/>
        </w:rPr>
        <w:t xml:space="preserve">         </w:t>
      </w:r>
    </w:p>
    <w:p>
      <w:pPr>
        <w:spacing w:line="360" w:lineRule="auto"/>
        <w:rPr>
          <w:szCs w:val="21"/>
        </w:rPr>
      </w:pPr>
      <w:r>
        <w:rPr>
          <w:rFonts w:hint="eastAsia"/>
          <w:szCs w:val="21"/>
        </w:rPr>
        <w:t>说明：1、法定代表人为投标人（企业事业单位、国家机关、社会团体）的主要行政负责人。</w:t>
      </w:r>
    </w:p>
    <w:p>
      <w:pPr>
        <w:rPr>
          <w:szCs w:val="21"/>
        </w:rPr>
      </w:pPr>
      <w:r>
        <w:rPr>
          <w:rFonts w:hint="eastAsia"/>
          <w:szCs w:val="21"/>
        </w:rPr>
        <w:t xml:space="preserve">      2、内容必须填写真实、清楚，涂改无效，不得转让、买卖。</w:t>
      </w:r>
    </w:p>
    <w:p>
      <w:pPr>
        <w:spacing w:line="360" w:lineRule="auto"/>
        <w:ind w:firstLine="420" w:firstLineChars="200"/>
        <w:rPr>
          <w:b/>
          <w:color w:val="FF0000"/>
          <w:szCs w:val="21"/>
        </w:rPr>
      </w:pPr>
    </w:p>
    <w:p>
      <w:pPr>
        <w:rPr>
          <w:sz w:val="24"/>
        </w:rPr>
      </w:pPr>
    </w:p>
    <w:p>
      <w:pPr>
        <w:rPr>
          <w:b/>
          <w:bCs/>
          <w:sz w:val="24"/>
        </w:rPr>
      </w:pPr>
    </w:p>
    <w:p>
      <w:pPr>
        <w:pStyle w:val="Heading2"/>
        <w:rPr>
          <w:rFonts w:ascii="黑体" w:eastAsia="黑体"/>
          <w:b w:val="0"/>
        </w:rPr>
      </w:pPr>
      <w:r>
        <w:rPr>
          <w:rFonts w:ascii="黑体" w:eastAsia="黑体" w:hint="eastAsia"/>
          <w:b w:val="0"/>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pStyle w:val="NormalIndent"/>
        <w:spacing w:line="360" w:lineRule="auto"/>
        <w:rPr>
          <w:szCs w:val="21"/>
        </w:rPr>
      </w:pPr>
      <w:r>
        <w:rPr>
          <w:rFonts w:hint="eastAsia"/>
          <w:szCs w:val="21"/>
        </w:rPr>
        <w:t>代理人无转委托权，特此委托。</w:t>
      </w:r>
    </w:p>
    <w:p>
      <w:pPr>
        <w:pStyle w:val="NormalIndent"/>
        <w:spacing w:line="360" w:lineRule="auto"/>
        <w:rPr>
          <w:szCs w:val="21"/>
        </w:rPr>
      </w:pPr>
    </w:p>
    <w:p>
      <w:pPr>
        <w:spacing w:line="360" w:lineRule="auto"/>
        <w:ind w:left="540" w:leftChars="257"/>
        <w:rPr>
          <w:szCs w:val="21"/>
          <w:u w:val="single"/>
        </w:rPr>
      </w:pPr>
      <w:r>
        <w:rPr>
          <w:rFonts w:hint="eastAsia"/>
          <w:szCs w:val="21"/>
        </w:rPr>
        <w:t>代理人：</w:t>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手机：</w:t>
      </w:r>
      <w:r>
        <w:rPr>
          <w:rFonts w:hint="eastAsia"/>
          <w:szCs w:val="21"/>
          <w:u w:val="single"/>
        </w:rPr>
        <w:t xml:space="preserve">                   </w:t>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
      <w:pPr>
        <w:spacing w:line="360" w:lineRule="auto"/>
        <w:ind w:firstLine="420" w:firstLineChars="200"/>
        <w:rPr>
          <w:b/>
          <w:color w:val="FF0000"/>
          <w:szCs w:val="21"/>
        </w:rPr>
      </w:pPr>
      <w:r>
        <w:rPr>
          <w:rFonts w:hint="eastAsia"/>
          <w:b/>
          <w:color w:val="FF0000"/>
          <w:szCs w:val="21"/>
        </w:rPr>
        <w:t>附： 请提供代理人身份证扫描件（正反两面）；非中国国籍管辖范围人员，可提供公安部门认可的身份证明材料扫描件。</w:t>
      </w:r>
    </w:p>
    <w:p>
      <w:pPr>
        <w:spacing w:line="360" w:lineRule="auto"/>
        <w:rPr>
          <w:b/>
          <w:szCs w:val="21"/>
        </w:rPr>
      </w:pPr>
    </w:p>
    <w:p>
      <w:pPr>
        <w:widowControl/>
        <w:jc w:val="left"/>
        <w:rPr>
          <w:rFonts w:ascii="黑体" w:eastAsia="黑体" w:hAnsi="宋体"/>
          <w:bCs/>
          <w:kern w:val="0"/>
          <w:sz w:val="24"/>
          <w:szCs w:val="20"/>
        </w:rPr>
      </w:pPr>
      <w:r>
        <w:rPr>
          <w:rFonts w:ascii="黑体" w:eastAsia="黑体"/>
          <w:b/>
        </w:rPr>
        <w:br w:type="page"/>
      </w:r>
    </w:p>
    <w:p>
      <w:pPr>
        <w:pStyle w:val="Heading2"/>
      </w:pPr>
      <w:r>
        <w:rPr>
          <w:rFonts w:ascii="黑体" w:eastAsia="黑体" w:hint="eastAsia"/>
          <w:b w:val="0"/>
        </w:rPr>
        <w:t>三、</w:t>
      </w:r>
      <w:bookmarkStart w:id="47" w:name="_Hlk72092634"/>
      <w:r>
        <w:rPr>
          <w:rFonts w:ascii="黑体" w:eastAsia="黑体" w:hint="eastAsia"/>
          <w:b w:val="0"/>
          <w:szCs w:val="24"/>
        </w:rPr>
        <w:t>实质性条款响应情况表</w:t>
      </w:r>
      <w:bookmarkEnd w:id="47"/>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48"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rPr>
          <w:trHeight w:val="1946"/>
        </w:trPr>
        <w:tc>
          <w:tcPr>
            <w:tcW w:w="705" w:type="dxa"/>
          </w:tcPr>
          <w:p>
            <w:pPr>
              <w:adjustRightInd w:val="0"/>
              <w:snapToGrid w:val="0"/>
              <w:spacing w:line="360" w:lineRule="auto"/>
              <w:rPr>
                <w:rFonts w:ascii="宋体" w:hAnsi="宋体"/>
                <w:kern w:val="0"/>
                <w:szCs w:val="21"/>
              </w:rPr>
            </w:pPr>
            <w:bookmarkEnd w:id="48"/>
            <w:r>
              <w:rPr>
                <w:rFonts w:ascii="宋体" w:hAnsi="宋体" w:hint="eastAsia"/>
                <w:kern w:val="0"/>
                <w:szCs w:val="21"/>
              </w:rPr>
              <w:t>1</w:t>
            </w:r>
          </w:p>
        </w:tc>
        <w:tc>
          <w:tcPr>
            <w:tcW w:w="2664" w:type="dxa"/>
            <w:vAlign w:val="center"/>
          </w:tcPr>
          <w:p>
            <w:pPr>
              <w:adjustRightInd w:val="0"/>
              <w:snapToGrid w:val="0"/>
              <w:spacing w:line="360" w:lineRule="auto"/>
              <w:jc w:val="center"/>
              <w:rPr>
                <w:rFonts w:hAnsi="宋体"/>
                <w:kern w:val="0"/>
                <w:szCs w:val="21"/>
              </w:rPr>
            </w:pPr>
            <w:r>
              <w:rPr>
                <w:rFonts w:hAnsi="宋体" w:hint="eastAsia"/>
                <w:kern w:val="0"/>
                <w:szCs w:val="21"/>
              </w:rPr>
              <w:t>★服务时间：合同签订之日12个月内完成，如未在合同期内完成互联互通四级甲等测评，则顺延至通过为止。</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spacing w:line="360" w:lineRule="auto"/>
        <w:rPr>
          <w:b/>
          <w:highlight w:val="yellow"/>
        </w:rPr>
      </w:pPr>
    </w:p>
    <w:p>
      <w:pPr>
        <w:widowControl/>
        <w:ind w:firstLine="420" w:firstLineChars="200"/>
        <w:jc w:val="left"/>
        <w:rPr>
          <w:rFonts w:ascii="宋体" w:hAnsi="宋体" w:cs="宋体"/>
          <w:b/>
          <w:kern w:val="0"/>
          <w:szCs w:val="20"/>
        </w:rPr>
      </w:pPr>
      <w:r>
        <w:rPr>
          <w:rFonts w:ascii="宋体" w:hAnsi="宋体" w:cs="宋体" w:hint="eastAsia"/>
          <w:b/>
          <w:kern w:val="0"/>
          <w:szCs w:val="20"/>
        </w:rPr>
        <w:t>注：1. 上表所列各项均为不可负偏离条款。</w:t>
      </w:r>
    </w:p>
    <w:p>
      <w:pPr>
        <w:widowControl/>
        <w:ind w:firstLine="420" w:firstLineChars="200"/>
        <w:jc w:val="left"/>
        <w:rPr>
          <w:rFonts w:ascii="宋体" w:hAnsi="宋体" w:cs="宋体"/>
          <w:b/>
          <w:kern w:val="0"/>
          <w:szCs w:val="20"/>
        </w:rPr>
      </w:pPr>
      <w:r>
        <w:rPr>
          <w:rFonts w:ascii="宋体" w:hAnsi="宋体" w:cs="宋体" w:hint="eastAsia"/>
          <w:b/>
          <w:kern w:val="0"/>
          <w:szCs w:val="20"/>
        </w:rPr>
        <w:t>2.“投标响应”一栏应当详细填写投标人自身响应情况，而不能不合理照搬照抄招</w:t>
      </w:r>
      <w:r>
        <w:rPr>
          <w:rFonts w:ascii="宋体" w:hAnsi="宋体" w:cs="宋体" w:hint="eastAsia"/>
          <w:b/>
          <w:szCs w:val="20"/>
        </w:rPr>
        <w:t>（是否属于“不合理照搬照抄”由评审委员会作出判断）</w:t>
      </w:r>
      <w:r>
        <w:rPr>
          <w:rFonts w:ascii="宋体" w:hAnsi="宋体" w:cs="宋体" w:hint="eastAsia"/>
          <w:b/>
          <w:kern w:val="0"/>
          <w:szCs w:val="20"/>
        </w:rPr>
        <w:t>实质性条款具体内容。</w:t>
      </w:r>
    </w:p>
    <w:p>
      <w:pPr>
        <w:widowControl/>
        <w:ind w:firstLine="420" w:firstLineChars="200"/>
        <w:jc w:val="left"/>
        <w:rPr>
          <w:rFonts w:ascii="宋体" w:hAnsi="宋体" w:cs="宋体"/>
          <w:b/>
          <w:kern w:val="0"/>
          <w:szCs w:val="20"/>
        </w:rPr>
      </w:pPr>
      <w:r>
        <w:rPr>
          <w:rFonts w:ascii="宋体" w:hAnsi="宋体" w:cs="宋体" w:hint="eastAsia"/>
          <w:b/>
          <w:kern w:val="0"/>
          <w:szCs w:val="20"/>
        </w:rPr>
        <w:t>3.“偏离情况”一栏应填写“正偏离”、“负偏离”或“无偏离”，</w:t>
      </w:r>
      <w:r>
        <w:rPr>
          <w:rFonts w:ascii="宋体" w:hAnsi="宋体" w:cs="宋体" w:hint="eastAsia"/>
          <w:b/>
          <w:kern w:val="0"/>
          <w:szCs w:val="21"/>
        </w:rPr>
        <w:t>“正偏离”表示“投标响应优于实质性条款具体内容要求”，“负偏离”表示“投标响应不满足实质性条款具体内容要求”，“无偏离”表示“投标响应与实质性条款具体内容要求一致”。</w:t>
      </w:r>
    </w:p>
    <w:p>
      <w:pPr>
        <w:widowControl/>
        <w:ind w:firstLine="420" w:firstLineChars="200"/>
        <w:jc w:val="left"/>
        <w:rPr>
          <w:rFonts w:ascii="宋体" w:hAnsi="宋体" w:cs="宋体"/>
          <w:b/>
          <w:kern w:val="0"/>
          <w:szCs w:val="21"/>
        </w:rPr>
      </w:pPr>
      <w:r>
        <w:rPr>
          <w:rFonts w:ascii="宋体" w:hAnsi="宋体" w:cs="宋体" w:hint="eastAsia"/>
          <w:b/>
          <w:kern w:val="0"/>
          <w:szCs w:val="21"/>
        </w:rPr>
        <w:t>4.评审委员会有权对投标响应情况作出判断（作出评审结论）。</w:t>
      </w:r>
    </w:p>
    <w:p>
      <w:pPr>
        <w:widowControl/>
        <w:ind w:firstLine="420" w:firstLineChars="200"/>
        <w:jc w:val="left"/>
        <w:rPr>
          <w:rFonts w:ascii="宋体" w:hAnsi="宋体" w:cs="宋体"/>
          <w:b/>
          <w:kern w:val="0"/>
          <w:szCs w:val="20"/>
        </w:rPr>
      </w:pPr>
      <w:r>
        <w:rPr>
          <w:rFonts w:ascii="宋体" w:hAnsi="宋体" w:cs="宋体" w:hint="eastAsia"/>
          <w:b/>
          <w:kern w:val="0"/>
          <w:szCs w:val="20"/>
        </w:rPr>
        <w:t>5.实质性响应条款“投标响应情况”与投标文件其它内容冲突的，以实质性响应条款“投标响应情况”为准。</w:t>
      </w:r>
    </w:p>
    <w:p>
      <w:pPr>
        <w:widowControl/>
        <w:ind w:firstLine="420" w:firstLineChars="200"/>
        <w:jc w:val="left"/>
        <w:rPr>
          <w:rFonts w:ascii="宋体" w:hAnsi="宋体" w:cs="宋体"/>
          <w:b/>
          <w:kern w:val="0"/>
          <w:szCs w:val="20"/>
          <w:highlight w:val="yellow"/>
        </w:rPr>
      </w:pPr>
      <w:r>
        <w:rPr>
          <w:rFonts w:ascii="宋体" w:hAnsi="宋体" w:cs="宋体" w:hint="eastAsia"/>
          <w:b/>
          <w:kern w:val="0"/>
          <w:szCs w:val="20"/>
          <w:highlight w:val="yellow"/>
        </w:rPr>
        <w:t>6. 要求提供证明资料，在“说明”一栏中列明证明资料的位置,以便评审；未要求提供证明材料的，投标人可以不提供。</w:t>
      </w:r>
    </w:p>
    <w:p/>
    <w:p>
      <w:pPr>
        <w:pStyle w:val="BodyText"/>
      </w:pPr>
    </w:p>
    <w:p>
      <w:pPr>
        <w:pStyle w:val="Quote"/>
      </w:pPr>
    </w:p>
    <w:p>
      <w:pPr>
        <w:pStyle w:val="Heading2"/>
        <w:rPr>
          <w:rFonts w:ascii="黑体" w:eastAsia="黑体"/>
          <w:b w:val="0"/>
          <w:bCs w:val="0"/>
        </w:rPr>
      </w:pPr>
      <w:r>
        <w:rPr>
          <w:rFonts w:ascii="黑体" w:eastAsia="黑体" w:hint="eastAsia"/>
          <w:b w:val="0"/>
          <w:bCs w:val="0"/>
          <w:lang w:val="en-US" w:eastAsia="zh-CN"/>
        </w:rPr>
        <w:t>四</w:t>
      </w:r>
      <w:r>
        <w:rPr>
          <w:rFonts w:ascii="黑体" w:eastAsia="黑体" w:hint="eastAsia"/>
          <w:b w:val="0"/>
          <w:bCs w:val="0"/>
        </w:rPr>
        <w:t>、项目实施方案</w:t>
      </w:r>
    </w:p>
    <w:p>
      <w:pPr>
        <w:pStyle w:val="Heading2"/>
        <w:rPr>
          <w:rFonts w:ascii="黑体" w:eastAsia="黑体"/>
          <w:b w:val="0"/>
          <w:bCs w:val="0"/>
        </w:rPr>
      </w:pPr>
      <w:r>
        <w:rPr>
          <w:rFonts w:ascii="黑体" w:eastAsia="黑体" w:hint="eastAsia"/>
          <w:b w:val="0"/>
          <w:bCs w:val="0"/>
        </w:rPr>
        <w:t>五、项目重点难点分析、应对措施及相关的合理化建议</w:t>
      </w:r>
    </w:p>
    <w:p>
      <w:pPr>
        <w:pStyle w:val="Heading2"/>
        <w:rPr>
          <w:rFonts w:ascii="黑体" w:eastAsia="黑体"/>
          <w:b w:val="0"/>
          <w:bCs w:val="0"/>
        </w:rPr>
      </w:pPr>
      <w:r>
        <w:rPr>
          <w:rFonts w:ascii="黑体" w:eastAsia="黑体" w:hint="eastAsia"/>
          <w:b w:val="0"/>
          <w:bCs w:val="0"/>
          <w:lang w:val="en-US" w:eastAsia="zh-CN"/>
        </w:rPr>
        <w:t>六</w:t>
      </w:r>
      <w:r>
        <w:rPr>
          <w:rFonts w:ascii="黑体" w:eastAsia="黑体" w:hint="eastAsia"/>
          <w:b w:val="0"/>
          <w:bCs w:val="0"/>
        </w:rPr>
        <w:t>、项目负责人（仅限一人）情况</w:t>
      </w:r>
    </w:p>
    <w:p>
      <w:pPr>
        <w:pStyle w:val="Heading2"/>
        <w:rPr>
          <w:rFonts w:ascii="黑体" w:eastAsia="黑体"/>
          <w:b w:val="0"/>
          <w:bCs w:val="0"/>
        </w:rPr>
      </w:pPr>
      <w:r>
        <w:rPr>
          <w:rFonts w:ascii="黑体" w:eastAsia="黑体" w:hint="eastAsia"/>
          <w:b w:val="0"/>
          <w:bCs w:val="0"/>
          <w:lang w:val="en-US" w:eastAsia="zh-CN"/>
        </w:rPr>
        <w:t>七</w:t>
      </w:r>
      <w:r>
        <w:rPr>
          <w:rFonts w:ascii="黑体" w:eastAsia="黑体" w:hint="eastAsia"/>
          <w:b w:val="0"/>
          <w:bCs w:val="0"/>
        </w:rPr>
        <w:t>、拟安排的项目主要团队成员（主要技术人员）情况（项目负责人除外）</w:t>
      </w:r>
    </w:p>
    <w:p>
      <w:pPr>
        <w:pStyle w:val="Heading2"/>
        <w:rPr>
          <w:rFonts w:ascii="黑体" w:eastAsia="黑体"/>
          <w:b w:val="0"/>
          <w:bCs w:val="0"/>
        </w:rPr>
      </w:pPr>
      <w:r>
        <w:rPr>
          <w:rFonts w:ascii="黑体" w:eastAsia="黑体" w:hint="eastAsia"/>
          <w:b w:val="0"/>
          <w:bCs w:val="0"/>
          <w:lang w:val="en-US" w:eastAsia="zh-CN"/>
        </w:rPr>
        <w:t>八</w:t>
      </w:r>
      <w:r>
        <w:rPr>
          <w:rFonts w:ascii="黑体" w:eastAsia="黑体" w:hint="eastAsia"/>
          <w:b w:val="0"/>
          <w:bCs w:val="0"/>
        </w:rPr>
        <w:t>、项目完成（服务期满）后的服务承诺</w:t>
      </w:r>
    </w:p>
    <w:p>
      <w:pPr>
        <w:pStyle w:val="Heading2"/>
        <w:rPr>
          <w:rFonts w:ascii="黑体" w:eastAsia="黑体"/>
          <w:b w:val="0"/>
          <w:bCs w:val="0"/>
        </w:rPr>
      </w:pPr>
      <w:r>
        <w:rPr>
          <w:rFonts w:ascii="黑体" w:eastAsia="黑体" w:hint="eastAsia"/>
          <w:b w:val="0"/>
          <w:bCs w:val="0"/>
          <w:lang w:val="en-US" w:eastAsia="zh-CN"/>
        </w:rPr>
        <w:t>九</w:t>
      </w:r>
      <w:r>
        <w:rPr>
          <w:rFonts w:ascii="黑体" w:eastAsia="黑体" w:hint="eastAsia"/>
          <w:b w:val="0"/>
          <w:bCs w:val="0"/>
        </w:rPr>
        <w:t>、违约承诺</w:t>
      </w:r>
    </w:p>
    <w:p>
      <w:pPr>
        <w:pStyle w:val="Heading2"/>
        <w:rPr>
          <w:rFonts w:ascii="黑体" w:eastAsia="黑体" w:hint="eastAsia"/>
          <w:b w:val="0"/>
          <w:bCs w:val="0"/>
        </w:rPr>
      </w:pPr>
      <w:r>
        <w:rPr>
          <w:rFonts w:ascii="黑体" w:eastAsia="黑体" w:hint="eastAsia"/>
          <w:b w:val="0"/>
          <w:bCs w:val="0"/>
          <w:lang w:val="en-US" w:eastAsia="zh-CN"/>
        </w:rPr>
        <w:t>十</w:t>
      </w:r>
      <w:r>
        <w:rPr>
          <w:rFonts w:ascii="黑体" w:eastAsia="黑体" w:hint="eastAsia"/>
          <w:b w:val="0"/>
          <w:bCs w:val="0"/>
        </w:rPr>
        <w:t>、服务内容响应情况</w:t>
      </w:r>
    </w:p>
    <w:p>
      <w:pPr>
        <w:pStyle w:val="Heading2"/>
        <w:rPr>
          <w:rFonts w:ascii="黑体" w:eastAsia="黑体" w:hint="eastAsia"/>
          <w:b w:val="0"/>
        </w:rPr>
      </w:pPr>
      <w:r>
        <w:rPr>
          <w:rFonts w:ascii="黑体" w:eastAsia="黑体" w:hint="eastAsia"/>
          <w:b w:val="0"/>
          <w:bCs w:val="0"/>
          <w:lang w:val="en-US" w:eastAsia="zh-CN"/>
        </w:rPr>
        <w:t>十一</w:t>
      </w:r>
      <w:r>
        <w:rPr>
          <w:rFonts w:ascii="黑体" w:eastAsia="黑体" w:hint="eastAsia"/>
          <w:b w:val="0"/>
          <w:bCs w:val="0"/>
        </w:rPr>
        <w:t>、</w:t>
      </w:r>
      <w:r>
        <w:rPr>
          <w:rFonts w:ascii="黑体" w:eastAsia="黑体" w:hint="eastAsia"/>
          <w:b w:val="0"/>
        </w:rPr>
        <w:t>政府采购违法行为风险知悉确认书</w:t>
      </w:r>
    </w:p>
    <w:p>
      <w:pPr>
        <w:pStyle w:val="Heading2"/>
        <w:rPr>
          <w:rFonts w:ascii="黑体" w:eastAsia="黑体"/>
          <w:b w:val="0"/>
        </w:rPr>
      </w:pPr>
      <w:r>
        <w:rPr>
          <w:rFonts w:ascii="黑体" w:eastAsia="黑体" w:hint="eastAsia"/>
          <w:b w:val="0"/>
        </w:rPr>
        <w:t>（一）政府采购违法行为风险知悉确认书</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本公司在投标前已充分知悉以下情形为参与政府采购活动时的重大风险事项，并承诺已对下述风险提示事项重点排查，做到严谨、诚信、依法依规参与政府采购活动。</w:t>
      </w:r>
    </w:p>
    <w:p>
      <w:pPr>
        <w:widowControl/>
        <w:spacing w:line="300" w:lineRule="exact"/>
        <w:ind w:firstLine="420" w:firstLineChars="200"/>
        <w:jc w:val="left"/>
        <w:rPr>
          <w:rFonts w:ascii="宋体" w:hAnsi="宋体" w:cs="宋体"/>
          <w:szCs w:val="21"/>
        </w:rPr>
      </w:pPr>
      <w:r>
        <w:rPr>
          <w:rFonts w:ascii="宋体" w:hAnsi="宋体" w:cs="宋体" w:hint="eastAsia"/>
          <w:b/>
          <w:bCs/>
          <w:color w:val="000000"/>
          <w:kern w:val="0"/>
          <w:szCs w:val="21"/>
        </w:rPr>
        <w:t>一、本公司已充分知悉“隐瞒真实情况，提供虚假资料”的法定情形，相关情形包括但不限于</w:t>
      </w:r>
      <w:r>
        <w:rPr>
          <w:rFonts w:ascii="宋体" w:hAnsi="宋体" w:cs="宋体" w:hint="eastAsia"/>
          <w:color w:val="000000"/>
          <w:kern w:val="0"/>
          <w:szCs w:val="21"/>
        </w:rPr>
        <w:t>：</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（一）通过转让或者租借等方式从其他单位获取资格或者资质证书投标的。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（二）由其他单位或者其他单位负责人在投标供应商编制的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投标文件上加盖印章或者签字的。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（三）项目负责人或者主要技术人员不是本单位人员的。</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（四）投标保证金不是从投标供应商基本账户转出的。</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（五）其他隐瞒真实情况、提供虚假资料的行为。</w:t>
      </w:r>
    </w:p>
    <w:p>
      <w:pPr>
        <w:widowControl/>
        <w:spacing w:line="300" w:lineRule="exact"/>
        <w:ind w:firstLine="420" w:firstLineChars="200"/>
        <w:jc w:val="left"/>
        <w:rPr>
          <w:rFonts w:ascii="宋体" w:hAnsi="宋体" w:cs="宋体"/>
          <w:szCs w:val="21"/>
        </w:rPr>
      </w:pPr>
      <w:r>
        <w:rPr>
          <w:rFonts w:ascii="宋体" w:hAnsi="宋体" w:cs="宋体" w:hint="eastAsia"/>
          <w:b/>
          <w:bCs/>
          <w:color w:val="000000"/>
          <w:kern w:val="0"/>
          <w:szCs w:val="21"/>
        </w:rPr>
        <w:t xml:space="preserve">二、本公司已充分知悉“与其他采购参加人串通投标”的法定情形，相关情形包括但不限于：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（一）投标供应商之间相互约定给予未中标的供应商利益补偿。</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（二）不同投标供应商的法定代表人、主要经营负责人、项目投标授权代表人、项目负责人、主要技术人员为同一人、属同一单位或者在同一单位缴纳社会保险。</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（三）不同投标供应商的投标文件由同一单位或者同一人编制，或者由同一人分阶段参与编制的。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（四）不同投标供应商的投标文件或部分投标文件相互混装。</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（五）不同投标供应商的投标文件内容存在非正常一致。</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（六）由同一单位工作人员为两家以上（含两家）供应商进行同一项投标活动的。</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（七）不同投标人的投标报价呈规律性差异。</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（八）不同投标人的投标保证金从同一单位或者个人的账户转出。</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（九）主管部门依照法律、法规认定的其他情形。</w:t>
      </w:r>
    </w:p>
    <w:p>
      <w:pPr>
        <w:widowControl/>
        <w:spacing w:line="300" w:lineRule="exact"/>
        <w:ind w:firstLine="420" w:firstLineChars="200"/>
        <w:jc w:val="left"/>
        <w:rPr>
          <w:rFonts w:ascii="宋体" w:hAnsi="宋体" w:cs="宋体"/>
          <w:szCs w:val="21"/>
        </w:rPr>
      </w:pPr>
      <w:r>
        <w:rPr>
          <w:rFonts w:ascii="宋体" w:hAnsi="宋体" w:cs="宋体" w:hint="eastAsia"/>
          <w:b/>
          <w:bCs/>
          <w:color w:val="000000"/>
          <w:kern w:val="0"/>
          <w:szCs w:val="21"/>
        </w:rPr>
        <w:t>三、本公司已充分知悉下列情形所对应的法律风险，并在投标前已对相关风险事项进行排查。</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（一）对于从其他主体获取的投标资料，供应商应审慎核查，确保投标资料的真实性。</w:t>
      </w:r>
      <w:r>
        <w:rPr>
          <w:rFonts w:ascii="宋体" w:hAnsi="宋体" w:cs="宋体" w:hint="eastAsia"/>
          <w:b/>
          <w:bCs/>
          <w:color w:val="000000"/>
          <w:kern w:val="0"/>
          <w:szCs w:val="21"/>
        </w:rPr>
        <w:t xml:space="preserve">如主管部门查实投标文件中存在虚假资料的，无论相关资料是否由第三方或本公司员工提供，均不影响主管部门对供应商存在“隐瞒真实情况，提供虚假资料”违法行为的认定。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（二）对于涉及国家机关出具的公文、证件、证明材料等文件，一旦涉嫌虚假，经查实，主管部门将依法从严处理，并移送有关部门追究法律责任；涉嫌犯罪的，主管部门将一并移送司法机关追究法律责任。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（三）对于涉及安全生产、特种作业、抢险救灾、防疫等政府采购项目，供应商实施提供虚假资料、串通投标等违法行为的，主管部门将依法从严处理。</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（六）单位负责人为同一人或者存在直接控股、管理关系的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不同供应商，不得参加同一合同项下的政府采购活动。相关情形如查实，依法作投标无效处理；涉嫌串通投标等违法行为的，主管部门将依法调查处理。 </w:t>
      </w:r>
    </w:p>
    <w:p>
      <w:pPr>
        <w:widowControl/>
        <w:spacing w:line="300" w:lineRule="exact"/>
        <w:ind w:firstLine="420" w:firstLineChars="200"/>
        <w:jc w:val="left"/>
        <w:rPr>
          <w:rFonts w:ascii="宋体" w:hAnsi="宋体" w:cs="宋体"/>
          <w:szCs w:val="21"/>
        </w:rPr>
      </w:pPr>
      <w:r>
        <w:rPr>
          <w:rFonts w:ascii="宋体" w:hAnsi="宋体" w:cs="宋体" w:hint="eastAsia"/>
          <w:b/>
          <w:bCs/>
          <w:color w:val="000000"/>
          <w:kern w:val="0"/>
          <w:szCs w:val="21"/>
        </w:rPr>
        <w:t xml:space="preserve">四、本公司已充分知悉政府采购违法、违规行为的法律后果。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widowControl/>
        <w:spacing w:line="300" w:lineRule="exact"/>
        <w:ind w:firstLine="420" w:firstLineChars="200"/>
        <w:jc w:val="left"/>
        <w:rPr>
          <w:rFonts w:ascii="宋体" w:hAnsi="宋体" w:cs="宋体"/>
          <w:color w:val="000000"/>
          <w:kern w:val="0"/>
          <w:szCs w:val="21"/>
          <w:highlight w:val="yellow"/>
        </w:rPr>
      </w:pPr>
      <w:r>
        <w:rPr>
          <w:rFonts w:ascii="宋体" w:hAnsi="宋体" w:cs="宋体" w:hint="eastAsia"/>
          <w:color w:val="000000"/>
          <w:kern w:val="0"/>
          <w:szCs w:val="21"/>
          <w:highlight w:val="yellow"/>
        </w:rPr>
        <w:t>以下文字请投标供应商</w:t>
      </w:r>
      <w:r>
        <w:rPr>
          <w:rFonts w:ascii="宋体" w:hAnsi="宋体" w:cs="宋体" w:hint="eastAsia"/>
          <w:b/>
          <w:bCs/>
          <w:color w:val="000000"/>
          <w:kern w:val="0"/>
          <w:szCs w:val="21"/>
          <w:highlight w:val="yellow"/>
        </w:rPr>
        <w:t>抄写并确认</w:t>
      </w:r>
      <w:r>
        <w:rPr>
          <w:rFonts w:ascii="宋体" w:hAnsi="宋体" w:cs="宋体" w:hint="eastAsia"/>
          <w:color w:val="000000"/>
          <w:kern w:val="0"/>
          <w:szCs w:val="21"/>
          <w:highlight w:val="yellow"/>
        </w:rPr>
        <w:t>：“本公司已仔细阅读《政府采购违法行为风险知悉确认书》，充分知悉违法行为的法律后果，并承诺将严谨、诚信、依法依规参与政府采购活动”。</w:t>
      </w:r>
    </w:p>
    <w:p>
      <w:pPr>
        <w:pStyle w:val="BodyText"/>
        <w:spacing w:line="300" w:lineRule="exact"/>
        <w:rPr>
          <w:rFonts w:ascii="宋体" w:hAnsi="宋体" w:cs="宋体"/>
          <w:u w:val="single"/>
        </w:rPr>
      </w:pPr>
      <w:r>
        <w:rPr>
          <w:rFonts w:ascii="宋体" w:hAnsi="宋体" w:cs="宋体" w:hint="eastAsia"/>
          <w:u w:val="single"/>
        </w:rPr>
        <w:t xml:space="preserve">                                                                     </w:t>
      </w:r>
    </w:p>
    <w:p>
      <w:pPr>
        <w:pStyle w:val="Quote"/>
        <w:spacing w:line="300" w:lineRule="exact"/>
        <w:rPr>
          <w:i w:val="0"/>
          <w:iCs w:val="0"/>
          <w:u w:val="single"/>
        </w:rPr>
      </w:pPr>
      <w:r>
        <w:rPr>
          <w:rFonts w:hint="eastAsia"/>
          <w:i w:val="0"/>
          <w:iCs w:val="0"/>
          <w:u w:val="single"/>
        </w:rPr>
        <w:t xml:space="preserve">                                                                            </w:t>
      </w:r>
    </w:p>
    <w:p>
      <w:pPr>
        <w:pStyle w:val="Quote"/>
        <w:spacing w:line="300" w:lineRule="exact"/>
        <w:rPr>
          <w:i w:val="0"/>
          <w:iCs w:val="0"/>
          <w:u w:val="single"/>
        </w:rPr>
      </w:pPr>
      <w:r>
        <w:rPr>
          <w:rFonts w:hint="eastAsia"/>
          <w:i w:val="0"/>
          <w:iCs w:val="0"/>
          <w:u w:val="single"/>
        </w:rPr>
        <w:t xml:space="preserve">                                                                            </w:t>
      </w:r>
    </w:p>
    <w:p/>
    <w:p>
      <w:pPr>
        <w:widowControl/>
        <w:wordWrap w:val="0"/>
        <w:spacing w:line="300" w:lineRule="exact"/>
        <w:ind w:firstLine="420" w:firstLineChars="200"/>
        <w:jc w:val="center"/>
        <w:rPr>
          <w:rFonts w:ascii="宋体" w:hAnsi="宋体" w:cs="宋体"/>
          <w:color w:val="000000"/>
          <w:kern w:val="0"/>
          <w:szCs w:val="21"/>
        </w:rPr>
      </w:pPr>
    </w:p>
    <w:p>
      <w:pPr>
        <w:widowControl/>
        <w:wordWrap w:val="0"/>
        <w:spacing w:line="300" w:lineRule="exact"/>
        <w:ind w:firstLine="420" w:firstLineChars="200"/>
        <w:jc w:val="center"/>
        <w:rPr>
          <w:rFonts w:ascii="宋体" w:hAnsi="宋体" w:cs="宋体"/>
          <w:color w:val="000000"/>
          <w:kern w:val="0"/>
          <w:szCs w:val="21"/>
        </w:rPr>
      </w:pPr>
    </w:p>
    <w:p>
      <w:pPr>
        <w:widowControl/>
        <w:wordWrap w:val="0"/>
        <w:spacing w:line="300" w:lineRule="exact"/>
        <w:ind w:firstLine="420" w:firstLineChars="200"/>
        <w:jc w:val="center"/>
        <w:rPr>
          <w:rFonts w:ascii="宋体" w:hAnsi="宋体" w:cs="宋体"/>
          <w:szCs w:val="21"/>
        </w:rPr>
      </w:pPr>
      <w:r>
        <w:rPr>
          <w:rFonts w:ascii="宋体" w:hAnsi="宋体" w:cs="宋体" w:hint="eastAsia"/>
          <w:color w:val="000000"/>
          <w:kern w:val="0"/>
          <w:szCs w:val="21"/>
        </w:rPr>
        <w:t xml:space="preserve">                    负责人/投标授权代表签名：</w:t>
      </w:r>
    </w:p>
    <w:p>
      <w:pPr>
        <w:widowControl/>
        <w:spacing w:line="300" w:lineRule="exact"/>
        <w:ind w:firstLine="420" w:firstLineChars="200"/>
        <w:jc w:val="center"/>
        <w:rPr>
          <w:rFonts w:ascii="宋体" w:hAnsi="宋体" w:cs="宋体"/>
          <w:szCs w:val="21"/>
        </w:rPr>
      </w:pPr>
      <w:r>
        <w:rPr>
          <w:rFonts w:ascii="宋体" w:hAnsi="宋体" w:cs="宋体" w:hint="eastAsia"/>
          <w:color w:val="000000"/>
          <w:kern w:val="0"/>
          <w:szCs w:val="21"/>
        </w:rPr>
        <w:t xml:space="preserve">           知悉人（公章）：</w:t>
      </w:r>
    </w:p>
    <w:p>
      <w:pPr>
        <w:widowControl/>
        <w:spacing w:line="240" w:lineRule="exact"/>
        <w:ind w:firstLine="420" w:firstLineChars="200"/>
        <w:jc w:val="center"/>
        <w:rPr>
          <w:rFonts w:ascii="宋体" w:hAnsi="宋体" w:cs="宋体"/>
          <w:szCs w:val="21"/>
        </w:rPr>
      </w:pPr>
      <w:r>
        <w:rPr>
          <w:rFonts w:ascii="宋体" w:hAnsi="宋体" w:cs="宋体" w:hint="eastAsia"/>
          <w:color w:val="000000"/>
          <w:kern w:val="0"/>
          <w:szCs w:val="21"/>
        </w:rPr>
        <w:t xml:space="preserve"> 日期：   </w:t>
      </w:r>
    </w:p>
    <w:p>
      <w:pPr>
        <w:widowControl/>
        <w:jc w:val="left"/>
        <w:rPr>
          <w:rFonts w:ascii="宋体" w:hAnsi="宋体" w:cs="宋体"/>
          <w:b/>
          <w:bCs/>
          <w:szCs w:val="21"/>
        </w:rPr>
      </w:pPr>
    </w:p>
    <w:p>
      <w:pPr>
        <w:widowControl/>
        <w:ind w:firstLine="420" w:firstLineChars="200"/>
        <w:jc w:val="left"/>
      </w:pPr>
      <w:r>
        <w:rPr>
          <w:b/>
          <w:bCs/>
          <w:highlight w:val="yellow"/>
        </w:rPr>
        <w:t>各投</w:t>
      </w:r>
      <w:r>
        <w:rPr>
          <w:rFonts w:hint="eastAsia"/>
          <w:b/>
          <w:bCs/>
          <w:highlight w:val="yellow"/>
        </w:rPr>
        <w:t>标供应商负责人或投标授权代表签字并加盖单位公章后，扫描上传至投标文件一并提交。</w:t>
      </w:r>
      <w:r>
        <w:rPr>
          <w:rFonts w:hint="eastAsia"/>
        </w:rPr>
        <w:t>（风险知悉确认书用于对供应商违法行为的警示，不作为供应商资格性审查及符合性审查条件）</w:t>
      </w:r>
    </w:p>
    <w:p>
      <w:pPr>
        <w:pStyle w:val="Heading2"/>
        <w:rPr>
          <w:rFonts w:ascii="黑体" w:eastAsia="黑体"/>
          <w:b w:val="0"/>
        </w:rPr>
      </w:pPr>
      <w:r>
        <w:rPr>
          <w:rFonts w:ascii="黑体" w:eastAsia="黑体" w:hint="eastAsia"/>
          <w:b w:val="0"/>
        </w:rPr>
        <w:t>（二）</w:t>
      </w:r>
      <w:r>
        <w:rPr>
          <w:rFonts w:ascii="黑体" w:eastAsia="黑体" w:hint="eastAsia"/>
          <w:b w:val="0"/>
          <w:bCs w:val="0"/>
        </w:rPr>
        <w:t>投标人认为需要加以说明的其他内容</w:t>
      </w:r>
    </w:p>
    <w:p>
      <w:pPr>
        <w:pStyle w:val="Heading4"/>
      </w:pPr>
    </w:p>
    <w:p>
      <w:pPr>
        <w:pStyle w:val="Heading2"/>
        <w:rPr>
          <w:rFonts w:ascii="黑体" w:eastAsia="黑体"/>
          <w:b w:val="0"/>
          <w:bCs w:val="0"/>
        </w:rPr>
      </w:pPr>
      <w:r>
        <w:rPr>
          <w:rFonts w:ascii="黑体" w:eastAsia="黑体" w:hint="eastAsia"/>
          <w:b w:val="0"/>
          <w:bCs w:val="0"/>
          <w:lang w:val="en-US" w:eastAsia="zh-CN"/>
        </w:rPr>
        <w:t>十二</w:t>
      </w:r>
      <w:r>
        <w:rPr>
          <w:rFonts w:ascii="黑体" w:eastAsia="黑体" w:hint="eastAsia"/>
          <w:b w:val="0"/>
          <w:bCs w:val="0"/>
        </w:rPr>
        <w:t>、投标人认为需要加以说明的其他内容（非公开）</w:t>
      </w:r>
    </w:p>
    <w:p/>
    <w:p>
      <w:pPr>
        <w:rPr>
          <w:b/>
          <w:bCs/>
          <w:sz w:val="24"/>
        </w:rPr>
      </w:pPr>
    </w:p>
    <w:p>
      <w:r>
        <w:rPr>
          <w:rFonts w:ascii="黑体" w:eastAsia="黑体" w:hAnsi="宋体"/>
          <w:bCs/>
          <w:kern w:val="0"/>
          <w:sz w:val="24"/>
        </w:rPr>
        <w:br w:type="page"/>
      </w:r>
    </w:p>
    <w:p>
      <w:pPr>
        <w:pStyle w:val="Heading2"/>
      </w:pPr>
      <w:r>
        <w:rPr>
          <w:rFonts w:hint="eastAsia"/>
        </w:rPr>
        <w:t>第五章  合同条款及格式</w:t>
      </w:r>
    </w:p>
    <w:p>
      <w:pPr>
        <w:ind w:firstLine="412" w:firstLineChars="196"/>
      </w:pPr>
    </w:p>
    <w:p>
      <w:pPr>
        <w:jc w:val="center"/>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根据深圳公共资源交易中心（深圳交易集团有限公司坪山分公司）*</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咨询服务资料归属</w:t>
      </w:r>
    </w:p>
    <w:p>
      <w:pPr>
        <w:ind w:firstLine="420" w:firstLineChars="200"/>
      </w:pPr>
      <w:r>
        <w:t>1</w:t>
      </w:r>
      <w:r>
        <w:rPr>
          <w:rFonts w:hint="eastAsia"/>
        </w:rPr>
        <w:t>、</w:t>
      </w:r>
      <w:r>
        <w:t>所有提交给</w:t>
      </w:r>
      <w:r>
        <w:rPr>
          <w:rFonts w:hint="eastAsia"/>
        </w:rPr>
        <w:t>甲</w:t>
      </w:r>
      <w:r>
        <w:t>方的咨询服务</w:t>
      </w:r>
      <w:r>
        <w:rPr>
          <w:rFonts w:hint="eastAsia"/>
        </w:rPr>
        <w:t>文件</w:t>
      </w:r>
      <w:r>
        <w:t>及相关的资料的最后文本，包括为履行技术咨询服务范围所编制的图纸、计划和证明资料等，都属于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方的书面同意，不得将上述资料用于与本咨询服务项目之外的任何项目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1、负责与本咨询服务项目有关的第三方的协调，提供开展咨询服务工作的外部条件。</w:t>
      </w:r>
    </w:p>
    <w:p>
      <w:pPr>
        <w:ind w:firstLine="420" w:firstLineChars="200"/>
        <w:rPr>
          <w:rFonts w:ascii="宋体" w:hAnsi="宋体"/>
          <w:szCs w:val="21"/>
        </w:rPr>
      </w:pPr>
      <w:r>
        <w:rPr>
          <w:rFonts w:ascii="宋体" w:hAnsi="宋体" w:hint="eastAsia"/>
          <w:szCs w:val="21"/>
        </w:rPr>
        <w:t>2、向乙方提供与本项目咨询服务工作有关的资料。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第七条　乙方的义务</w:t>
      </w:r>
    </w:p>
    <w:p>
      <w:pPr>
        <w:ind w:firstLine="420" w:firstLineChars="200"/>
        <w:rPr>
          <w:rFonts w:ascii="宋体" w:hAnsi="宋体"/>
          <w:szCs w:val="21"/>
        </w:rPr>
      </w:pPr>
      <w:r>
        <w:rPr>
          <w:rFonts w:ascii="宋体" w:hAnsi="宋体" w:hint="eastAsia"/>
          <w:szCs w:val="21"/>
        </w:rPr>
        <w:t>１、应按照招标文件、投标文件要求按期完成本项目咨询服务工作。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第八条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第九条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、乙方在本项目服务过程中，有权对第三方提出与本咨询服务业务有关的问题进行核对或查问。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第十条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第十一条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第十二条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第十三条  乙方咨询服务工具要求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第十四条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第十五条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第十六条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第十七条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第十八条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第十九条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第二十条  其他</w:t>
      </w:r>
    </w:p>
    <w:p>
      <w:pPr>
        <w:ind w:firstLine="420" w:firstLineChars="200"/>
        <w:rPr>
          <w:rFonts w:ascii="宋体" w:hAnsi="宋体"/>
          <w:szCs w:val="21"/>
        </w:rPr>
      </w:pPr>
      <w:r>
        <w:rPr>
          <w:rFonts w:ascii="宋体" w:hAnsi="宋体" w:hint="eastAsia"/>
          <w:szCs w:val="21"/>
        </w:rPr>
        <w:t>1、本合同与招标文件、乙方投标文件如有抵触之处，以本合同条款为准。</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spacing w:line="360" w:lineRule="auto"/>
        <w:jc w:val="center"/>
        <w:outlineLvl w:val="1"/>
        <w:rPr>
          <w:kern w:val="0"/>
          <w:sz w:val="24"/>
          <w:szCs w:val="20"/>
        </w:rPr>
      </w:pPr>
      <w:r>
        <w:rPr>
          <w:rFonts w:ascii="宋体" w:hAnsi="宋体" w:hint="eastAsia"/>
          <w:b/>
          <w:bCs/>
          <w:kern w:val="0"/>
          <w:sz w:val="24"/>
          <w:szCs w:val="20"/>
        </w:rPr>
        <w:t>第六章  政府采购履约异常情况反馈表</w:t>
      </w:r>
    </w:p>
    <w:p>
      <w:pPr>
        <w:spacing w:line="240" w:lineRule="atLeast"/>
        <w:rPr>
          <w:rFonts w:ascii="宋体" w:hAnsi="宋体"/>
          <w:b/>
          <w:szCs w:val="21"/>
        </w:rPr>
      </w:pPr>
    </w:p>
    <w:p>
      <w:pPr>
        <w:spacing w:line="240" w:lineRule="atLeast"/>
        <w:rPr>
          <w:rFonts w:ascii="宋体" w:hAnsi="宋体"/>
          <w:b/>
          <w:szCs w:val="21"/>
        </w:rPr>
      </w:pPr>
      <w:r>
        <w:rPr>
          <w:rFonts w:ascii="宋体" w:hAnsi="宋体" w:hint="eastAsia"/>
          <w:b/>
          <w:szCs w:val="21"/>
        </w:rPr>
        <w:t>采购人名称：                       联系人及电话：</w:t>
      </w:r>
    </w:p>
    <w:p>
      <w:pPr>
        <w:spacing w:line="60" w:lineRule="exact"/>
        <w:rPr>
          <w:rFonts w:ascii="宋体" w:hAnsi="宋体"/>
          <w:b/>
          <w:szCs w:val="21"/>
        </w:rPr>
      </w:pPr>
    </w:p>
    <w:tbl>
      <w:tblPr>
        <w:tblStyle w:val="TableNormal"/>
        <w:tblW w:w="8526" w:type="dxa"/>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CellMar>
          <w:top w:w="0" w:type="dxa"/>
          <w:left w:w="108" w:type="dxa"/>
          <w:bottom w:w="0" w:type="dxa"/>
          <w:right w:w="108" w:type="dxa"/>
        </w:tblCellMar>
      </w:tblPr>
      <w:tblGrid>
        <w:gridCol w:w="865"/>
        <w:gridCol w:w="807"/>
        <w:gridCol w:w="955"/>
        <w:gridCol w:w="1922"/>
        <w:gridCol w:w="1758"/>
        <w:gridCol w:w="2219"/>
      </w:tblGrid>
      <w:tr>
        <w:tblPrEx>
          <w:tblW w:w="8526" w:type="dxa"/>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CellMar>
            <w:top w:w="0" w:type="dxa"/>
            <w:left w:w="108" w:type="dxa"/>
            <w:bottom w:w="0" w:type="dxa"/>
            <w:right w:w="108" w:type="dxa"/>
          </w:tblCellMar>
        </w:tblPrEx>
        <w:trPr>
          <w:trHeight w:val="450"/>
          <w:jc w:val="center"/>
        </w:trPr>
        <w:tc>
          <w:tcPr>
            <w:tcW w:w="2627" w:type="dxa"/>
            <w:gridSpan w:val="3"/>
            <w:vAlign w:val="center"/>
          </w:tcPr>
          <w:p>
            <w:pPr>
              <w:spacing w:line="240" w:lineRule="atLeast"/>
              <w:jc w:val="center"/>
              <w:rPr>
                <w:rFonts w:ascii="宋体" w:hAnsi="宋体"/>
                <w:szCs w:val="21"/>
              </w:rPr>
            </w:pPr>
            <w:r>
              <w:rPr>
                <w:rFonts w:ascii="宋体" w:hAnsi="宋体" w:hint="eastAsia"/>
                <w:szCs w:val="21"/>
              </w:rPr>
              <w:t>采购项目名称</w:t>
            </w:r>
          </w:p>
        </w:tc>
        <w:tc>
          <w:tcPr>
            <w:tcW w:w="1922" w:type="dxa"/>
            <w:vAlign w:val="center"/>
          </w:tcPr>
          <w:p>
            <w:pPr>
              <w:spacing w:line="240" w:lineRule="atLeast"/>
              <w:jc w:val="center"/>
              <w:rPr>
                <w:rFonts w:ascii="宋体" w:hAnsi="宋体"/>
                <w:szCs w:val="21"/>
              </w:rPr>
            </w:pPr>
          </w:p>
        </w:tc>
        <w:tc>
          <w:tcPr>
            <w:tcW w:w="1758" w:type="dxa"/>
            <w:vAlign w:val="center"/>
          </w:tcPr>
          <w:p>
            <w:pPr>
              <w:spacing w:line="240" w:lineRule="atLeast"/>
              <w:jc w:val="center"/>
              <w:rPr>
                <w:rFonts w:ascii="宋体" w:hAnsi="宋体"/>
                <w:szCs w:val="21"/>
              </w:rPr>
            </w:pPr>
            <w:r>
              <w:rPr>
                <w:rFonts w:ascii="宋体" w:hAnsi="宋体" w:hint="eastAsia"/>
                <w:szCs w:val="21"/>
              </w:rPr>
              <w:t>项目编号</w:t>
            </w:r>
          </w:p>
        </w:tc>
        <w:tc>
          <w:tcPr>
            <w:tcW w:w="2219" w:type="dxa"/>
            <w:vAlign w:val="center"/>
          </w:tcPr>
          <w:p>
            <w:pPr>
              <w:spacing w:line="240" w:lineRule="atLeast"/>
              <w:jc w:val="center"/>
              <w:rPr>
                <w:rFonts w:ascii="宋体" w:hAnsi="宋体"/>
                <w:szCs w:val="21"/>
              </w:rPr>
            </w:pPr>
          </w:p>
        </w:tc>
      </w:tr>
      <w:tr>
        <w:tblPrEx>
          <w:tblW w:w="8526" w:type="dxa"/>
          <w:jc w:val="center"/>
          <w:tblLayout w:type="fixed"/>
          <w:tblCellMar>
            <w:top w:w="0" w:type="dxa"/>
            <w:left w:w="108" w:type="dxa"/>
            <w:bottom w:w="0" w:type="dxa"/>
            <w:right w:w="108" w:type="dxa"/>
          </w:tblCellMar>
        </w:tblPrEx>
        <w:trPr>
          <w:trHeight w:val="461"/>
          <w:jc w:val="center"/>
        </w:trPr>
        <w:tc>
          <w:tcPr>
            <w:tcW w:w="2627" w:type="dxa"/>
            <w:gridSpan w:val="3"/>
            <w:vAlign w:val="center"/>
          </w:tcPr>
          <w:p>
            <w:pPr>
              <w:spacing w:line="240" w:lineRule="atLeast"/>
              <w:jc w:val="center"/>
              <w:rPr>
                <w:rFonts w:ascii="宋体" w:hAnsi="宋体"/>
                <w:szCs w:val="21"/>
              </w:rPr>
            </w:pPr>
            <w:r>
              <w:rPr>
                <w:rFonts w:ascii="宋体" w:hAnsi="宋体" w:hint="eastAsia"/>
                <w:szCs w:val="21"/>
              </w:rPr>
              <w:t>中标供应商名称</w:t>
            </w:r>
          </w:p>
        </w:tc>
        <w:tc>
          <w:tcPr>
            <w:tcW w:w="1922" w:type="dxa"/>
            <w:vAlign w:val="center"/>
          </w:tcPr>
          <w:p>
            <w:pPr>
              <w:spacing w:line="240" w:lineRule="atLeast"/>
              <w:jc w:val="center"/>
              <w:rPr>
                <w:rFonts w:ascii="宋体" w:hAnsi="宋体"/>
                <w:szCs w:val="21"/>
              </w:rPr>
            </w:pPr>
          </w:p>
        </w:tc>
        <w:tc>
          <w:tcPr>
            <w:tcW w:w="1758" w:type="dxa"/>
            <w:vAlign w:val="center"/>
          </w:tcPr>
          <w:p>
            <w:pPr>
              <w:spacing w:line="240" w:lineRule="atLeast"/>
              <w:jc w:val="center"/>
              <w:rPr>
                <w:rFonts w:ascii="宋体" w:hAnsi="宋体"/>
                <w:szCs w:val="21"/>
              </w:rPr>
            </w:pPr>
            <w:r>
              <w:rPr>
                <w:rFonts w:ascii="宋体" w:hAnsi="宋体" w:hint="eastAsia"/>
                <w:szCs w:val="21"/>
              </w:rPr>
              <w:t>供应商</w:t>
            </w:r>
          </w:p>
          <w:p>
            <w:pPr>
              <w:spacing w:line="240" w:lineRule="atLeast"/>
              <w:jc w:val="center"/>
              <w:rPr>
                <w:rFonts w:ascii="宋体" w:hAnsi="宋体"/>
                <w:szCs w:val="21"/>
              </w:rPr>
            </w:pPr>
            <w:r>
              <w:rPr>
                <w:rFonts w:ascii="宋体" w:hAnsi="宋体" w:hint="eastAsia"/>
                <w:szCs w:val="21"/>
              </w:rPr>
              <w:t>联系人及电话</w:t>
            </w:r>
          </w:p>
        </w:tc>
        <w:tc>
          <w:tcPr>
            <w:tcW w:w="2219" w:type="dxa"/>
            <w:vAlign w:val="center"/>
          </w:tcPr>
          <w:p>
            <w:pPr>
              <w:spacing w:line="240" w:lineRule="atLeast"/>
              <w:jc w:val="center"/>
              <w:rPr>
                <w:rFonts w:ascii="宋体" w:hAnsi="宋体"/>
                <w:szCs w:val="21"/>
              </w:rPr>
            </w:pPr>
          </w:p>
        </w:tc>
      </w:tr>
      <w:tr>
        <w:tblPrEx>
          <w:tblW w:w="8526" w:type="dxa"/>
          <w:jc w:val="center"/>
          <w:tblLayout w:type="fixed"/>
          <w:tblCellMar>
            <w:top w:w="0" w:type="dxa"/>
            <w:left w:w="108" w:type="dxa"/>
            <w:bottom w:w="0" w:type="dxa"/>
            <w:right w:w="108" w:type="dxa"/>
          </w:tblCellMar>
        </w:tblPrEx>
        <w:trPr>
          <w:trHeight w:val="438"/>
          <w:jc w:val="center"/>
        </w:trPr>
        <w:tc>
          <w:tcPr>
            <w:tcW w:w="2627" w:type="dxa"/>
            <w:gridSpan w:val="3"/>
            <w:vAlign w:val="center"/>
          </w:tcPr>
          <w:p>
            <w:pPr>
              <w:spacing w:line="240" w:lineRule="atLeast"/>
              <w:jc w:val="center"/>
              <w:rPr>
                <w:rFonts w:ascii="宋体" w:hAnsi="宋体"/>
                <w:szCs w:val="21"/>
              </w:rPr>
            </w:pPr>
            <w:r>
              <w:rPr>
                <w:rFonts w:ascii="宋体" w:hAnsi="宋体" w:hint="eastAsia"/>
                <w:szCs w:val="21"/>
              </w:rPr>
              <w:t>中标金额</w:t>
            </w:r>
          </w:p>
        </w:tc>
        <w:tc>
          <w:tcPr>
            <w:tcW w:w="1922" w:type="dxa"/>
            <w:vAlign w:val="center"/>
          </w:tcPr>
          <w:p>
            <w:pPr>
              <w:spacing w:line="240" w:lineRule="atLeast"/>
              <w:jc w:val="center"/>
              <w:rPr>
                <w:rFonts w:ascii="宋体" w:hAnsi="宋体"/>
                <w:szCs w:val="21"/>
              </w:rPr>
            </w:pPr>
          </w:p>
        </w:tc>
        <w:tc>
          <w:tcPr>
            <w:tcW w:w="1758" w:type="dxa"/>
            <w:vAlign w:val="center"/>
          </w:tcPr>
          <w:p>
            <w:pPr>
              <w:spacing w:line="240" w:lineRule="atLeast"/>
              <w:jc w:val="center"/>
              <w:rPr>
                <w:rFonts w:ascii="宋体" w:hAnsi="宋体"/>
                <w:szCs w:val="21"/>
              </w:rPr>
            </w:pPr>
            <w:r>
              <w:rPr>
                <w:rFonts w:ascii="宋体" w:hAnsi="宋体" w:hint="eastAsia"/>
                <w:szCs w:val="21"/>
              </w:rPr>
              <w:t>合同履约时间</w:t>
            </w:r>
          </w:p>
        </w:tc>
        <w:tc>
          <w:tcPr>
            <w:tcW w:w="2219" w:type="dxa"/>
            <w:vAlign w:val="center"/>
          </w:tcPr>
          <w:p>
            <w:pPr>
              <w:spacing w:line="240" w:lineRule="atLeast"/>
              <w:rPr>
                <w:rFonts w:ascii="宋体" w:hAnsi="宋体"/>
                <w:szCs w:val="21"/>
              </w:rPr>
            </w:pPr>
            <w:r>
              <w:rPr>
                <w:rFonts w:ascii="宋体" w:hAnsi="宋体" w:hint="eastAsia"/>
                <w:szCs w:val="21"/>
              </w:rPr>
              <w:t>自       至</w:t>
            </w:r>
          </w:p>
        </w:tc>
      </w:tr>
      <w:tr>
        <w:tblPrEx>
          <w:tblW w:w="8526" w:type="dxa"/>
          <w:jc w:val="center"/>
          <w:tblLayout w:type="fixed"/>
          <w:tblCellMar>
            <w:top w:w="0" w:type="dxa"/>
            <w:left w:w="108" w:type="dxa"/>
            <w:bottom w:w="0" w:type="dxa"/>
            <w:right w:w="108" w:type="dxa"/>
          </w:tblCellMar>
        </w:tblPrEx>
        <w:trPr>
          <w:trHeight w:val="544"/>
          <w:jc w:val="center"/>
        </w:trPr>
        <w:tc>
          <w:tcPr>
            <w:tcW w:w="865" w:type="dxa"/>
            <w:vMerge w:val="restart"/>
            <w:vAlign w:val="center"/>
          </w:tcPr>
          <w:p>
            <w:pPr>
              <w:spacing w:line="240" w:lineRule="atLeast"/>
              <w:jc w:val="center"/>
              <w:rPr>
                <w:rFonts w:ascii="宋体" w:hAnsi="宋体"/>
                <w:b/>
                <w:szCs w:val="21"/>
              </w:rPr>
            </w:pPr>
            <w:r>
              <w:rPr>
                <w:rFonts w:ascii="宋体" w:hAnsi="宋体" w:hint="eastAsia"/>
                <w:b/>
                <w:szCs w:val="21"/>
              </w:rPr>
              <w:t>履约情况评价</w:t>
            </w:r>
          </w:p>
        </w:tc>
        <w:tc>
          <w:tcPr>
            <w:tcW w:w="1762" w:type="dxa"/>
            <w:gridSpan w:val="2"/>
            <w:tcBorders>
              <w:right w:val="single" w:sz="4" w:space="0" w:color="auto"/>
            </w:tcBorders>
            <w:vAlign w:val="center"/>
          </w:tcPr>
          <w:p>
            <w:pPr>
              <w:spacing w:line="240" w:lineRule="atLeast"/>
              <w:jc w:val="center"/>
              <w:rPr>
                <w:rFonts w:ascii="宋体" w:hAnsi="宋体"/>
                <w:szCs w:val="21"/>
              </w:rPr>
            </w:pPr>
            <w:r>
              <w:rPr>
                <w:rFonts w:ascii="宋体" w:hAnsi="宋体" w:hint="eastAsia"/>
                <w:szCs w:val="21"/>
              </w:rPr>
              <w:t>总体评价</w:t>
            </w:r>
          </w:p>
        </w:tc>
        <w:tc>
          <w:tcPr>
            <w:tcW w:w="5899" w:type="dxa"/>
            <w:gridSpan w:val="3"/>
            <w:tcBorders>
              <w:left w:val="single" w:sz="4" w:space="0" w:color="auto"/>
            </w:tcBorders>
            <w:vAlign w:val="center"/>
          </w:tcPr>
          <w:p>
            <w:pPr>
              <w:spacing w:line="240" w:lineRule="atLeast"/>
              <w:ind w:firstLine="105" w:firstLineChars="50"/>
              <w:jc w:val="center"/>
              <w:rPr>
                <w:rFonts w:ascii="宋体" w:hAnsi="宋体"/>
                <w:szCs w:val="21"/>
              </w:rPr>
            </w:pPr>
            <w:r>
              <w:rPr>
                <w:rFonts w:ascii="宋体" w:hAnsi="宋体" w:hint="eastAsia"/>
                <w:szCs w:val="21"/>
              </w:rPr>
              <w:t>□ 优          □ 良          □ 中           □ 差</w:t>
            </w:r>
          </w:p>
        </w:tc>
      </w:tr>
      <w:tr>
        <w:tblPrEx>
          <w:tblW w:w="8526" w:type="dxa"/>
          <w:jc w:val="center"/>
          <w:tblLayout w:type="fixed"/>
          <w:tblCellMar>
            <w:top w:w="0" w:type="dxa"/>
            <w:left w:w="108" w:type="dxa"/>
            <w:bottom w:w="0" w:type="dxa"/>
            <w:right w:w="108" w:type="dxa"/>
          </w:tblCellMar>
        </w:tblPrEx>
        <w:trPr>
          <w:trHeight w:val="458"/>
          <w:jc w:val="center"/>
        </w:trPr>
        <w:tc>
          <w:tcPr>
            <w:tcW w:w="865" w:type="dxa"/>
            <w:vMerge/>
            <w:vAlign w:val="center"/>
          </w:tcPr>
          <w:p>
            <w:pPr>
              <w:spacing w:line="240" w:lineRule="atLeast"/>
              <w:jc w:val="center"/>
              <w:rPr>
                <w:rFonts w:ascii="宋体" w:hAnsi="宋体"/>
                <w:szCs w:val="21"/>
              </w:rPr>
            </w:pPr>
          </w:p>
        </w:tc>
        <w:tc>
          <w:tcPr>
            <w:tcW w:w="807" w:type="dxa"/>
            <w:vMerge w:val="restart"/>
            <w:tcBorders>
              <w:right w:val="single" w:sz="4" w:space="0" w:color="auto"/>
            </w:tcBorders>
            <w:vAlign w:val="center"/>
          </w:tcPr>
          <w:p>
            <w:pPr>
              <w:spacing w:line="240" w:lineRule="atLeast"/>
              <w:jc w:val="center"/>
              <w:rPr>
                <w:rFonts w:ascii="宋体" w:hAnsi="宋体"/>
                <w:szCs w:val="21"/>
              </w:rPr>
            </w:pPr>
            <w:r>
              <w:rPr>
                <w:rFonts w:ascii="宋体" w:hAnsi="宋体" w:hint="eastAsia"/>
                <w:szCs w:val="21"/>
              </w:rPr>
              <w:t>分项评价</w:t>
            </w:r>
          </w:p>
        </w:tc>
        <w:tc>
          <w:tcPr>
            <w:tcW w:w="955" w:type="dxa"/>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质量方面</w:t>
            </w:r>
          </w:p>
        </w:tc>
        <w:tc>
          <w:tcPr>
            <w:tcW w:w="5899" w:type="dxa"/>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8526" w:type="dxa"/>
          <w:jc w:val="center"/>
          <w:tblLayout w:type="fixed"/>
          <w:tblCellMar>
            <w:top w:w="0" w:type="dxa"/>
            <w:left w:w="108" w:type="dxa"/>
            <w:bottom w:w="0" w:type="dxa"/>
            <w:right w:w="108" w:type="dxa"/>
          </w:tblCellMar>
        </w:tblPrEx>
        <w:trPr>
          <w:trHeight w:val="458"/>
          <w:jc w:val="center"/>
        </w:trPr>
        <w:tc>
          <w:tcPr>
            <w:tcW w:w="865" w:type="dxa"/>
            <w:vMerge/>
            <w:vAlign w:val="center"/>
          </w:tcPr>
          <w:p>
            <w:pPr>
              <w:spacing w:line="240" w:lineRule="atLeast"/>
              <w:jc w:val="center"/>
              <w:rPr>
                <w:rFonts w:ascii="宋体" w:hAnsi="宋体"/>
                <w:szCs w:val="21"/>
              </w:rPr>
            </w:pPr>
          </w:p>
        </w:tc>
        <w:tc>
          <w:tcPr>
            <w:tcW w:w="807" w:type="dxa"/>
            <w:vMerge/>
            <w:tcBorders>
              <w:right w:val="single" w:sz="4" w:space="0" w:color="auto"/>
            </w:tcBorders>
            <w:vAlign w:val="center"/>
          </w:tcPr>
          <w:p>
            <w:pPr>
              <w:spacing w:line="240" w:lineRule="atLeast"/>
              <w:jc w:val="center"/>
              <w:rPr>
                <w:rFonts w:ascii="宋体" w:hAnsi="宋体"/>
                <w:szCs w:val="21"/>
              </w:rPr>
            </w:pPr>
          </w:p>
        </w:tc>
        <w:tc>
          <w:tcPr>
            <w:tcW w:w="955" w:type="dxa"/>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价格方面</w:t>
            </w:r>
          </w:p>
        </w:tc>
        <w:tc>
          <w:tcPr>
            <w:tcW w:w="5899" w:type="dxa"/>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8526" w:type="dxa"/>
          <w:jc w:val="center"/>
          <w:tblLayout w:type="fixed"/>
          <w:tblCellMar>
            <w:top w:w="0" w:type="dxa"/>
            <w:left w:w="108" w:type="dxa"/>
            <w:bottom w:w="0" w:type="dxa"/>
            <w:right w:w="108" w:type="dxa"/>
          </w:tblCellMar>
        </w:tblPrEx>
        <w:trPr>
          <w:trHeight w:val="458"/>
          <w:jc w:val="center"/>
        </w:trPr>
        <w:tc>
          <w:tcPr>
            <w:tcW w:w="865" w:type="dxa"/>
            <w:vMerge/>
            <w:vAlign w:val="center"/>
          </w:tcPr>
          <w:p>
            <w:pPr>
              <w:spacing w:line="240" w:lineRule="atLeast"/>
              <w:jc w:val="center"/>
              <w:rPr>
                <w:rFonts w:ascii="宋体" w:hAnsi="宋体"/>
                <w:szCs w:val="21"/>
              </w:rPr>
            </w:pPr>
          </w:p>
        </w:tc>
        <w:tc>
          <w:tcPr>
            <w:tcW w:w="807" w:type="dxa"/>
            <w:vMerge/>
            <w:tcBorders>
              <w:right w:val="single" w:sz="4" w:space="0" w:color="auto"/>
            </w:tcBorders>
            <w:vAlign w:val="center"/>
          </w:tcPr>
          <w:p>
            <w:pPr>
              <w:spacing w:line="240" w:lineRule="atLeast"/>
              <w:jc w:val="center"/>
              <w:rPr>
                <w:rFonts w:ascii="宋体" w:hAnsi="宋体"/>
                <w:szCs w:val="21"/>
              </w:rPr>
            </w:pPr>
          </w:p>
        </w:tc>
        <w:tc>
          <w:tcPr>
            <w:tcW w:w="955" w:type="dxa"/>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服务方面</w:t>
            </w:r>
          </w:p>
        </w:tc>
        <w:tc>
          <w:tcPr>
            <w:tcW w:w="5899" w:type="dxa"/>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8526" w:type="dxa"/>
          <w:jc w:val="center"/>
          <w:tblLayout w:type="fixed"/>
          <w:tblCellMar>
            <w:top w:w="0" w:type="dxa"/>
            <w:left w:w="108" w:type="dxa"/>
            <w:bottom w:w="0" w:type="dxa"/>
            <w:right w:w="108" w:type="dxa"/>
          </w:tblCellMar>
        </w:tblPrEx>
        <w:trPr>
          <w:trHeight w:val="458"/>
          <w:jc w:val="center"/>
        </w:trPr>
        <w:tc>
          <w:tcPr>
            <w:tcW w:w="865" w:type="dxa"/>
            <w:vMerge/>
            <w:vAlign w:val="center"/>
          </w:tcPr>
          <w:p>
            <w:pPr>
              <w:spacing w:line="240" w:lineRule="atLeast"/>
              <w:jc w:val="center"/>
              <w:rPr>
                <w:rFonts w:ascii="宋体" w:hAnsi="宋体"/>
                <w:szCs w:val="21"/>
              </w:rPr>
            </w:pPr>
          </w:p>
        </w:tc>
        <w:tc>
          <w:tcPr>
            <w:tcW w:w="807" w:type="dxa"/>
            <w:vMerge/>
            <w:tcBorders>
              <w:right w:val="single" w:sz="4" w:space="0" w:color="auto"/>
            </w:tcBorders>
            <w:vAlign w:val="center"/>
          </w:tcPr>
          <w:p>
            <w:pPr>
              <w:spacing w:line="240" w:lineRule="atLeast"/>
              <w:jc w:val="center"/>
              <w:rPr>
                <w:rFonts w:ascii="宋体" w:hAnsi="宋体"/>
                <w:szCs w:val="21"/>
              </w:rPr>
            </w:pPr>
          </w:p>
        </w:tc>
        <w:tc>
          <w:tcPr>
            <w:tcW w:w="955" w:type="dxa"/>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时间方面</w:t>
            </w:r>
          </w:p>
        </w:tc>
        <w:tc>
          <w:tcPr>
            <w:tcW w:w="5899" w:type="dxa"/>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8526" w:type="dxa"/>
          <w:jc w:val="center"/>
          <w:tblLayout w:type="fixed"/>
          <w:tblCellMar>
            <w:top w:w="0" w:type="dxa"/>
            <w:left w:w="108" w:type="dxa"/>
            <w:bottom w:w="0" w:type="dxa"/>
            <w:right w:w="108" w:type="dxa"/>
          </w:tblCellMar>
        </w:tblPrEx>
        <w:trPr>
          <w:trHeight w:val="458"/>
          <w:jc w:val="center"/>
        </w:trPr>
        <w:tc>
          <w:tcPr>
            <w:tcW w:w="865" w:type="dxa"/>
            <w:vMerge/>
            <w:vAlign w:val="center"/>
          </w:tcPr>
          <w:p>
            <w:pPr>
              <w:spacing w:line="240" w:lineRule="atLeast"/>
              <w:jc w:val="center"/>
              <w:rPr>
                <w:rFonts w:ascii="宋体" w:hAnsi="宋体"/>
                <w:szCs w:val="21"/>
              </w:rPr>
            </w:pPr>
          </w:p>
        </w:tc>
        <w:tc>
          <w:tcPr>
            <w:tcW w:w="807" w:type="dxa"/>
            <w:vMerge/>
            <w:tcBorders>
              <w:right w:val="single" w:sz="4" w:space="0" w:color="auto"/>
            </w:tcBorders>
            <w:vAlign w:val="center"/>
          </w:tcPr>
          <w:p>
            <w:pPr>
              <w:spacing w:line="240" w:lineRule="atLeast"/>
              <w:jc w:val="center"/>
              <w:rPr>
                <w:rFonts w:ascii="宋体" w:hAnsi="宋体"/>
                <w:szCs w:val="21"/>
              </w:rPr>
            </w:pPr>
          </w:p>
        </w:tc>
        <w:tc>
          <w:tcPr>
            <w:tcW w:w="955" w:type="dxa"/>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环境保护</w:t>
            </w:r>
          </w:p>
        </w:tc>
        <w:tc>
          <w:tcPr>
            <w:tcW w:w="5899" w:type="dxa"/>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8526" w:type="dxa"/>
          <w:jc w:val="center"/>
          <w:tblLayout w:type="fixed"/>
          <w:tblCellMar>
            <w:top w:w="0" w:type="dxa"/>
            <w:left w:w="108" w:type="dxa"/>
            <w:bottom w:w="0" w:type="dxa"/>
            <w:right w:w="108" w:type="dxa"/>
          </w:tblCellMar>
        </w:tblPrEx>
        <w:trPr>
          <w:trHeight w:val="458"/>
          <w:jc w:val="center"/>
        </w:trPr>
        <w:tc>
          <w:tcPr>
            <w:tcW w:w="865" w:type="dxa"/>
            <w:vMerge/>
            <w:vAlign w:val="center"/>
          </w:tcPr>
          <w:p>
            <w:pPr>
              <w:spacing w:line="240" w:lineRule="atLeast"/>
              <w:jc w:val="center"/>
              <w:rPr>
                <w:rFonts w:ascii="宋体" w:hAnsi="宋体"/>
                <w:szCs w:val="21"/>
              </w:rPr>
            </w:pPr>
          </w:p>
        </w:tc>
        <w:tc>
          <w:tcPr>
            <w:tcW w:w="807" w:type="dxa"/>
            <w:vMerge/>
            <w:tcBorders>
              <w:right w:val="single" w:sz="4" w:space="0" w:color="auto"/>
            </w:tcBorders>
            <w:vAlign w:val="center"/>
          </w:tcPr>
          <w:p>
            <w:pPr>
              <w:spacing w:line="240" w:lineRule="atLeast"/>
              <w:jc w:val="center"/>
              <w:rPr>
                <w:rFonts w:ascii="宋体" w:hAnsi="宋体"/>
                <w:szCs w:val="21"/>
              </w:rPr>
            </w:pPr>
          </w:p>
        </w:tc>
        <w:tc>
          <w:tcPr>
            <w:tcW w:w="955" w:type="dxa"/>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其他</w:t>
            </w:r>
          </w:p>
        </w:tc>
        <w:tc>
          <w:tcPr>
            <w:tcW w:w="5899" w:type="dxa"/>
            <w:gridSpan w:val="3"/>
            <w:tcBorders>
              <w:left w:val="single" w:sz="4" w:space="0" w:color="auto"/>
            </w:tcBorders>
            <w:vAlign w:val="center"/>
          </w:tcPr>
          <w:p>
            <w:pPr>
              <w:spacing w:before="120" w:beforeLines="50" w:after="120" w:afterLines="50" w:line="240" w:lineRule="atLeast"/>
              <w:rPr>
                <w:rFonts w:ascii="宋体" w:hAnsi="宋体"/>
                <w:szCs w:val="21"/>
                <w:u w:val="single"/>
              </w:rPr>
            </w:pPr>
            <w:r>
              <w:rPr>
                <w:rFonts w:ascii="宋体" w:hAnsi="宋体" w:hint="eastAsia"/>
                <w:szCs w:val="21"/>
              </w:rPr>
              <w:t>评价内容为：</w:t>
            </w:r>
            <w:r>
              <w:rPr>
                <w:rFonts w:ascii="宋体" w:hAnsi="宋体" w:hint="eastAsia"/>
                <w:szCs w:val="21"/>
                <w:u w:val="single"/>
              </w:rPr>
              <w:t xml:space="preserve">                    </w:t>
            </w:r>
          </w:p>
          <w:p>
            <w:pPr>
              <w:spacing w:before="120" w:beforeLines="50" w:after="120" w:afterLines="50" w:line="240" w:lineRule="atLeast"/>
              <w:rPr>
                <w:rFonts w:ascii="宋体" w:hAnsi="宋体"/>
                <w:szCs w:val="21"/>
              </w:rPr>
            </w:pPr>
            <w:r>
              <w:rPr>
                <w:rFonts w:ascii="宋体" w:hAnsi="宋体" w:hint="eastAsia"/>
                <w:szCs w:val="21"/>
              </w:rPr>
              <w:t>评价等级为：  □ 优       □ 良        □ 中         □ 差</w:t>
            </w:r>
          </w:p>
        </w:tc>
      </w:tr>
      <w:tr>
        <w:tblPrEx>
          <w:tblW w:w="8526" w:type="dxa"/>
          <w:jc w:val="center"/>
          <w:tblLayout w:type="fixed"/>
          <w:tblCellMar>
            <w:top w:w="0" w:type="dxa"/>
            <w:left w:w="108" w:type="dxa"/>
            <w:bottom w:w="0" w:type="dxa"/>
            <w:right w:w="108" w:type="dxa"/>
          </w:tblCellMar>
        </w:tblPrEx>
        <w:trPr>
          <w:trHeight w:val="2484"/>
          <w:jc w:val="center"/>
        </w:trPr>
        <w:tc>
          <w:tcPr>
            <w:tcW w:w="1672" w:type="dxa"/>
            <w:gridSpan w:val="2"/>
            <w:vAlign w:val="center"/>
          </w:tcPr>
          <w:p>
            <w:pPr>
              <w:spacing w:line="240" w:lineRule="atLeast"/>
              <w:jc w:val="center"/>
              <w:rPr>
                <w:rFonts w:ascii="宋体" w:hAnsi="宋体"/>
                <w:szCs w:val="21"/>
              </w:rPr>
            </w:pPr>
            <w:r>
              <w:rPr>
                <w:rFonts w:ascii="宋体" w:hAnsi="宋体" w:hint="eastAsia"/>
                <w:szCs w:val="21"/>
              </w:rPr>
              <w:t>具体情况说明</w:t>
            </w:r>
          </w:p>
        </w:tc>
        <w:tc>
          <w:tcPr>
            <w:tcW w:w="6854" w:type="dxa"/>
            <w:gridSpan w:val="4"/>
          </w:tcPr>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tc>
      </w:tr>
      <w:tr>
        <w:tblPrEx>
          <w:tblW w:w="8526" w:type="dxa"/>
          <w:jc w:val="center"/>
          <w:tblLayout w:type="fixed"/>
          <w:tblCellMar>
            <w:top w:w="0" w:type="dxa"/>
            <w:left w:w="108" w:type="dxa"/>
            <w:bottom w:w="0" w:type="dxa"/>
            <w:right w:w="108" w:type="dxa"/>
          </w:tblCellMar>
        </w:tblPrEx>
        <w:trPr>
          <w:trHeight w:val="2510"/>
          <w:jc w:val="center"/>
        </w:trPr>
        <w:tc>
          <w:tcPr>
            <w:tcW w:w="1672" w:type="dxa"/>
            <w:gridSpan w:val="2"/>
            <w:vAlign w:val="center"/>
          </w:tcPr>
          <w:p>
            <w:pPr>
              <w:spacing w:line="240" w:lineRule="atLeast"/>
              <w:jc w:val="center"/>
              <w:rPr>
                <w:rFonts w:ascii="宋体" w:hAnsi="宋体"/>
                <w:szCs w:val="21"/>
              </w:rPr>
            </w:pPr>
            <w:r>
              <w:rPr>
                <w:rFonts w:ascii="宋体" w:hAnsi="宋体" w:hint="eastAsia"/>
                <w:szCs w:val="21"/>
              </w:rPr>
              <w:t>采购人意见</w:t>
            </w:r>
          </w:p>
          <w:p>
            <w:pPr>
              <w:spacing w:line="240" w:lineRule="atLeast"/>
              <w:jc w:val="center"/>
              <w:rPr>
                <w:rFonts w:ascii="宋体" w:hAnsi="宋体"/>
                <w:szCs w:val="21"/>
              </w:rPr>
            </w:pPr>
            <w:r>
              <w:rPr>
                <w:rFonts w:ascii="宋体" w:hAnsi="宋体" w:hint="eastAsia"/>
                <w:szCs w:val="21"/>
              </w:rPr>
              <w:t>（公章）</w:t>
            </w:r>
          </w:p>
        </w:tc>
        <w:tc>
          <w:tcPr>
            <w:tcW w:w="6854" w:type="dxa"/>
            <w:gridSpan w:val="4"/>
            <w:vAlign w:val="center"/>
          </w:tcPr>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r>
              <w:rPr>
                <w:rFonts w:ascii="宋体" w:hAnsi="宋体" w:hint="eastAsia"/>
                <w:szCs w:val="21"/>
              </w:rPr>
              <w:t xml:space="preserve">                                        </w:t>
            </w:r>
          </w:p>
          <w:p>
            <w:pPr>
              <w:spacing w:line="240" w:lineRule="atLeast"/>
              <w:ind w:firstLine="3780" w:firstLineChars="1800"/>
              <w:rPr>
                <w:rFonts w:ascii="宋体" w:hAnsi="宋体"/>
                <w:szCs w:val="21"/>
              </w:rPr>
            </w:pPr>
          </w:p>
          <w:p>
            <w:pPr>
              <w:spacing w:line="240" w:lineRule="atLeast"/>
              <w:ind w:firstLine="3780" w:firstLineChars="1800"/>
              <w:rPr>
                <w:rFonts w:ascii="宋体" w:hAnsi="宋体"/>
                <w:szCs w:val="21"/>
              </w:rPr>
            </w:pPr>
            <w:r>
              <w:rPr>
                <w:rFonts w:ascii="宋体" w:hAnsi="宋体" w:hint="eastAsia"/>
                <w:szCs w:val="21"/>
              </w:rPr>
              <w:t>日期：   年   月   日</w:t>
            </w:r>
          </w:p>
        </w:tc>
      </w:tr>
    </w:tbl>
    <w:p>
      <w:pPr>
        <w:spacing w:line="240" w:lineRule="atLeast"/>
        <w:rPr>
          <w:rFonts w:ascii="宋体" w:hAnsi="宋体"/>
          <w:szCs w:val="21"/>
        </w:rPr>
      </w:pPr>
      <w:r>
        <w:rPr>
          <w:rFonts w:ascii="宋体" w:hAnsi="宋体" w:hint="eastAsia"/>
          <w:szCs w:val="21"/>
        </w:rPr>
        <w:t>说明：</w:t>
      </w:r>
    </w:p>
    <w:p>
      <w:pPr>
        <w:spacing w:line="240" w:lineRule="atLeast"/>
        <w:rPr>
          <w:rFonts w:ascii="宋体" w:hAnsi="宋体"/>
          <w:szCs w:val="21"/>
        </w:rPr>
      </w:pPr>
      <w:r>
        <w:rPr>
          <w:rFonts w:ascii="宋体" w:hAnsi="宋体" w:hint="eastAsia"/>
          <w:szCs w:val="21"/>
        </w:rPr>
        <w:t>1、本表为采购人向深圳公共资源交易中心（深圳交易集团有限公司坪山分公司）反映政府采购项目履约情况时所用；</w:t>
      </w:r>
    </w:p>
    <w:p>
      <w:pPr>
        <w:spacing w:line="240" w:lineRule="atLeast"/>
      </w:pPr>
      <w:r>
        <w:rPr>
          <w:rFonts w:ascii="宋体" w:hAnsi="宋体" w:hint="eastAsia"/>
          <w:szCs w:val="21"/>
        </w:rPr>
        <w:t>2、履约情况评价分为优、良、中、差四个等级，请在对应的框前打“√”，然后在“具体情况说明”一栏详细说明有关情况。</w:t>
      </w:r>
    </w:p>
    <w:p>
      <w:pPr>
        <w:widowControl/>
        <w:jc w:val="left"/>
        <w:rPr>
          <w:rFonts w:ascii="宋体" w:hAnsi="宋体"/>
          <w:szCs w:val="21"/>
        </w:rPr>
      </w:pPr>
      <w:r>
        <w:rPr>
          <w:rFonts w:ascii="宋体" w:hAnsi="宋体"/>
          <w:szCs w:val="21"/>
        </w:rPr>
        <w:br w:type="page"/>
      </w:r>
    </w:p>
    <w:p>
      <w:pPr>
        <w:pStyle w:val="Heading1"/>
        <w:rPr>
          <w:szCs w:val="28"/>
        </w:rPr>
      </w:pPr>
      <w:r>
        <w:rPr>
          <w:rFonts w:hint="eastAsia"/>
          <w:szCs w:val="28"/>
        </w:rPr>
        <w:t>第二册  通用条款（公开招标）</w:t>
      </w:r>
    </w:p>
    <w:p>
      <w:pPr>
        <w:pStyle w:val="Heading2"/>
        <w:numPr>
          <w:ilvl w:val="0"/>
          <w:numId w:val="11"/>
        </w:numPr>
        <w:spacing w:before="120" w:beforeLines="50" w:after="120" w:afterLines="50"/>
        <w:ind w:left="562" w:hanging="562"/>
        <w:rPr>
          <w:sz w:val="28"/>
          <w:szCs w:val="28"/>
        </w:rPr>
      </w:pPr>
      <w:bookmarkStart w:id="49" w:name="_Hlk72399513"/>
      <w:r>
        <w:rPr>
          <w:rFonts w:hint="eastAsia"/>
          <w:sz w:val="28"/>
          <w:szCs w:val="28"/>
        </w:rPr>
        <w:t>总则</w:t>
      </w:r>
    </w:p>
    <w:p>
      <w:pPr>
        <w:rPr>
          <w:rFonts w:ascii="黑体" w:eastAsia="黑体" w:hAnsi="宋体"/>
          <w:sz w:val="24"/>
        </w:rPr>
      </w:pPr>
      <w:bookmarkEnd w:id="49"/>
      <w:r>
        <w:rPr>
          <w:rFonts w:ascii="黑体" w:eastAsia="黑体" w:hAnsi="宋体" w:hint="eastAsia"/>
          <w:sz w:val="24"/>
        </w:rPr>
        <w:t>1.通用条款说明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50" w:name="_Hlk72399729"/>
      <w:r>
        <w:rPr>
          <w:rFonts w:ascii="宋体" w:hAnsi="宋体" w:hint="eastAsia"/>
          <w:szCs w:val="21"/>
        </w:rPr>
        <w:t>如有需要，政府集中采购机构可以对通用条款的内容进行补充。</w:t>
      </w:r>
      <w:bookmarkEnd w:id="50"/>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通用条款涉及电子投标相关操作事项，以深圳政府采购网（http://zfcg.szggzy.com:8081/）发布的最新系统操作说明为准。项目相关信息均以深圳政府采购网（http://zfcg.szggzy.com:8081/）发布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3.7“电子投标文件”指利用深圳政府采购智慧平台投标文件制作专用软件编辑投标文件，</w:t>
      </w:r>
      <w:r>
        <w:rPr>
          <w:rFonts w:ascii="宋体" w:hAnsi="宋体" w:hint="eastAsia"/>
        </w:rPr>
        <w:t>并对</w:t>
      </w:r>
      <w:r>
        <w:rPr>
          <w:rFonts w:ascii="宋体" w:hAnsi="宋体" w:hint="eastAsia"/>
          <w:szCs w:val="21"/>
        </w:rPr>
        <w:t>投标文件加密,适用于网上投标；（投标文件制作软件可从</w:t>
      </w:r>
      <w:r>
        <w:rPr>
          <w:rFonts w:hint="eastAsia"/>
        </w:rPr>
        <w:t>“</w:t>
      </w:r>
      <w:r>
        <w:rPr>
          <w:rFonts w:ascii="宋体" w:hAnsi="宋体" w:hint="eastAsia"/>
        </w:rPr>
        <w:t>下载地址：</w:t>
      </w:r>
      <w:r>
        <w:rPr>
          <w:rFonts w:hint="eastAsia"/>
        </w:rPr>
        <w:t>http://zfcg.szggzy.com:8081/TPBidder/memberLogin中工具下载-</w:t>
      </w:r>
      <w:r>
        <w:rPr>
          <w:rFonts w:ascii="宋体" w:hAnsi="宋体" w:hint="eastAsia"/>
        </w:rPr>
        <w:t>深圳市智慧采购平台投标文件制作专用软件.zip</w:t>
      </w:r>
      <w:r>
        <w:rPr>
          <w:rFonts w:hint="eastAsia"/>
        </w:rPr>
        <w:t>”</w:t>
      </w:r>
      <w:r>
        <w:rPr>
          <w:rFonts w:ascii="宋体" w:hAnsi="宋体" w:hint="eastAsia"/>
          <w:szCs w:val="21"/>
        </w:rPr>
        <w:t>下载）</w:t>
      </w:r>
    </w:p>
    <w:p>
      <w:pPr>
        <w:ind w:firstLine="412" w:firstLineChars="196"/>
        <w:rPr>
          <w:rFonts w:ascii="宋体" w:hAnsi="宋体"/>
          <w:szCs w:val="21"/>
        </w:rPr>
      </w:pPr>
      <w:r>
        <w:rPr>
          <w:rFonts w:ascii="宋体" w:hAnsi="宋体" w:hint="eastAsia"/>
          <w:szCs w:val="21"/>
        </w:rPr>
        <w:t>3.8“网上投标”指通过</w:t>
      </w:r>
      <w:r>
        <w:rPr>
          <w:rFonts w:hint="eastAsia"/>
        </w:rPr>
        <w:t>http://zfcg.szggzy.com:8081/TPBidder/memberLogin</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投标人登录“深圳政府采购智慧平台用户网上办事子系统（http://zfcg.szggzy.com:8081/TPBidder/memberLogin）”，使用本单位制作电子投标文件同一个电子密钥，在“【我的项目】→【项目流程】→【开标及解密】”进行在线解密。</w:t>
      </w:r>
    </w:p>
    <w:p>
      <w:pPr>
        <w:ind w:firstLine="412" w:firstLineChars="196"/>
        <w:rPr>
          <w:rFonts w:ascii="宋体" w:hAnsi="宋体"/>
          <w:szCs w:val="21"/>
        </w:rPr>
      </w:pPr>
      <w:r>
        <w:rPr>
          <w:rFonts w:ascii="宋体" w:hAnsi="宋体" w:hint="eastAsia"/>
          <w:szCs w:val="21"/>
        </w:rPr>
        <w:t>4.0招标文件中的标题或题名仅起引导作用，而不应视为对招标文件内容的理解和解释。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51"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w:t>
      </w:r>
      <w:r>
        <w:fldChar w:fldCharType="begin"/>
      </w:r>
      <w:r>
        <w:instrText xml:space="preserve"> HYPERLINK "http://www.szzfcg.cn/viewer.do?id=2455258" \t "documentViewer2455258" </w:instrText>
      </w:r>
      <w:r>
        <w:fldChar w:fldCharType="separate"/>
      </w:r>
      <w:r>
        <w:rPr>
          <w:rFonts w:ascii="宋体" w:hAnsi="宋体"/>
          <w:szCs w:val="21"/>
        </w:rPr>
        <w:t>供应商注册及电子密钥新申请指引</w:t>
      </w:r>
      <w:r>
        <w:rPr>
          <w:rFonts w:ascii="宋体" w:hAnsi="宋体"/>
          <w:szCs w:val="21"/>
        </w:rPr>
        <w:fldChar w:fldCharType="end"/>
      </w:r>
      <w:r>
        <w:rPr>
          <w:rFonts w:ascii="宋体" w:hAnsi="宋体" w:hint="eastAsia"/>
          <w:szCs w:val="21"/>
        </w:rPr>
        <w:t>》详见</w:t>
      </w:r>
      <w:r>
        <w:rPr>
          <w:rFonts w:ascii="宋体" w:hAnsi="宋体" w:hint="eastAsia"/>
          <w:szCs w:val="21"/>
          <w:highlight w:val="yellow"/>
        </w:rPr>
        <w:t>http://zfcg.szggzy.com:8081/cgxy/20210823/2df8c4bd-73df-4cf1-9646-f784111f24b8.html</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52"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2"/>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51"/>
    </w:p>
    <w:p>
      <w:pPr>
        <w:pStyle w:val="Heading2"/>
        <w:numPr>
          <w:ilvl w:val="0"/>
          <w:numId w:val="11"/>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53"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3"/>
    </w:p>
    <w:p>
      <w:pPr>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4"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54"/>
      <w:r>
        <w:rPr>
          <w:rFonts w:ascii="黑体" w:eastAsia="黑体" w:hAnsi="宋体" w:hint="eastAsia"/>
          <w:sz w:val="24"/>
        </w:rPr>
        <w:t>15．</w:t>
      </w:r>
      <w:bookmarkStart w:id="55"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55"/>
      <w:r>
        <w:rPr>
          <w:rFonts w:ascii="黑体" w:eastAsia="黑体" w:hAnsi="宋体" w:hint="eastAsia"/>
          <w:sz w:val="24"/>
        </w:rPr>
        <w:t>18．</w:t>
      </w:r>
      <w:bookmarkStart w:id="56"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56"/>
      <w:r>
        <w:rPr>
          <w:rFonts w:ascii="黑体" w:eastAsia="黑体" w:hAnsi="宋体" w:hint="eastAsia"/>
          <w:sz w:val="24"/>
        </w:rPr>
        <w:t>19．</w:t>
      </w:r>
      <w:bookmarkStart w:id="57"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58" w:name="_Hlk71407299"/>
    </w:p>
    <w:p>
      <w:pPr>
        <w:ind w:firstLine="412" w:firstLineChars="196"/>
        <w:rPr>
          <w:rFonts w:ascii="宋体" w:hAnsi="宋体"/>
          <w:szCs w:val="21"/>
        </w:rPr>
      </w:pPr>
      <w:bookmarkEnd w:id="58"/>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57"/>
      <w:bookmarkStart w:id="59"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59"/>
      <w:r>
        <w:rPr>
          <w:rFonts w:ascii="黑体" w:eastAsia="黑体" w:hAnsi="宋体" w:hint="eastAsia"/>
          <w:sz w:val="24"/>
        </w:rPr>
        <w:t>21．</w:t>
      </w:r>
      <w:bookmarkStart w:id="60"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60"/>
      <w:r>
        <w:rPr>
          <w:rFonts w:ascii="黑体" w:eastAsia="黑体" w:hAnsi="宋体" w:hint="eastAsia"/>
          <w:sz w:val="24"/>
        </w:rPr>
        <w:t>23．</w:t>
      </w:r>
      <w:bookmarkStart w:id="61"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szCs w:val="21"/>
        </w:rPr>
      </w:pPr>
      <w:bookmarkEnd w:id="61"/>
      <w:r>
        <w:rPr>
          <w:rFonts w:ascii="宋体" w:hAnsi="宋体" w:hint="eastAsia"/>
          <w:szCs w:val="21"/>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w:t>
      </w:r>
      <w:r>
        <w:rPr>
          <w:rFonts w:ascii="宋体" w:hAnsi="宋体"/>
          <w:szCs w:val="21"/>
        </w:rPr>
        <w:t>http://zfcg.szggzy.com/</w:t>
      </w:r>
      <w:r>
        <w:rPr>
          <w:rFonts w:ascii="宋体" w:hAnsi="宋体" w:hint="eastAsia"/>
          <w:szCs w:val="21"/>
        </w:rPr>
        <w:t>TPBidder/DownLoad/深圳市智慧采购平台投标文件制作专用软件.zip】。</w:t>
      </w:r>
    </w:p>
    <w:p>
      <w:pPr>
        <w:ind w:firstLine="412" w:firstLineChars="196"/>
        <w:rPr>
          <w:rFonts w:ascii="宋体" w:hAnsi="宋体"/>
          <w:szCs w:val="21"/>
        </w:rPr>
      </w:pPr>
      <w:r>
        <w:rPr>
          <w:rFonts w:ascii="宋体" w:hAnsi="宋体" w:hint="eastAsia"/>
          <w:szCs w:val="21"/>
        </w:rPr>
        <w:t>23.2投标人在使用《投标文件制作软件》编制投标书时须注意：</w:t>
      </w:r>
    </w:p>
    <w:p>
      <w:pPr>
        <w:ind w:firstLine="412" w:firstLineChars="196"/>
        <w:rPr>
          <w:rFonts w:ascii="宋体" w:hAnsi="宋体"/>
          <w:szCs w:val="21"/>
        </w:rPr>
      </w:pPr>
      <w:r>
        <w:rPr>
          <w:rFonts w:ascii="宋体" w:hAnsi="宋体" w:hint="eastAsia"/>
          <w:szCs w:val="21"/>
        </w:rPr>
        <w:t>23.2.1导入《投标文件制作软件》的招标文件项目编号、包号应与以此制作的投标文件项目编号、包号一致。例如，不能将甲项目A包的招标书导入《投标文件制作软件》，制作乙项目B包的投标书。</w:t>
      </w:r>
    </w:p>
    <w:p>
      <w:pPr>
        <w:ind w:firstLine="412" w:firstLineChars="196"/>
        <w:rPr>
          <w:rFonts w:ascii="宋体" w:hAnsi="宋体"/>
          <w:szCs w:val="21"/>
        </w:rPr>
      </w:pPr>
      <w:r>
        <w:rPr>
          <w:rFonts w:ascii="宋体" w:hAnsi="宋体" w:hint="eastAsia"/>
          <w:szCs w:val="21"/>
        </w:rPr>
        <w:t>23.2.2不能用非本公司的电子密钥加密本公司的投标文件，或者用其它公司的登录用户上传本公司的投标文件。</w:t>
      </w:r>
    </w:p>
    <w:p>
      <w:pPr>
        <w:ind w:firstLine="412" w:firstLineChars="196"/>
        <w:rPr>
          <w:rFonts w:ascii="宋体" w:hAnsi="宋体"/>
          <w:szCs w:val="21"/>
        </w:rPr>
      </w:pPr>
      <w:r>
        <w:rPr>
          <w:rFonts w:ascii="宋体" w:hAnsi="宋体" w:hint="eastAsia"/>
          <w:szCs w:val="21"/>
        </w:rPr>
        <w:t>23.2.3要求用《投标文件制作软件》编制投标书的包，不能用其它方式编制投标书。编制投标文件时，电脑须连通互联网。</w:t>
      </w:r>
    </w:p>
    <w:p>
      <w:pPr>
        <w:ind w:firstLine="412" w:firstLineChars="196"/>
        <w:rPr>
          <w:rFonts w:ascii="宋体" w:hAnsi="宋体"/>
          <w:szCs w:val="21"/>
        </w:rPr>
      </w:pPr>
      <w:r>
        <w:rPr>
          <w:rFonts w:ascii="宋体" w:hAnsi="宋体" w:hint="eastAsia"/>
          <w:szCs w:val="21"/>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szCs w:val="21"/>
        </w:rPr>
      </w:pPr>
      <w:r>
        <w:rPr>
          <w:rFonts w:ascii="宋体" w:hAnsi="宋体" w:hint="eastAsia"/>
          <w:szCs w:val="21"/>
        </w:rPr>
        <w:t>23.2.5完整填写“投标关键信息”，如下图所示：</w:t>
      </w:r>
    </w:p>
    <w:p>
      <w:pPr>
        <w:rPr>
          <w:rFonts w:ascii="宋体" w:hAnsi="宋体"/>
          <w:szCs w:val="21"/>
        </w:rPr>
      </w:pPr>
      <w:r>
        <w:rPr>
          <w:rFonts w:ascii="宋体" w:hAnsi="宋体"/>
          <w:szCs w:val="21"/>
        </w:rPr>
        <w:drawing>
          <wp:inline distT="0" distB="0" distL="0" distR="0">
            <wp:extent cx="5278755" cy="2721610"/>
            <wp:effectExtent l="0" t="0" r="17145"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szCs w:val="21"/>
        </w:rPr>
      </w:pPr>
      <w:r>
        <w:rPr>
          <w:rFonts w:ascii="宋体" w:hAnsi="宋体" w:hint="eastAsia"/>
          <w:szCs w:val="21"/>
        </w:rPr>
        <w:t>备注：上述“开标一览表”中的“投标报价”将作为价格分计算依据；其它信息仅是对投标文件相关内容的概括性表述，不作为评审依据。若本项目的“开标一览表”栏目格式填写有其他要求的，将在招标文件第一册专用条款第二章“对通用条款的补充内容”予以说明。</w:t>
      </w:r>
    </w:p>
    <w:p>
      <w:pPr>
        <w:ind w:firstLine="412" w:firstLineChars="196"/>
        <w:rPr>
          <w:rFonts w:ascii="宋体" w:hAnsi="宋体"/>
          <w:szCs w:val="21"/>
        </w:rPr>
      </w:pPr>
    </w:p>
    <w:p>
      <w:pPr>
        <w:ind w:firstLine="412" w:firstLineChars="196"/>
        <w:rPr>
          <w:rFonts w:ascii="宋体" w:hAnsi="宋体"/>
          <w:szCs w:val="21"/>
        </w:rPr>
      </w:pPr>
      <w:r>
        <w:rPr>
          <w:rFonts w:ascii="宋体" w:hAnsi="宋体" w:hint="eastAsia"/>
          <w:szCs w:val="21"/>
        </w:rPr>
        <w:t>23.2.6投标人在编辑投标文件时，在投标文件目录中属于本节点内容的必须在本节点中填写，填写到其他节点或附件，一切后果由供应商自行承担。</w:t>
      </w:r>
    </w:p>
    <w:p>
      <w:pPr>
        <w:ind w:firstLine="412" w:firstLineChars="196"/>
        <w:rPr>
          <w:rFonts w:ascii="宋体" w:hAnsi="宋体"/>
          <w:szCs w:val="21"/>
        </w:rPr>
      </w:pPr>
      <w:r>
        <w:rPr>
          <w:rFonts w:ascii="宋体" w:hAnsi="宋体" w:hint="eastAsia"/>
          <w:szCs w:val="21"/>
        </w:rPr>
        <w:t>23.2.7投标文件编写完成后，必须用属于投标人的电子密钥进行加密，否则视同未盖公章，将导致投标文件无效。</w:t>
      </w:r>
    </w:p>
    <w:p>
      <w:pPr>
        <w:ind w:firstLine="412" w:firstLineChars="196"/>
        <w:rPr>
          <w:rFonts w:ascii="宋体" w:hAnsi="宋体"/>
          <w:szCs w:val="21"/>
        </w:rPr>
      </w:pPr>
      <w:r>
        <w:rPr>
          <w:rFonts w:ascii="宋体" w:hAnsi="宋体" w:hint="eastAsia"/>
          <w:szCs w:val="21"/>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szCs w:val="21"/>
        </w:rPr>
      </w:pPr>
      <w:r>
        <w:rPr>
          <w:rFonts w:ascii="宋体" w:hAnsi="宋体" w:hint="eastAsia"/>
          <w:szCs w:val="21"/>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szCs w:val="21"/>
        </w:rPr>
      </w:pPr>
      <w:r>
        <w:rPr>
          <w:rFonts w:ascii="宋体" w:hAnsi="宋体" w:hint="eastAsia"/>
          <w:szCs w:val="21"/>
        </w:rPr>
        <w:t>23.3电报、电话、传真形式的投标概不接受。</w:t>
      </w:r>
    </w:p>
    <w:p>
      <w:pPr>
        <w:ind w:firstLine="412" w:firstLineChars="196"/>
        <w:rPr>
          <w:rFonts w:ascii="宋体" w:hAnsi="宋体"/>
          <w:szCs w:val="21"/>
        </w:rPr>
      </w:pPr>
      <w:r>
        <w:rPr>
          <w:rFonts w:ascii="宋体" w:hAnsi="宋体" w:hint="eastAsia"/>
          <w:szCs w:val="21"/>
        </w:rPr>
        <w:t>23.4经投标人电子密钥加密的投标文件无须盖章或签字，专用条款另有要求的除外。</w:t>
      </w:r>
    </w:p>
    <w:p>
      <w:pPr>
        <w:ind w:firstLine="412" w:firstLineChars="196"/>
        <w:rPr>
          <w:rFonts w:ascii="宋体" w:hAnsi="宋体"/>
          <w:szCs w:val="21"/>
        </w:rPr>
      </w:pPr>
      <w:r>
        <w:rPr>
          <w:rFonts w:ascii="宋体" w:hAnsi="宋体" w:hint="eastAsia"/>
          <w:szCs w:val="21"/>
        </w:rPr>
        <w:t>23.5 各类资格（资质）文件提供扫描件，专用条款另有要求的除外。</w:t>
      </w:r>
    </w:p>
    <w:p>
      <w:pPr>
        <w:pStyle w:val="Heading2"/>
        <w:numPr>
          <w:ilvl w:val="0"/>
          <w:numId w:val="11"/>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62" w:name="_Hlk72405459"/>
      <w:r>
        <w:rPr>
          <w:rFonts w:ascii="黑体" w:eastAsia="黑体" w:hAnsi="宋体" w:hint="eastAsia"/>
          <w:sz w:val="24"/>
        </w:rPr>
        <w:t>24．投标文件的保密</w:t>
      </w:r>
    </w:p>
    <w:p>
      <w:pPr>
        <w:widowControl/>
        <w:ind w:firstLine="412" w:firstLineChars="196"/>
        <w:jc w:val="left"/>
        <w:rPr>
          <w:rFonts w:ascii="宋体" w:eastAsia="Times New Roman" w:hAnsi="宋体"/>
          <w:kern w:val="0"/>
          <w:szCs w:val="21"/>
        </w:rPr>
      </w:pPr>
      <w:r>
        <w:rPr>
          <w:rFonts w:ascii="宋体" w:eastAsia="Times New Roman" w:hAnsi="宋体" w:hint="eastAsia"/>
          <w:kern w:val="0"/>
          <w:szCs w:val="21"/>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开标时间后才能解密查看。在加密过程中，请按照软件提示进行操作。加密操作界面如下图所示：</w:t>
      </w:r>
    </w:p>
    <w:p>
      <w:pPr>
        <w:widowControl/>
        <w:jc w:val="left"/>
        <w:rPr>
          <w:rFonts w:ascii="宋体" w:eastAsia="Times New Roman" w:hAnsi="宋体"/>
          <w:kern w:val="0"/>
          <w:szCs w:val="21"/>
        </w:rPr>
      </w:pPr>
      <w:r>
        <w:rPr>
          <w:rFonts w:ascii="宋体" w:eastAsia="Times New Roman" w:hAnsi="宋体"/>
          <w:kern w:val="0"/>
          <w:szCs w:val="21"/>
        </w:rPr>
        <w:drawing>
          <wp:inline distT="0" distB="0" distL="0" distR="0">
            <wp:extent cx="5278755" cy="2721610"/>
            <wp:effectExtent l="0" t="0" r="9525" b="635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widowControl/>
        <w:ind w:firstLine="412" w:firstLineChars="196"/>
        <w:jc w:val="left"/>
        <w:rPr>
          <w:rFonts w:ascii="宋体" w:eastAsia="Times New Roman" w:hAnsi="宋体"/>
          <w:kern w:val="0"/>
          <w:sz w:val="24"/>
        </w:rPr>
      </w:pPr>
      <w:r>
        <w:rPr>
          <w:rFonts w:ascii="宋体" w:eastAsia="Times New Roman" w:hAnsi="宋体" w:hint="eastAsia"/>
          <w:kern w:val="0"/>
          <w:szCs w:val="21"/>
        </w:rPr>
        <w:t>在投标文件制作软件点击【生成标书】按钮进入【填写开标一览表界面】界面，在该界面填写完开标一览表信息后点击【确定】，进入投标文件生成环</w:t>
      </w:r>
      <w:r>
        <w:rPr>
          <w:rFonts w:ascii="宋体" w:eastAsia="Times New Roman" w:hAnsi="宋体" w:hint="eastAsia"/>
          <w:kern w:val="0"/>
          <w:sz w:val="24"/>
        </w:rPr>
        <w:t>节。</w:t>
      </w:r>
      <w:r>
        <w:rPr>
          <w:rFonts w:ascii="宋体" w:eastAsia="Times New Roman" w:hAnsi="宋体"/>
          <w:kern w:val="0"/>
          <w:sz w:val="24"/>
        </w:rPr>
        <w:drawing>
          <wp:inline distT="0" distB="0" distL="0" distR="0">
            <wp:extent cx="5278755" cy="2732405"/>
            <wp:effectExtent l="0" t="0" r="9525" b="10795"/>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widowControl/>
        <w:ind w:firstLine="412" w:firstLineChars="196"/>
        <w:jc w:val="left"/>
        <w:rPr>
          <w:rFonts w:ascii="宋体" w:eastAsia="Times New Roman" w:hAnsi="宋体"/>
          <w:kern w:val="0"/>
          <w:sz w:val="24"/>
        </w:rPr>
      </w:pPr>
      <w:r>
        <w:rPr>
          <w:rFonts w:ascii="宋体" w:eastAsia="Times New Roman" w:hAnsi="宋体" w:hint="eastAsia"/>
          <w:kern w:val="0"/>
          <w:sz w:val="24"/>
        </w:rPr>
        <w:t>投标文件制作软件会在投标文件生成过程中，提示用户输入密码，输入密码后对标文件自动进行加密。</w:t>
      </w:r>
    </w:p>
    <w:p>
      <w:pPr>
        <w:rPr>
          <w:rFonts w:ascii="宋体" w:hAnsi="宋体"/>
          <w:b/>
          <w:szCs w:val="21"/>
        </w:rPr>
      </w:pPr>
      <w:r>
        <w:rPr>
          <w:rFonts w:ascii="宋体" w:hAnsi="宋体" w:hint="eastAsia"/>
          <w:b/>
          <w:szCs w:val="21"/>
        </w:rPr>
        <w:t>24.2若采购项目出现延期情况：</w:t>
      </w:r>
    </w:p>
    <w:p>
      <w:pPr>
        <w:widowControl/>
        <w:ind w:firstLine="420" w:firstLineChars="200"/>
        <w:jc w:val="left"/>
        <w:rPr>
          <w:rFonts w:ascii="黑体" w:eastAsia="黑体" w:hAnsi="宋体"/>
          <w:b/>
          <w:kern w:val="0"/>
          <w:szCs w:val="21"/>
        </w:rPr>
      </w:pPr>
      <w:r>
        <w:rPr>
          <w:rFonts w:ascii="宋体" w:eastAsia="Times New Roman" w:hAnsi="宋体" w:hint="eastAsia"/>
          <w:b/>
          <w:kern w:val="0"/>
          <w:szCs w:val="21"/>
        </w:rPr>
        <w:t>如果供下载的招标文件（后缀名为.</w:t>
      </w:r>
      <w:r>
        <w:rPr>
          <w:rFonts w:ascii="宋体" w:eastAsia="Times New Roman" w:hAnsi="宋体"/>
          <w:b/>
          <w:kern w:val="0"/>
          <w:szCs w:val="21"/>
        </w:rPr>
        <w:t>szczf</w:t>
      </w:r>
      <w:r>
        <w:rPr>
          <w:rFonts w:ascii="宋体" w:eastAsia="Times New Roman" w:hAnsi="宋体" w:hint="eastAsia"/>
          <w:b/>
          <w:kern w:val="0"/>
          <w:szCs w:val="21"/>
        </w:rPr>
        <w:t>）有更新，投标人必须重新下载招标文件、重新制作投标文件、重新加密投标文件、重新上传投标文件；如果供下载的招标文件（后缀名为.</w:t>
      </w:r>
      <w:r>
        <w:rPr>
          <w:rFonts w:ascii="宋体" w:eastAsia="Times New Roman" w:hAnsi="宋体"/>
          <w:b/>
          <w:kern w:val="0"/>
          <w:szCs w:val="21"/>
        </w:rPr>
        <w:t>szczf</w:t>
      </w:r>
      <w:r>
        <w:rPr>
          <w:rFonts w:ascii="宋体" w:eastAsia="Times New Roman" w:hAnsi="宋体" w:hint="eastAsia"/>
          <w:b/>
          <w:kern w:val="0"/>
          <w:szCs w:val="21"/>
        </w:rPr>
        <w:t>）没有更新，投标人必须重新加密投标文件、重新上传投标文件（是否重新制作投标文件根据项目实际情况定）。否则，投标人自行承担投标文件无法解密导致投标无效的后果。</w:t>
      </w:r>
    </w:p>
    <w:p>
      <w:pPr>
        <w:ind w:firstLine="420" w:firstLineChars="200"/>
        <w:rPr>
          <w:rFonts w:ascii="黑体" w:eastAsia="黑体" w:hAnsi="宋体"/>
          <w:b/>
          <w:sz w:val="24"/>
        </w:rPr>
      </w:pPr>
    </w:p>
    <w:p>
      <w:pPr>
        <w:rPr>
          <w:rFonts w:ascii="黑体" w:eastAsia="黑体" w:hAnsi="宋体"/>
          <w:sz w:val="24"/>
        </w:rPr>
      </w:pPr>
      <w:r>
        <w:rPr>
          <w:rFonts w:ascii="黑体" w:eastAsia="黑体" w:hAnsi="宋体" w:hint="eastAsia"/>
          <w:sz w:val="24"/>
        </w:rPr>
        <w:t>25．上传投标文件及投标截止日期</w:t>
      </w:r>
    </w:p>
    <w:p>
      <w:pPr>
        <w:widowControl/>
        <w:ind w:firstLine="412" w:firstLineChars="196"/>
        <w:rPr>
          <w:rFonts w:ascii="宋体" w:eastAsia="Times New Roman" w:hAnsi="宋体"/>
          <w:kern w:val="0"/>
          <w:szCs w:val="21"/>
        </w:rPr>
      </w:pPr>
      <w:r>
        <w:rPr>
          <w:rFonts w:ascii="宋体" w:eastAsia="Times New Roman" w:hAnsi="宋体" w:hint="eastAsia"/>
          <w:kern w:val="0"/>
          <w:szCs w:val="21"/>
        </w:rPr>
        <w:t>25</w:t>
      </w:r>
      <w:r>
        <w:rPr>
          <w:rFonts w:ascii="宋体" w:eastAsia="Times New Roman" w:hAnsi="宋体"/>
          <w:kern w:val="0"/>
          <w:szCs w:val="21"/>
        </w:rPr>
        <w:t>.</w:t>
      </w:r>
      <w:r>
        <w:rPr>
          <w:rFonts w:ascii="宋体" w:eastAsia="Times New Roman" w:hAnsi="宋体" w:hint="eastAsia"/>
          <w:kern w:val="0"/>
          <w:szCs w:val="21"/>
        </w:rPr>
        <w:t>1实行网上投标，</w:t>
      </w:r>
      <w:r>
        <w:rPr>
          <w:rFonts w:ascii="宋体" w:eastAsia="Times New Roman" w:hAnsi="宋体"/>
          <w:kern w:val="0"/>
          <w:szCs w:val="21"/>
        </w:rPr>
        <w:t>投标人必须</w:t>
      </w:r>
      <w:r>
        <w:rPr>
          <w:rFonts w:ascii="宋体" w:eastAsia="Times New Roman" w:hAnsi="宋体" w:hint="eastAsia"/>
          <w:kern w:val="0"/>
          <w:szCs w:val="21"/>
        </w:rPr>
        <w:t>在招标</w:t>
      </w:r>
      <w:r>
        <w:rPr>
          <w:rFonts w:ascii="宋体" w:eastAsia="Times New Roman" w:hAnsi="宋体"/>
          <w:kern w:val="0"/>
          <w:szCs w:val="21"/>
        </w:rPr>
        <w:t>文件规定的投标截止时间前</w:t>
      </w:r>
      <w:r>
        <w:rPr>
          <w:rFonts w:ascii="宋体" w:eastAsia="Times New Roman" w:hAnsi="宋体" w:hint="eastAsia"/>
          <w:kern w:val="0"/>
          <w:szCs w:val="21"/>
        </w:rPr>
        <w:t>用电子密钥登录“深圳政府采购智慧平台系统（http://zfcg.szggzy.com:8081/）”</w:t>
      </w:r>
      <w:r>
        <w:rPr>
          <w:rFonts w:ascii="宋体" w:hAnsi="宋体" w:hint="eastAsia"/>
          <w:kern w:val="0"/>
          <w:szCs w:val="21"/>
        </w:rPr>
        <w:t>后</w:t>
      </w:r>
      <w:r>
        <w:rPr>
          <w:rFonts w:ascii="宋体" w:eastAsia="Times New Roman" w:hAnsi="宋体" w:hint="eastAsia"/>
          <w:kern w:val="0"/>
          <w:szCs w:val="21"/>
        </w:rPr>
        <w:t>，用“【我的项目】→【项目流程】→【递交投标(应答)文件】”功能点上传投标文件。如果确有困难，多次上传均告失败，请在投标截止时间之前</w:t>
      </w:r>
      <w:r>
        <w:rPr>
          <w:rFonts w:ascii="宋体" w:hAnsi="宋体" w:hint="eastAsia"/>
          <w:kern w:val="0"/>
          <w:szCs w:val="21"/>
        </w:rPr>
        <w:t>咨询</w:t>
      </w:r>
      <w:r>
        <w:rPr>
          <w:rFonts w:ascii="宋体" w:eastAsia="Times New Roman" w:hAnsi="宋体" w:hint="eastAsia"/>
          <w:kern w:val="0"/>
          <w:szCs w:val="21"/>
        </w:rPr>
        <w:t>热线电话:</w:t>
      </w:r>
      <w:r>
        <w:rPr>
          <w:rFonts w:ascii="宋体" w:hAnsi="宋体" w:hint="eastAsia"/>
          <w:kern w:val="0"/>
          <w:szCs w:val="21"/>
        </w:rPr>
        <w:t>0755-</w:t>
      </w:r>
      <w:r>
        <w:rPr>
          <w:rFonts w:ascii="宋体" w:eastAsia="Times New Roman" w:hAnsi="宋体" w:hint="eastAsia"/>
          <w:kern w:val="0"/>
          <w:szCs w:val="21"/>
        </w:rPr>
        <w:t>83938599，83948100，83938584</w:t>
      </w:r>
      <w:r>
        <w:rPr>
          <w:rFonts w:ascii="宋体" w:eastAsia="Times New Roman" w:hAnsi="宋体" w:hint="eastAsia"/>
          <w:b/>
          <w:bCs/>
          <w:kern w:val="0"/>
          <w:szCs w:val="21"/>
        </w:rPr>
        <w:t>。</w:t>
      </w:r>
    </w:p>
    <w:p>
      <w:pPr>
        <w:widowControl/>
        <w:ind w:firstLine="412" w:firstLineChars="196"/>
        <w:jc w:val="left"/>
        <w:rPr>
          <w:rFonts w:ascii="宋体" w:eastAsia="Times New Roman" w:hAnsi="宋体"/>
          <w:kern w:val="0"/>
          <w:szCs w:val="21"/>
        </w:rPr>
      </w:pPr>
      <w:r>
        <w:rPr>
          <w:rFonts w:ascii="宋体" w:hAnsi="宋体" w:hint="eastAsia"/>
          <w:szCs w:val="21"/>
        </w:rPr>
        <w:t>25.2深圳公共资源交易中心（</w:t>
      </w:r>
      <w:r>
        <w:rPr>
          <w:rFonts w:ascii="宋体" w:hAnsi="宋体" w:cs="宋体" w:hint="eastAsia"/>
          <w:szCs w:val="21"/>
        </w:rPr>
        <w:t>深圳交易集团有限公司坪山分公司</w:t>
      </w:r>
      <w:r>
        <w:rPr>
          <w:rFonts w:ascii="宋体" w:hAnsi="宋体" w:hint="eastAsia"/>
          <w:szCs w:val="21"/>
        </w:rPr>
        <w:t>）可以按本通用条款第13条规定，通过修改招标文件自行决定酌情延长投标截止期。在此情况下，深圳公共资源交易中心（深圳交易集团有限公司坪山分公司）、采购单位和投标人受投标截止期制约的所有权利和义务均应延长至新的截止期。在项目延期后，出于投标文件的保密考虑，建议投标人重新加密投标文件，重新上传。</w:t>
      </w:r>
    </w:p>
    <w:p>
      <w:pPr>
        <w:ind w:firstLine="412" w:firstLineChars="196"/>
        <w:rPr>
          <w:rFonts w:ascii="宋体" w:hAnsi="宋体"/>
          <w:szCs w:val="21"/>
        </w:rPr>
      </w:pPr>
      <w:r>
        <w:rPr>
          <w:rFonts w:ascii="宋体" w:hAnsi="宋体" w:hint="eastAsia"/>
          <w:szCs w:val="21"/>
        </w:rPr>
        <w:t>25</w:t>
      </w:r>
      <w:r>
        <w:rPr>
          <w:rFonts w:ascii="宋体" w:hAnsi="宋体"/>
          <w:szCs w:val="21"/>
        </w:rPr>
        <w:t>.</w:t>
      </w:r>
      <w:r>
        <w:rPr>
          <w:rFonts w:ascii="宋体" w:hAnsi="宋体" w:hint="eastAsia"/>
          <w:szCs w:val="21"/>
        </w:rPr>
        <w:t>3投标截止时间以后不得上传投标文件。</w:t>
      </w:r>
    </w:p>
    <w:p>
      <w:pPr>
        <w:rPr>
          <w:rFonts w:ascii="黑体" w:eastAsia="黑体" w:hAnsi="宋体"/>
          <w:sz w:val="24"/>
        </w:rPr>
      </w:pPr>
      <w:bookmarkEnd w:id="62"/>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63"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1"/>
        </w:numPr>
        <w:spacing w:before="120" w:beforeLines="50" w:after="120" w:afterLines="50"/>
        <w:ind w:left="562" w:hanging="562"/>
        <w:rPr>
          <w:sz w:val="28"/>
          <w:szCs w:val="28"/>
        </w:rPr>
      </w:pPr>
      <w:bookmarkEnd w:id="63"/>
      <w:r>
        <w:rPr>
          <w:rFonts w:hint="eastAsia"/>
          <w:sz w:val="28"/>
          <w:szCs w:val="28"/>
        </w:rPr>
        <w:t>开标</w:t>
      </w:r>
    </w:p>
    <w:p>
      <w:pPr>
        <w:rPr>
          <w:rFonts w:ascii="黑体" w:eastAsia="黑体" w:hAnsi="宋体"/>
          <w:sz w:val="24"/>
        </w:rPr>
      </w:pPr>
      <w:r>
        <w:rPr>
          <w:rFonts w:ascii="黑体" w:eastAsia="黑体" w:hAnsi="宋体" w:hint="eastAsia"/>
          <w:sz w:val="24"/>
        </w:rPr>
        <w:t>28．开标</w:t>
      </w:r>
    </w:p>
    <w:p>
      <w:pPr>
        <w:widowControl/>
        <w:ind w:firstLine="420" w:firstLineChars="200"/>
        <w:jc w:val="left"/>
        <w:rPr>
          <w:rFonts w:ascii="宋体" w:eastAsia="Times New Roman" w:hAnsi="宋体"/>
          <w:kern w:val="0"/>
          <w:szCs w:val="21"/>
        </w:rPr>
      </w:pPr>
      <w:r>
        <w:rPr>
          <w:rFonts w:ascii="宋体" w:eastAsia="Times New Roman" w:hAnsi="宋体"/>
          <w:kern w:val="0"/>
          <w:szCs w:val="21"/>
        </w:rPr>
        <w:t>2</w:t>
      </w:r>
      <w:r>
        <w:rPr>
          <w:rFonts w:ascii="宋体" w:eastAsia="Times New Roman" w:hAnsi="宋体" w:hint="eastAsia"/>
          <w:kern w:val="0"/>
          <w:szCs w:val="21"/>
        </w:rPr>
        <w:t>8</w:t>
      </w:r>
      <w:r>
        <w:rPr>
          <w:rFonts w:ascii="宋体" w:eastAsia="Times New Roman" w:hAnsi="宋体"/>
          <w:kern w:val="0"/>
          <w:szCs w:val="21"/>
        </w:rPr>
        <w:t>.</w:t>
      </w:r>
      <w:r>
        <w:rPr>
          <w:rFonts w:ascii="宋体" w:eastAsia="Times New Roman" w:hAnsi="宋体" w:hint="eastAsia"/>
          <w:kern w:val="0"/>
          <w:szCs w:val="21"/>
        </w:rPr>
        <w:t>1投标人须在开标当日的开标时间至解密截止时间内进行解密，逾期未解密的作无效处理。解密方法：登录“深圳政府采购智慧平台系统（http://zfcg.szggzy.com:8081/）”，使用本单位制作电子投标文件同一个电子密钥，在“【我的项目】→【项目流程】→【开标及解密】”进行在线解密、查询开标情况。</w:t>
      </w:r>
    </w:p>
    <w:p>
      <w:pPr>
        <w:widowControl/>
        <w:ind w:firstLine="420" w:firstLineChars="200"/>
        <w:jc w:val="left"/>
        <w:rPr>
          <w:rFonts w:ascii="宋体" w:eastAsia="Times New Roman" w:hAnsi="宋体"/>
          <w:kern w:val="0"/>
          <w:szCs w:val="21"/>
        </w:rPr>
      </w:pPr>
      <w:r>
        <w:rPr>
          <w:rFonts w:ascii="宋体" w:eastAsia="Times New Roman" w:hAnsi="宋体" w:hint="eastAsia"/>
          <w:kern w:val="0"/>
          <w:szCs w:val="21"/>
        </w:rPr>
        <w:t>2</w:t>
      </w:r>
      <w:r>
        <w:rPr>
          <w:rFonts w:ascii="宋体" w:eastAsia="Times New Roman" w:hAnsi="宋体"/>
          <w:kern w:val="0"/>
          <w:szCs w:val="21"/>
        </w:rPr>
        <w:t>8.2</w:t>
      </w:r>
      <w:r>
        <w:rPr>
          <w:rFonts w:ascii="宋体" w:eastAsia="Times New Roman" w:hAnsi="宋体" w:hint="eastAsia"/>
          <w:kern w:val="0"/>
          <w:szCs w:val="21"/>
        </w:rPr>
        <w:t>政府集中采购机构将在满足开标条件（</w:t>
      </w:r>
      <w:r>
        <w:rPr>
          <w:rFonts w:ascii="宋体" w:eastAsia="Times New Roman" w:hAnsi="宋体" w:cs="宋体" w:hint="eastAsia"/>
          <w:color w:val="333333"/>
          <w:kern w:val="0"/>
          <w:szCs w:val="21"/>
          <w:shd w:val="clear" w:color="auto" w:fill="FFFFFF"/>
        </w:rPr>
        <w:t>①</w:t>
      </w:r>
      <w:r>
        <w:rPr>
          <w:rFonts w:ascii="宋体" w:eastAsia="Times New Roman" w:hAnsi="宋体" w:hint="eastAsia"/>
          <w:kern w:val="0"/>
          <w:szCs w:val="21"/>
        </w:rPr>
        <w:t>解密时间结束，解密后的投标供应商数量满足开标要求或</w:t>
      </w:r>
      <w:r>
        <w:rPr>
          <w:rFonts w:ascii="宋体" w:eastAsia="Times New Roman" w:hAnsi="宋体" w:cs="宋体" w:hint="eastAsia"/>
          <w:color w:val="333333"/>
          <w:kern w:val="0"/>
          <w:szCs w:val="21"/>
          <w:shd w:val="clear" w:color="auto" w:fill="FFFFFF"/>
        </w:rPr>
        <w:t>②</w:t>
      </w:r>
      <w:r>
        <w:rPr>
          <w:rFonts w:ascii="宋体" w:eastAsia="Times New Roman" w:hAnsi="宋体" w:hint="eastAsia"/>
          <w:kern w:val="0"/>
          <w:szCs w:val="21"/>
        </w:rPr>
        <w:t>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64"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4"/>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32.4.8不同投标供应商存在单位负责人为同一人或存在直接控股、管理关系的情况。</w:t>
      </w:r>
    </w:p>
    <w:p>
      <w:pPr>
        <w:ind w:firstLine="412" w:firstLineChars="196"/>
        <w:rPr>
          <w:rFonts w:ascii="宋体" w:hAnsi="宋体"/>
        </w:rPr>
      </w:pPr>
      <w:r>
        <w:rPr>
          <w:rFonts w:ascii="宋体" w:hAnsi="宋体" w:hint="eastAsia"/>
        </w:rPr>
        <w:t>32.4.9不同投标供应商的投标文件内容存在非正常一致；</w:t>
      </w:r>
    </w:p>
    <w:p>
      <w:pPr>
        <w:ind w:firstLine="412" w:firstLineChars="196"/>
        <w:rPr>
          <w:rFonts w:ascii="宋体" w:hAnsi="宋体"/>
        </w:rPr>
      </w:pPr>
      <w:r>
        <w:rPr>
          <w:rFonts w:ascii="宋体" w:hAnsi="宋体" w:hint="eastAsia"/>
        </w:rPr>
        <w:t>32.4.10在同一单位工作人员为两家以上（含两家）供应商进行同一项投标活动；</w:t>
      </w:r>
    </w:p>
    <w:p>
      <w:pPr>
        <w:ind w:firstLine="412" w:firstLineChars="196"/>
        <w:rPr>
          <w:rFonts w:ascii="宋体" w:hAnsi="宋体"/>
        </w:rPr>
      </w:pPr>
      <w:r>
        <w:rPr>
          <w:rFonts w:ascii="宋体" w:hAnsi="宋体" w:hint="eastAsia"/>
        </w:rPr>
        <w:t>32.4.11主管部门依照法律、法规认定的其他情形。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65"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5"/>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66" w:name="_Toc73521581"/>
      <w:bookmarkStart w:id="67" w:name="_Toc73517673"/>
      <w:bookmarkStart w:id="68" w:name="_Toc73518151"/>
      <w:bookmarkStart w:id="69" w:name="_Toc73521669"/>
      <w:bookmarkStart w:id="70" w:name="_Toc100052400"/>
      <w:r>
        <w:rPr>
          <w:rFonts w:ascii="黑体" w:eastAsia="黑体" w:hAnsi="宋体" w:hint="eastAsia"/>
          <w:sz w:val="24"/>
        </w:rPr>
        <w:t>34．错误的修正</w:t>
      </w:r>
      <w:bookmarkEnd w:id="66"/>
      <w:bookmarkEnd w:id="67"/>
      <w:bookmarkEnd w:id="68"/>
      <w:bookmarkEnd w:id="69"/>
      <w:bookmarkEnd w:id="70"/>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71"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71"/>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37.4.4有《中华人民共和国政府采购法实施条例》第七十五条规定的违法行为的。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72"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73"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72"/>
      <w:bookmarkEnd w:id="73"/>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40.1为体现“公开、公平、公正”的原则，评审结束后经采购人确认（确定）评审结果，政府集中采购机构将在深圳政府采购智慧平台</w:t>
      </w:r>
      <w:r>
        <w:rPr>
          <w:rFonts w:ascii="宋体" w:hAnsi="宋体" w:hint="eastAsia"/>
          <w:b/>
          <w:bCs/>
          <w:szCs w:val="21"/>
        </w:rPr>
        <w:t>（http://zfcg.szggzy.com:8081/）</w:t>
      </w:r>
      <w:r>
        <w:rPr>
          <w:rFonts w:ascii="宋体" w:hAnsi="宋体" w:hint="eastAsia"/>
          <w:szCs w:val="21"/>
        </w:rPr>
        <w:t>上发布中标结果公告。供应商如对评审结果有异议，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 xml:space="preserve">提出。 </w:t>
      </w:r>
      <w:r>
        <w:rPr>
          <w:rFonts w:ascii="宋体" w:hAnsi="宋体" w:hint="eastAsia"/>
          <w:szCs w:val="21"/>
        </w:rPr>
        <w:t>若在公示期内未提出质疑，则视为认同该评审结果。</w:t>
      </w:r>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1中标公告公布以后无异常的情况下,中标供应商和采购人可自行在深圳政府采购智慧平台</w:t>
      </w:r>
      <w:r>
        <w:rPr>
          <w:rFonts w:ascii="宋体" w:hAnsi="宋体" w:hint="eastAsia"/>
          <w:b/>
          <w:bCs/>
          <w:szCs w:val="21"/>
        </w:rPr>
        <w:t>（http://zfcg.szggzy.com:8081/）</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1"/>
        </w:numPr>
        <w:spacing w:before="120" w:beforeLines="50" w:after="120" w:afterLines="50"/>
        <w:ind w:left="562" w:hanging="562"/>
        <w:rPr>
          <w:sz w:val="28"/>
          <w:szCs w:val="28"/>
        </w:rPr>
      </w:pPr>
      <w:bookmarkStart w:id="74" w:name="_Hlk72439043"/>
      <w:r>
        <w:rPr>
          <w:rFonts w:hint="eastAsia"/>
          <w:sz w:val="28"/>
          <w:szCs w:val="28"/>
        </w:rPr>
        <w:t>合同的授予与备案</w:t>
      </w:r>
      <w:bookmarkEnd w:id="74"/>
    </w:p>
    <w:p>
      <w:pPr>
        <w:rPr>
          <w:rFonts w:ascii="黑体" w:eastAsia="黑体" w:hAnsi="宋体"/>
          <w:sz w:val="24"/>
        </w:rPr>
      </w:pPr>
      <w:bookmarkStart w:id="75" w:name="_Toc73521674"/>
      <w:bookmarkStart w:id="76" w:name="_Toc73521586"/>
      <w:bookmarkStart w:id="77" w:name="_Toc73517679"/>
      <w:bookmarkStart w:id="78" w:name="_Toc73518157"/>
      <w:bookmarkStart w:id="79" w:name="_Toc100052408"/>
      <w:bookmarkStart w:id="80" w:name="_Hlk72439088"/>
      <w:r>
        <w:rPr>
          <w:rFonts w:ascii="黑体" w:eastAsia="黑体" w:hAnsi="宋体" w:hint="eastAsia"/>
          <w:sz w:val="24"/>
        </w:rPr>
        <w:t>43．合同授予标准</w:t>
      </w:r>
      <w:bookmarkEnd w:id="75"/>
      <w:bookmarkEnd w:id="76"/>
      <w:bookmarkEnd w:id="77"/>
      <w:bookmarkEnd w:id="78"/>
      <w:bookmarkEnd w:id="79"/>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81" w:name="_Toc73518158"/>
      <w:bookmarkStart w:id="82" w:name="_Toc73517680"/>
      <w:bookmarkStart w:id="83" w:name="_Toc73521675"/>
      <w:bookmarkStart w:id="84" w:name="_Toc73521587"/>
      <w:bookmarkStart w:id="85" w:name="_Toc100052409"/>
      <w:r>
        <w:rPr>
          <w:rFonts w:ascii="黑体" w:eastAsia="黑体" w:hAnsi="宋体" w:hint="eastAsia"/>
          <w:sz w:val="24"/>
        </w:rPr>
        <w:t>44．</w:t>
      </w:r>
      <w:bookmarkEnd w:id="81"/>
      <w:bookmarkEnd w:id="82"/>
      <w:bookmarkEnd w:id="83"/>
      <w:bookmarkEnd w:id="84"/>
      <w:bookmarkEnd w:id="85"/>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86" w:name="_Toc100052410"/>
      <w:bookmarkStart w:id="87" w:name="_Toc73518160"/>
      <w:bookmarkStart w:id="88" w:name="_Toc73521589"/>
      <w:bookmarkStart w:id="89" w:name="_Toc73517682"/>
      <w:bookmarkStart w:id="90" w:name="_Toc73521677"/>
      <w:r>
        <w:rPr>
          <w:rFonts w:ascii="黑体" w:eastAsia="黑体" w:hAnsi="宋体" w:hint="eastAsia"/>
          <w:sz w:val="24"/>
        </w:rPr>
        <w:t>45．合同的签订</w:t>
      </w:r>
      <w:bookmarkEnd w:id="86"/>
      <w:bookmarkEnd w:id="87"/>
      <w:bookmarkEnd w:id="88"/>
      <w:bookmarkEnd w:id="89"/>
      <w:bookmarkEnd w:id="90"/>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91" w:name="_Toc73517683"/>
      <w:bookmarkStart w:id="92" w:name="_Toc73521590"/>
      <w:bookmarkStart w:id="93" w:name="_Toc73521678"/>
      <w:bookmarkStart w:id="94" w:name="_Toc100052411"/>
      <w:bookmarkStart w:id="95" w:name="_Toc73518161"/>
      <w:r>
        <w:rPr>
          <w:rFonts w:ascii="黑体" w:eastAsia="黑体" w:hAnsi="宋体" w:hint="eastAsia"/>
          <w:sz w:val="24"/>
        </w:rPr>
        <w:t>46．履约担保</w:t>
      </w:r>
      <w:bookmarkEnd w:id="91"/>
      <w:bookmarkEnd w:id="92"/>
      <w:bookmarkEnd w:id="93"/>
      <w:bookmarkEnd w:id="94"/>
      <w:bookmarkEnd w:id="95"/>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hAnsi="宋体" w:hint="eastAsia"/>
          <w:szCs w:val="21"/>
        </w:rPr>
        <w:t>采购人与中标人应于合同签订之日起十日内，由采购人或委托中标人将采购合同副本抄送合同备案工作实施机构备案。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highlight w:val="yellow"/>
        </w:rPr>
      </w:pPr>
      <w:r>
        <w:rPr>
          <w:rFonts w:ascii="宋体" w:hAnsi="宋体" w:hint="eastAsia"/>
          <w:szCs w:val="21"/>
          <w:highlight w:val="yellow"/>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根据《深圳市财政局关于明确政府采购保证金管理工作的通知》（深财购[2019]42号）的要求，供应商在政府采购活动中出现《深圳经济特区政府采购条例实施细则》第八十条所列情形的，</w:t>
      </w:r>
      <w:bookmarkStart w:id="96" w:name="_Hlk72440769"/>
      <w:r>
        <w:rPr>
          <w:rFonts w:ascii="宋体" w:hAnsi="宋体" w:hint="eastAsia"/>
          <w:szCs w:val="21"/>
        </w:rPr>
        <w:t>采购人或政府集中采购机构</w:t>
      </w:r>
      <w:bookmarkEnd w:id="96"/>
      <w:r>
        <w:rPr>
          <w:rFonts w:ascii="宋体" w:hAnsi="宋体" w:hint="eastAsia"/>
          <w:szCs w:val="21"/>
        </w:rPr>
        <w:t>可将有关情况报同级财政部门，由财政部门根据实际情况记入供应商诚信档案，予以通报：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1"/>
        </w:numPr>
        <w:spacing w:before="120" w:beforeLines="50" w:after="120" w:afterLines="50"/>
        <w:ind w:left="562" w:hanging="562"/>
        <w:rPr>
          <w:sz w:val="28"/>
          <w:szCs w:val="28"/>
        </w:rPr>
      </w:pPr>
      <w:bookmarkEnd w:id="80"/>
      <w:r>
        <w:rPr>
          <w:rFonts w:hint="eastAsia"/>
          <w:sz w:val="28"/>
          <w:szCs w:val="28"/>
        </w:rPr>
        <w:t>质疑处理</w:t>
      </w:r>
    </w:p>
    <w:p>
      <w:pPr>
        <w:rPr>
          <w:rFonts w:ascii="黑体" w:eastAsia="黑体" w:hAnsi="宋体"/>
          <w:sz w:val="24"/>
        </w:rPr>
      </w:pPr>
      <w:bookmarkStart w:id="97"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地址：深圳公共资源交易中心（深圳交易集团有限公司坪山分公司）深圳市坪山区龙田街道金牛西路11号益科大厦A座12层，质疑咨询电话：0755-28413245。</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商符合法定数量，依法从合格的中标或者成交候选人中另行确定中标、成交供应商；如果合格供应商不符合法定数量，应当重新开展采购活动。</w:t>
      </w:r>
    </w:p>
    <w:p>
      <w:pPr>
        <w:jc w:val="left"/>
      </w:pPr>
    </w:p>
    <w:p>
      <w:pPr>
        <w:jc w:val="center"/>
      </w:pPr>
      <w:r>
        <w:t>---- END ----</w:t>
      </w:r>
    </w:p>
    <w:p>
      <w:bookmarkEnd w:id="97"/>
    </w:p>
    <w:p>
      <w:pPr>
        <w:ind w:firstLine="420" w:firstLineChars="200"/>
        <w:rPr>
          <w:rFonts w:ascii="宋体" w:hAnsi="宋体"/>
          <w:szCs w:val="21"/>
        </w:rPr>
      </w:pPr>
    </w:p>
    <w:sectPr>
      <w:footerReference w:type="default" r:id="rId8"/>
      <w:headerReference w:type="first" r:id="rId9"/>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微软雅黑"/>
    <w:panose1 w:val="00000000000000000000"/>
    <w:charset w:val="00"/>
    <w:family w:val="auto"/>
    <w:pitch w:val="default"/>
    <w:sig w:usb0="00000000" w:usb1="00000000" w:usb2="00000000" w:usb3="00000000" w:csb0="00040001" w:csb1="00000000"/>
  </w:font>
  <w:font w:name="??">
    <w:altName w:val="宋体"/>
    <w:panose1 w:val="00000000000000000000"/>
    <w:charset w:val="86"/>
    <w:family w:val="roman"/>
    <w:pitch w:val="default"/>
    <w:sig w:usb0="00000000" w:usb1="00000000" w:usb2="00000010" w:usb3="00000000" w:csb0="00040000"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ActionIcon">
    <w:altName w:val="Segoe Print"/>
    <w:panose1 w:val="00000000000000000000"/>
    <w:charset w:val="00"/>
    <w:family w:val="auto"/>
    <w:pitch w:val="default"/>
    <w:sig w:usb0="00000000" w:usb1="00000000" w:usb2="00000000" w:usb3="00000000" w:csb0="00000000" w:csb1="00000000"/>
  </w:font>
  <w:font w:name="ModIcon">
    <w:altName w:val="Segoe Print"/>
    <w:panose1 w:val="00000000000000000000"/>
    <w:charset w:val="00"/>
    <w:family w:val="auto"/>
    <w:pitch w:val="default"/>
    <w:sig w:usb0="00000000" w:usb1="00000000" w:usb2="00000000" w:usb3="00000000" w:csb0="00000000" w:csb1="00000000"/>
  </w:font>
  <w:font w:name="ActionIcon ! importan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44</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398EFF1"/>
    <w:multiLevelType w:val="singleLevel"/>
    <w:tmpl w:val="8398EFF1"/>
    <w:lvl w:ilvl="0">
      <w:start w:val="2"/>
      <w:numFmt w:val="decimal"/>
      <w:suff w:val="nothing"/>
      <w:lvlText w:val="（%1）"/>
      <w:lvlJc w:val="left"/>
    </w:lvl>
  </w:abstractNum>
  <w:abstractNum w:abstractNumId="1">
    <w:nsid w:val="DA7CECF5"/>
    <w:multiLevelType w:val="singleLevel"/>
    <w:tmpl w:val="DA7CECF5"/>
    <w:lvl w:ilvl="0">
      <w:start w:val="1"/>
      <w:numFmt w:val="chineseCounting"/>
      <w:suff w:val="space"/>
      <w:lvlText w:val="第%1章"/>
      <w:lvlJc w:val="left"/>
      <w:rPr>
        <w:rFonts w:hint="eastAsia"/>
      </w:rPr>
    </w:lvl>
  </w:abstractNum>
  <w:abstractNum w:abstractNumId="2">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3">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4">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nsid w:val="0A9952FB"/>
    <w:multiLevelType w:val="multilevel"/>
    <w:tmpl w:val="0A9952FB"/>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nsid w:val="12503483"/>
    <w:multiLevelType w:val="multilevel"/>
    <w:tmpl w:val="12503483"/>
    <w:lvl w:ilvl="0">
      <w:start w:val="1"/>
      <w:numFmt w:val="bullet"/>
      <w:pStyle w:val="a14"/>
      <w:lvlText w:val=""/>
      <w:lvlJc w:val="left"/>
      <w:pPr>
        <w:tabs>
          <w:tab w:val="left" w:pos="420"/>
        </w:tabs>
        <w:ind w:left="420" w:hanging="420"/>
      </w:pPr>
      <w:rPr>
        <w:rFonts w:ascii="Wingdings" w:hAnsi="Wingdings" w:hint="default"/>
      </w:rPr>
    </w:lvl>
    <w:lvl w:ilvl="1">
      <w:start w:val="1"/>
      <w:numFmt w:val="bullet"/>
      <w:pStyle w:val="a13"/>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8">
    <w:nsid w:val="2F395B7B"/>
    <w:multiLevelType w:val="multilevel"/>
    <w:tmpl w:val="2F395B7B"/>
    <w:lvl w:ilvl="0">
      <w:start w:val="1"/>
      <w:numFmt w:val="bullet"/>
      <w:pStyle w:val="12"/>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9">
    <w:nsid w:val="4ACE0A85"/>
    <w:multiLevelType w:val="multilevel"/>
    <w:tmpl w:val="4ACE0A8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nsid w:val="7AEF7716"/>
    <w:multiLevelType w:val="multilevel"/>
    <w:tmpl w:val="7AEF7716"/>
    <w:lvl w:ilvl="0">
      <w:start w:val="1"/>
      <w:numFmt w:val="chineseCountingThousand"/>
      <w:pStyle w:val="32"/>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3"/>
  </w:num>
  <w:num w:numId="2">
    <w:abstractNumId w:val="2"/>
  </w:num>
  <w:num w:numId="3">
    <w:abstractNumId w:val="7"/>
  </w:num>
  <w:num w:numId="4">
    <w:abstractNumId w:val="6"/>
  </w:num>
  <w:num w:numId="5">
    <w:abstractNumId w:val="10"/>
  </w:num>
  <w:num w:numId="6">
    <w:abstractNumId w:val="8"/>
  </w:num>
  <w:num w:numId="7">
    <w:abstractNumId w:val="1"/>
  </w:num>
  <w:num w:numId="8">
    <w:abstractNumId w:val="0"/>
  </w:num>
  <w:num w:numId="9">
    <w:abstractNumId w:val="5"/>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40"/>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A2ODIxMGJkMGY0YmI2YzIzZjBkZDA0NjYwZTFmND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0"/>
    <w:qFormat/>
    <w:pPr>
      <w:adjustRightInd w:val="0"/>
      <w:jc w:val="center"/>
      <w:textAlignment w:val="baseline"/>
      <w:outlineLvl w:val="1"/>
    </w:pPr>
    <w:rPr>
      <w:kern w:val="0"/>
      <w:sz w:val="24"/>
      <w:szCs w:val="20"/>
    </w:rPr>
  </w:style>
  <w:style w:type="paragraph" w:styleId="Heading3">
    <w:name w:val="heading 3"/>
    <w:basedOn w:val="Heading4"/>
    <w:next w:val="Normal"/>
    <w:link w:val="3"/>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
    <w:qFormat/>
    <w:pPr>
      <w:keepNext/>
      <w:keepLines/>
      <w:spacing w:before="280" w:after="290" w:line="376" w:lineRule="auto"/>
      <w:outlineLvl w:val="4"/>
    </w:pPr>
    <w:rPr>
      <w:b/>
      <w:sz w:val="28"/>
      <w:szCs w:val="20"/>
    </w:rPr>
  </w:style>
  <w:style w:type="paragraph" w:styleId="Heading6">
    <w:name w:val="heading 6"/>
    <w:basedOn w:val="Normal"/>
    <w:next w:val="NormalIndent"/>
    <w:link w:val="6"/>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
    <w:qFormat/>
    <w:pPr>
      <w:keepNext/>
      <w:keepLines/>
      <w:spacing w:before="240" w:after="64" w:line="320" w:lineRule="auto"/>
      <w:outlineLvl w:val="6"/>
    </w:pPr>
    <w:rPr>
      <w:b/>
      <w:sz w:val="24"/>
      <w:szCs w:val="20"/>
    </w:rPr>
  </w:style>
  <w:style w:type="paragraph" w:styleId="Heading8">
    <w:name w:val="heading 8"/>
    <w:basedOn w:val="Normal"/>
    <w:next w:val="NormalIndent"/>
    <w:link w:val="8"/>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Quote"/>
    <w:link w:val="a9"/>
    <w:qFormat/>
    <w:pPr>
      <w:spacing w:line="360" w:lineRule="auto"/>
    </w:pPr>
    <w:rPr>
      <w:b/>
      <w:bCs/>
      <w:sz w:val="24"/>
    </w:rPr>
  </w:style>
  <w:style w:type="paragraph" w:styleId="Quote">
    <w:name w:val="Quote"/>
    <w:next w:val="Normal"/>
    <w:link w:val="a32"/>
    <w:uiPriority w:val="99"/>
    <w:qFormat/>
    <w:pPr>
      <w:widowControl w:val="0"/>
      <w:jc w:val="both"/>
    </w:pPr>
    <w:rPr>
      <w:rFonts w:ascii="Calibri" w:hAnsi="Calibri" w:eastAsiaTheme="minorEastAsia" w:cs="Calibri"/>
      <w:i/>
      <w:iCs/>
      <w:color w:val="000000"/>
      <w:kern w:val="2"/>
      <w:sz w:val="22"/>
      <w:szCs w:val="22"/>
      <w:lang w:val="en-US" w:eastAsia="zh-CN" w:bidi="ar-SA"/>
    </w:rPr>
  </w:style>
  <w:style w:type="paragraph" w:styleId="NormalIndent">
    <w:name w:val="Normal Indent"/>
    <w:basedOn w:val="Normal"/>
    <w:next w:val="Normal"/>
    <w:link w:val="a"/>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a28"/>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1"/>
    <w:qFormat/>
    <w:pPr>
      <w:spacing w:after="120"/>
    </w:pPr>
    <w:rPr>
      <w:sz w:val="16"/>
      <w:szCs w:val="16"/>
    </w:rPr>
  </w:style>
  <w:style w:type="paragraph" w:styleId="BodyTextIndent">
    <w:name w:val="Body Text Indent"/>
    <w:basedOn w:val="Normal"/>
    <w:link w:val="a5"/>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a8"/>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a7"/>
    <w:qFormat/>
    <w:rPr>
      <w:rFonts w:ascii="宋体" w:hAnsi="Courier New"/>
      <w:sz w:val="32"/>
      <w:szCs w:val="20"/>
    </w:rPr>
  </w:style>
  <w:style w:type="paragraph" w:styleId="BodyTextIndent2">
    <w:name w:val="Body Text Indent 2"/>
    <w:basedOn w:val="Normal"/>
    <w:link w:val="21"/>
    <w:qFormat/>
    <w:pPr>
      <w:spacing w:beforeLines="50" w:afterLines="50" w:line="120" w:lineRule="auto"/>
      <w:ind w:firstLine="840" w:firstLineChars="400"/>
      <w:jc w:val="left"/>
    </w:pPr>
    <w:rPr>
      <w:rFonts w:ascii="宋体" w:hAnsi="宋体"/>
    </w:rPr>
  </w:style>
  <w:style w:type="paragraph" w:styleId="BalloonText">
    <w:name w:val="Balloon Text"/>
    <w:basedOn w:val="Normal"/>
    <w:link w:val="a12"/>
    <w:uiPriority w:val="99"/>
    <w:semiHidden/>
    <w:qFormat/>
    <w:rPr>
      <w:sz w:val="18"/>
      <w:szCs w:val="18"/>
    </w:rPr>
  </w:style>
  <w:style w:type="paragraph" w:styleId="Footer">
    <w:name w:val="footer"/>
    <w:basedOn w:val="Normal"/>
    <w:link w:val="a11"/>
    <w:qFormat/>
    <w:pPr>
      <w:tabs>
        <w:tab w:val="center" w:pos="4153"/>
        <w:tab w:val="right" w:pos="8306"/>
      </w:tabs>
      <w:snapToGrid w:val="0"/>
      <w:jc w:val="left"/>
    </w:pPr>
    <w:rPr>
      <w:sz w:val="18"/>
      <w:szCs w:val="18"/>
    </w:rPr>
  </w:style>
  <w:style w:type="paragraph" w:styleId="Header">
    <w:name w:val="header"/>
    <w:basedOn w:val="Normal"/>
    <w:link w:val="a10"/>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2"/>
    <w:qFormat/>
    <w:pPr>
      <w:spacing w:line="360" w:lineRule="auto"/>
    </w:pPr>
    <w:rPr>
      <w:sz w:val="24"/>
    </w:rPr>
  </w:style>
  <w:style w:type="paragraph" w:styleId="HTMLPreformatted">
    <w:name w:val="HTML Preformatted"/>
    <w:basedOn w:val="Normal"/>
    <w:link w:val="HTM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a31"/>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a6"/>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a29"/>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a20"/>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sz w:val="20"/>
    </w:rPr>
  </w:style>
  <w:style w:type="character" w:styleId="HTMLAcronym">
    <w:name w:val="HTML Acronym"/>
    <w:basedOn w:val="DefaultParagraphFont"/>
    <w:semiHidden/>
    <w:unhideWhenUsed/>
    <w:qFormat/>
    <w:rPr>
      <w:color w:val="D6D6D6"/>
    </w:rPr>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hint="default"/>
    </w:rPr>
  </w:style>
  <w:style w:type="paragraph" w:customStyle="1" w:styleId="2">
    <w:name w:val="样式 首行缩进:  2 字符"/>
    <w:basedOn w:val="Normal"/>
    <w:qFormat/>
    <w:pPr>
      <w:ind w:firstLine="480" w:firstLineChars="200"/>
    </w:pPr>
    <w:rPr>
      <w:rFonts w:ascii="Calibri" w:hAnsi="Calibri" w:cs="宋体"/>
      <w:color w:val="000000"/>
      <w:szCs w:val="20"/>
    </w:rPr>
  </w:style>
  <w:style w:type="character" w:customStyle="1" w:styleId="4">
    <w:name w:val="标题 4 字符"/>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
    <w:name w:val="标题 3 字符"/>
    <w:link w:val="Heading3"/>
    <w:uiPriority w:val="9"/>
    <w:qFormat/>
    <w:rPr>
      <w:rFonts w:ascii="宋体" w:eastAsia="宋体" w:hAnsi="宋体"/>
      <w:b/>
      <w:bCs/>
      <w:kern w:val="2"/>
      <w:sz w:val="28"/>
      <w:szCs w:val="32"/>
      <w:lang w:val="en-US" w:eastAsia="zh-CN" w:bidi="ar-SA"/>
    </w:rPr>
  </w:style>
  <w:style w:type="character" w:customStyle="1" w:styleId="1">
    <w:name w:val="标题 1 字符"/>
    <w:link w:val="Heading1"/>
    <w:qFormat/>
    <w:rPr>
      <w:rFonts w:ascii="宋体" w:eastAsia="黑体" w:hAnsi="宋体"/>
      <w:b/>
      <w:bCs/>
      <w:kern w:val="44"/>
      <w:sz w:val="28"/>
      <w:szCs w:val="44"/>
      <w:lang w:val="en-US" w:eastAsia="zh-CN" w:bidi="ar-SA"/>
    </w:rPr>
  </w:style>
  <w:style w:type="character" w:customStyle="1" w:styleId="a">
    <w:name w:val="正文缩进 字符"/>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0">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0">
    <w:name w:val="标题 2 字符"/>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a5">
    <w:name w:val="正文文本缩进 字符"/>
    <w:link w:val="BodyTextIndent"/>
    <w:qFormat/>
    <w:rPr>
      <w:rFonts w:eastAsia="宋体"/>
      <w:kern w:val="2"/>
      <w:sz w:val="21"/>
      <w:szCs w:val="24"/>
      <w:lang w:val="en-US" w:eastAsia="zh-CN" w:bidi="ar-SA"/>
    </w:rPr>
  </w:style>
  <w:style w:type="character" w:customStyle="1" w:styleId="5">
    <w:name w:val="标题 5 字符"/>
    <w:link w:val="Heading5"/>
    <w:qFormat/>
    <w:rPr>
      <w:rFonts w:eastAsia="宋体"/>
      <w:b/>
      <w:kern w:val="2"/>
      <w:sz w:val="28"/>
      <w:lang w:val="en-US" w:eastAsia="zh-CN" w:bidi="ar-SA"/>
    </w:rPr>
  </w:style>
  <w:style w:type="character" w:customStyle="1" w:styleId="Char0">
    <w:name w:val="第*章 Char"/>
    <w:qFormat/>
    <w:rPr>
      <w:rFonts w:ascii="Arial" w:eastAsia="黑体" w:hAnsi="Arial"/>
      <w:b/>
      <w:bCs/>
      <w:kern w:val="2"/>
      <w:sz w:val="32"/>
      <w:szCs w:val="32"/>
    </w:rPr>
  </w:style>
  <w:style w:type="character" w:customStyle="1" w:styleId="1Char">
    <w:name w:val="章标题1 Char"/>
    <w:qFormat/>
    <w:rPr>
      <w:rFonts w:eastAsia="宋体"/>
      <w:b/>
      <w:bCs/>
      <w:kern w:val="2"/>
      <w:sz w:val="32"/>
      <w:szCs w:val="32"/>
      <w:lang w:val="en-US" w:eastAsia="zh-CN" w:bidi="ar-SA"/>
    </w:rPr>
  </w:style>
  <w:style w:type="character" w:customStyle="1" w:styleId="6">
    <w:name w:val="标题 6 字符"/>
    <w:link w:val="Heading6"/>
    <w:qFormat/>
    <w:rPr>
      <w:rFonts w:ascii="Arial" w:eastAsia="黑体" w:hAnsi="Arial"/>
      <w:b/>
      <w:kern w:val="2"/>
      <w:sz w:val="24"/>
      <w:lang w:val="en-US" w:eastAsia="zh-CN" w:bidi="ar-SA"/>
    </w:rPr>
  </w:style>
  <w:style w:type="character" w:customStyle="1" w:styleId="7">
    <w:name w:val="标题 7 字符"/>
    <w:link w:val="Heading7"/>
    <w:qFormat/>
    <w:rPr>
      <w:rFonts w:eastAsia="宋体"/>
      <w:b/>
      <w:kern w:val="2"/>
      <w:sz w:val="24"/>
      <w:lang w:val="en-US" w:eastAsia="zh-CN" w:bidi="ar-SA"/>
    </w:rPr>
  </w:style>
  <w:style w:type="character" w:customStyle="1" w:styleId="8">
    <w:name w:val="标题 8 字符"/>
    <w:link w:val="Heading8"/>
    <w:qFormat/>
    <w:rPr>
      <w:rFonts w:ascii="Arial" w:eastAsia="黑体" w:hAnsi="Arial"/>
      <w:kern w:val="2"/>
      <w:sz w:val="24"/>
      <w:lang w:val="en-US" w:eastAsia="zh-CN" w:bidi="ar-SA"/>
    </w:rPr>
  </w:style>
  <w:style w:type="character" w:customStyle="1" w:styleId="9">
    <w:name w:val="标题 9 字符"/>
    <w:link w:val="Heading9"/>
    <w:qFormat/>
    <w:rPr>
      <w:rFonts w:ascii="Arial" w:eastAsia="黑体" w:hAnsi="Arial"/>
      <w:kern w:val="2"/>
      <w:sz w:val="21"/>
      <w:lang w:val="en-US" w:eastAsia="zh-CN" w:bidi="ar-SA"/>
    </w:rPr>
  </w:style>
  <w:style w:type="character" w:customStyle="1" w:styleId="a6">
    <w:name w:val="标题 字符"/>
    <w:link w:val="Title"/>
    <w:qFormat/>
    <w:rPr>
      <w:rFonts w:ascii="Arial" w:eastAsia="隶书" w:hAnsi="Arial" w:cs="Arial"/>
      <w:b/>
      <w:bCs/>
      <w:kern w:val="2"/>
      <w:sz w:val="32"/>
      <w:szCs w:val="32"/>
      <w:lang w:val="en-US" w:eastAsia="zh-CN" w:bidi="ar-SA"/>
    </w:rPr>
  </w:style>
  <w:style w:type="character" w:customStyle="1" w:styleId="a7">
    <w:name w:val="日期 字符"/>
    <w:link w:val="Date"/>
    <w:qFormat/>
    <w:rPr>
      <w:rFonts w:ascii="宋体" w:eastAsia="宋体" w:hAnsi="Courier New"/>
      <w:kern w:val="2"/>
      <w:sz w:val="32"/>
      <w:lang w:val="en-US" w:eastAsia="zh-CN" w:bidi="ar-SA"/>
    </w:rPr>
  </w:style>
  <w:style w:type="character" w:customStyle="1" w:styleId="HTML">
    <w:name w:val="HTML 预设格式 字符"/>
    <w:link w:val="HTMLPreformatted"/>
    <w:qFormat/>
    <w:rPr>
      <w:rFonts w:ascii="Arial Unicode MS" w:eastAsia="Arial Unicode MS" w:hAnsi="Arial Unicode MS"/>
      <w:color w:val="000000"/>
      <w:lang w:val="en-US" w:eastAsia="zh-CN" w:bidi="ar-SA"/>
    </w:rPr>
  </w:style>
  <w:style w:type="character" w:customStyle="1" w:styleId="a8">
    <w:name w:val="纯文本 字符"/>
    <w:link w:val="PlainText"/>
    <w:qFormat/>
    <w:rPr>
      <w:rFonts w:ascii="宋体" w:eastAsia="宋体" w:hAnsi="Courier New"/>
      <w:kern w:val="2"/>
      <w:sz w:val="21"/>
      <w:lang w:val="en-US" w:eastAsia="zh-CN" w:bidi="ar-SA"/>
    </w:rPr>
  </w:style>
  <w:style w:type="character" w:customStyle="1" w:styleId="Char1">
    <w:name w:val="正文文字首行缩进 Char"/>
    <w:qFormat/>
    <w:rPr>
      <w:kern w:val="2"/>
      <w:sz w:val="21"/>
      <w:szCs w:val="24"/>
    </w:rPr>
  </w:style>
  <w:style w:type="character" w:customStyle="1" w:styleId="a9">
    <w:name w:val="正文文本 字符"/>
    <w:link w:val="BodyText"/>
    <w:qFormat/>
    <w:rPr>
      <w:rFonts w:eastAsia="宋体"/>
      <w:b/>
      <w:bCs/>
      <w:kern w:val="2"/>
      <w:sz w:val="24"/>
      <w:szCs w:val="24"/>
      <w:lang w:val="en-US" w:eastAsia="zh-CN" w:bidi="ar-SA"/>
    </w:rPr>
  </w:style>
  <w:style w:type="character" w:customStyle="1" w:styleId="21">
    <w:name w:val="正文文本缩进 2 字符"/>
    <w:link w:val="BodyTextIndent2"/>
    <w:qFormat/>
    <w:rPr>
      <w:rFonts w:ascii="宋体" w:eastAsia="宋体" w:hAnsi="宋体"/>
      <w:kern w:val="2"/>
      <w:sz w:val="21"/>
      <w:szCs w:val="24"/>
      <w:lang w:val="en-US" w:eastAsia="zh-CN" w:bidi="ar-SA"/>
    </w:rPr>
  </w:style>
  <w:style w:type="character" w:customStyle="1" w:styleId="a10">
    <w:name w:val="页眉 字符"/>
    <w:link w:val="Header"/>
    <w:uiPriority w:val="99"/>
    <w:qFormat/>
    <w:rPr>
      <w:rFonts w:eastAsia="宋体"/>
      <w:kern w:val="2"/>
      <w:sz w:val="18"/>
      <w:szCs w:val="18"/>
      <w:lang w:val="en-US" w:eastAsia="zh-CN" w:bidi="ar-SA"/>
    </w:rPr>
  </w:style>
  <w:style w:type="character" w:customStyle="1" w:styleId="30">
    <w:name w:val="正文文本缩进 3 字符"/>
    <w:link w:val="BodyTextIndent3"/>
    <w:qFormat/>
    <w:rPr>
      <w:rFonts w:ascii="宋体" w:eastAsia="宋体"/>
      <w:b/>
      <w:bCs/>
      <w:kern w:val="2"/>
      <w:sz w:val="24"/>
      <w:szCs w:val="24"/>
      <w:lang w:val="en-US" w:eastAsia="zh-CN" w:bidi="ar-SA"/>
    </w:rPr>
  </w:style>
  <w:style w:type="character" w:customStyle="1" w:styleId="22">
    <w:name w:val="正文文本 2 字符"/>
    <w:link w:val="BodyText2"/>
    <w:qFormat/>
    <w:rPr>
      <w:rFonts w:eastAsia="宋体"/>
      <w:kern w:val="2"/>
      <w:sz w:val="24"/>
      <w:szCs w:val="24"/>
      <w:lang w:val="en-US" w:eastAsia="zh-CN" w:bidi="ar-SA"/>
    </w:rPr>
  </w:style>
  <w:style w:type="character" w:customStyle="1" w:styleId="a11">
    <w:name w:val="页脚 字符"/>
    <w:link w:val="Footer"/>
    <w:qFormat/>
    <w:rPr>
      <w:rFonts w:eastAsia="宋体"/>
      <w:kern w:val="2"/>
      <w:sz w:val="18"/>
      <w:szCs w:val="18"/>
      <w:lang w:val="en-US" w:eastAsia="zh-CN" w:bidi="ar-SA"/>
    </w:rPr>
  </w:style>
  <w:style w:type="character" w:customStyle="1" w:styleId="31">
    <w:name w:val="正文文本 3 字符"/>
    <w:link w:val="BodyText3"/>
    <w:qFormat/>
    <w:rPr>
      <w:rFonts w:eastAsia="宋体"/>
      <w:kern w:val="2"/>
      <w:sz w:val="16"/>
      <w:szCs w:val="16"/>
      <w:lang w:val="en-US" w:eastAsia="zh-CN" w:bidi="ar-SA"/>
    </w:rPr>
  </w:style>
  <w:style w:type="character" w:customStyle="1" w:styleId="a12">
    <w:name w:val="批注框文本 字符"/>
    <w:link w:val="BalloonText"/>
    <w:uiPriority w:val="99"/>
    <w:semiHidden/>
    <w:qFormat/>
    <w:rPr>
      <w:rFonts w:eastAsia="宋体"/>
      <w:kern w:val="2"/>
      <w:sz w:val="18"/>
      <w:szCs w:val="18"/>
      <w:lang w:val="en-US" w:eastAsia="zh-CN" w:bidi="ar-SA"/>
    </w:rPr>
  </w:style>
  <w:style w:type="paragraph" w:customStyle="1" w:styleId="11">
    <w:name w:val="样式1"/>
    <w:basedOn w:val="Title"/>
    <w:qFormat/>
    <w:pPr>
      <w:spacing w:before="120" w:after="120"/>
    </w:pPr>
    <w:rPr>
      <w:rFonts w:eastAsia="黑体"/>
      <w:b w:val="0"/>
      <w:sz w:val="30"/>
      <w:szCs w:val="21"/>
    </w:rPr>
  </w:style>
  <w:style w:type="paragraph" w:customStyle="1" w:styleId="23">
    <w:name w:val="样式2"/>
    <w:basedOn w:val="Title"/>
    <w:next w:val="11"/>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13">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14">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0">
    <w:name w:val="样式4"/>
    <w:basedOn w:val="Normal"/>
    <w:qFormat/>
    <w:pPr>
      <w:tabs>
        <w:tab w:val="left" w:pos="842"/>
      </w:tabs>
      <w:spacing w:line="360" w:lineRule="auto"/>
      <w:ind w:left="842" w:hanging="420"/>
    </w:pPr>
    <w:rPr>
      <w:sz w:val="24"/>
    </w:rPr>
  </w:style>
  <w:style w:type="paragraph" w:customStyle="1" w:styleId="a15">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16">
    <w:name w:val="缺省文本"/>
    <w:basedOn w:val="Normal"/>
    <w:qFormat/>
    <w:pPr>
      <w:autoSpaceDE w:val="0"/>
      <w:autoSpaceDN w:val="0"/>
      <w:adjustRightInd w:val="0"/>
      <w:jc w:val="left"/>
    </w:pPr>
    <w:rPr>
      <w:kern w:val="0"/>
    </w:rPr>
  </w:style>
  <w:style w:type="paragraph" w:customStyle="1" w:styleId="a17">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2">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8">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9">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a20">
    <w:name w:val="正文文本首行缩进 字符"/>
    <w:link w:val="BodyTextFirstIndent"/>
    <w:qFormat/>
    <w:rPr>
      <w:rFonts w:eastAsia="宋体"/>
      <w:b/>
      <w:bCs/>
      <w:kern w:val="2"/>
      <w:sz w:val="21"/>
      <w:szCs w:val="24"/>
      <w:lang w:val="en-US" w:eastAsia="zh-CN" w:bidi="ar-SA"/>
    </w:rPr>
  </w:style>
  <w:style w:type="paragraph" w:customStyle="1" w:styleId="Char2">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0">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0">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1">
    <w:name w:val="8"/>
    <w:basedOn w:val="Normal"/>
    <w:next w:val="BodyTextIndent"/>
    <w:qFormat/>
    <w:pPr>
      <w:spacing w:after="120"/>
      <w:ind w:left="420" w:leftChars="200"/>
    </w:pPr>
  </w:style>
  <w:style w:type="paragraph" w:customStyle="1" w:styleId="70">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0">
    <w:name w:val="5"/>
    <w:basedOn w:val="Normal"/>
    <w:qFormat/>
    <w:pPr>
      <w:autoSpaceDE w:val="0"/>
      <w:autoSpaceDN w:val="0"/>
      <w:adjustRightInd w:val="0"/>
      <w:jc w:val="left"/>
    </w:pPr>
    <w:rPr>
      <w:rFonts w:ascii="宋体"/>
      <w:b/>
      <w:bCs/>
      <w:kern w:val="0"/>
      <w:sz w:val="18"/>
      <w:szCs w:val="18"/>
    </w:rPr>
  </w:style>
  <w:style w:type="paragraph" w:customStyle="1" w:styleId="60">
    <w:name w:val="6"/>
    <w:basedOn w:val="50"/>
    <w:qFormat/>
    <w:pPr>
      <w:spacing w:line="270" w:lineRule="atLeast"/>
      <w:jc w:val="both"/>
    </w:pPr>
    <w:rPr>
      <w:b w:val="0"/>
      <w:bCs w:val="0"/>
    </w:rPr>
  </w:style>
  <w:style w:type="paragraph" w:customStyle="1" w:styleId="a2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2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0">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2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24">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qFormat/>
    <w:pPr>
      <w:jc w:val="left"/>
    </w:pPr>
    <w:rPr>
      <w:rFonts w:ascii="Tahoma" w:hAnsi="Tahoma"/>
      <w:sz w:val="24"/>
      <w:szCs w:val="20"/>
    </w:rPr>
  </w:style>
  <w:style w:type="paragraph" w:customStyle="1" w:styleId="12">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25">
    <w:name w:val="表格字"/>
    <w:basedOn w:val="Normal"/>
    <w:qFormat/>
    <w:pPr>
      <w:adjustRightInd w:val="0"/>
      <w:jc w:val="center"/>
    </w:pPr>
    <w:rPr>
      <w:rFonts w:ascii="宋体"/>
      <w:sz w:val="24"/>
      <w:szCs w:val="20"/>
    </w:rPr>
  </w:style>
  <w:style w:type="character" w:customStyle="1" w:styleId="a26">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27">
    <w:name w:val="缩进正文"/>
    <w:basedOn w:val="Normal"/>
    <w:link w:val="Char3"/>
    <w:qFormat/>
    <w:pPr>
      <w:ind w:firstLine="560" w:firstLineChars="200"/>
    </w:pPr>
    <w:rPr>
      <w:rFonts w:eastAsia="仿宋_GB2312" w:cs="宋体"/>
      <w:sz w:val="28"/>
      <w:szCs w:val="20"/>
    </w:rPr>
  </w:style>
  <w:style w:type="character" w:customStyle="1" w:styleId="Char3">
    <w:name w:val="缩进正文 Char"/>
    <w:link w:val="a27"/>
    <w:qFormat/>
    <w:rPr>
      <w:rFonts w:eastAsia="仿宋_GB2312" w:cs="宋体"/>
      <w:kern w:val="2"/>
      <w:sz w:val="28"/>
      <w:lang w:val="en-US" w:eastAsia="zh-CN" w:bidi="ar-SA"/>
    </w:rPr>
  </w:style>
  <w:style w:type="paragraph" w:customStyle="1" w:styleId="13">
    <w:name w:val="列出段落1"/>
    <w:basedOn w:val="Normal"/>
    <w:qFormat/>
    <w:pPr>
      <w:ind w:firstLine="420" w:firstLineChars="200"/>
    </w:pPr>
    <w:rPr>
      <w:rFonts w:ascii="Calibri" w:hAnsi="Calibri" w:cs="Calibri"/>
      <w:szCs w:val="21"/>
    </w:rPr>
  </w:style>
  <w:style w:type="character" w:customStyle="1" w:styleId="a28">
    <w:name w:val="批注文字 字符"/>
    <w:basedOn w:val="DefaultParagraphFont"/>
    <w:link w:val="CommentText"/>
    <w:uiPriority w:val="99"/>
    <w:qFormat/>
    <w:rPr>
      <w:rFonts w:ascii="宋体"/>
      <w:sz w:val="34"/>
    </w:rPr>
  </w:style>
  <w:style w:type="character" w:customStyle="1" w:styleId="a29">
    <w:name w:val="批注主题 字符"/>
    <w:basedOn w:val="a28"/>
    <w:link w:val="CommentSubject"/>
    <w:uiPriority w:val="99"/>
    <w:qFormat/>
    <w:rPr>
      <w:rFonts w:ascii="宋体"/>
      <w:sz w:val="34"/>
    </w:rPr>
  </w:style>
  <w:style w:type="paragraph" w:customStyle="1" w:styleId="a30">
    <w:name w:val="评价"/>
    <w:basedOn w:val="Normal"/>
    <w:qFormat/>
    <w:pPr>
      <w:spacing w:afterLines="20"/>
      <w:ind w:firstLine="1446" w:firstLineChars="200"/>
    </w:pPr>
    <w:rPr>
      <w:rFonts w:ascii="Calibri" w:hAnsi="Calibri"/>
      <w:sz w:val="24"/>
    </w:rPr>
  </w:style>
  <w:style w:type="paragraph" w:customStyle="1" w:styleId="14">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a31">
    <w:name w:val="普通(网站) 字符"/>
    <w:link w:val="NormalWeb"/>
    <w:qFormat/>
    <w:rPr>
      <w:kern w:val="2"/>
      <w:sz w:val="24"/>
      <w:szCs w:val="24"/>
    </w:rPr>
  </w:style>
  <w:style w:type="character" w:customStyle="1" w:styleId="Char12">
    <w:name w:val="批注文字 Char1"/>
    <w:uiPriority w:val="99"/>
    <w:qFormat/>
    <w:rPr>
      <w:rFonts w:ascii="宋体"/>
      <w:sz w:val="34"/>
    </w:rPr>
  </w:style>
  <w:style w:type="character" w:customStyle="1" w:styleId="Char13">
    <w:name w:val="正文缩进 Char1"/>
    <w:qFormat/>
    <w:rPr>
      <w:rFonts w:eastAsia="宋体"/>
      <w:kern w:val="2"/>
      <w:sz w:val="21"/>
      <w:lang w:val="en-US" w:eastAsia="zh-CN" w:bidi="ar-SA"/>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 w:type="paragraph" w:customStyle="1" w:styleId="25">
    <w:name w:val="修订2"/>
    <w:hidden/>
    <w:uiPriority w:val="99"/>
    <w:semiHidden/>
    <w:qFormat/>
    <w:rPr>
      <w:rFonts w:ascii="Times New Roman" w:eastAsia="宋体" w:hAnsi="Times New Roman" w:cs="Times New Roman"/>
      <w:kern w:val="2"/>
      <w:sz w:val="21"/>
      <w:szCs w:val="24"/>
      <w:lang w:val="en-US" w:eastAsia="zh-CN" w:bidi="ar-SA"/>
    </w:rPr>
  </w:style>
  <w:style w:type="character" w:customStyle="1" w:styleId="a32">
    <w:name w:val="引用 字符"/>
    <w:basedOn w:val="DefaultParagraphFont"/>
    <w:link w:val="Quote"/>
    <w:uiPriority w:val="99"/>
    <w:qFormat/>
    <w:rPr>
      <w:rFonts w:ascii="Calibri" w:hAnsi="Calibri" w:eastAsiaTheme="minorEastAsia" w:cs="Calibri"/>
      <w:i/>
      <w:iCs/>
      <w:color w:val="000000"/>
      <w:kern w:val="2"/>
      <w:sz w:val="22"/>
      <w:szCs w:val="22"/>
    </w:rPr>
  </w:style>
  <w:style w:type="character" w:customStyle="1" w:styleId="mini-outputtext1">
    <w:name w:val="mini-outputtext1"/>
    <w:basedOn w:val="DefaultParagraphFont"/>
  </w:style>
  <w:style w:type="character" w:customStyle="1" w:styleId="hover4">
    <w:name w:val="hover4"/>
    <w:basedOn w:val="DefaultParagraphFont"/>
    <w:rPr>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footer" Target="footer1.xml" /><Relationship Id="rId9" Type="http://schemas.openxmlformats.org/officeDocument/2006/relationships/header" Target="head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88A13F-8C3C-4F64-BA74-7482B658E68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43115</Words>
  <Characters>45628</Characters>
  <Application>Microsoft Office Word</Application>
  <DocSecurity>0</DocSecurity>
  <Lines>351</Lines>
  <Paragraphs>99</Paragraphs>
  <ScaleCrop>false</ScaleCrop>
  <Company>Microsoft</Company>
  <LinksUpToDate>false</LinksUpToDate>
  <CharactersWithSpaces>47683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Super雷</cp:lastModifiedBy>
  <cp:revision>2</cp:revision>
  <cp:lastPrinted>2021-05-09T08:02:00Z</cp:lastPrinted>
  <dcterms:created xsi:type="dcterms:W3CDTF">2023-07-17T07:32:00Z</dcterms:created>
  <dcterms:modified xsi:type="dcterms:W3CDTF">2023-08-15T03:53:47Z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D1675A09ACB948FFAB82B51A51DB11E7_13</vt:lpwstr>
  </property>
  <property fmtid="{D5CDD505-2E9C-101B-9397-08002B2CF9AE}" pid="3" name="KSOProductBuildVer">
    <vt:lpwstr>2052-11.1.0.14309</vt:lpwstr>
  </property>
</Properties>
</file>