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hint="eastAsia"/>
          <w:color w:val="FF0000"/>
          <w:szCs w:val="21"/>
        </w:rPr>
      </w:pPr>
      <w:bookmarkStart w:id="0" w:name="_Hlk71456902"/>
      <w:r>
        <w:rPr>
          <w:rFonts w:ascii="宋体" w:eastAsia="黑体" w:hAnsi="宋体" w:hint="eastAsia"/>
          <w:b/>
          <w:bCs/>
          <w:color w:val="FF0000"/>
          <w:kern w:val="44"/>
          <w:sz w:val="28"/>
          <w:szCs w:val="44"/>
        </w:rPr>
        <w:t>特别警示条款</w:t>
      </w:r>
    </w:p>
    <w:p>
      <w:pPr>
        <w:spacing w:after="240" w:afterLines="100" w:line="400" w:lineRule="exact"/>
        <w:ind w:firstLine="420" w:firstLineChars="200"/>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vAlign w:val="center"/>
          </w:tcPr>
          <w:p>
            <w:pP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pP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pPr>
        <w:ind w:firstLine="420" w:firstLineChars="200"/>
        <w:rPr>
          <w:rFonts w:ascii="宋体" w:hAnsi="宋体" w:hint="eastAsia"/>
          <w:color w:val="FF0000"/>
          <w:sz w:val="20"/>
          <w:szCs w:val="20"/>
        </w:rPr>
      </w:pPr>
    </w:p>
    <w:p>
      <w:pP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pP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bCs/>
          <w:color w:val="FF0000"/>
          <w:sz w:val="20"/>
          <w:szCs w:val="20"/>
        </w:rPr>
      </w:pPr>
      <w:r>
        <w:rPr>
          <w:rFonts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pP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pPr>
    </w:p>
    <w:p>
      <w:pPr>
        <w:pStyle w:val="NormalWeb"/>
        <w:widowControl/>
        <w:jc w:val="both"/>
        <w:outlineLvl w:val="1"/>
        <w:rPr>
          <w:b/>
          <w:color w:val="FF0000"/>
          <w:kern w:val="2"/>
          <w:sz w:val="21"/>
        </w:rPr>
      </w:pPr>
      <w:r>
        <w:rPr>
          <w:rFonts w:hint="eastAsia"/>
          <w:b/>
          <w:color w:val="FF0000"/>
          <w:kern w:val="2"/>
          <w:sz w:val="21"/>
        </w:rPr>
        <w:t>注：“特别警示条款”和《政府采购违法行为风险知悉确认书》用于对供应商违法行为的提醒，不作为供应商资格性审查及符合性审查条件。</w:t>
      </w: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sectPr>
          <w:footerReference w:type="even" r:id="rId7"/>
          <w:footerReference w:type="default" r:id="rId8"/>
          <w:headerReference w:type="first" r:id="rId9"/>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default"/>
                <w:sz w:val="30"/>
                <w:szCs w:val="30"/>
                <w:lang w:val="en-US" w:eastAsia="zh-CN"/>
              </w:rPr>
              <w:t>LGCG2025000239</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龙岗区耳鼻咽喉医院激光共聚焦显微镜采购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cols w:num="1" w:space="425"/>
          <w:titlePg/>
          <w:docGrid w:linePitch="462" w:charSpace="0"/>
        </w:sectPr>
      </w:pPr>
      <w:bookmarkEnd w:id="0"/>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pPr>
            <w:r>
              <w:rPr>
                <w:rFonts w:hint="eastAsia"/>
              </w:rPr>
              <w:t>采购标的/所投产品/货物清单/报价等任意一类有缺漏项或响应不全，或者对招标文件规定的项目需求内容或者需求数量进行修改，评审委员会判定投标响应不满足采购需求；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hAnsi="宋体" w:cs="宋体" w:hint="eastAsia"/>
              </w:rPr>
            </w:pPr>
            <w:r>
              <w:rPr>
                <w:rFonts w:ascii="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pPr>
            <w:r>
              <w:rPr>
                <w:rFonts w:hint="eastAsia"/>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hAnsi="宋体" w:cs="宋体" w:hint="eastAsia"/>
              </w:rPr>
            </w:pPr>
            <w:r>
              <w:rPr>
                <w:rFonts w:ascii="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pPr>
            <w:r>
              <w:rPr>
                <w:rFonts w:hint="eastAsia"/>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Style w:val="TableNormal"/>
        <w:tblW w:w="9141" w:type="dxa"/>
        <w:jc w:val="center"/>
        <w:tblCellSpacing w:w="0" w:type="dxa"/>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ind w:firstLine="420"/>
              <w:rPr>
                <w:szCs w:val="21"/>
              </w:rPr>
            </w:pP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r>
              <w:rPr>
                <w:rFonts w:hint="eastAsia"/>
                <w:szCs w:val="21"/>
              </w:rPr>
              <w:t>（适用于中标候选人为2家或以上的情形）</w:t>
            </w:r>
          </w:p>
          <w:p>
            <w:pPr>
              <w:ind w:firstLine="420"/>
            </w:pPr>
          </w:p>
          <w:p>
            <w:pPr>
              <w:ind w:firstLine="420"/>
              <w:rPr>
                <w:szCs w:val="21"/>
              </w:rPr>
            </w:pPr>
            <w:r>
              <w:rPr>
                <w:szCs w:val="21"/>
              </w:rPr>
              <w:t>价格分计算方法：</w:t>
            </w:r>
          </w:p>
          <w:p>
            <w:pPr>
              <w:pStyle w:val="NormalWeb"/>
              <w:widowControl/>
              <w:spacing w:beforeAutospacing="0" w:afterAutospacing="0"/>
              <w:ind w:left="420"/>
              <w:rPr>
                <w:kern w:val="2"/>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widowControl/>
              <w:spacing w:beforeAutospacing="0" w:afterAutospacing="0"/>
              <w:ind w:left="420"/>
              <w:rPr>
                <w:kern w:val="2"/>
                <w:sz w:val="21"/>
                <w:szCs w:val="21"/>
              </w:rPr>
            </w:pPr>
            <w:r>
              <w:rPr>
                <w:kern w:val="2"/>
                <w:sz w:val="21"/>
                <w:szCs w:val="21"/>
              </w:rPr>
              <w:t xml:space="preserve">投标报价得分=(评标基准价／投标报价)×100 </w:t>
            </w:r>
          </w:p>
          <w:p>
            <w:pPr>
              <w:pStyle w:val="NormalWeb"/>
              <w:widowControl/>
              <w:spacing w:beforeAutospacing="0" w:afterAutospacing="0"/>
              <w:ind w:left="420"/>
              <w:rPr>
                <w:kern w:val="2"/>
                <w:sz w:val="21"/>
                <w:szCs w:val="21"/>
              </w:rPr>
            </w:pPr>
            <w:r>
              <w:rPr>
                <w:kern w:val="2"/>
                <w:sz w:val="21"/>
                <w:szCs w:val="21"/>
              </w:rPr>
              <w:t xml:space="preserve">评标总得分＝F1×A1＋F2×A2＋……＋Fn×An </w:t>
            </w:r>
          </w:p>
          <w:p>
            <w:pPr>
              <w:pStyle w:val="NormalWeb"/>
              <w:widowControl/>
              <w:spacing w:beforeAutospacing="0" w:afterAutospacing="0"/>
              <w:ind w:left="420"/>
              <w:rPr>
                <w:kern w:val="2"/>
                <w:sz w:val="21"/>
                <w:szCs w:val="21"/>
              </w:rPr>
            </w:pPr>
            <w:r>
              <w:rPr>
                <w:kern w:val="2"/>
                <w:sz w:val="21"/>
                <w:szCs w:val="21"/>
              </w:rPr>
              <w:t xml:space="preserve">F1、F2……Fn分别为各项评审因素的得分； </w:t>
            </w:r>
          </w:p>
          <w:p>
            <w:pPr>
              <w:pStyle w:val="NormalWeb"/>
              <w:widowControl/>
              <w:spacing w:beforeAutospacing="0" w:afterAutospacing="0"/>
              <w:ind w:left="420"/>
              <w:rPr>
                <w:kern w:val="2"/>
                <w:sz w:val="21"/>
                <w:szCs w:val="21"/>
              </w:rPr>
            </w:pPr>
            <w:r>
              <w:rPr>
                <w:kern w:val="2"/>
                <w:sz w:val="21"/>
                <w:szCs w:val="21"/>
              </w:rPr>
              <w:t xml:space="preserve">A1、A2、……An 分别为各项评审因素所占的权重(A1＋A2＋……＋An＝1)。 </w:t>
            </w:r>
          </w:p>
          <w:p>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pPr>
              <w:pStyle w:val="NormalWeb"/>
              <w:widowControl/>
              <w:spacing w:beforeAutospacing="0" w:afterAutospacing="0"/>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hint="eastAsia"/>
                <w:b/>
                <w:bCs/>
                <w:color w:val="0000FF"/>
                <w:sz w:val="24"/>
              </w:rPr>
              <w:t>67</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hint="eastAsia"/>
                <w:szCs w:val="21"/>
              </w:rPr>
              <w:t>所投产品“▲”参数响应情况评价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30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idowControl/>
              <w:numPr>
                <w:ilvl w:val="0"/>
                <w:numId w:val="7"/>
              </w:numPr>
              <w:jc w:val="left"/>
              <w:rPr>
                <w:rFonts w:ascii="宋体" w:hAnsi="宋体" w:cs="宋体" w:hint="eastAsia"/>
                <w:szCs w:val="21"/>
              </w:rPr>
            </w:pPr>
            <w:r>
              <w:rPr>
                <w:rFonts w:ascii="宋体" w:hAnsi="宋体" w:cs="宋体" w:hint="eastAsia"/>
                <w:szCs w:val="21"/>
              </w:rPr>
              <w:t>评分内容：</w:t>
            </w:r>
          </w:p>
          <w:p>
            <w:pPr>
              <w:widowControl/>
              <w:jc w:val="left"/>
              <w:rPr>
                <w:rFonts w:ascii="宋体" w:hAnsi="宋体" w:cs="宋体" w:hint="eastAsia"/>
                <w:szCs w:val="21"/>
              </w:rPr>
            </w:pPr>
            <w:r>
              <w:rPr>
                <w:rFonts w:ascii="宋体" w:hAnsi="宋体" w:cs="宋体" w:hint="eastAsia"/>
                <w:szCs w:val="21"/>
              </w:rPr>
              <w:t>投标人应如实填写《技术要求偏离表》，评审委员会根据技术需求“▲”参数响应情况进行打分，各项技术参数指标及要求全部满足的得100分，所有标注“▲”的重要参数每项负偏离扣</w:t>
            </w:r>
            <w:r>
              <w:rPr>
                <w:rFonts w:ascii="宋体" w:hAnsi="宋体" w:cs="宋体" w:hint="eastAsia"/>
                <w:szCs w:val="21"/>
                <w:lang w:val="en-US" w:eastAsia="zh-CN"/>
              </w:rPr>
              <w:t>17</w:t>
            </w:r>
            <w:r>
              <w:rPr>
                <w:rFonts w:ascii="宋体" w:hAnsi="宋体" w:cs="宋体" w:hint="eastAsia"/>
                <w:szCs w:val="21"/>
              </w:rPr>
              <w:t>分，扣完为止。</w:t>
            </w:r>
          </w:p>
          <w:p>
            <w:pPr>
              <w:widowControl/>
              <w:numPr>
                <w:ilvl w:val="0"/>
                <w:numId w:val="7"/>
              </w:numPr>
              <w:jc w:val="left"/>
              <w:rPr>
                <w:rFonts w:ascii="宋体" w:hAnsi="宋体" w:cs="宋体" w:hint="eastAsia"/>
                <w:szCs w:val="21"/>
              </w:rPr>
            </w:pPr>
            <w:r>
              <w:rPr>
                <w:rFonts w:ascii="宋体" w:hAnsi="宋体" w:cs="宋体" w:hint="eastAsia"/>
                <w:szCs w:val="21"/>
              </w:rPr>
              <w:t>评分依据：</w:t>
            </w:r>
          </w:p>
          <w:p>
            <w:pPr>
              <w:widowControl/>
              <w:wordWrap w:val="0"/>
              <w:jc w:val="left"/>
              <w:textAlignment w:val="top"/>
              <w:rPr>
                <w:szCs w:val="21"/>
              </w:rPr>
            </w:pPr>
            <w:r>
              <w:rPr>
                <w:rFonts w:ascii="宋体" w:hAnsi="宋体" w:cs="宋体" w:hint="eastAsia"/>
                <w:szCs w:val="21"/>
              </w:rPr>
              <w:t>《技术要求偏离表》。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1072"/>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szCs w:val="21"/>
              </w:rPr>
            </w:pPr>
            <w:r>
              <w:rPr>
                <w:rFonts w:ascii="宋体" w:hAnsi="宋体" w:cs="宋体" w:hint="eastAsia"/>
                <w:szCs w:val="21"/>
              </w:rPr>
              <w:t>所投产品一般技术参数（非“▲”参数）响应情况评价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color w:val="000000"/>
                <w:szCs w:val="21"/>
              </w:rPr>
            </w:pPr>
            <w:r>
              <w:rPr>
                <w:rFonts w:ascii="宋体" w:hAnsi="宋体" w:cs="宋体" w:hint="eastAsia"/>
                <w:color w:val="000000"/>
                <w:szCs w:val="21"/>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宋体" w:hAnsi="宋体" w:cs="宋体" w:hint="eastAsia"/>
                <w:szCs w:val="21"/>
              </w:rPr>
            </w:pPr>
            <w:r>
              <w:rPr>
                <w:rFonts w:ascii="宋体" w:hAnsi="宋体" w:cs="宋体" w:hint="eastAsia"/>
                <w:szCs w:val="21"/>
              </w:rPr>
              <w:t>（一）评分内容：</w:t>
            </w:r>
          </w:p>
          <w:p>
            <w:pPr>
              <w:widowControl/>
              <w:jc w:val="left"/>
              <w:rPr>
                <w:rFonts w:ascii="宋体" w:hAnsi="宋体" w:cs="宋体" w:hint="eastAsia"/>
                <w:szCs w:val="21"/>
              </w:rPr>
            </w:pPr>
            <w:r>
              <w:rPr>
                <w:rFonts w:ascii="宋体" w:hAnsi="宋体" w:cs="宋体" w:hint="eastAsia"/>
                <w:szCs w:val="21"/>
              </w:rPr>
              <w:t>投标人应如实填写《技术要求偏离表》，评审委员会根据技术需求未标注“▲”参数响应情况进行打分，各项技术参数指标及要求全部满足的得100分，未标注“▲”的一般参数每负偏离一条扣</w:t>
            </w:r>
            <w:r>
              <w:rPr>
                <w:rFonts w:ascii="宋体" w:hAnsi="宋体" w:cs="宋体" w:hint="eastAsia"/>
                <w:szCs w:val="21"/>
                <w:lang w:val="en-US" w:eastAsia="zh-CN"/>
              </w:rPr>
              <w:t>7</w:t>
            </w:r>
            <w:r>
              <w:rPr>
                <w:rFonts w:ascii="宋体" w:hAnsi="宋体" w:cs="宋体" w:hint="eastAsia"/>
                <w:szCs w:val="21"/>
              </w:rPr>
              <w:t>分，扣完为止。</w:t>
            </w:r>
          </w:p>
          <w:p>
            <w:pPr>
              <w:widowControl/>
              <w:jc w:val="left"/>
              <w:rPr>
                <w:rFonts w:ascii="宋体" w:hAnsi="宋体" w:cs="宋体" w:hint="eastAsia"/>
                <w:szCs w:val="21"/>
              </w:rPr>
            </w:pPr>
            <w:r>
              <w:rPr>
                <w:rFonts w:ascii="宋体" w:hAnsi="宋体" w:cs="宋体" w:hint="eastAsia"/>
                <w:szCs w:val="21"/>
              </w:rPr>
              <w:t>（二）评分依据：</w:t>
            </w:r>
          </w:p>
          <w:p>
            <w:pPr>
              <w:widowControl/>
              <w:wordWrap w:val="0"/>
              <w:jc w:val="left"/>
              <w:textAlignment w:val="top"/>
              <w:rPr>
                <w:rFonts w:ascii="宋体" w:hAnsi="宋体" w:cs="宋体" w:hint="eastAsia"/>
                <w:szCs w:val="21"/>
              </w:rPr>
            </w:pPr>
            <w:r>
              <w:rPr>
                <w:rFonts w:ascii="宋体" w:hAnsi="宋体" w:cs="宋体" w:hint="eastAsia"/>
                <w:szCs w:val="21"/>
              </w:rPr>
              <w:t>《技术要求偏离表》。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hAnsi="宋体" w:cs="宋体" w:hint="eastAsia"/>
                <w:color w:val="000000"/>
                <w:szCs w:val="21"/>
              </w:rPr>
            </w:pPr>
            <w:r>
              <w:rPr>
                <w:rFonts w:ascii="宋体" w:hAnsi="宋体" w:cs="宋体" w:hint="eastAsia"/>
                <w:color w:val="000000"/>
                <w:szCs w:val="21"/>
              </w:rPr>
              <w:t>供货安装</w:t>
            </w:r>
          </w:p>
          <w:p>
            <w:pPr>
              <w:widowControl/>
              <w:wordWrap w:val="0"/>
              <w:jc w:val="center"/>
              <w:textAlignment w:val="top"/>
              <w:rPr>
                <w:szCs w:val="21"/>
              </w:rPr>
            </w:pPr>
            <w:r>
              <w:rPr>
                <w:rFonts w:ascii="宋体" w:hAnsi="宋体" w:cs="宋体" w:hint="eastAsia"/>
                <w:color w:val="000000"/>
                <w:szCs w:val="21"/>
              </w:rPr>
              <w:t>进度方案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szCs w:val="21"/>
              </w:rPr>
              <w:t>10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宋体" w:hAnsi="宋体" w:cs="宋体" w:hint="eastAsia"/>
                <w:b/>
                <w:bCs/>
                <w:color w:val="000000"/>
                <w:szCs w:val="21"/>
              </w:rPr>
            </w:pPr>
            <w:r>
              <w:rPr>
                <w:rFonts w:ascii="宋体" w:hAnsi="宋体" w:cs="宋体" w:hint="eastAsia"/>
                <w:b/>
                <w:bCs/>
                <w:color w:val="000000"/>
                <w:szCs w:val="21"/>
              </w:rPr>
              <w:t>（一）评审内容：</w:t>
            </w:r>
          </w:p>
          <w:p>
            <w:pPr>
              <w:widowControl/>
              <w:jc w:val="left"/>
              <w:rPr>
                <w:rFonts w:ascii="宋体" w:hAnsi="宋体" w:cs="宋体" w:hint="eastAsia"/>
                <w:color w:val="000000"/>
                <w:szCs w:val="21"/>
              </w:rPr>
            </w:pPr>
            <w:r>
              <w:rPr>
                <w:rFonts w:ascii="宋体" w:hAnsi="宋体" w:cs="宋体" w:hint="eastAsia"/>
                <w:color w:val="000000"/>
                <w:szCs w:val="21"/>
              </w:rPr>
              <w:t>根据投标人提供的供货安装进度方案进行评审：</w:t>
            </w:r>
          </w:p>
          <w:p>
            <w:pPr>
              <w:widowControl/>
              <w:jc w:val="left"/>
              <w:rPr>
                <w:rFonts w:ascii="宋体" w:hAnsi="宋体" w:cs="宋体" w:hint="eastAsia"/>
                <w:color w:val="000000"/>
                <w:szCs w:val="21"/>
              </w:rPr>
            </w:pPr>
            <w:r>
              <w:rPr>
                <w:rFonts w:ascii="宋体" w:hAnsi="宋体" w:cs="宋体" w:hint="eastAsia"/>
                <w:color w:val="000000"/>
                <w:szCs w:val="21"/>
              </w:rPr>
              <w:t>1.供货流程；</w:t>
            </w:r>
          </w:p>
          <w:p>
            <w:pPr>
              <w:widowControl/>
              <w:jc w:val="left"/>
              <w:rPr>
                <w:rFonts w:ascii="宋体" w:hAnsi="宋体" w:cs="宋体" w:hint="eastAsia"/>
                <w:color w:val="000000"/>
                <w:szCs w:val="21"/>
              </w:rPr>
            </w:pPr>
            <w:r>
              <w:rPr>
                <w:rFonts w:ascii="宋体" w:hAnsi="宋体" w:cs="宋体" w:hint="eastAsia"/>
                <w:color w:val="000000"/>
                <w:szCs w:val="21"/>
              </w:rPr>
              <w:t>2.供货人员安排；</w:t>
            </w:r>
          </w:p>
          <w:p>
            <w:pPr>
              <w:widowControl/>
              <w:jc w:val="left"/>
              <w:rPr>
                <w:rFonts w:ascii="宋体" w:hAnsi="宋体" w:cs="宋体" w:hint="eastAsia"/>
                <w:color w:val="000000"/>
                <w:szCs w:val="21"/>
              </w:rPr>
            </w:pPr>
            <w:r>
              <w:rPr>
                <w:rFonts w:ascii="宋体" w:hAnsi="宋体" w:cs="宋体" w:hint="eastAsia"/>
                <w:color w:val="000000"/>
                <w:szCs w:val="21"/>
              </w:rPr>
              <w:t>3.应急供货措施。</w:t>
            </w:r>
          </w:p>
          <w:p>
            <w:pPr>
              <w:widowControl/>
              <w:jc w:val="left"/>
              <w:rPr>
                <w:rFonts w:ascii="宋体" w:hAnsi="宋体" w:cs="宋体" w:hint="eastAsia"/>
                <w:b/>
                <w:bCs/>
                <w:color w:val="000000"/>
                <w:szCs w:val="21"/>
              </w:rPr>
            </w:pPr>
            <w:r>
              <w:rPr>
                <w:rFonts w:ascii="宋体" w:hAnsi="宋体" w:cs="宋体" w:hint="eastAsia"/>
                <w:b/>
                <w:bCs/>
                <w:color w:val="000000"/>
                <w:szCs w:val="21"/>
              </w:rPr>
              <w:t>（二）评审依据：</w:t>
            </w:r>
          </w:p>
          <w:p>
            <w:pPr>
              <w:widowControl/>
              <w:jc w:val="left"/>
            </w:pPr>
            <w:r>
              <w:t xml:space="preserve">1、每满足一项得10分， 本小项最高30分 。 </w:t>
            </w:r>
          </w:p>
          <w:p>
            <w:pPr>
              <w:widowControl/>
              <w:jc w:val="left"/>
            </w:pPr>
            <w:r>
              <w:rPr>
                <w:rFonts w:ascii="Arial" w:hAnsi="Arial" w:cs="Arial"/>
                <w:kern w:val="0"/>
                <w:szCs w:val="21"/>
              </w:rPr>
              <w:t>2</w:t>
            </w:r>
            <w:r>
              <w:rPr>
                <w:rFonts w:ascii="瀹嬩綋" w:eastAsia="瀹嬩綋" w:hAnsi="瀹嬩綋" w:cs="瀹嬩綋"/>
                <w:kern w:val="0"/>
                <w:szCs w:val="21"/>
              </w:rPr>
              <w:t xml:space="preserve">、在上述基础上，专家根据各供应商的具 </w:t>
            </w:r>
          </w:p>
          <w:p>
            <w:pPr>
              <w:widowControl/>
              <w:jc w:val="left"/>
            </w:pPr>
            <w:r>
              <w:rPr>
                <w:rFonts w:ascii="瀹嬩綋" w:eastAsia="瀹嬩綋" w:hAnsi="瀹嬩綋" w:cs="瀹嬩綋"/>
                <w:kern w:val="0"/>
                <w:szCs w:val="21"/>
              </w:rPr>
              <w:t xml:space="preserve">体响应内容按照量化的评审因素指标进一 </w:t>
            </w:r>
          </w:p>
          <w:p>
            <w:pPr>
              <w:widowControl/>
              <w:jc w:val="left"/>
            </w:pPr>
            <w:r>
              <w:rPr>
                <w:rFonts w:ascii="瀹嬩綋" w:eastAsia="瀹嬩綋" w:hAnsi="瀹嬩綋" w:cs="瀹嬩綋"/>
                <w:kern w:val="0"/>
                <w:szCs w:val="21"/>
              </w:rPr>
              <w:t xml:space="preserve">步评审： </w:t>
            </w:r>
          </w:p>
          <w:p>
            <w:pPr>
              <w:widowControl/>
              <w:jc w:val="left"/>
            </w:pPr>
            <w:r>
              <w:rPr>
                <w:rFonts w:ascii="Arial" w:hAnsi="Arial" w:cs="Arial"/>
                <w:kern w:val="0"/>
                <w:szCs w:val="21"/>
              </w:rPr>
              <w:t>1</w:t>
            </w:r>
            <w:r>
              <w:rPr>
                <w:rFonts w:ascii="瀹嬩綋" w:eastAsia="瀹嬩綋" w:hAnsi="瀹嬩綋" w:cs="瀹嬩綋"/>
                <w:kern w:val="0"/>
                <w:szCs w:val="21"/>
              </w:rPr>
              <w:t xml:space="preserve">）评价为优（保障措施方案完善，科学合 </w:t>
            </w:r>
          </w:p>
          <w:p>
            <w:pPr>
              <w:widowControl/>
              <w:jc w:val="left"/>
            </w:pPr>
            <w:r>
              <w:rPr>
                <w:rFonts w:ascii="瀹嬩綋" w:eastAsia="瀹嬩綋" w:hAnsi="瀹嬩綋" w:cs="瀹嬩綋"/>
                <w:kern w:val="0"/>
                <w:szCs w:val="21"/>
              </w:rPr>
              <w:t xml:space="preserve">理，细致周到，可行性强）的加 </w:t>
            </w:r>
            <w:r>
              <w:rPr>
                <w:rFonts w:ascii="Arial" w:hAnsi="Arial" w:cs="Arial" w:hint="eastAsia"/>
                <w:kern w:val="0"/>
                <w:szCs w:val="21"/>
              </w:rPr>
              <w:t>7</w:t>
            </w:r>
            <w:r>
              <w:rPr>
                <w:rFonts w:ascii="Arial" w:hAnsi="Arial" w:cs="Arial"/>
                <w:kern w:val="0"/>
                <w:szCs w:val="21"/>
              </w:rPr>
              <w:t xml:space="preserve">0 </w:t>
            </w:r>
            <w:r>
              <w:rPr>
                <w:rFonts w:ascii="瀹嬩綋" w:eastAsia="瀹嬩綋" w:hAnsi="瀹嬩綋" w:cs="瀹嬩綋"/>
                <w:kern w:val="0"/>
                <w:szCs w:val="21"/>
              </w:rPr>
              <w:t xml:space="preserve">分； </w:t>
            </w:r>
          </w:p>
          <w:p>
            <w:pPr>
              <w:widowControl/>
              <w:jc w:val="left"/>
            </w:pPr>
            <w:r>
              <w:rPr>
                <w:rFonts w:ascii="Arial" w:hAnsi="Arial" w:cs="Arial"/>
                <w:kern w:val="0"/>
                <w:szCs w:val="21"/>
              </w:rPr>
              <w:t>2</w:t>
            </w:r>
            <w:r>
              <w:rPr>
                <w:rFonts w:ascii="瀹嬩綋" w:eastAsia="瀹嬩綋" w:hAnsi="瀹嬩綋" w:cs="瀹嬩綋"/>
                <w:kern w:val="0"/>
                <w:szCs w:val="21"/>
              </w:rPr>
              <w:t xml:space="preserve">）评价为良（保障措施方案较为完善，较 </w:t>
            </w:r>
          </w:p>
          <w:p>
            <w:pPr>
              <w:widowControl/>
              <w:jc w:val="left"/>
            </w:pPr>
            <w:r>
              <w:rPr>
                <w:rFonts w:ascii="瀹嬩綋" w:eastAsia="瀹嬩綋" w:hAnsi="瀹嬩綋" w:cs="瀹嬩綋"/>
                <w:kern w:val="0"/>
                <w:szCs w:val="21"/>
              </w:rPr>
              <w:t xml:space="preserve">为科学合理，较为细致周到，可行性较强） 的加 </w:t>
            </w:r>
            <w:r>
              <w:rPr>
                <w:rFonts w:ascii="Arial" w:hAnsi="Arial" w:cs="Arial" w:hint="eastAsia"/>
                <w:kern w:val="0"/>
                <w:szCs w:val="21"/>
              </w:rPr>
              <w:t>40</w:t>
            </w:r>
            <w:r>
              <w:rPr>
                <w:rFonts w:ascii="Arial" w:hAnsi="Arial" w:cs="Arial"/>
                <w:kern w:val="0"/>
                <w:szCs w:val="21"/>
              </w:rPr>
              <w:t xml:space="preserve"> </w:t>
            </w:r>
            <w:r>
              <w:rPr>
                <w:rFonts w:ascii="瀹嬩綋" w:eastAsia="瀹嬩綋" w:hAnsi="瀹嬩綋" w:cs="瀹嬩綋"/>
                <w:kern w:val="0"/>
                <w:szCs w:val="21"/>
              </w:rPr>
              <w:t xml:space="preserve">分； </w:t>
            </w:r>
          </w:p>
          <w:p>
            <w:pPr>
              <w:widowControl/>
              <w:jc w:val="left"/>
            </w:pPr>
            <w:r>
              <w:rPr>
                <w:rFonts w:ascii="Arial" w:hAnsi="Arial" w:cs="Arial"/>
                <w:kern w:val="0"/>
                <w:szCs w:val="21"/>
              </w:rPr>
              <w:t>3</w:t>
            </w:r>
            <w:r>
              <w:rPr>
                <w:rFonts w:ascii="瀹嬩綋" w:eastAsia="瀹嬩綋" w:hAnsi="瀹嬩綋" w:cs="瀹嬩綋"/>
                <w:kern w:val="0"/>
                <w:szCs w:val="21"/>
              </w:rPr>
              <w:t xml:space="preserve">）评价为中（保障措施方案较为完善，较 </w:t>
            </w:r>
          </w:p>
          <w:p>
            <w:pPr>
              <w:widowControl/>
              <w:jc w:val="left"/>
              <w:rPr>
                <w:rFonts w:ascii="瀹嬩綋" w:eastAsia="瀹嬩綋" w:hAnsi="瀹嬩綋" w:cs="瀹嬩綋"/>
                <w:kern w:val="0"/>
                <w:szCs w:val="21"/>
              </w:rPr>
            </w:pPr>
            <w:r>
              <w:rPr>
                <w:rFonts w:ascii="瀹嬩綋" w:eastAsia="瀹嬩綋" w:hAnsi="瀹嬩綋" w:cs="瀹嬩綋"/>
                <w:kern w:val="0"/>
                <w:szCs w:val="21"/>
              </w:rPr>
              <w:t xml:space="preserve">为科学合理，较为细致周到，可行性较差） 的加 </w:t>
            </w:r>
            <w:r>
              <w:rPr>
                <w:rFonts w:ascii="Arial" w:hAnsi="Arial" w:cs="Arial" w:hint="eastAsia"/>
                <w:kern w:val="0"/>
                <w:szCs w:val="21"/>
              </w:rPr>
              <w:t>10</w:t>
            </w:r>
            <w:r>
              <w:rPr>
                <w:rFonts w:ascii="Arial" w:hAnsi="Arial" w:cs="Arial"/>
                <w:kern w:val="0"/>
                <w:szCs w:val="21"/>
              </w:rPr>
              <w:t xml:space="preserve"> </w:t>
            </w:r>
            <w:r>
              <w:rPr>
                <w:rFonts w:ascii="瀹嬩綋" w:eastAsia="瀹嬩綋" w:hAnsi="瀹嬩綋" w:cs="瀹嬩綋"/>
                <w:kern w:val="0"/>
                <w:szCs w:val="21"/>
              </w:rPr>
              <w:t xml:space="preserve">分； </w:t>
            </w:r>
          </w:p>
          <w:p>
            <w:pPr>
              <w:widowControl/>
              <w:jc w:val="left"/>
              <w:rPr>
                <w:szCs w:val="21"/>
              </w:rPr>
            </w:pPr>
            <w:r>
              <w:rPr>
                <w:rFonts w:ascii="Arial" w:hAnsi="Arial" w:cs="Arial"/>
                <w:kern w:val="0"/>
                <w:szCs w:val="21"/>
              </w:rPr>
              <w:t>4</w:t>
            </w:r>
            <w:r>
              <w:rPr>
                <w:rFonts w:ascii="瀹嬩綋" w:eastAsia="瀹嬩綋" w:hAnsi="瀹嬩綋" w:cs="瀹嬩綋"/>
                <w:kern w:val="0"/>
                <w:szCs w:val="21"/>
              </w:rPr>
              <w:t>）评价为差（保障措施方案不完善，不科 学合理，不细致周到，可行性差）的不加分。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hint="eastAsia"/>
                <w:color w:val="000000"/>
                <w:szCs w:val="21"/>
              </w:rPr>
              <w:t>产品的保障措施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ascii="宋体" w:hAnsi="宋体" w:cs="宋体" w:hint="eastAsia"/>
                <w:color w:val="000000"/>
                <w:szCs w:val="21"/>
              </w:rPr>
              <w:t>12</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rPr>
                <w:rFonts w:ascii="宋体" w:hAnsi="宋体" w:cs="宋体" w:hint="eastAsia"/>
                <w:color w:val="000000"/>
                <w:szCs w:val="21"/>
              </w:rPr>
            </w:pPr>
            <w:r>
              <w:rPr>
                <w:rFonts w:ascii="宋体" w:hAnsi="宋体" w:cs="宋体" w:hint="eastAsia"/>
                <w:b/>
                <w:bCs/>
                <w:color w:val="000000"/>
                <w:szCs w:val="21"/>
              </w:rPr>
              <w:t>（一）评审内容：</w:t>
            </w:r>
          </w:p>
          <w:p>
            <w:pPr>
              <w:widowControl/>
              <w:jc w:val="left"/>
              <w:rPr>
                <w:rFonts w:ascii="宋体" w:hAnsi="宋体" w:cs="宋体" w:hint="eastAsia"/>
                <w:color w:val="000000"/>
                <w:szCs w:val="21"/>
              </w:rPr>
            </w:pPr>
            <w:r>
              <w:rPr>
                <w:rFonts w:ascii="宋体" w:hAnsi="宋体" w:cs="宋体" w:hint="eastAsia"/>
                <w:color w:val="000000"/>
                <w:szCs w:val="21"/>
              </w:rPr>
              <w:t>根据投标人提供的产品的保障措施进行评审，保障措施内容如下：</w:t>
            </w:r>
          </w:p>
          <w:p>
            <w:pPr>
              <w:widowControl/>
              <w:jc w:val="left"/>
              <w:rPr>
                <w:rFonts w:ascii="宋体" w:hAnsi="宋体" w:cs="宋体" w:hint="eastAsia"/>
                <w:color w:val="000000"/>
                <w:szCs w:val="21"/>
              </w:rPr>
            </w:pPr>
            <w:r>
              <w:rPr>
                <w:rFonts w:ascii="宋体" w:hAnsi="宋体" w:cs="宋体" w:hint="eastAsia"/>
                <w:color w:val="000000"/>
                <w:szCs w:val="21"/>
              </w:rPr>
              <w:t>1.调试方案；</w:t>
            </w:r>
          </w:p>
          <w:p>
            <w:pPr>
              <w:widowControl/>
              <w:jc w:val="left"/>
              <w:rPr>
                <w:rFonts w:ascii="宋体" w:hAnsi="宋体" w:cs="宋体" w:hint="eastAsia"/>
                <w:color w:val="000000"/>
                <w:szCs w:val="21"/>
              </w:rPr>
            </w:pPr>
            <w:r>
              <w:rPr>
                <w:rFonts w:ascii="宋体" w:hAnsi="宋体" w:cs="宋体" w:hint="eastAsia"/>
                <w:color w:val="000000"/>
                <w:szCs w:val="21"/>
              </w:rPr>
              <w:t>2.售后服务方案；</w:t>
            </w:r>
          </w:p>
          <w:p>
            <w:pPr>
              <w:widowControl/>
              <w:jc w:val="left"/>
              <w:rPr>
                <w:rFonts w:ascii="宋体" w:hAnsi="宋体" w:cs="宋体" w:hint="eastAsia"/>
                <w:color w:val="000000"/>
                <w:szCs w:val="21"/>
              </w:rPr>
            </w:pPr>
            <w:r>
              <w:rPr>
                <w:rFonts w:ascii="宋体" w:hAnsi="宋体" w:cs="宋体" w:hint="eastAsia"/>
                <w:color w:val="000000"/>
                <w:szCs w:val="21"/>
              </w:rPr>
              <w:t>3.质量控制措施。</w:t>
            </w:r>
          </w:p>
          <w:p>
            <w:pPr>
              <w:widowControl/>
              <w:jc w:val="left"/>
              <w:rPr>
                <w:rFonts w:ascii="宋体" w:hAnsi="宋体" w:cs="宋体" w:hint="eastAsia"/>
                <w:b/>
                <w:bCs/>
                <w:color w:val="000000"/>
                <w:szCs w:val="21"/>
              </w:rPr>
            </w:pPr>
            <w:r>
              <w:rPr>
                <w:rFonts w:ascii="宋体" w:hAnsi="宋体" w:cs="宋体" w:hint="eastAsia"/>
                <w:b/>
                <w:bCs/>
                <w:color w:val="000000"/>
                <w:szCs w:val="21"/>
              </w:rPr>
              <w:t>（二）评审依据：</w:t>
            </w:r>
          </w:p>
          <w:p>
            <w:pPr>
              <w:widowControl/>
              <w:jc w:val="left"/>
            </w:pPr>
            <w:r>
              <w:t xml:space="preserve">1、每满足一项得10分， 本小项最高30分 。 </w:t>
            </w:r>
          </w:p>
          <w:p>
            <w:pPr>
              <w:widowControl/>
              <w:jc w:val="left"/>
            </w:pPr>
            <w:r>
              <w:rPr>
                <w:rFonts w:ascii="Arial" w:hAnsi="Arial" w:cs="Arial"/>
                <w:kern w:val="0"/>
                <w:szCs w:val="21"/>
              </w:rPr>
              <w:t>2</w:t>
            </w:r>
            <w:r>
              <w:rPr>
                <w:rFonts w:ascii="瀹嬩綋" w:eastAsia="瀹嬩綋" w:hAnsi="瀹嬩綋" w:cs="瀹嬩綋"/>
                <w:kern w:val="0"/>
                <w:szCs w:val="21"/>
              </w:rPr>
              <w:t xml:space="preserve">、在上述基础上，专家根据各供应商的具 </w:t>
            </w:r>
          </w:p>
          <w:p>
            <w:pPr>
              <w:widowControl/>
              <w:jc w:val="left"/>
            </w:pPr>
            <w:r>
              <w:rPr>
                <w:rFonts w:ascii="瀹嬩綋" w:eastAsia="瀹嬩綋" w:hAnsi="瀹嬩綋" w:cs="瀹嬩綋"/>
                <w:kern w:val="0"/>
                <w:szCs w:val="21"/>
              </w:rPr>
              <w:t xml:space="preserve">体响应内容按照量化的评审因素指标进一 </w:t>
            </w:r>
          </w:p>
          <w:p>
            <w:pPr>
              <w:widowControl/>
              <w:jc w:val="left"/>
            </w:pPr>
            <w:r>
              <w:rPr>
                <w:rFonts w:ascii="瀹嬩綋" w:eastAsia="瀹嬩綋" w:hAnsi="瀹嬩綋" w:cs="瀹嬩綋"/>
                <w:kern w:val="0"/>
                <w:szCs w:val="21"/>
              </w:rPr>
              <w:t xml:space="preserve">步评审： </w:t>
            </w:r>
          </w:p>
          <w:p>
            <w:pPr>
              <w:widowControl/>
              <w:jc w:val="left"/>
            </w:pPr>
            <w:r>
              <w:rPr>
                <w:rFonts w:ascii="Arial" w:hAnsi="Arial" w:cs="Arial"/>
                <w:kern w:val="0"/>
                <w:szCs w:val="21"/>
              </w:rPr>
              <w:t>1</w:t>
            </w:r>
            <w:r>
              <w:rPr>
                <w:rFonts w:ascii="瀹嬩綋" w:eastAsia="瀹嬩綋" w:hAnsi="瀹嬩綋" w:cs="瀹嬩綋"/>
                <w:kern w:val="0"/>
                <w:szCs w:val="21"/>
              </w:rPr>
              <w:t xml:space="preserve">）评价为优（保障措施方案完善，科学合 </w:t>
            </w:r>
          </w:p>
          <w:p>
            <w:pPr>
              <w:widowControl/>
              <w:jc w:val="left"/>
            </w:pPr>
            <w:r>
              <w:rPr>
                <w:rFonts w:ascii="瀹嬩綋" w:eastAsia="瀹嬩綋" w:hAnsi="瀹嬩綋" w:cs="瀹嬩綋"/>
                <w:kern w:val="0"/>
                <w:szCs w:val="21"/>
              </w:rPr>
              <w:t xml:space="preserve">理，细致周到，可行性强）的加 </w:t>
            </w:r>
            <w:r>
              <w:rPr>
                <w:rFonts w:ascii="Arial" w:hAnsi="Arial" w:cs="Arial" w:hint="eastAsia"/>
                <w:kern w:val="0"/>
                <w:szCs w:val="21"/>
              </w:rPr>
              <w:t>7</w:t>
            </w:r>
            <w:r>
              <w:rPr>
                <w:rFonts w:ascii="Arial" w:hAnsi="Arial" w:cs="Arial"/>
                <w:kern w:val="0"/>
                <w:szCs w:val="21"/>
              </w:rPr>
              <w:t xml:space="preserve">0 </w:t>
            </w:r>
            <w:r>
              <w:rPr>
                <w:rFonts w:ascii="瀹嬩綋" w:eastAsia="瀹嬩綋" w:hAnsi="瀹嬩綋" w:cs="瀹嬩綋"/>
                <w:kern w:val="0"/>
                <w:szCs w:val="21"/>
              </w:rPr>
              <w:t xml:space="preserve">分； </w:t>
            </w:r>
          </w:p>
          <w:p>
            <w:pPr>
              <w:widowControl/>
              <w:jc w:val="left"/>
            </w:pPr>
            <w:r>
              <w:rPr>
                <w:rFonts w:ascii="Arial" w:hAnsi="Arial" w:cs="Arial"/>
                <w:kern w:val="0"/>
                <w:szCs w:val="21"/>
              </w:rPr>
              <w:t>2</w:t>
            </w:r>
            <w:r>
              <w:rPr>
                <w:rFonts w:ascii="瀹嬩綋" w:eastAsia="瀹嬩綋" w:hAnsi="瀹嬩綋" w:cs="瀹嬩綋"/>
                <w:kern w:val="0"/>
                <w:szCs w:val="21"/>
              </w:rPr>
              <w:t xml:space="preserve">）评价为良（保障措施方案较为完善，较 </w:t>
            </w:r>
          </w:p>
          <w:p>
            <w:pPr>
              <w:widowControl/>
              <w:jc w:val="left"/>
            </w:pPr>
            <w:r>
              <w:rPr>
                <w:rFonts w:ascii="瀹嬩綋" w:eastAsia="瀹嬩綋" w:hAnsi="瀹嬩綋" w:cs="瀹嬩綋"/>
                <w:kern w:val="0"/>
                <w:szCs w:val="21"/>
              </w:rPr>
              <w:t xml:space="preserve">为科学合理，较为细致周到，可行性较强） 的加 </w:t>
            </w:r>
            <w:r>
              <w:rPr>
                <w:rFonts w:ascii="Arial" w:hAnsi="Arial" w:cs="Arial" w:hint="eastAsia"/>
                <w:kern w:val="0"/>
                <w:szCs w:val="21"/>
              </w:rPr>
              <w:t>40</w:t>
            </w:r>
            <w:r>
              <w:rPr>
                <w:rFonts w:ascii="Arial" w:hAnsi="Arial" w:cs="Arial"/>
                <w:kern w:val="0"/>
                <w:szCs w:val="21"/>
              </w:rPr>
              <w:t xml:space="preserve"> </w:t>
            </w:r>
            <w:r>
              <w:rPr>
                <w:rFonts w:ascii="瀹嬩綋" w:eastAsia="瀹嬩綋" w:hAnsi="瀹嬩綋" w:cs="瀹嬩綋"/>
                <w:kern w:val="0"/>
                <w:szCs w:val="21"/>
              </w:rPr>
              <w:t xml:space="preserve">分； </w:t>
            </w:r>
          </w:p>
          <w:p>
            <w:pPr>
              <w:widowControl/>
              <w:jc w:val="left"/>
            </w:pPr>
            <w:r>
              <w:rPr>
                <w:rFonts w:ascii="Arial" w:hAnsi="Arial" w:cs="Arial"/>
                <w:kern w:val="0"/>
                <w:szCs w:val="21"/>
              </w:rPr>
              <w:t>3</w:t>
            </w:r>
            <w:r>
              <w:rPr>
                <w:rFonts w:ascii="瀹嬩綋" w:eastAsia="瀹嬩綋" w:hAnsi="瀹嬩綋" w:cs="瀹嬩綋"/>
                <w:kern w:val="0"/>
                <w:szCs w:val="21"/>
              </w:rPr>
              <w:t xml:space="preserve">）评价为中（保障措施方案较为完善，较 </w:t>
            </w:r>
          </w:p>
          <w:p>
            <w:pPr>
              <w:widowControl/>
              <w:jc w:val="left"/>
            </w:pPr>
            <w:r>
              <w:rPr>
                <w:rFonts w:ascii="瀹嬩綋" w:eastAsia="瀹嬩綋" w:hAnsi="瀹嬩綋" w:cs="瀹嬩綋"/>
                <w:kern w:val="0"/>
                <w:szCs w:val="21"/>
              </w:rPr>
              <w:t xml:space="preserve">为科学合理，较为细致周到，可行性较差） 的加 </w:t>
            </w:r>
            <w:r>
              <w:rPr>
                <w:rFonts w:ascii="Arial" w:hAnsi="Arial" w:cs="Arial" w:hint="eastAsia"/>
                <w:kern w:val="0"/>
                <w:szCs w:val="21"/>
              </w:rPr>
              <w:t>10</w:t>
            </w:r>
            <w:r>
              <w:rPr>
                <w:rFonts w:ascii="Arial" w:hAnsi="Arial" w:cs="Arial"/>
                <w:kern w:val="0"/>
                <w:szCs w:val="21"/>
              </w:rPr>
              <w:t xml:space="preserve"> </w:t>
            </w:r>
            <w:r>
              <w:rPr>
                <w:rFonts w:ascii="瀹嬩綋" w:eastAsia="瀹嬩綋" w:hAnsi="瀹嬩綋" w:cs="瀹嬩綋"/>
                <w:kern w:val="0"/>
                <w:szCs w:val="21"/>
              </w:rPr>
              <w:t xml:space="preserve">分； </w:t>
            </w:r>
          </w:p>
          <w:p>
            <w:pPr>
              <w:widowControl/>
              <w:jc w:val="left"/>
              <w:rPr>
                <w:szCs w:val="21"/>
              </w:rPr>
            </w:pPr>
            <w:r>
              <w:rPr>
                <w:rFonts w:ascii="Arial" w:hAnsi="Arial" w:cs="Arial"/>
                <w:kern w:val="0"/>
                <w:szCs w:val="21"/>
              </w:rPr>
              <w:t>4</w:t>
            </w:r>
            <w:r>
              <w:rPr>
                <w:rFonts w:ascii="瀹嬩綋" w:eastAsia="瀹嬩綋" w:hAnsi="瀹嬩綋" w:cs="瀹嬩綋"/>
                <w:kern w:val="0"/>
                <w:szCs w:val="21"/>
              </w:rPr>
              <w:t>）评价为差（保障措施方案不完善，不科 学合理，不细致周到，可行性差）的不加分。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hint="eastAsia"/>
                <w:b/>
                <w:bCs/>
                <w:color w:val="0000FF"/>
                <w:sz w:val="24"/>
              </w:rPr>
              <w:t>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wordWrap w:val="0"/>
              <w:spacing w:line="240" w:lineRule="auto"/>
              <w:ind w:firstLine="420" w:firstLineChars="200"/>
              <w:rPr>
                <w:rFonts w:ascii="宋体" w:hAnsi="宋体" w:cs="宋体" w:hint="eastAsia"/>
                <w:b w:val="0"/>
                <w:bCs w:val="0"/>
                <w:sz w:val="21"/>
                <w:szCs w:val="21"/>
              </w:rPr>
            </w:pPr>
            <w:r>
              <w:rPr>
                <w:rFonts w:ascii="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pPr>
            <w:r>
              <w:rPr>
                <w:rFonts w:ascii="宋体" w:hAnsi="宋体" w:cs="宋体"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sectPr>
          <w:pgSz w:w="11907" w:h="16840"/>
          <w:pgMar w:top="1440" w:right="1418" w:bottom="1440" w:left="1418" w:header="851" w:footer="992" w:gutter="0"/>
          <w:cols w:num="1" w:space="425"/>
          <w:titlePg/>
          <w:docGrid w:linePitch="462" w:charSpace="0"/>
        </w:sectPr>
      </w:pPr>
      <w:bookmarkEnd w:id="2"/>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25）</w:t>
      </w:r>
    </w:p>
    <w:p>
      <w:pPr>
        <w:widowControl/>
        <w:jc w:val="center"/>
      </w:pPr>
      <w:bookmarkEnd w:id="3"/>
    </w:p>
    <w:p>
      <w:pPr>
        <w:widowControl/>
        <w:jc w:val="center"/>
      </w:pPr>
      <w:r>
        <w:br w:type="page"/>
      </w:r>
    </w:p>
    <w:p>
      <w:pPr>
        <w:spacing w:before="240" w:beforeLines="100" w:after="240" w:afterLines="100"/>
        <w:jc w:val="center"/>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hint="eastAsia"/>
          <w:szCs w:val="21"/>
        </w:rPr>
      </w:pPr>
      <w:r>
        <w:rPr>
          <w:rFonts w:ascii="宋体" w:hAnsi="宋体" w:hint="eastAsia"/>
          <w:szCs w:val="21"/>
        </w:rPr>
        <w:t>第一章  招标公告</w:t>
      </w:r>
    </w:p>
    <w:p>
      <w:pPr>
        <w:ind w:left="630" w:firstLine="630" w:leftChars="300" w:firstLineChars="300"/>
        <w:rPr>
          <w:rFonts w:ascii="宋体" w:hAnsi="宋体" w:hint="eastAsia"/>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hint="eastAsia"/>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firstLine="1050" w:firstLineChars="500"/>
      </w:pPr>
      <w:r>
        <w:rPr>
          <w:rFonts w:hint="eastAsia"/>
        </w:rPr>
        <w:t>第十一章  质疑处理</w:t>
      </w:r>
    </w:p>
    <w:p>
      <w:pPr>
        <w:pStyle w:val="BodyText"/>
      </w:pPr>
    </w:p>
    <w:p>
      <w:pPr>
        <w:pStyle w:val="BodyText2"/>
      </w:pPr>
    </w:p>
    <w:p>
      <w:pPr>
        <w:pStyle w:val="BodyText2"/>
      </w:pPr>
    </w:p>
    <w:p>
      <w:pPr>
        <w:pStyle w:val="BodyText"/>
        <w:sectPr>
          <w:pgSz w:w="11907" w:h="16840"/>
          <w:pgMar w:top="1440" w:right="1797" w:bottom="1440" w:left="1797" w:header="851" w:footer="992" w:gutter="0"/>
          <w:cols w:num="1" w:space="425"/>
          <w:titlePg/>
          <w:docGrid w:linePitch="462" w:charSpace="0"/>
        </w:sectPr>
      </w:pPr>
    </w:p>
    <w:p>
      <w:pPr>
        <w:pStyle w:val="Heading1"/>
        <w:rPr>
          <w:rFonts w:hint="eastAsia"/>
          <w:color w:val="FF0000"/>
          <w:sz w:val="24"/>
        </w:rPr>
      </w:pPr>
      <w:bookmarkEnd w:id="4"/>
      <w:bookmarkStart w:id="6" w:name="bt合同格式"/>
      <w:bookmarkEnd w:id="6"/>
      <w:bookmarkStart w:id="7" w:name="bt投标报价汇总表"/>
      <w:bookmarkEnd w:id="7"/>
      <w:bookmarkStart w:id="8" w:name="bt合同条款及格式"/>
      <w:bookmarkEnd w:id="8"/>
      <w:bookmarkStart w:id="9" w:name="bt合同条款"/>
      <w:bookmarkEnd w:id="9"/>
      <w:bookmarkStart w:id="10" w:name="bt本工程承诺书"/>
      <w:bookmarkEnd w:id="10"/>
      <w:bookmarkStart w:id="11" w:name="bt开标一览表"/>
      <w:bookmarkEnd w:id="11"/>
      <w:bookmarkStart w:id="12" w:name="bt投标人须知"/>
      <w:bookmarkEnd w:id="12"/>
      <w:bookmarkStart w:id="13" w:name="bt投标人情况介绍"/>
      <w:bookmarkEnd w:id="13"/>
      <w:bookmarkStart w:id="14" w:name="bt说明"/>
      <w:bookmarkEnd w:id="14"/>
      <w:bookmarkStart w:id="15" w:name="bt其他资料2"/>
      <w:bookmarkEnd w:id="15"/>
      <w:bookmarkStart w:id="16" w:name="bt商务标投标文件格式"/>
      <w:bookmarkEnd w:id="16"/>
      <w:bookmarkStart w:id="17" w:name="bt其他资料由投标人自定"/>
      <w:bookmarkEnd w:id="17"/>
      <w:bookmarkStart w:id="18" w:name="bt投标函"/>
      <w:bookmarkEnd w:id="18"/>
      <w:bookmarkStart w:id="19" w:name="bt投标文件签署授权委托书"/>
      <w:bookmarkEnd w:id="19"/>
      <w:bookmarkStart w:id="20" w:name="bt技术标投标文件格式"/>
      <w:bookmarkEnd w:id="20"/>
      <w:bookmarkStart w:id="21" w:name="bt项目管理班子配备情况"/>
      <w:bookmarkEnd w:id="21"/>
      <w:bookmarkStart w:id="22" w:name="合同格式"/>
      <w:bookmarkEnd w:id="22"/>
      <w:r>
        <w:rPr>
          <w:rFonts w:hint="eastAsia"/>
        </w:rPr>
        <w:t>第一册  专用条款</w:t>
      </w:r>
    </w:p>
    <w:p>
      <w:pPr>
        <w:pStyle w:val="Heading2"/>
        <w:rPr>
          <w:rFonts w:hint="eastAsia"/>
          <w:sz w:val="28"/>
          <w:szCs w:val="28"/>
        </w:rPr>
      </w:pPr>
      <w:r>
        <w:rPr>
          <w:rFonts w:hint="eastAsia"/>
          <w:sz w:val="28"/>
          <w:szCs w:val="28"/>
        </w:rPr>
        <w:t>第一章  招标公告</w:t>
      </w:r>
    </w:p>
    <w:p>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pPr>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3"/>
      <w:r>
        <w:rPr>
          <w:rFonts w:hint="eastAsia"/>
        </w:rPr>
        <w:t>；</w:t>
      </w:r>
    </w:p>
    <w:p>
      <w:pPr>
        <w:ind w:firstLine="420" w:firstLineChars="200"/>
        <w:rPr>
          <w:rFonts w:ascii="宋体" w:hAnsi="宋体" w:cs="宋体" w:hint="eastAsia"/>
          <w:kern w:val="0"/>
          <w:szCs w:val="21"/>
        </w:rPr>
      </w:pPr>
      <w:r>
        <w:rPr>
          <w:rFonts w:ascii="宋体" w:hAnsi="宋体" w:cs="宋体" w:hint="eastAsia"/>
          <w:color w:val="FF0000"/>
          <w:kern w:val="0"/>
          <w:szCs w:val="21"/>
        </w:rPr>
        <w:t>2.本项目不接受联合体投标，不接受投标人选用进口产品参与投标，详见招标档“第三章 用户需求书”；</w:t>
      </w:r>
    </w:p>
    <w:p>
      <w:pPr>
        <w:ind w:firstLine="420" w:firstLineChars="2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pPr>
        <w:pStyle w:val="NoSpacing"/>
        <w:ind w:firstLine="420" w:firstLineChars="200"/>
        <w:rPr>
          <w:rFonts w:ascii="宋体" w:hAnsi="宋体" w:cs="宋体" w:hint="eastAsia"/>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rPr>
      </w:pPr>
      <w:r>
        <w:rPr>
          <w:rFonts w:ascii="宋体" w:hAnsi="宋体" w:cs="宋体" w:hint="eastAsia"/>
          <w:kern w:val="0"/>
          <w:szCs w:val="21"/>
        </w:rPr>
        <w:t>9.本项目全部专门面向中小企业采购：否。</w:t>
      </w:r>
    </w:p>
    <w:p>
      <w:pPr>
        <w:ind w:firstLine="420" w:firstLineChars="200"/>
        <w:rPr>
          <w:rFonts w:ascii="宋体" w:hAnsi="宋体" w:cs="宋体" w:hint="eastAsia"/>
          <w:kern w:val="0"/>
          <w:szCs w:val="21"/>
          <w:highlight w:val="yellow"/>
        </w:rPr>
      </w:pPr>
      <w:r>
        <w:rPr>
          <w:rFonts w:ascii="宋体" w:hAnsi="宋体" w:cs="宋体" w:hint="eastAsia"/>
          <w:kern w:val="0"/>
          <w:szCs w:val="21"/>
          <w:highlight w:val="yellow"/>
        </w:rPr>
        <w:t>10.投标人若为生产企业：所投产品为第二、三类医疗器械的，提供食品药品监督管理部门签发的涵盖所投报医疗器械的《医疗器械生产许可证》(有效期内)扫描件，原件备查；</w:t>
      </w:r>
    </w:p>
    <w:p>
      <w:pPr>
        <w:ind w:firstLine="420" w:firstLineChars="200"/>
        <w:rPr>
          <w:rFonts w:ascii="宋体" w:hAnsi="宋体" w:cs="宋体" w:hint="eastAsia"/>
          <w:kern w:val="0"/>
          <w:szCs w:val="21"/>
        </w:rPr>
      </w:pPr>
      <w:r>
        <w:rPr>
          <w:rFonts w:ascii="宋体" w:hAnsi="宋体" w:cs="宋体" w:hint="eastAsia"/>
          <w:kern w:val="0"/>
          <w:szCs w:val="21"/>
          <w:highlight w:val="yellow"/>
        </w:rPr>
        <w:t>11.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p>
    <w:p>
      <w:pPr>
        <w:wordWrap w:val="0"/>
        <w:ind w:firstLine="420" w:firstLineChars="200"/>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hint="eastAsia"/>
        </w:rPr>
      </w:pPr>
    </w:p>
    <w:p>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rFonts w:hint="eastAsia"/>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rFonts w:hint="eastAsia"/>
          <w:szCs w:val="24"/>
        </w:rPr>
      </w:pPr>
      <w:bookmarkStart w:id="25" w:name="_Toc60560625"/>
      <w:bookmarkStart w:id="26" w:name="_Toc73521635"/>
      <w:bookmarkStart w:id="27" w:name="_Toc60631620"/>
      <w:bookmarkStart w:id="28" w:name="_Toc73521547"/>
      <w:bookmarkStart w:id="29" w:name="_Toc100052364"/>
      <w:bookmarkStart w:id="30" w:name="_Toc101074876"/>
      <w:bookmarkStart w:id="31" w:name="_Toc73518117"/>
      <w:bookmarkStart w:id="32" w:name="_Toc73517639"/>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b/>
                <w:bCs/>
              </w:rPr>
            </w:pPr>
            <w:bookmarkEnd w:id="25"/>
            <w:bookmarkEnd w:id="26"/>
            <w:bookmarkEnd w:id="27"/>
            <w:bookmarkEnd w:id="28"/>
            <w:bookmarkEnd w:id="29"/>
            <w:bookmarkEnd w:id="30"/>
            <w:bookmarkEnd w:id="31"/>
            <w:bookmarkEnd w:id="32"/>
            <w:bookmarkStart w:id="33" w:name="_Hlk72218097"/>
            <w:r>
              <w:rPr>
                <w:rFonts w:ascii="宋体" w:hAnsi="宋体" w:hint="eastAsia"/>
                <w:b/>
                <w:bCs/>
              </w:rPr>
              <w:t>通用条款序号</w:t>
            </w:r>
          </w:p>
        </w:tc>
        <w:tc>
          <w:tcPr>
            <w:tcW w:w="2409" w:type="dxa"/>
            <w:vAlign w:val="center"/>
          </w:tcPr>
          <w:p>
            <w:pPr>
              <w:jc w:val="center"/>
              <w:rPr>
                <w:rFonts w:ascii="宋体" w:hAnsi="宋体" w:hint="eastAsia"/>
                <w:b/>
                <w:bCs/>
              </w:rPr>
            </w:pPr>
            <w:r>
              <w:rPr>
                <w:rFonts w:ascii="宋体" w:hAnsi="宋体" w:hint="eastAsia"/>
                <w:b/>
                <w:bCs/>
              </w:rPr>
              <w:t>涉及事项</w:t>
            </w:r>
          </w:p>
        </w:tc>
        <w:tc>
          <w:tcPr>
            <w:tcW w:w="4980" w:type="dxa"/>
            <w:vAlign w:val="center"/>
          </w:tcPr>
          <w:p>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hint="eastAsia"/>
              </w:rPr>
            </w:pPr>
            <w:r>
              <w:rPr>
                <w:rFonts w:ascii="宋体" w:hAnsi="宋体" w:cs="宋体" w:hint="eastAsia"/>
                <w:color w:val="000000"/>
                <w:kern w:val="0"/>
                <w:sz w:val="20"/>
                <w:szCs w:val="20"/>
              </w:rPr>
              <w:t>深圳市龙岗区耳鼻咽喉医院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.2</w:t>
            </w:r>
          </w:p>
        </w:tc>
        <w:tc>
          <w:tcPr>
            <w:tcW w:w="2409" w:type="dxa"/>
            <w:vAlign w:val="center"/>
          </w:tcPr>
          <w:p>
            <w:pPr>
              <w:jc w:val="center"/>
              <w:rPr>
                <w:rFonts w:ascii="宋体" w:hAnsi="宋体" w:hint="eastAsia"/>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9</w:t>
            </w:r>
          </w:p>
        </w:tc>
        <w:tc>
          <w:tcPr>
            <w:tcW w:w="2409" w:type="dxa"/>
            <w:vAlign w:val="center"/>
          </w:tcPr>
          <w:p>
            <w:pPr>
              <w:jc w:val="center"/>
              <w:rPr>
                <w:rFonts w:ascii="宋体" w:hAnsi="宋体" w:hint="eastAsia"/>
              </w:rPr>
            </w:pPr>
            <w:r>
              <w:rPr>
                <w:rFonts w:ascii="宋体" w:hAnsi="宋体" w:hint="eastAsia"/>
              </w:rPr>
              <w:t>踏勘现场</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0</w:t>
            </w:r>
          </w:p>
        </w:tc>
        <w:tc>
          <w:tcPr>
            <w:tcW w:w="2409" w:type="dxa"/>
            <w:vAlign w:val="center"/>
          </w:tcPr>
          <w:p>
            <w:pPr>
              <w:jc w:val="center"/>
              <w:rPr>
                <w:rFonts w:ascii="宋体" w:hAnsi="宋体" w:hint="eastAsia"/>
              </w:rPr>
            </w:pPr>
            <w:r>
              <w:rPr>
                <w:rFonts w:ascii="宋体" w:hAnsi="宋体" w:hint="eastAsia"/>
              </w:rPr>
              <w:t>标前会议</w:t>
            </w:r>
          </w:p>
        </w:tc>
        <w:tc>
          <w:tcPr>
            <w:tcW w:w="4980" w:type="dxa"/>
            <w:vAlign w:val="center"/>
          </w:tcPr>
          <w:p>
            <w:pPr>
              <w:jc w:val="center"/>
              <w:rPr>
                <w:rFonts w:ascii="宋体" w:hAnsi="宋体" w:hint="eastAsia"/>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hint="eastAsia"/>
              </w:rPr>
            </w:pPr>
            <w:r>
              <w:rPr>
                <w:rFonts w:ascii="宋体" w:hAnsi="宋体" w:hint="eastAsia"/>
              </w:rPr>
              <w:t>招标文件的澄清和修改</w:t>
            </w:r>
          </w:p>
        </w:tc>
        <w:tc>
          <w:tcPr>
            <w:tcW w:w="4980" w:type="dxa"/>
            <w:vAlign w:val="center"/>
          </w:tcPr>
          <w:p>
            <w:pPr>
              <w:jc w:val="center"/>
              <w:rPr>
                <w:rFonts w:ascii="宋体" w:hAnsi="宋体" w:hint="eastAsia"/>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0</w:t>
            </w:r>
          </w:p>
        </w:tc>
        <w:tc>
          <w:tcPr>
            <w:tcW w:w="2409" w:type="dxa"/>
            <w:vAlign w:val="center"/>
          </w:tcPr>
          <w:p>
            <w:pPr>
              <w:jc w:val="center"/>
              <w:rPr>
                <w:rFonts w:ascii="宋体" w:hAnsi="宋体" w:hint="eastAsia"/>
              </w:rPr>
            </w:pPr>
            <w:r>
              <w:rPr>
                <w:rFonts w:ascii="宋体" w:hAnsi="宋体" w:hint="eastAsia"/>
              </w:rPr>
              <w:t>投标有效期</w:t>
            </w:r>
          </w:p>
        </w:tc>
        <w:tc>
          <w:tcPr>
            <w:tcW w:w="4980" w:type="dxa"/>
            <w:vAlign w:val="center"/>
          </w:tcPr>
          <w:p>
            <w:pPr>
              <w:jc w:val="center"/>
              <w:rPr>
                <w:rFonts w:ascii="宋体" w:hAnsi="宋体" w:hint="eastAsia"/>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2</w:t>
            </w:r>
          </w:p>
        </w:tc>
        <w:tc>
          <w:tcPr>
            <w:tcW w:w="2409" w:type="dxa"/>
            <w:vAlign w:val="center"/>
          </w:tcPr>
          <w:p>
            <w:pPr>
              <w:jc w:val="center"/>
              <w:rPr>
                <w:rFonts w:ascii="宋体" w:hAnsi="宋体" w:hint="eastAsia"/>
              </w:rPr>
            </w:pPr>
            <w:r>
              <w:rPr>
                <w:rFonts w:ascii="宋体" w:hAnsi="宋体" w:hint="eastAsia"/>
              </w:rPr>
              <w:t>投标人的替代方案</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5</w:t>
            </w:r>
          </w:p>
        </w:tc>
        <w:tc>
          <w:tcPr>
            <w:tcW w:w="2409" w:type="dxa"/>
            <w:vAlign w:val="center"/>
          </w:tcPr>
          <w:p>
            <w:pPr>
              <w:jc w:val="center"/>
              <w:rPr>
                <w:rFonts w:ascii="宋体" w:hAnsi="宋体" w:hint="eastAsia"/>
              </w:rPr>
            </w:pPr>
            <w:r>
              <w:rPr>
                <w:rFonts w:ascii="宋体" w:hAnsi="宋体" w:hint="eastAsia"/>
              </w:rPr>
              <w:t>投标文件的大小</w:t>
            </w:r>
          </w:p>
        </w:tc>
        <w:tc>
          <w:tcPr>
            <w:tcW w:w="4980" w:type="dxa"/>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6</w:t>
            </w:r>
          </w:p>
        </w:tc>
        <w:tc>
          <w:tcPr>
            <w:tcW w:w="2409" w:type="dxa"/>
            <w:vAlign w:val="center"/>
          </w:tcPr>
          <w:p>
            <w:pPr>
              <w:jc w:val="center"/>
              <w:rPr>
                <w:rFonts w:ascii="宋体" w:hAnsi="宋体" w:hint="eastAsia"/>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hAnsi="宋体" w:hint="eastAsia"/>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7</w:t>
            </w:r>
          </w:p>
        </w:tc>
        <w:tc>
          <w:tcPr>
            <w:tcW w:w="2409" w:type="dxa"/>
            <w:vAlign w:val="center"/>
          </w:tcPr>
          <w:p>
            <w:pPr>
              <w:jc w:val="center"/>
              <w:rPr>
                <w:rFonts w:ascii="宋体" w:hAnsi="宋体" w:hint="eastAsia"/>
              </w:rPr>
            </w:pPr>
            <w:r>
              <w:rPr>
                <w:rFonts w:ascii="宋体" w:hAnsi="宋体" w:hint="eastAsia"/>
              </w:rPr>
              <w:t>评审方法</w:t>
            </w:r>
          </w:p>
        </w:tc>
        <w:tc>
          <w:tcPr>
            <w:tcW w:w="4980" w:type="dxa"/>
            <w:vAlign w:val="center"/>
          </w:tcPr>
          <w:p>
            <w:pPr>
              <w:jc w:val="center"/>
              <w:rPr>
                <w:rFonts w:ascii="宋体" w:hAnsi="宋体" w:hint="eastAsia"/>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8</w:t>
            </w:r>
          </w:p>
        </w:tc>
        <w:tc>
          <w:tcPr>
            <w:tcW w:w="2409" w:type="dxa"/>
            <w:vAlign w:val="center"/>
          </w:tcPr>
          <w:p>
            <w:pPr>
              <w:jc w:val="center"/>
              <w:rPr>
                <w:rFonts w:ascii="宋体" w:hAnsi="宋体" w:hint="eastAsia"/>
              </w:rPr>
            </w:pPr>
            <w:r>
              <w:rPr>
                <w:rFonts w:ascii="宋体" w:hAnsi="宋体" w:hint="eastAsia"/>
              </w:rPr>
              <w:t>定标方法</w:t>
            </w:r>
          </w:p>
        </w:tc>
        <w:tc>
          <w:tcPr>
            <w:tcW w:w="4980" w:type="dxa"/>
            <w:vAlign w:val="center"/>
          </w:tcPr>
          <w:p>
            <w:pPr>
              <w:jc w:val="center"/>
              <w:rPr>
                <w:rFonts w:ascii="宋体" w:hAnsi="宋体" w:hint="eastAsia"/>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4</w:t>
            </w:r>
            <w:r>
              <w:rPr>
                <w:rFonts w:ascii="宋体" w:hAnsi="宋体"/>
              </w:rPr>
              <w:t>6</w:t>
            </w:r>
          </w:p>
        </w:tc>
        <w:tc>
          <w:tcPr>
            <w:tcW w:w="2409" w:type="dxa"/>
            <w:vAlign w:val="center"/>
          </w:tcPr>
          <w:p>
            <w:pPr>
              <w:jc w:val="center"/>
              <w:rPr>
                <w:rFonts w:ascii="宋体" w:hAnsi="宋体" w:hint="eastAsia"/>
              </w:rPr>
            </w:pPr>
            <w:r>
              <w:rPr>
                <w:rFonts w:ascii="宋体" w:hAnsi="宋体" w:hint="eastAsia"/>
              </w:rPr>
              <w:t>履约担保</w:t>
            </w:r>
          </w:p>
        </w:tc>
        <w:tc>
          <w:tcPr>
            <w:tcW w:w="4980" w:type="dxa"/>
            <w:vAlign w:val="center"/>
          </w:tcPr>
          <w:p>
            <w:pPr>
              <w:jc w:val="center"/>
              <w:rPr>
                <w:rFonts w:ascii="宋体" w:hAnsi="宋体" w:hint="eastAsia"/>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rFonts w:hint="eastAsia"/>
          <w:szCs w:val="24"/>
        </w:rPr>
      </w:pPr>
      <w:bookmarkEnd w:id="33"/>
      <w:bookmarkStart w:id="35" w:name="_Hlk72218117"/>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宋体" w:hAnsi="宋体" w:hint="eastAsia"/>
          <w:b/>
          <w:kern w:val="0"/>
          <w:szCs w:val="20"/>
        </w:rPr>
      </w:pPr>
      <w:r>
        <w:rPr>
          <w:rFonts w:ascii="宋体" w:hAnsi="宋体" w:hint="eastAsia"/>
          <w:b/>
          <w:kern w:val="0"/>
          <w:szCs w:val="20"/>
        </w:rPr>
        <w:t>1、评标定标信息</w:t>
      </w:r>
    </w:p>
    <w:p>
      <w:pPr>
        <w:jc w:val="center"/>
      </w:pPr>
      <w:r>
        <w:rPr>
          <w:rFonts w:hint="eastAsia"/>
          <w:b/>
        </w:rPr>
        <w:t>非评定分离项目</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0"/>
        <w:gridCol w:w="4537"/>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39" w:type="pct"/>
          </w:tcPr>
          <w:p>
            <w:pPr>
              <w:jc w:val="center"/>
            </w:pPr>
            <w:r>
              <w:rPr>
                <w:rFonts w:hint="eastAsia"/>
              </w:rPr>
              <w:t>评标方法</w:t>
            </w:r>
          </w:p>
        </w:tc>
        <w:tc>
          <w:tcPr>
            <w:tcW w:w="2660" w:type="pct"/>
          </w:tcPr>
          <w:p>
            <w:pPr>
              <w:jc w:val="center"/>
            </w:pPr>
            <w:r>
              <w:rPr>
                <w:rFonts w:hint="eastAsia"/>
              </w:rPr>
              <w:t>综合评分法</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候选中标供应商家数</w:t>
            </w:r>
          </w:p>
        </w:tc>
        <w:tc>
          <w:tcPr>
            <w:tcW w:w="2660" w:type="pct"/>
          </w:tcPr>
          <w:p>
            <w:pPr>
              <w:jc w:val="center"/>
            </w:pPr>
            <w:r>
              <w:rPr>
                <w:rFonts w:hint="eastAsia"/>
              </w:rPr>
              <w:t>3</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中标供应商家数</w:t>
            </w:r>
          </w:p>
        </w:tc>
        <w:tc>
          <w:tcPr>
            <w:tcW w:w="2660" w:type="pct"/>
          </w:tcPr>
          <w:p>
            <w:pPr>
              <w:jc w:val="center"/>
            </w:pPr>
            <w:r>
              <w:rPr>
                <w:rFonts w:hint="eastAsia"/>
              </w:rPr>
              <w:t>1</w:t>
            </w:r>
          </w:p>
        </w:tc>
      </w:tr>
    </w:tbl>
    <w:p>
      <w:pPr>
        <w:pStyle w:val="BodyText2"/>
      </w:pPr>
    </w:p>
    <w:p>
      <w:pPr>
        <w:ind w:firstLine="420" w:firstLineChars="200"/>
        <w:rPr>
          <w:b/>
        </w:rPr>
      </w:pPr>
    </w:p>
    <w:p>
      <w:pPr>
        <w:ind w:firstLine="420" w:firstLineChars="200"/>
        <w:rPr>
          <w:b/>
        </w:rPr>
      </w:pPr>
    </w:p>
    <w:p>
      <w:pPr>
        <w:ind w:firstLine="420" w:firstLineChars="200"/>
        <w:rPr>
          <w:b/>
        </w:rPr>
      </w:pPr>
      <w:r>
        <w:rPr>
          <w:rFonts w:hint="eastAsia"/>
          <w:b/>
        </w:rPr>
        <w:t>（二）其他事项</w:t>
      </w:r>
      <w:bookmarkEnd w:id="36"/>
    </w:p>
    <w:p>
      <w:pPr>
        <w:ind w:firstLine="420" w:firstLineChars="200"/>
        <w:rPr>
          <w:b/>
          <w:bCs/>
        </w:rPr>
      </w:pPr>
      <w:r>
        <w:rPr>
          <w:b/>
          <w:bCs/>
        </w:rPr>
        <w:t>1</w:t>
      </w:r>
      <w:r>
        <w:rPr>
          <w:rFonts w:hint="eastAsia"/>
          <w:b/>
          <w:bCs/>
        </w:rPr>
        <w:t>、关于享受优惠政策的主体、价格扣除比例及采购标的所属行业的说明</w:t>
      </w:r>
    </w:p>
    <w:p>
      <w:pPr>
        <w:ind w:firstLine="420" w:firstLineChars="200"/>
      </w:pPr>
      <w:r>
        <w:rPr>
          <w:rFonts w:hint="eastAsia"/>
        </w:rPr>
        <w:t>（1）非专门面向中小企业采购的项目，应执行价格扣除比例：投标人提供的货物（以招标文件用户需求书“货物清单明细”的“货物名称”一栏为准）全部均由优惠主体制造，则对其投标总价给予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10 </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bookmarkStart w:id="37" w:name="_Hlk71970739"/>
    </w:p>
    <w:p>
      <w:pPr>
        <w:ind w:firstLine="420" w:firstLineChars="200"/>
        <w:rPr>
          <w:rFonts w:ascii="宋体" w:hAnsi="宋体" w:cs="宋体" w:hint="eastAsia"/>
          <w:b/>
          <w:bCs/>
          <w:color w:val="FF0000"/>
          <w:szCs w:val="21"/>
        </w:rPr>
      </w:pPr>
      <w:r>
        <w:rPr>
          <w:rFonts w:hint="eastAsia"/>
        </w:rPr>
        <w:t>（2）</w:t>
      </w:r>
      <w:r>
        <w:rPr>
          <w:rFonts w:ascii="宋体" w:hAnsi="宋体" w:cs="宋体"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hAnsi="宋体" w:cs="宋体"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宋体" w:hAnsi="宋体" w:cs="宋体" w:hint="eastAsia"/>
          <w:b/>
          <w:bCs/>
          <w:color w:val="FF0000"/>
          <w:szCs w:val="21"/>
        </w:rPr>
        <w:t>。</w:t>
      </w:r>
      <w:bookmarkEnd w:id="37"/>
    </w:p>
    <w:p>
      <w:pPr>
        <w:ind w:firstLine="210" w:firstLineChars="100"/>
      </w:pPr>
      <w:r>
        <w:rPr>
          <w:rFonts w:ascii="宋体" w:hAnsi="宋体" w:cs="宋体" w:hint="eastAsia"/>
          <w:szCs w:val="21"/>
        </w:rPr>
        <w:t>（3）小型企业、微型企业、残疾人福利性单位作为优惠主体的认定资料为《中小企业声明函》、《残疾人福利性单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color w:val="FF0000"/>
        </w:rPr>
      </w:pPr>
      <w:r>
        <w:rPr>
          <w:rFonts w:hint="eastAsia"/>
        </w:rPr>
        <w:t>（4）享受价格扣除获得政府采购合同的，小微企业不得将合同分包给大中型企业。</w:t>
      </w:r>
    </w:p>
    <w:p>
      <w:pPr>
        <w:ind w:firstLine="420" w:firstLineChars="200"/>
        <w:rPr>
          <w:b/>
          <w:bCs/>
        </w:rPr>
      </w:pPr>
      <w:r>
        <w:rPr>
          <w:rFonts w:hint="eastAsia"/>
          <w:b/>
          <w:bCs/>
        </w:rPr>
        <w:t>2、本项目不向中标（成交）供应商收取代理服务费。</w:t>
      </w:r>
    </w:p>
    <w:p>
      <w:pPr>
        <w:rPr>
          <w:sz w:val="28"/>
          <w:szCs w:val="28"/>
        </w:rPr>
      </w:pPr>
      <w:bookmarkEnd w:id="35"/>
      <w:r>
        <w:rPr>
          <w:rFonts w:hint="eastAsia"/>
          <w:sz w:val="28"/>
          <w:szCs w:val="28"/>
        </w:rPr>
        <w:br w:type="page"/>
      </w:r>
    </w:p>
    <w:p>
      <w:pPr>
        <w:pStyle w:val="Heading2"/>
        <w:rPr>
          <w:rFonts w:hint="eastAsia"/>
          <w:sz w:val="28"/>
          <w:szCs w:val="28"/>
        </w:rPr>
      </w:pPr>
      <w:r>
        <w:rPr>
          <w:rFonts w:hint="eastAsia"/>
          <w:sz w:val="28"/>
          <w:szCs w:val="28"/>
        </w:rPr>
        <w:t>第三章 用户需求书</w:t>
      </w:r>
    </w:p>
    <w:p>
      <w:pPr>
        <w:pStyle w:val="Heading2"/>
        <w:spacing w:before="120" w:beforeLines="50" w:after="120" w:afterLines="50"/>
        <w:rPr>
          <w:rFonts w:hint="eastAsia"/>
          <w:szCs w:val="24"/>
        </w:rPr>
      </w:pPr>
      <w:r>
        <w:rPr>
          <w:rFonts w:hint="eastAsia"/>
          <w:szCs w:val="24"/>
        </w:rPr>
        <w:t>一、项目基本信息</w:t>
      </w:r>
    </w:p>
    <w:p>
      <w:pPr>
        <w:rPr>
          <w:rFonts w:ascii="宋体" w:hAnsi="宋体" w:hint="eastAsia"/>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bCs/>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Cs/>
                <w:szCs w:val="21"/>
              </w:rPr>
            </w:pPr>
            <w:r>
              <w:rPr>
                <w:rFonts w:hint="eastAsia"/>
                <w:bCs/>
                <w:szCs w:val="21"/>
              </w:rPr>
              <w:t>财政预算限额（元）</w:t>
            </w:r>
          </w:p>
        </w:tc>
      </w:tr>
      <w:tr>
        <w:tblPrEx>
          <w:tblW w:w="8529" w:type="dxa"/>
          <w:jc w:val="center"/>
          <w:tblLayout w:type="fixed"/>
          <w:tblCellMar>
            <w:top w:w="0" w:type="dxa"/>
            <w:left w:w="108" w:type="dxa"/>
            <w:bottom w:w="0" w:type="dxa"/>
            <w:right w:w="108" w:type="dxa"/>
          </w:tblCellMar>
        </w:tblPrEx>
        <w:trPr>
          <w:jc w:val="center"/>
        </w:trPr>
        <w:tc>
          <w:tcPr>
            <w:tcW w:w="413" w:type="dxa"/>
            <w:vAlign w:val="center"/>
          </w:tcPr>
          <w:p>
            <w:pPr>
              <w:jc w:val="center"/>
              <w:rPr>
                <w:bCs/>
                <w:szCs w:val="21"/>
              </w:rPr>
            </w:pPr>
            <w:r>
              <w:rPr>
                <w:rFonts w:hint="eastAsia"/>
                <w:bCs/>
                <w:szCs w:val="21"/>
              </w:rPr>
              <w:t>1</w:t>
            </w:r>
          </w:p>
        </w:tc>
        <w:tc>
          <w:tcPr>
            <w:tcW w:w="2603" w:type="dxa"/>
            <w:vAlign w:val="center"/>
          </w:tcPr>
          <w:p>
            <w:pPr>
              <w:rPr>
                <w:bCs/>
                <w:szCs w:val="21"/>
              </w:rPr>
            </w:pPr>
            <w:r>
              <w:rPr>
                <w:rFonts w:hint="eastAsia"/>
                <w:bCs/>
                <w:szCs w:val="21"/>
              </w:rPr>
              <w:t>PLAN-2025-440307000-022017-09663、PLAN-2025-440307000-022017-09664</w:t>
            </w:r>
          </w:p>
        </w:tc>
        <w:tc>
          <w:tcPr>
            <w:tcW w:w="3158" w:type="dxa"/>
            <w:vAlign w:val="center"/>
          </w:tcPr>
          <w:p>
            <w:pPr>
              <w:jc w:val="center"/>
              <w:rPr>
                <w:bCs/>
                <w:szCs w:val="21"/>
              </w:rPr>
            </w:pPr>
            <w:r>
              <w:rPr>
                <w:rFonts w:hint="eastAsia"/>
                <w:bCs/>
                <w:szCs w:val="21"/>
              </w:rPr>
              <w:t>龙岗区耳鼻咽喉医院激光共聚焦显微镜采购</w:t>
            </w:r>
          </w:p>
        </w:tc>
        <w:tc>
          <w:tcPr>
            <w:tcW w:w="2355" w:type="dxa"/>
            <w:vAlign w:val="center"/>
          </w:tcPr>
          <w:p>
            <w:pPr>
              <w:jc w:val="center"/>
              <w:rPr>
                <w:bCs/>
                <w:szCs w:val="21"/>
              </w:rPr>
            </w:pPr>
            <w:r>
              <w:rPr>
                <w:bCs/>
                <w:szCs w:val="21"/>
              </w:rPr>
              <w:t>2795000.00</w:t>
            </w:r>
          </w:p>
        </w:tc>
      </w:tr>
    </w:tbl>
    <w:p>
      <w:pPr>
        <w:rPr>
          <w:rFonts w:ascii="宋体" w:hAnsi="宋体" w:hint="eastAsia"/>
          <w:b/>
          <w:color w:val="FF0000"/>
          <w:szCs w:val="21"/>
        </w:rPr>
      </w:pPr>
    </w:p>
    <w:p>
      <w:pPr>
        <w:rPr>
          <w:rFonts w:ascii="宋体" w:hAnsi="宋体" w:hint="eastAsia"/>
          <w:b/>
          <w:color w:val="FF0000"/>
          <w:szCs w:val="21"/>
        </w:rPr>
      </w:pPr>
    </w:p>
    <w:p>
      <w:pPr>
        <w:pStyle w:val="Heading2"/>
        <w:numPr>
          <w:ilvl w:val="0"/>
          <w:numId w:val="8"/>
        </w:numPr>
        <w:spacing w:before="120" w:beforeLines="50" w:after="120" w:afterLines="50"/>
        <w:rPr>
          <w:rFonts w:hint="eastAsia"/>
          <w:szCs w:val="24"/>
        </w:rPr>
      </w:pPr>
      <w:bookmarkStart w:id="38" w:name="_Hlk72073432"/>
      <w:bookmarkStart w:id="39" w:name="_Hlk72258617"/>
      <w:r>
        <w:rPr>
          <w:rFonts w:hint="eastAsia"/>
          <w:szCs w:val="24"/>
        </w:rPr>
        <w:t>货物清单明细</w:t>
      </w:r>
      <w:bookmarkEnd w:id="38"/>
    </w:p>
    <w:p>
      <w:r>
        <w:rPr>
          <w:rFonts w:hint="eastAsia"/>
        </w:rPr>
        <w:t>（一）货物清单</w:t>
      </w:r>
    </w:p>
    <w:tbl>
      <w:tblPr>
        <w:tblStyle w:val="TableNormal"/>
        <w:tblW w:w="44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1266"/>
        <w:gridCol w:w="1816"/>
        <w:gridCol w:w="699"/>
        <w:gridCol w:w="755"/>
        <w:gridCol w:w="880"/>
        <w:gridCol w:w="880"/>
        <w:gridCol w:w="881"/>
      </w:tblGrid>
      <w:tr>
        <w:tblPrEx>
          <w:tblW w:w="44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80" w:type="pct"/>
            <w:vAlign w:val="center"/>
          </w:tcPr>
          <w:p>
            <w:pPr>
              <w:jc w:val="center"/>
              <w:rPr>
                <w:rFonts w:ascii="宋体" w:hAnsi="宋体" w:cs="宋体" w:hint="eastAsia"/>
                <w:bCs/>
                <w:szCs w:val="21"/>
              </w:rPr>
            </w:pPr>
            <w:r>
              <w:rPr>
                <w:rFonts w:ascii="宋体" w:hAnsi="宋体" w:cs="宋体" w:hint="eastAsia"/>
                <w:bCs/>
                <w:szCs w:val="21"/>
              </w:rPr>
              <w:t>序号</w:t>
            </w:r>
          </w:p>
        </w:tc>
        <w:tc>
          <w:tcPr>
            <w:tcW w:w="669" w:type="pct"/>
            <w:vAlign w:val="center"/>
          </w:tcPr>
          <w:p>
            <w:pPr>
              <w:jc w:val="center"/>
              <w:rPr>
                <w:rFonts w:ascii="宋体" w:hAnsi="宋体" w:cs="宋体" w:hint="eastAsia"/>
                <w:bCs/>
                <w:szCs w:val="21"/>
              </w:rPr>
            </w:pPr>
            <w:r>
              <w:rPr>
                <w:rFonts w:ascii="宋体" w:hAnsi="宋体" w:cs="宋体" w:hint="eastAsia"/>
                <w:szCs w:val="21"/>
              </w:rPr>
              <w:t>采购计划编号</w:t>
            </w:r>
          </w:p>
        </w:tc>
        <w:tc>
          <w:tcPr>
            <w:tcW w:w="1221" w:type="pct"/>
            <w:vAlign w:val="center"/>
          </w:tcPr>
          <w:p>
            <w:pPr>
              <w:jc w:val="center"/>
              <w:rPr>
                <w:rFonts w:ascii="宋体" w:hAnsi="宋体" w:cs="宋体" w:hint="eastAsia"/>
                <w:bCs/>
                <w:szCs w:val="21"/>
              </w:rPr>
            </w:pPr>
            <w:r>
              <w:rPr>
                <w:rFonts w:ascii="宋体" w:hAnsi="宋体" w:cs="宋体" w:hint="eastAsia"/>
                <w:bCs/>
                <w:szCs w:val="21"/>
              </w:rPr>
              <w:t>货物名称（标的名称）</w:t>
            </w:r>
          </w:p>
        </w:tc>
        <w:tc>
          <w:tcPr>
            <w:tcW w:w="487" w:type="pct"/>
            <w:vAlign w:val="center"/>
          </w:tcPr>
          <w:p>
            <w:pPr>
              <w:jc w:val="center"/>
              <w:rPr>
                <w:rFonts w:ascii="宋体" w:hAnsi="宋体" w:cs="宋体" w:hint="eastAsia"/>
                <w:bCs/>
                <w:szCs w:val="21"/>
              </w:rPr>
            </w:pPr>
            <w:r>
              <w:rPr>
                <w:rFonts w:ascii="宋体" w:hAnsi="宋体" w:cs="宋体" w:hint="eastAsia"/>
                <w:bCs/>
                <w:szCs w:val="21"/>
              </w:rPr>
              <w:t>数量</w:t>
            </w:r>
          </w:p>
        </w:tc>
        <w:tc>
          <w:tcPr>
            <w:tcW w:w="524" w:type="pct"/>
            <w:vAlign w:val="center"/>
          </w:tcPr>
          <w:p>
            <w:pPr>
              <w:jc w:val="center"/>
              <w:rPr>
                <w:rFonts w:ascii="宋体" w:hAnsi="宋体" w:cs="宋体" w:hint="eastAsia"/>
                <w:bCs/>
                <w:szCs w:val="21"/>
              </w:rPr>
            </w:pPr>
            <w:r>
              <w:rPr>
                <w:rFonts w:ascii="宋体" w:hAnsi="宋体" w:cs="宋体" w:hint="eastAsia"/>
                <w:bCs/>
                <w:szCs w:val="21"/>
              </w:rPr>
              <w:t>单位</w:t>
            </w:r>
          </w:p>
        </w:tc>
        <w:tc>
          <w:tcPr>
            <w:tcW w:w="605" w:type="pct"/>
            <w:vAlign w:val="center"/>
          </w:tcPr>
          <w:p>
            <w:pPr>
              <w:jc w:val="center"/>
              <w:rPr>
                <w:rFonts w:ascii="宋体" w:hAnsi="宋体" w:cs="宋体" w:hint="eastAsia"/>
                <w:b/>
                <w:bCs/>
                <w:color w:val="FF0000"/>
                <w:szCs w:val="21"/>
              </w:rPr>
            </w:pPr>
            <w:r>
              <w:rPr>
                <w:rFonts w:ascii="宋体" w:hAnsi="宋体" w:cs="宋体" w:hint="eastAsia"/>
                <w:b/>
                <w:bCs/>
                <w:color w:val="FF0000"/>
                <w:szCs w:val="21"/>
              </w:rPr>
              <w:t>备注</w:t>
            </w:r>
          </w:p>
        </w:tc>
        <w:tc>
          <w:tcPr>
            <w:tcW w:w="605" w:type="pct"/>
            <w:vAlign w:val="center"/>
          </w:tcPr>
          <w:p>
            <w:pPr>
              <w:jc w:val="center"/>
              <w:rPr>
                <w:rFonts w:ascii="宋体" w:hAnsi="宋体" w:cs="宋体" w:hint="eastAsia"/>
                <w:b/>
                <w:bCs/>
                <w:color w:val="FF0000"/>
                <w:szCs w:val="21"/>
              </w:rPr>
            </w:pPr>
            <w:r>
              <w:rPr>
                <w:rFonts w:hint="eastAsia"/>
                <w:b/>
                <w:bCs/>
                <w:color w:val="FF0000"/>
                <w:szCs w:val="21"/>
                <w:highlight w:val="yellow"/>
              </w:rPr>
              <w:t>是否专门面向中小企业</w:t>
            </w:r>
          </w:p>
        </w:tc>
        <w:tc>
          <w:tcPr>
            <w:tcW w:w="606" w:type="pct"/>
            <w:vAlign w:val="center"/>
          </w:tcPr>
          <w:p>
            <w:pPr>
              <w:jc w:val="center"/>
              <w:rPr>
                <w:rFonts w:ascii="宋体" w:hAnsi="宋体" w:cs="宋体" w:hint="eastAsia"/>
                <w:b/>
                <w:bCs/>
                <w:color w:val="FF0000"/>
                <w:szCs w:val="21"/>
              </w:rPr>
            </w:pPr>
            <w:r>
              <w:rPr>
                <w:rFonts w:hint="eastAsia"/>
                <w:b/>
                <w:bCs/>
                <w:color w:val="FF0000"/>
                <w:szCs w:val="21"/>
                <w:highlight w:val="yellow"/>
              </w:rPr>
              <w:t>标的所属行业</w:t>
            </w:r>
          </w:p>
        </w:tc>
      </w:tr>
      <w:tr>
        <w:tblPrEx>
          <w:tblW w:w="4457" w:type="pct"/>
          <w:jc w:val="center"/>
          <w:tblCellMar>
            <w:top w:w="0" w:type="dxa"/>
            <w:left w:w="108" w:type="dxa"/>
            <w:bottom w:w="0" w:type="dxa"/>
            <w:right w:w="108" w:type="dxa"/>
          </w:tblCellMar>
        </w:tblPrEx>
        <w:trPr>
          <w:jc w:val="center"/>
        </w:trPr>
        <w:tc>
          <w:tcPr>
            <w:tcW w:w="280" w:type="pct"/>
            <w:vAlign w:val="center"/>
          </w:tcPr>
          <w:p>
            <w:pPr>
              <w:jc w:val="center"/>
              <w:rPr>
                <w:rFonts w:ascii="宋体" w:hAnsi="宋体" w:cs="宋体" w:hint="eastAsia"/>
                <w:bCs/>
                <w:szCs w:val="21"/>
              </w:rPr>
            </w:pPr>
            <w:r>
              <w:rPr>
                <w:rFonts w:ascii="宋体" w:hAnsi="宋体" w:cs="宋体" w:hint="eastAsia"/>
                <w:bCs/>
                <w:szCs w:val="21"/>
              </w:rPr>
              <w:t>1</w:t>
            </w:r>
          </w:p>
        </w:tc>
        <w:tc>
          <w:tcPr>
            <w:tcW w:w="669" w:type="pct"/>
            <w:vMerge w:val="restart"/>
            <w:vAlign w:val="center"/>
          </w:tcPr>
          <w:p>
            <w:pPr>
              <w:jc w:val="center"/>
              <w:rPr>
                <w:rFonts w:ascii="宋体" w:hAnsi="宋体" w:cs="宋体" w:hint="eastAsia"/>
                <w:bCs/>
                <w:szCs w:val="21"/>
              </w:rPr>
            </w:pPr>
            <w:bookmarkStart w:id="40" w:name="OLE_LINK1"/>
            <w:r>
              <w:rPr>
                <w:rFonts w:ascii="宋体" w:hAnsi="宋体" w:cs="宋体" w:hint="eastAsia"/>
                <w:bCs/>
                <w:szCs w:val="21"/>
              </w:rPr>
              <w:t>PLAN-2025-440307000-022017-09663、PLAN-2025-440307000-022017-09664</w:t>
            </w:r>
            <w:bookmarkEnd w:id="40"/>
          </w:p>
        </w:tc>
        <w:tc>
          <w:tcPr>
            <w:tcW w:w="1221" w:type="pct"/>
            <w:vAlign w:val="center"/>
          </w:tcPr>
          <w:p>
            <w:pPr>
              <w:jc w:val="left"/>
              <w:rPr>
                <w:rFonts w:ascii="宋体" w:hAnsi="宋体" w:cs="宋体" w:hint="eastAsia"/>
                <w:bCs/>
                <w:szCs w:val="21"/>
              </w:rPr>
            </w:pPr>
            <w:r>
              <w:rPr>
                <w:rFonts w:ascii="宋体" w:hAnsi="宋体" w:cs="宋体" w:hint="eastAsia"/>
              </w:rPr>
              <w:t>激光共聚焦显微镜</w:t>
            </w:r>
          </w:p>
        </w:tc>
        <w:tc>
          <w:tcPr>
            <w:tcW w:w="487" w:type="pct"/>
            <w:vAlign w:val="center"/>
          </w:tcPr>
          <w:p>
            <w:pPr>
              <w:jc w:val="center"/>
              <w:rPr>
                <w:rFonts w:ascii="宋体" w:hAnsi="宋体" w:cs="宋体" w:hint="eastAsia"/>
                <w:bCs/>
                <w:szCs w:val="21"/>
              </w:rPr>
            </w:pPr>
            <w:r>
              <w:rPr>
                <w:rFonts w:ascii="宋体" w:hAnsi="宋体" w:cs="宋体"/>
                <w:bCs/>
                <w:szCs w:val="21"/>
              </w:rPr>
              <w:t>1</w:t>
            </w:r>
          </w:p>
        </w:tc>
        <w:tc>
          <w:tcPr>
            <w:tcW w:w="524" w:type="pct"/>
            <w:vAlign w:val="center"/>
          </w:tcPr>
          <w:p>
            <w:pPr>
              <w:jc w:val="center"/>
              <w:rPr>
                <w:rFonts w:ascii="宋体" w:hAnsi="宋体" w:cs="宋体" w:hint="eastAsia"/>
                <w:bCs/>
                <w:szCs w:val="21"/>
              </w:rPr>
            </w:pPr>
            <w:r>
              <w:rPr>
                <w:rFonts w:ascii="宋体" w:hAnsi="宋体" w:cs="宋体" w:hint="eastAsia"/>
                <w:bCs/>
                <w:szCs w:val="21"/>
              </w:rPr>
              <w:t>套</w:t>
            </w:r>
          </w:p>
        </w:tc>
        <w:tc>
          <w:tcPr>
            <w:tcW w:w="605" w:type="pct"/>
            <w:vAlign w:val="center"/>
          </w:tcPr>
          <w:p>
            <w:pPr>
              <w:jc w:val="center"/>
              <w:rPr>
                <w:rFonts w:ascii="宋体" w:hAnsi="宋体" w:cs="宋体" w:hint="eastAsia"/>
                <w:b/>
                <w:bCs/>
                <w:szCs w:val="21"/>
              </w:rPr>
            </w:pPr>
            <w:r>
              <w:rPr>
                <w:rFonts w:ascii="宋体" w:hAnsi="宋体" w:hint="eastAsia"/>
                <w:b/>
                <w:color w:val="FF0000"/>
                <w:szCs w:val="21"/>
              </w:rPr>
              <w:t>拒绝进口</w:t>
            </w:r>
          </w:p>
        </w:tc>
        <w:tc>
          <w:tcPr>
            <w:tcW w:w="605" w:type="pct"/>
            <w:vAlign w:val="center"/>
          </w:tcPr>
          <w:p>
            <w:pPr>
              <w:jc w:val="center"/>
              <w:rPr>
                <w:rFonts w:ascii="宋体" w:hAnsi="宋体" w:cs="宋体" w:hint="eastAsia"/>
                <w:b/>
                <w:bCs/>
                <w:color w:val="FF0000"/>
                <w:szCs w:val="21"/>
              </w:rPr>
            </w:pPr>
            <w:r>
              <w:rPr>
                <w:rFonts w:ascii="宋体" w:hAnsi="宋体" w:cs="宋体" w:hint="eastAsia"/>
                <w:b/>
                <w:bCs/>
                <w:szCs w:val="21"/>
              </w:rPr>
              <w:t>否</w:t>
            </w:r>
          </w:p>
        </w:tc>
        <w:tc>
          <w:tcPr>
            <w:tcW w:w="606" w:type="pct"/>
            <w:vAlign w:val="center"/>
          </w:tcPr>
          <w:p>
            <w:pPr>
              <w:jc w:val="center"/>
              <w:rPr>
                <w:rFonts w:ascii="宋体" w:hAnsi="宋体" w:cs="宋体" w:hint="eastAsia"/>
                <w:b/>
                <w:bCs/>
                <w:szCs w:val="21"/>
              </w:rPr>
            </w:pPr>
            <w:r>
              <w:rPr>
                <w:rFonts w:ascii="宋体" w:hAnsi="宋体" w:cs="宋体" w:hint="eastAsia"/>
                <w:b/>
                <w:bCs/>
                <w:szCs w:val="21"/>
              </w:rPr>
              <w:t>工业</w:t>
            </w:r>
          </w:p>
        </w:tc>
      </w:tr>
      <w:tr>
        <w:tblPrEx>
          <w:tblW w:w="4457" w:type="pct"/>
          <w:jc w:val="center"/>
          <w:tblCellMar>
            <w:top w:w="0" w:type="dxa"/>
            <w:left w:w="108" w:type="dxa"/>
            <w:bottom w:w="0" w:type="dxa"/>
            <w:right w:w="108" w:type="dxa"/>
          </w:tblCellMar>
        </w:tblPrEx>
        <w:trPr>
          <w:jc w:val="center"/>
        </w:trPr>
        <w:tc>
          <w:tcPr>
            <w:tcW w:w="280" w:type="pct"/>
            <w:vAlign w:val="center"/>
          </w:tcPr>
          <w:p>
            <w:pPr>
              <w:jc w:val="center"/>
              <w:rPr>
                <w:rFonts w:ascii="宋体" w:hAnsi="宋体" w:cs="宋体" w:hint="eastAsia"/>
                <w:bCs/>
                <w:szCs w:val="21"/>
              </w:rPr>
            </w:pPr>
            <w:r>
              <w:rPr>
                <w:rFonts w:ascii="宋体" w:hAnsi="宋体" w:cs="宋体" w:hint="eastAsia"/>
                <w:bCs/>
                <w:szCs w:val="21"/>
              </w:rPr>
              <w:t>2</w:t>
            </w:r>
          </w:p>
        </w:tc>
        <w:tc>
          <w:tcPr>
            <w:tcW w:w="669" w:type="pct"/>
            <w:vMerge/>
            <w:vAlign w:val="center"/>
          </w:tcPr>
          <w:p>
            <w:pPr>
              <w:jc w:val="center"/>
              <w:rPr>
                <w:rFonts w:ascii="宋体" w:hAnsi="宋体" w:cs="宋体" w:hint="eastAsia"/>
                <w:bCs/>
                <w:szCs w:val="21"/>
              </w:rPr>
            </w:pPr>
          </w:p>
        </w:tc>
        <w:tc>
          <w:tcPr>
            <w:tcW w:w="1221" w:type="pct"/>
            <w:vAlign w:val="center"/>
          </w:tcPr>
          <w:p>
            <w:pPr>
              <w:jc w:val="left"/>
              <w:rPr>
                <w:rFonts w:ascii="宋体" w:hAnsi="宋体" w:cs="宋体" w:hint="eastAsia"/>
              </w:rPr>
            </w:pPr>
            <w:r>
              <w:rPr>
                <w:rFonts w:ascii="宋体" w:hAnsi="宋体" w:cs="宋体" w:hint="eastAsia"/>
              </w:rPr>
              <w:t>心电图机</w:t>
            </w:r>
          </w:p>
        </w:tc>
        <w:tc>
          <w:tcPr>
            <w:tcW w:w="487" w:type="pct"/>
            <w:vAlign w:val="center"/>
          </w:tcPr>
          <w:p>
            <w:pPr>
              <w:jc w:val="center"/>
              <w:rPr>
                <w:rFonts w:ascii="宋体" w:hAnsi="宋体" w:cs="宋体" w:hint="eastAsia"/>
                <w:bCs/>
                <w:szCs w:val="21"/>
              </w:rPr>
            </w:pPr>
            <w:r>
              <w:rPr>
                <w:rFonts w:ascii="宋体" w:hAnsi="宋体" w:cs="宋体" w:hint="eastAsia"/>
                <w:bCs/>
                <w:szCs w:val="21"/>
              </w:rPr>
              <w:t>1</w:t>
            </w:r>
          </w:p>
        </w:tc>
        <w:tc>
          <w:tcPr>
            <w:tcW w:w="524" w:type="pct"/>
            <w:vAlign w:val="center"/>
          </w:tcPr>
          <w:p>
            <w:pPr>
              <w:jc w:val="center"/>
              <w:rPr>
                <w:rFonts w:ascii="宋体" w:hAnsi="宋体" w:cs="宋体" w:hint="eastAsia"/>
                <w:bCs/>
                <w:szCs w:val="21"/>
              </w:rPr>
            </w:pPr>
            <w:r>
              <w:rPr>
                <w:rFonts w:ascii="宋体" w:hAnsi="宋体" w:cs="宋体" w:hint="eastAsia"/>
                <w:bCs/>
                <w:szCs w:val="21"/>
              </w:rPr>
              <w:t>套</w:t>
            </w:r>
          </w:p>
        </w:tc>
        <w:tc>
          <w:tcPr>
            <w:tcW w:w="605" w:type="pct"/>
            <w:vAlign w:val="center"/>
          </w:tcPr>
          <w:p>
            <w:pPr>
              <w:jc w:val="center"/>
              <w:rPr>
                <w:rFonts w:ascii="宋体" w:hAnsi="宋体" w:hint="eastAsia"/>
                <w:b/>
                <w:color w:val="FF0000"/>
                <w:szCs w:val="21"/>
              </w:rPr>
            </w:pPr>
            <w:r>
              <w:rPr>
                <w:rFonts w:ascii="宋体" w:hAnsi="宋体" w:hint="eastAsia"/>
                <w:b/>
                <w:color w:val="FF0000"/>
                <w:szCs w:val="21"/>
              </w:rPr>
              <w:t>拒绝进口</w:t>
            </w:r>
          </w:p>
        </w:tc>
        <w:tc>
          <w:tcPr>
            <w:tcW w:w="605" w:type="pct"/>
            <w:vAlign w:val="center"/>
          </w:tcPr>
          <w:p>
            <w:pPr>
              <w:jc w:val="center"/>
              <w:rPr>
                <w:rFonts w:ascii="宋体" w:hAnsi="宋体" w:cs="宋体" w:hint="eastAsia"/>
                <w:b/>
                <w:bCs/>
                <w:szCs w:val="21"/>
              </w:rPr>
            </w:pPr>
            <w:r>
              <w:rPr>
                <w:rFonts w:ascii="宋体" w:hAnsi="宋体" w:cs="宋体" w:hint="eastAsia"/>
                <w:b/>
                <w:bCs/>
                <w:szCs w:val="21"/>
              </w:rPr>
              <w:t>否</w:t>
            </w:r>
          </w:p>
        </w:tc>
        <w:tc>
          <w:tcPr>
            <w:tcW w:w="606" w:type="pct"/>
            <w:vAlign w:val="center"/>
          </w:tcPr>
          <w:p>
            <w:pPr>
              <w:jc w:val="center"/>
              <w:rPr>
                <w:rFonts w:ascii="宋体" w:hAnsi="宋体" w:cs="宋体" w:hint="eastAsia"/>
                <w:b/>
                <w:bCs/>
                <w:szCs w:val="21"/>
              </w:rPr>
            </w:pPr>
            <w:r>
              <w:rPr>
                <w:rFonts w:ascii="宋体" w:hAnsi="宋体" w:cs="宋体" w:hint="eastAsia"/>
                <w:b/>
                <w:bCs/>
                <w:szCs w:val="21"/>
              </w:rPr>
              <w:t>工业</w:t>
            </w:r>
          </w:p>
        </w:tc>
      </w:tr>
    </w:tbl>
    <w:p>
      <w:pPr>
        <w:rPr>
          <w:rFonts w:ascii="宋体" w:hAnsi="宋体" w:hint="eastAsia"/>
          <w:b/>
          <w:color w:val="FF0000"/>
          <w:szCs w:val="21"/>
        </w:rPr>
      </w:pPr>
    </w:p>
    <w:p>
      <w:pPr>
        <w:pStyle w:val="BodyText"/>
      </w:pPr>
    </w:p>
    <w:p>
      <w:pPr>
        <w:ind w:firstLine="420" w:firstLineChars="200"/>
        <w:rPr>
          <w:rFonts w:ascii="宋体" w:hAnsi="宋体" w:hint="eastAsia"/>
          <w:b/>
          <w:color w:val="FF0000"/>
          <w:szCs w:val="21"/>
        </w:rPr>
      </w:pPr>
    </w:p>
    <w:p>
      <w:pPr>
        <w:ind w:firstLine="420" w:firstLineChars="200"/>
        <w:rPr>
          <w:rFonts w:ascii="宋体" w:hAnsi="宋体" w:hint="eastAsia"/>
          <w:b/>
          <w:color w:val="FF0000"/>
          <w:szCs w:val="21"/>
        </w:rPr>
      </w:pPr>
      <w:r>
        <w:rPr>
          <w:rFonts w:ascii="宋体" w:hAnsi="宋体" w:hint="eastAsia"/>
          <w:b/>
          <w:color w:val="FF0000"/>
          <w:szCs w:val="21"/>
        </w:rPr>
        <w:t>备注：1.“是否接受进口”栏注明“拒绝进口”的产品不接受投标人选用进口产品参与投标；注明“接受进口”的产品允许投标人选用进口产品参与投标，但不排斥国内产品。</w:t>
      </w:r>
    </w:p>
    <w:p>
      <w:pPr>
        <w:ind w:firstLine="420" w:firstLineChars="200"/>
        <w:rPr>
          <w:rFonts w:ascii="宋体" w:hAnsi="宋体" w:hint="eastAsia"/>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rPr>
          <w:rFonts w:ascii="宋体" w:hAnsi="宋体" w:hint="eastAsia"/>
          <w:b/>
          <w:color w:val="FF0000"/>
          <w:szCs w:val="21"/>
        </w:rPr>
      </w:pPr>
      <w:bookmarkEnd w:id="39"/>
      <w:r>
        <w:rPr>
          <w:rFonts w:ascii="宋体" w:hAnsi="宋体" w:hint="eastAsia"/>
          <w:b/>
          <w:color w:val="FF0000"/>
          <w:szCs w:val="21"/>
        </w:rPr>
        <w:t xml:space="preserve">    3、用途：设备用于获取高质量的以及超高分辨率的光学切片图像，适用于组织和细胞中荧光标记的分子和结构检测、荧光强度信号的定量分析、荧光共振能量转移、荧光漂白及恢复实验以及其他生物学应用。</w:t>
      </w:r>
    </w:p>
    <w:p>
      <w:pPr>
        <w:ind w:firstLine="420" w:firstLineChars="200"/>
        <w:rPr>
          <w:rFonts w:ascii="宋体" w:hAnsi="宋体" w:hint="eastAsia"/>
          <w:b/>
          <w:color w:val="FF0000"/>
          <w:szCs w:val="21"/>
        </w:rPr>
      </w:pPr>
      <w:r>
        <w:rPr>
          <w:rFonts w:hint="eastAsia"/>
        </w:rPr>
        <w:t xml:space="preserve">  </w:t>
      </w:r>
      <w:r>
        <w:rPr>
          <w:rFonts w:ascii="宋体" w:hAnsi="宋体" w:hint="eastAsia"/>
          <w:b/>
          <w:color w:val="FF0000"/>
          <w:szCs w:val="21"/>
        </w:rPr>
        <w:t>4、本项目核心产品为：</w:t>
      </w:r>
      <w:r>
        <w:rPr>
          <w:rFonts w:ascii="宋体" w:hAnsi="宋体" w:hint="eastAsia"/>
          <w:b/>
          <w:color w:val="FF0000"/>
          <w:szCs w:val="21"/>
          <w:u w:val="single"/>
        </w:rPr>
        <w:t xml:space="preserve">   激光共聚焦显微镜   </w:t>
      </w:r>
      <w:r>
        <w:rPr>
          <w:rFonts w:ascii="宋体" w:hAnsi="宋体" w:hint="eastAsia"/>
          <w:b/>
          <w:color w:val="FF0000"/>
          <w:szCs w:val="21"/>
        </w:rPr>
        <w:t>。</w:t>
      </w:r>
    </w:p>
    <w:p>
      <w:pPr>
        <w:pStyle w:val="BodyText"/>
      </w:pPr>
    </w:p>
    <w:p>
      <w:pPr>
        <w:pStyle w:val="Heading2"/>
        <w:spacing w:before="120" w:beforeLines="50" w:after="120" w:afterLines="50"/>
        <w:rPr>
          <w:rFonts w:hint="eastAsia"/>
          <w:sz w:val="28"/>
          <w:szCs w:val="28"/>
        </w:rPr>
      </w:pPr>
      <w:bookmarkStart w:id="41"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tblPrEx>
          <w:tblW w:w="8188" w:type="dxa"/>
          <w:tblInd w:w="0" w:type="dxa"/>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282" w:type="dxa"/>
            <w:vAlign w:val="center"/>
          </w:tcPr>
          <w:tbl>
            <w:tblPr>
              <w:tblStyle w:val="TableNormal"/>
              <w:tblW w:w="4999" w:type="pct"/>
              <w:tblInd w:w="0" w:type="dxa"/>
              <w:tblCellMar>
                <w:top w:w="0" w:type="dxa"/>
                <w:left w:w="108" w:type="dxa"/>
                <w:bottom w:w="0" w:type="dxa"/>
                <w:right w:w="108" w:type="dxa"/>
              </w:tblCellMar>
            </w:tblPr>
            <w:tblGrid>
              <w:gridCol w:w="702"/>
              <w:gridCol w:w="6363"/>
            </w:tblGrid>
            <w:tr>
              <w:tblPrEx>
                <w:tblW w:w="4999" w:type="pct"/>
                <w:tblInd w:w="0" w:type="dxa"/>
                <w:tblCellMar>
                  <w:top w:w="0" w:type="dxa"/>
                  <w:left w:w="108" w:type="dxa"/>
                  <w:bottom w:w="0" w:type="dxa"/>
                  <w:right w:w="108" w:type="dxa"/>
                </w:tblCellMar>
              </w:tblPrEx>
              <w:trPr>
                <w:trHeight w:val="285"/>
              </w:trPr>
              <w:tc>
                <w:tcPr>
                  <w:tcW w:w="497" w:type="pct"/>
                  <w:tcBorders>
                    <w:top w:val="single" w:sz="4" w:space="0" w:color="000000"/>
                    <w:left w:val="single" w:sz="4" w:space="0" w:color="000000"/>
                    <w:bottom w:val="single" w:sz="4" w:space="0" w:color="000000"/>
                    <w:right w:val="single" w:sz="4" w:space="0" w:color="000000"/>
                  </w:tcBorders>
                  <w:shd w:val="clear" w:color="auto" w:fill="auto"/>
                </w:tcPr>
                <w:p>
                  <w:pPr>
                    <w:rPr>
                      <w:rFonts w:ascii="宋体" w:hAnsi="宋体" w:cs="宋体" w:hint="eastAsia"/>
                    </w:rPr>
                  </w:pPr>
                </w:p>
                <w:p>
                  <w:pPr>
                    <w:rPr>
                      <w:rFonts w:ascii="宋体" w:hAnsi="宋体" w:cs="宋体" w:hint="eastAsia"/>
                    </w:rPr>
                  </w:pPr>
                </w:p>
                <w:p>
                  <w:pPr>
                    <w:rPr>
                      <w:rFonts w:ascii="宋体" w:hAnsi="宋体" w:cs="宋体" w:hint="eastAsia"/>
                      <w:color w:val="000000"/>
                      <w:sz w:val="22"/>
                      <w:szCs w:val="22"/>
                    </w:rPr>
                  </w:pPr>
                  <w:r>
                    <w:rPr>
                      <w:rFonts w:hint="eastAsia"/>
                      <w:b/>
                      <w:szCs w:val="21"/>
                    </w:rPr>
                    <w:t>★</w:t>
                  </w:r>
                  <w:r>
                    <w:rPr>
                      <w:rFonts w:ascii="宋体" w:hAnsi="宋体" w:cs="宋体" w:hint="eastAsia"/>
                    </w:rPr>
                    <w:t>二、配置要求：</w:t>
                  </w:r>
                </w:p>
              </w:tc>
              <w:tc>
                <w:tcPr>
                  <w:tcW w:w="4503" w:type="pct"/>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spacing w:val="1"/>
                    </w:rPr>
                  </w:pPr>
                  <w:r>
                    <w:rPr>
                      <w:rFonts w:ascii="宋体" w:hAnsi="宋体" w:cs="宋体" w:hint="eastAsia"/>
                      <w:spacing w:val="1"/>
                    </w:rPr>
                    <w:t>1.全电动倒置显微镜                                      1台</w:t>
                  </w:r>
                </w:p>
                <w:p>
                  <w:pPr>
                    <w:rPr>
                      <w:rFonts w:ascii="宋体" w:hAnsi="宋体" w:cs="宋体" w:hint="eastAsia"/>
                      <w:spacing w:val="1"/>
                    </w:rPr>
                  </w:pPr>
                  <w:r>
                    <w:rPr>
                      <w:rFonts w:ascii="宋体" w:hAnsi="宋体" w:cs="宋体" w:hint="eastAsia"/>
                      <w:spacing w:val="1"/>
                    </w:rPr>
                    <w:t>2.405nm/488nm/561nm/640nm固态激光器                     1套</w:t>
                  </w:r>
                </w:p>
                <w:p>
                  <w:pPr>
                    <w:rPr>
                      <w:rFonts w:ascii="宋体" w:hAnsi="宋体" w:cs="宋体" w:hint="eastAsia"/>
                      <w:spacing w:val="1"/>
                    </w:rPr>
                  </w:pPr>
                  <w:r>
                    <w:rPr>
                      <w:rFonts w:ascii="宋体" w:hAnsi="宋体" w:cs="宋体" w:hint="eastAsia"/>
                      <w:spacing w:val="1"/>
                    </w:rPr>
                    <w:t>3.6个荧光通道，其中共聚焦荧光通道至少3个，宽场荧光通道至少3个</w:t>
                  </w:r>
                </w:p>
                <w:p>
                  <w:pPr>
                    <w:rPr>
                      <w:rFonts w:ascii="宋体" w:hAnsi="宋体" w:cs="宋体" w:hint="eastAsia"/>
                      <w:spacing w:val="1"/>
                    </w:rPr>
                  </w:pPr>
                  <w:r>
                    <w:rPr>
                      <w:rFonts w:ascii="宋体" w:hAnsi="宋体" w:cs="宋体" w:hint="eastAsia"/>
                      <w:spacing w:val="1"/>
                    </w:rPr>
                    <w:t>4.低噪音共聚焦检测器                                3个</w:t>
                  </w:r>
                </w:p>
                <w:p>
                  <w:pPr>
                    <w:rPr>
                      <w:rFonts w:ascii="宋体" w:hAnsi="宋体" w:cs="宋体" w:hint="eastAsia"/>
                      <w:spacing w:val="1"/>
                    </w:rPr>
                  </w:pPr>
                  <w:r>
                    <w:rPr>
                      <w:rFonts w:ascii="宋体" w:hAnsi="宋体" w:cs="宋体" w:hint="eastAsia"/>
                      <w:spacing w:val="1"/>
                    </w:rPr>
                    <w:t>5.明场检测器                                        1个</w:t>
                  </w:r>
                </w:p>
                <w:p>
                  <w:pPr>
                    <w:rPr>
                      <w:rFonts w:ascii="宋体" w:hAnsi="宋体" w:cs="宋体" w:hint="eastAsia"/>
                      <w:spacing w:val="1"/>
                    </w:rPr>
                  </w:pPr>
                  <w:r>
                    <w:rPr>
                      <w:rFonts w:ascii="宋体" w:hAnsi="宋体" w:cs="宋体" w:hint="eastAsia"/>
                      <w:spacing w:val="1"/>
                    </w:rPr>
                    <w:t>6.10x 复消色差共聚焦物镜                            1个</w:t>
                  </w:r>
                </w:p>
                <w:p>
                  <w:pPr>
                    <w:rPr>
                      <w:rFonts w:ascii="宋体" w:hAnsi="宋体" w:cs="宋体" w:hint="eastAsia"/>
                      <w:spacing w:val="1"/>
                    </w:rPr>
                  </w:pPr>
                  <w:r>
                    <w:rPr>
                      <w:rFonts w:ascii="宋体" w:hAnsi="宋体" w:cs="宋体" w:hint="eastAsia"/>
                      <w:spacing w:val="1"/>
                    </w:rPr>
                    <w:t>7.20x 复消色差共聚焦物镜                            1个</w:t>
                  </w:r>
                </w:p>
                <w:p>
                  <w:pPr>
                    <w:rPr>
                      <w:rFonts w:ascii="宋体" w:hAnsi="宋体" w:cs="宋体" w:hint="eastAsia"/>
                      <w:spacing w:val="1"/>
                    </w:rPr>
                  </w:pPr>
                  <w:r>
                    <w:rPr>
                      <w:rFonts w:ascii="宋体" w:hAnsi="宋体" w:cs="宋体" w:hint="eastAsia"/>
                      <w:spacing w:val="1"/>
                    </w:rPr>
                    <w:t>8.40x 复消色差共聚焦物镜                            1个</w:t>
                  </w:r>
                </w:p>
                <w:p>
                  <w:pPr>
                    <w:rPr>
                      <w:rFonts w:ascii="宋体" w:hAnsi="宋体" w:cs="宋体" w:hint="eastAsia"/>
                      <w:spacing w:val="1"/>
                    </w:rPr>
                  </w:pPr>
                  <w:r>
                    <w:rPr>
                      <w:rFonts w:ascii="宋体" w:hAnsi="宋体" w:cs="宋体" w:hint="eastAsia"/>
                      <w:spacing w:val="1"/>
                    </w:rPr>
                    <w:t>9.60x或63x 复消色差共聚焦物镜                       1个</w:t>
                  </w:r>
                </w:p>
                <w:p>
                  <w:pPr>
                    <w:rPr>
                      <w:rFonts w:ascii="宋体" w:hAnsi="宋体" w:cs="宋体" w:hint="eastAsia"/>
                      <w:spacing w:val="1"/>
                    </w:rPr>
                  </w:pPr>
                  <w:r>
                    <w:rPr>
                      <w:rFonts w:ascii="宋体" w:hAnsi="宋体" w:cs="宋体" w:hint="eastAsia"/>
                      <w:spacing w:val="1"/>
                    </w:rPr>
                    <w:t>10.GFP/CY3/DAPI荧光激发滤块                         1套</w:t>
                  </w:r>
                </w:p>
                <w:p>
                  <w:pPr>
                    <w:rPr>
                      <w:rFonts w:ascii="宋体" w:hAnsi="宋体" w:cs="宋体" w:hint="eastAsia"/>
                      <w:spacing w:val="1"/>
                    </w:rPr>
                  </w:pPr>
                  <w:r>
                    <w:rPr>
                      <w:rFonts w:ascii="宋体" w:hAnsi="宋体" w:cs="宋体" w:hint="eastAsia"/>
                      <w:spacing w:val="1"/>
                    </w:rPr>
                    <w:t>11.高分辨扫描振镜                                   1套</w:t>
                  </w:r>
                </w:p>
                <w:p>
                  <w:pPr>
                    <w:rPr>
                      <w:rFonts w:ascii="宋体" w:hAnsi="宋体" w:cs="宋体" w:hint="eastAsia"/>
                      <w:spacing w:val="1"/>
                    </w:rPr>
                  </w:pPr>
                  <w:r>
                    <w:rPr>
                      <w:rFonts w:ascii="宋体" w:hAnsi="宋体" w:cs="宋体" w:hint="eastAsia"/>
                      <w:spacing w:val="1"/>
                    </w:rPr>
                    <w:t>12.旋钮调焦控制器                                   1个</w:t>
                  </w:r>
                </w:p>
                <w:p>
                  <w:pPr>
                    <w:rPr>
                      <w:rFonts w:ascii="宋体" w:hAnsi="宋体" w:cs="宋体" w:hint="eastAsia"/>
                      <w:spacing w:val="1"/>
                    </w:rPr>
                  </w:pPr>
                  <w:r>
                    <w:rPr>
                      <w:rFonts w:ascii="宋体" w:hAnsi="宋体" w:cs="宋体" w:hint="eastAsia"/>
                      <w:spacing w:val="1"/>
                    </w:rPr>
                    <w:t>13.触屏操作控制器                                   1个</w:t>
                  </w:r>
                </w:p>
                <w:p>
                  <w:pPr>
                    <w:rPr>
                      <w:rFonts w:ascii="宋体" w:hAnsi="宋体" w:cs="宋体" w:hint="eastAsia"/>
                      <w:spacing w:val="1"/>
                    </w:rPr>
                  </w:pPr>
                  <w:r>
                    <w:rPr>
                      <w:rFonts w:ascii="宋体" w:hAnsi="宋体" w:cs="宋体" w:hint="eastAsia"/>
                      <w:spacing w:val="1"/>
                    </w:rPr>
                    <w:t>14.超分辨成像分析组件                               1套</w:t>
                  </w:r>
                </w:p>
                <w:p>
                  <w:pPr>
                    <w:rPr>
                      <w:rFonts w:ascii="宋体" w:hAnsi="宋体" w:cs="宋体" w:hint="eastAsia"/>
                      <w:spacing w:val="1"/>
                    </w:rPr>
                  </w:pPr>
                  <w:r>
                    <w:rPr>
                      <w:rFonts w:ascii="宋体" w:hAnsi="宋体" w:cs="宋体" w:hint="eastAsia"/>
                      <w:spacing w:val="1"/>
                    </w:rPr>
                    <w:t>15.高级图像处理工作站                               1个</w:t>
                  </w:r>
                </w:p>
                <w:p>
                  <w:pPr>
                    <w:rPr>
                      <w:rFonts w:ascii="宋体" w:hAnsi="宋体" w:cs="宋体" w:hint="eastAsia"/>
                      <w:spacing w:val="1"/>
                    </w:rPr>
                  </w:pPr>
                  <w:r>
                    <w:rPr>
                      <w:rFonts w:ascii="宋体" w:hAnsi="宋体" w:cs="宋体" w:hint="eastAsia"/>
                      <w:spacing w:val="1"/>
                    </w:rPr>
                    <w:t>（配置不低于：12核处理器，512G SSD高速硬盘1个，8T硬盘1个，另配备不低于1T固态移动硬盘1个；64GB内存，8G显存，32英寸液晶显示器，分辨率3840 × 2160，Windows 10企业版 x64操作系统。）</w:t>
                  </w:r>
                </w:p>
                <w:p>
                  <w:pPr>
                    <w:numPr>
                      <w:ilvl w:val="0"/>
                      <w:numId w:val="9"/>
                    </w:numPr>
                    <w:rPr>
                      <w:rFonts w:ascii="宋体" w:hAnsi="宋体" w:cs="宋体" w:hint="eastAsia"/>
                      <w:spacing w:val="1"/>
                    </w:rPr>
                  </w:pPr>
                  <w:r>
                    <w:rPr>
                      <w:rFonts w:ascii="宋体" w:hAnsi="宋体" w:cs="宋体" w:hint="eastAsia"/>
                      <w:spacing w:val="1"/>
                    </w:rPr>
                    <w:t>16.共聚焦控制及分析软件                             1套</w:t>
                  </w:r>
                </w:p>
                <w:p>
                  <w:pPr>
                    <w:numPr>
                      <w:ilvl w:val="255"/>
                      <w:numId w:val="0"/>
                    </w:numPr>
                    <w:rPr>
                      <w:rFonts w:ascii="宋体" w:hAnsi="宋体" w:cs="宋体" w:hint="eastAsia"/>
                      <w:spacing w:val="1"/>
                    </w:rPr>
                  </w:pPr>
                  <w:r>
                    <w:rPr>
                      <w:rFonts w:ascii="宋体" w:hAnsi="宋体" w:cs="宋体" w:hint="eastAsia"/>
                      <w:spacing w:val="1"/>
                    </w:rPr>
                    <w:t>（至少包含如下功能：共定位分析、串色分离、3D成像、3D图像分析、浏览拼图、荧光共振能量转移（FRET）、荧光漂白后恢复（FRAP）效率分析，动态聚焦地图，图像反卷积处理，生理学分析，细胞计数）</w:t>
                  </w:r>
                </w:p>
                <w:p>
                  <w:pPr>
                    <w:rPr>
                      <w:rFonts w:ascii="宋体" w:hAnsi="宋体" w:cs="宋体" w:hint="eastAsia"/>
                      <w:spacing w:val="1"/>
                    </w:rPr>
                  </w:pPr>
                  <w:r>
                    <w:rPr>
                      <w:rFonts w:ascii="宋体" w:hAnsi="宋体" w:cs="宋体" w:hint="eastAsia"/>
                      <w:spacing w:val="1"/>
                    </w:rPr>
                    <w:t>17.防震台                                           1张</w:t>
                  </w:r>
                </w:p>
                <w:p>
                  <w:pPr>
                    <w:rPr>
                      <w:rFonts w:ascii="宋体" w:hAnsi="宋体" w:cs="宋体" w:hint="eastAsia"/>
                      <w:spacing w:val="1"/>
                    </w:rPr>
                  </w:pPr>
                  <w:r>
                    <w:rPr>
                      <w:rFonts w:ascii="宋体" w:hAnsi="宋体" w:cs="宋体" w:hint="eastAsia"/>
                      <w:spacing w:val="1"/>
                    </w:rPr>
                    <w:t>18.可升降电脑桌                                     1张</w:t>
                  </w:r>
                </w:p>
                <w:p>
                  <w:pPr>
                    <w:rPr>
                      <w:rFonts w:ascii="Arial" w:hAnsi="Arial" w:cs="Arial"/>
                      <w:color w:val="000000"/>
                      <w:kern w:val="0"/>
                      <w:szCs w:val="21"/>
                    </w:rPr>
                  </w:pPr>
                </w:p>
              </w:tc>
            </w:tr>
          </w:tbl>
          <w:p>
            <w:pPr>
              <w:adjustRightInd w:val="0"/>
              <w:snapToGrid w:val="0"/>
              <w:spacing w:line="360" w:lineRule="auto"/>
              <w:jc w:val="center"/>
              <w:rPr>
                <w:rFonts w:hAnsi="宋体" w:hint="eastAsia"/>
                <w:kern w:val="0"/>
                <w:szCs w:val="21"/>
              </w:rPr>
            </w:pPr>
          </w:p>
        </w:tc>
      </w:tr>
      <w:tr>
        <w:tblPrEx>
          <w:tblW w:w="8188" w:type="dxa"/>
          <w:tblInd w:w="0" w:type="dxa"/>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2</w:t>
            </w:r>
          </w:p>
        </w:tc>
        <w:tc>
          <w:tcPr>
            <w:tcW w:w="7282" w:type="dxa"/>
            <w:vAlign w:val="center"/>
          </w:tcPr>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49"/>
              <w:gridCol w:w="5703"/>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★报价</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人民币报价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★交货地点</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采购人指定位置（深圳市龙岗区龙城街道黄阁路186号）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★交货期</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color w:val="222A35"/>
                      <w:highlight w:val="yellow"/>
                    </w:rPr>
                    <w:t>合同签订后接到采购人通知后30个</w:t>
                  </w:r>
                  <w:r>
                    <w:rPr>
                      <w:rFonts w:hint="eastAsia"/>
                      <w:highlight w:val="yellow"/>
                    </w:rPr>
                    <w:t>日历日</w:t>
                  </w:r>
                  <w:r>
                    <w:rPr>
                      <w:rFonts w:ascii="宋体" w:hAnsi="宋体" w:cs="宋体" w:hint="eastAsia"/>
                      <w:color w:val="222A35"/>
                      <w:highlight w:val="yellow"/>
                    </w:rPr>
                    <w:t>内</w:t>
                  </w:r>
                  <w:r>
                    <w:rPr>
                      <w:rFonts w:hint="eastAsia"/>
                      <w:highlight w:val="yellow"/>
                    </w:rPr>
                    <w:t>完成交货</w:t>
                  </w:r>
                  <w:r>
                    <w:rPr>
                      <w:rFonts w:ascii="宋体" w:hAnsi="宋体" w:cs="宋体" w:hint="eastAsia"/>
                      <w:color w:val="222A35"/>
                      <w:highlight w:val="yellow"/>
                    </w:rPr>
                    <w:t>。</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★付款方式</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1、分期支付：①合同签订、财政资金到位后且收到中标人的发票，支付中标人不高于项目总额 70%预付款；②设备到货、财政资金到位且收到中标人累计100%设备货款发票，按照相应规定支付中标人累计不高于项目总额95%货款；③设备验收合格、财政资金到位按照相应规定支付中标人剩余货款。当采购人本年度的资金预算不足以支付项目款项时，则需顺延至下年度支付。</w:t>
                  </w:r>
                </w:p>
                <w:p>
                  <w:pPr>
                    <w:tabs>
                      <w:tab w:val="left" w:pos="426"/>
                    </w:tabs>
                    <w:spacing w:line="360" w:lineRule="auto"/>
                    <w:rPr>
                      <w:rFonts w:ascii="宋体" w:hAnsi="宋体" w:cs="宋体" w:hint="eastAsia"/>
                    </w:rPr>
                  </w:pPr>
                  <w:r>
                    <w:rPr>
                      <w:rFonts w:ascii="宋体" w:hAnsi="宋体" w:cs="宋体" w:hint="eastAsia"/>
                    </w:rPr>
                    <w:t>2、签订合同时需提交厂家出具的3年质保售后服务承诺书。</w:t>
                  </w:r>
                </w:p>
                <w:p>
                  <w:pPr>
                    <w:tabs>
                      <w:tab w:val="left" w:pos="426"/>
                    </w:tabs>
                    <w:spacing w:line="360" w:lineRule="auto"/>
                    <w:rPr>
                      <w:rFonts w:ascii="宋体" w:hAnsi="宋体" w:cs="宋体" w:hint="eastAsia"/>
                    </w:rPr>
                  </w:pPr>
                  <w:r>
                    <w:rPr>
                      <w:rFonts w:ascii="宋体" w:hAnsi="宋体" w:cs="宋体" w:hint="eastAsia"/>
                    </w:rPr>
                    <w:t>3、（1）如果采购人对中标人提供的产品有质量异议的，可以视具体情况暂时中止支付争议款项或其他相关款项，直到争议解除，采购人不因此承担延期付款的违约责任。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2）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tabs>
                      <w:tab w:val="left" w:pos="426"/>
                    </w:tabs>
                    <w:spacing w:line="360" w:lineRule="auto"/>
                    <w:rPr>
                      <w:rFonts w:ascii="宋体" w:hAnsi="宋体" w:cs="宋体" w:hint="eastAsia"/>
                    </w:rPr>
                  </w:pPr>
                  <w:r>
                    <w:rPr>
                      <w:rFonts w:ascii="宋体" w:hAnsi="宋体" w:cs="宋体" w:hint="eastAsia"/>
                    </w:rPr>
                    <w:t>（3）中标人提供的产品不合格，或产品存在瑕疵、缺陷，采购人有权暂停支付中标人项目相应到期应付货款，且不视为采购人违约，直到双方正式处理完不合格产品为止。</w:t>
                  </w:r>
                </w:p>
                <w:p>
                  <w:pPr>
                    <w:tabs>
                      <w:tab w:val="left" w:pos="426"/>
                    </w:tabs>
                    <w:spacing w:line="360" w:lineRule="auto"/>
                    <w:rPr>
                      <w:rFonts w:ascii="宋体" w:hAnsi="宋体" w:cs="宋体" w:hint="eastAsia"/>
                    </w:rPr>
                  </w:pPr>
                  <w:r>
                    <w:rPr>
                      <w:rFonts w:ascii="宋体" w:hAnsi="宋体" w:cs="宋体" w:hint="eastAsia"/>
                    </w:rPr>
                    <w:t>（4）中标人应向采购人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tabs>
                      <w:tab w:val="left" w:pos="426"/>
                    </w:tabs>
                    <w:spacing w:line="360" w:lineRule="auto"/>
                    <w:rPr>
                      <w:rFonts w:ascii="宋体" w:hAnsi="宋体" w:cs="宋体" w:hint="eastAsia"/>
                    </w:rPr>
                  </w:pPr>
                  <w:r>
                    <w:rPr>
                      <w:rFonts w:ascii="宋体" w:hAnsi="宋体" w:cs="宋体" w:hint="eastAsia"/>
                    </w:rPr>
                    <w:t>（5）采购人在规定时间向支付部门提出支付申请，如因财政支付部门审核时间导致无法按期支付的，采购人不承担违约责任。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★验收方式</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1、货到安装，现场验收。中标人应派有经验的技术人员到现场进行安装、调试，直到设备正常使用。</w:t>
                  </w:r>
                </w:p>
                <w:p>
                  <w:pPr>
                    <w:tabs>
                      <w:tab w:val="left" w:pos="426"/>
                    </w:tabs>
                    <w:spacing w:line="360" w:lineRule="auto"/>
                    <w:rPr>
                      <w:rFonts w:ascii="宋体" w:hAnsi="宋体" w:cs="宋体" w:hint="eastAsia"/>
                    </w:rPr>
                  </w:pPr>
                  <w:r>
                    <w:rPr>
                      <w:rFonts w:ascii="宋体" w:hAnsi="宋体" w:cs="宋体" w:hint="eastAsia"/>
                    </w:rPr>
                    <w:t>2、交货后30个日历日内完成安装、调试、交付使用，由采购人使用科室、设备科、中标人等代表在场进行验收。</w:t>
                  </w:r>
                </w:p>
                <w:p>
                  <w:pPr>
                    <w:tabs>
                      <w:tab w:val="left" w:pos="426"/>
                    </w:tabs>
                    <w:spacing w:line="360" w:lineRule="auto"/>
                    <w:rPr>
                      <w:rFonts w:ascii="宋体" w:hAnsi="宋体" w:cs="宋体" w:hint="eastAsia"/>
                    </w:rPr>
                  </w:pPr>
                  <w:r>
                    <w:rPr>
                      <w:rFonts w:ascii="宋体" w:hAnsi="宋体" w:cs="宋体" w:hint="eastAsia"/>
                    </w:rPr>
                    <w:t>3、在本项目涉及的医疗设备安装过程中，若安装场地需进行改造以满足设备安装要求，中标人应承担全部改造工作及相关费用。改造工作包括但不限于拆除、新建、装修、水电线路改造、通风系统调整等一切为实现设备正常安装及后续使用所必需的工程内容。改造工程费用由中标人全额承担，费用包含但不限于材料采购、施工人员薪酬、设备租赁、运输、税费等所有与改造工程相关的支出。</w:t>
                  </w:r>
                </w:p>
                <w:p>
                  <w:pPr>
                    <w:tabs>
                      <w:tab w:val="left" w:pos="426"/>
                    </w:tabs>
                    <w:spacing w:line="360" w:lineRule="auto"/>
                    <w:rPr>
                      <w:rFonts w:ascii="宋体" w:hAnsi="宋体" w:cs="宋体" w:hint="eastAsia"/>
                    </w:rPr>
                  </w:pPr>
                  <w:r>
                    <w:rPr>
                      <w:rFonts w:ascii="宋体" w:hAnsi="宋体" w:cs="宋体" w:hint="eastAsia"/>
                    </w:rPr>
                    <w:t>4、产品质量和安装调试检验标准遵照国家相关规定和最新标准执行。提供的货物必须为全新、经检验合格的产品，且</w:t>
                  </w:r>
                  <w:r>
                    <w:rPr>
                      <w:rFonts w:ascii="宋体" w:hAnsi="宋体" w:hint="eastAsia"/>
                    </w:rPr>
                    <w:t>产品生产日期应为验收日期一年内</w:t>
                  </w:r>
                  <w:r>
                    <w:rPr>
                      <w:rFonts w:ascii="宋体" w:hAnsi="宋体" w:cs="宋体" w:hint="eastAsia"/>
                    </w:rPr>
                    <w:t>。确保产品投入使用前，按照国家规定办理好产品所有启用所需的资质证件。验收中如发现有质量不合格或型号规格、数量等与送货清单不符等情况，中标人应更换或补齐，并承担因此发生的违约责任。中标人货物经过双方检验认可后，签署验收报告。以上费用均已包含在投标报价中。</w:t>
                  </w:r>
                </w:p>
                <w:p>
                  <w:pPr>
                    <w:tabs>
                      <w:tab w:val="left" w:pos="426"/>
                    </w:tabs>
                    <w:spacing w:line="360" w:lineRule="auto"/>
                    <w:rPr>
                      <w:rFonts w:ascii="宋体" w:hAnsi="宋体" w:cs="宋体" w:hint="eastAsia"/>
                    </w:rPr>
                  </w:pPr>
                  <w:r>
                    <w:rPr>
                      <w:rFonts w:ascii="宋体" w:hAnsi="宋体" w:cs="宋体" w:hint="eastAsia"/>
                    </w:rPr>
                    <w:t>5、当满足以下条件时，采购人才向中标人签发货物验收报告：</w:t>
                  </w:r>
                </w:p>
                <w:p>
                  <w:pPr>
                    <w:tabs>
                      <w:tab w:val="left" w:pos="426"/>
                    </w:tabs>
                    <w:spacing w:line="360" w:lineRule="auto"/>
                    <w:rPr>
                      <w:rFonts w:ascii="宋体" w:hAnsi="宋体" w:cs="宋体" w:hint="eastAsia"/>
                    </w:rPr>
                  </w:pPr>
                  <w:r>
                    <w:rPr>
                      <w:rFonts w:ascii="宋体" w:hAnsi="宋体" w:cs="宋体" w:hint="eastAsia"/>
                    </w:rPr>
                    <w:t>A.设备出厂日期≤1年</w:t>
                  </w:r>
                  <w:r>
                    <w:rPr>
                      <w:rFonts w:ascii="宋体" w:hAnsi="宋体" w:cs="宋体" w:hint="eastAsia"/>
                      <w:color w:val="222A35"/>
                    </w:rPr>
                    <w:t>（以合同签订时间为准）</w:t>
                  </w:r>
                  <w:r>
                    <w:rPr>
                      <w:rFonts w:ascii="宋体" w:hAnsi="宋体" w:cs="宋体" w:hint="eastAsia"/>
                    </w:rPr>
                    <w:t>；</w:t>
                  </w:r>
                </w:p>
                <w:p>
                  <w:pPr>
                    <w:tabs>
                      <w:tab w:val="left" w:pos="426"/>
                    </w:tabs>
                    <w:spacing w:line="360" w:lineRule="auto"/>
                    <w:rPr>
                      <w:rFonts w:ascii="宋体" w:hAnsi="宋体" w:cs="宋体" w:hint="eastAsia"/>
                    </w:rPr>
                  </w:pPr>
                  <w:r>
                    <w:rPr>
                      <w:rFonts w:ascii="宋体" w:hAnsi="宋体" w:cs="宋体" w:hint="eastAsia"/>
                    </w:rPr>
                    <w:t>B.中标人按合同要求如期交货；</w:t>
                  </w:r>
                </w:p>
                <w:p>
                  <w:pPr>
                    <w:tabs>
                      <w:tab w:val="left" w:pos="426"/>
                    </w:tabs>
                    <w:spacing w:line="360" w:lineRule="auto"/>
                    <w:rPr>
                      <w:rFonts w:ascii="宋体" w:hAnsi="宋体" w:cs="宋体" w:hint="eastAsia"/>
                    </w:rPr>
                  </w:pPr>
                  <w:r>
                    <w:rPr>
                      <w:rFonts w:ascii="宋体" w:hAnsi="宋体" w:cs="宋体" w:hint="eastAsia"/>
                    </w:rPr>
                    <w:t>C.中标人已按照合同规定提供了全部产品及完整的技术资料；</w:t>
                  </w:r>
                </w:p>
                <w:p>
                  <w:pPr>
                    <w:tabs>
                      <w:tab w:val="left" w:pos="426"/>
                    </w:tabs>
                    <w:spacing w:line="360" w:lineRule="auto"/>
                    <w:rPr>
                      <w:rFonts w:ascii="宋体" w:hAnsi="宋体" w:cs="宋体" w:hint="eastAsia"/>
                    </w:rPr>
                  </w:pPr>
                  <w:r>
                    <w:rPr>
                      <w:rFonts w:ascii="宋体" w:hAnsi="宋体" w:cs="宋体" w:hint="eastAsia"/>
                    </w:rPr>
                    <w:t>D.货物符合招标文件技术规格书的要求，性能满足要求；</w:t>
                  </w:r>
                </w:p>
                <w:p>
                  <w:pPr>
                    <w:tabs>
                      <w:tab w:val="left" w:pos="426"/>
                    </w:tabs>
                    <w:spacing w:line="360" w:lineRule="auto"/>
                    <w:rPr>
                      <w:rFonts w:ascii="宋体" w:hAnsi="宋体" w:cs="宋体" w:hint="eastAsia"/>
                    </w:rPr>
                  </w:pPr>
                  <w:r>
                    <w:rPr>
                      <w:rFonts w:ascii="宋体" w:hAnsi="宋体" w:cs="宋体" w:hint="eastAsia"/>
                    </w:rPr>
                    <w:t>E.提供货物中文说明书；</w:t>
                  </w:r>
                </w:p>
                <w:p>
                  <w:pPr>
                    <w:tabs>
                      <w:tab w:val="left" w:pos="426"/>
                    </w:tabs>
                    <w:spacing w:line="360" w:lineRule="auto"/>
                    <w:rPr>
                      <w:rFonts w:ascii="宋体" w:hAnsi="宋体" w:cs="宋体" w:hint="eastAsia"/>
                    </w:rPr>
                  </w:pPr>
                  <w:r>
                    <w:rPr>
                      <w:rFonts w:ascii="宋体" w:hAnsi="宋体" w:cs="宋体" w:hint="eastAsia"/>
                    </w:rPr>
                    <w:t>F.提供维修手册、与厂家签订的3年质保售后服务协议；</w:t>
                  </w:r>
                </w:p>
                <w:p>
                  <w:pPr>
                    <w:tabs>
                      <w:tab w:val="left" w:pos="426"/>
                    </w:tabs>
                    <w:spacing w:line="360" w:lineRule="auto"/>
                    <w:rPr>
                      <w:rFonts w:ascii="宋体" w:hAnsi="宋体" w:cs="宋体" w:hint="eastAsia"/>
                    </w:rPr>
                  </w:pPr>
                  <w:r>
                    <w:rPr>
                      <w:rFonts w:ascii="宋体" w:hAnsi="宋体" w:cs="宋体" w:hint="eastAsia"/>
                    </w:rPr>
                    <w:t>G.进口设备必须提供正常有效的报关证明（报关单、海关增值税发票）及合法有效的商检合格证明；</w:t>
                  </w:r>
                </w:p>
                <w:p>
                  <w:pPr>
                    <w:tabs>
                      <w:tab w:val="left" w:pos="426"/>
                    </w:tabs>
                    <w:spacing w:line="360" w:lineRule="auto"/>
                    <w:rPr>
                      <w:rFonts w:ascii="宋体" w:hAnsi="宋体" w:cs="宋体" w:hint="eastAsia"/>
                    </w:rPr>
                  </w:pPr>
                  <w:r>
                    <w:rPr>
                      <w:rFonts w:ascii="宋体" w:hAnsi="宋体" w:cs="宋体" w:hint="eastAsia"/>
                    </w:rPr>
                    <w:t>6、若采购人对中标人所供设备有质疑，中标人需无条件配合采购人委托第三方质量检测部门按照招投标文件进行验收确认，所需费用由中标人负责支付。出具合格的检测验收报告，采购人将履行采购合同；若检测验收报告不合格，采购人有权取消采购合同，因此造成的经济损失由中标人承担。</w:t>
                  </w:r>
                </w:p>
                <w:p>
                  <w:pPr>
                    <w:tabs>
                      <w:tab w:val="left" w:pos="426"/>
                    </w:tabs>
                    <w:spacing w:line="360" w:lineRule="auto"/>
                    <w:rPr>
                      <w:rFonts w:ascii="宋体" w:hAnsi="宋体" w:cs="宋体" w:hint="eastAsia"/>
                    </w:rPr>
                  </w:pPr>
                  <w:r>
                    <w:rPr>
                      <w:rFonts w:ascii="宋体" w:hAnsi="宋体" w:cs="宋体" w:hint="eastAsia"/>
                    </w:rPr>
                    <w:t>7、验收时，中标人须按采购人要求提供中标验货验收所需要的其他资料。</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★包装及运输要求</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★售后服务要求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1、中标人对所提供的设备(包括零配件)提供免费保修期</w:t>
                  </w:r>
                  <w:r>
                    <w:rPr>
                      <w:rFonts w:ascii="宋体" w:hAnsi="宋体" w:cs="宋体" w:hint="eastAsia"/>
                      <w:u w:val="single"/>
                    </w:rPr>
                    <w:t xml:space="preserve"> 3 </w:t>
                  </w:r>
                  <w:r>
                    <w:rPr>
                      <w:rFonts w:ascii="宋体" w:hAnsi="宋体" w:cs="宋体" w:hint="eastAsia"/>
                    </w:rPr>
                    <w:t>年。(免费保修期时间自最终验收合格并交付使用之日起计算)，在免费保修期，需提供原装的零配件及其维修，终身负责维修，储备足够的零配件备库并保证十年以上维修配件；一年需对设备进行维护四次（每季度一次），不额外收费。免费保修期内出现的质量问题,由中标人负责,中标人负责包修、包换或者包退,并承担修理、调换或退货的实际费用。免费保修期外，中标人负责提供原装配件并免费维修更换，不额外收费，采购人只需支付更换的零配件费用。中标人负责该套设备软件的免费安装，软件可终身升级维护、备份。</w:t>
                  </w:r>
                </w:p>
                <w:p>
                  <w:pPr>
                    <w:tabs>
                      <w:tab w:val="left" w:pos="426"/>
                    </w:tabs>
                    <w:spacing w:line="360" w:lineRule="auto"/>
                    <w:rPr>
                      <w:rFonts w:ascii="宋体" w:hAnsi="宋体" w:cs="宋体" w:hint="eastAsia"/>
                    </w:rPr>
                  </w:pPr>
                  <w:r>
                    <w:rPr>
                      <w:rFonts w:ascii="宋体" w:hAnsi="宋体" w:cs="宋体" w:hint="eastAsia"/>
                    </w:rPr>
                    <w:t>2、免费保修期内，中标人应对产品因质量出现的问题修复，在</w:t>
                  </w:r>
                  <w:r>
                    <w:rPr>
                      <w:rFonts w:ascii="宋体" w:hAnsi="宋体" w:cs="宋体" w:hint="eastAsia"/>
                      <w:u w:val="single"/>
                    </w:rPr>
                    <w:t>2小时</w:t>
                  </w:r>
                  <w:r>
                    <w:rPr>
                      <w:rFonts w:ascii="宋体" w:hAnsi="宋体" w:cs="宋体" w:hint="eastAsia"/>
                    </w:rPr>
                    <w:t>内响应，</w:t>
                  </w:r>
                  <w:r>
                    <w:rPr>
                      <w:rFonts w:ascii="宋体" w:hAnsi="宋体" w:cs="宋体" w:hint="eastAsia"/>
                      <w:u w:val="single"/>
                    </w:rPr>
                    <w:t>48小时</w:t>
                  </w:r>
                  <w:r>
                    <w:rPr>
                      <w:rFonts w:ascii="宋体" w:hAnsi="宋体" w:cs="宋体" w:hint="eastAsia"/>
                    </w:rPr>
                    <w:t>内到达现场维修，</w:t>
                  </w:r>
                  <w:r>
                    <w:rPr>
                      <w:rFonts w:ascii="宋体" w:hAnsi="宋体" w:cs="宋体" w:hint="eastAsia"/>
                      <w:u w:val="single"/>
                    </w:rPr>
                    <w:t>72小时</w:t>
                  </w:r>
                  <w:r>
                    <w:rPr>
                      <w:rFonts w:ascii="宋体" w:hAnsi="宋体" w:cs="宋体" w:hint="eastAsia"/>
                    </w:rPr>
                    <w:t>内消除故障(不可抗力情况除外)，消耗品/零配件供应及时。由此产生的包括但不限于运输费、安装费、搬运费、替换产品的损耗费、零部件费、调试费等全部费用由中标人承担。</w:t>
                  </w:r>
                </w:p>
                <w:p>
                  <w:pPr>
                    <w:tabs>
                      <w:tab w:val="left" w:pos="426"/>
                    </w:tabs>
                    <w:spacing w:line="360" w:lineRule="auto"/>
                    <w:rPr>
                      <w:rFonts w:ascii="宋体" w:hAnsi="宋体" w:cs="宋体" w:hint="eastAsia"/>
                    </w:rPr>
                  </w:pPr>
                  <w:r>
                    <w:rPr>
                      <w:rFonts w:ascii="宋体" w:hAnsi="宋体" w:cs="宋体" w:hint="eastAsia"/>
                    </w:rPr>
                    <w:t>3、免费保修期，中标人应确保设备年开机率在98%（含）以上，若达不到此开机率，将作以下处理：年开机率在90%（含）-98%（不含）之间，免费保修期延长一年；年开机率在85%（含）-90%（不含）之间，免费保修期延长两年；年开机率低于85（不含），中标人必须无条件更换新设备，并重新计算新设备的免费保修期，以及赔偿采购人的直接经济损失和间接经济损失，以上费用均已包含在洽谈报价中。【注：年开机率=（365-停机天数）/365】</w:t>
                  </w:r>
                </w:p>
                <w:p>
                  <w:pPr>
                    <w:tabs>
                      <w:tab w:val="left" w:pos="426"/>
                    </w:tabs>
                    <w:spacing w:line="360" w:lineRule="auto"/>
                    <w:rPr>
                      <w:rFonts w:ascii="宋体" w:hAnsi="宋体" w:cs="宋体" w:hint="eastAsia"/>
                    </w:rPr>
                  </w:pPr>
                  <w:r>
                    <w:rPr>
                      <w:rFonts w:ascii="宋体" w:hAnsi="宋体" w:cs="宋体" w:hint="eastAsia"/>
                    </w:rPr>
                    <w:t>4、提供工程师电话和技术维修力量情况和维修的详细地址及联系方式。</w:t>
                  </w:r>
                </w:p>
                <w:p>
                  <w:pPr>
                    <w:tabs>
                      <w:tab w:val="left" w:pos="426"/>
                    </w:tabs>
                    <w:spacing w:line="360" w:lineRule="auto"/>
                    <w:rPr>
                      <w:rFonts w:ascii="宋体" w:hAnsi="宋体" w:cs="宋体" w:hint="eastAsia"/>
                    </w:rPr>
                  </w:pPr>
                  <w:r>
                    <w:rPr>
                      <w:rFonts w:ascii="宋体" w:hAnsi="宋体" w:cs="宋体" w:hint="eastAsia"/>
                    </w:rPr>
                    <w:t>5、负责安装、调试、提供技术咨询、软件及人员培训，以保证采购人工作人员掌握设备各种使用操作，不额外收费。</w:t>
                  </w:r>
                </w:p>
                <w:p>
                  <w:pPr>
                    <w:tabs>
                      <w:tab w:val="left" w:pos="426"/>
                    </w:tabs>
                    <w:spacing w:line="360" w:lineRule="auto"/>
                    <w:rPr>
                      <w:rFonts w:ascii="宋体" w:hAnsi="宋体" w:cs="宋体" w:hint="eastAsia"/>
                    </w:rPr>
                  </w:pPr>
                  <w:r>
                    <w:rPr>
                      <w:rFonts w:ascii="宋体" w:hAnsi="宋体" w:cs="宋体" w:hint="eastAsia"/>
                    </w:rPr>
                    <w:t>6、如场地迁移，需要移机时，中标人需提供设备拆装服务（包括但不限于本次招标的设备）并提供技术支持，且确保机器的正常使用，不额外收费。</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★违约责任</w:t>
                  </w:r>
                </w:p>
                <w:p>
                  <w:pPr>
                    <w:tabs>
                      <w:tab w:val="left" w:pos="426"/>
                    </w:tabs>
                    <w:spacing w:line="360" w:lineRule="auto"/>
                    <w:rPr>
                      <w:rFonts w:ascii="宋体" w:hAnsi="宋体" w:cs="宋体" w:hint="eastAsia"/>
                    </w:rPr>
                  </w:pP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 xml:space="preserve">1、中标人所交的设备品种、规格、型号、质量等任何一项不符合同规定标准的，采购人有权拒绝收货，中标人向采购人支付本合同总金额百分之二十的违约金，并需在采购人指定期限内重新提供，否则采购人有权解除合同。 </w:t>
                  </w:r>
                </w:p>
                <w:p>
                  <w:pPr>
                    <w:tabs>
                      <w:tab w:val="left" w:pos="426"/>
                    </w:tabs>
                    <w:spacing w:line="360" w:lineRule="auto"/>
                    <w:rPr>
                      <w:rFonts w:ascii="宋体" w:hAnsi="宋体" w:cs="宋体" w:hint="eastAsia"/>
                    </w:rPr>
                  </w:pPr>
                  <w:r>
                    <w:rPr>
                      <w:rFonts w:ascii="宋体" w:hAnsi="宋体" w:cs="宋体" w:hint="eastAsia"/>
                    </w:rPr>
                    <w:t xml:space="preserve">2、中标人若逾期30日以上不能交付设备，采购人有权选择解除合同并且中标人应向采购人支付本合同总金额百分之二十的违约金。 </w:t>
                  </w:r>
                </w:p>
                <w:p>
                  <w:pPr>
                    <w:tabs>
                      <w:tab w:val="left" w:pos="426"/>
                    </w:tabs>
                    <w:spacing w:line="360" w:lineRule="auto"/>
                    <w:rPr>
                      <w:rFonts w:ascii="宋体" w:hAnsi="宋体" w:cs="宋体" w:hint="eastAsia"/>
                    </w:rPr>
                  </w:pPr>
                  <w:r>
                    <w:rPr>
                      <w:rFonts w:ascii="宋体" w:hAnsi="宋体" w:cs="宋体" w:hint="eastAsia"/>
                    </w:rPr>
                    <w:t xml:space="preserve">3、中标人逾期交付设备或安装调试，中标人向采购人每日支付本合同总金额万分之五的违约金。  </w:t>
                  </w:r>
                </w:p>
                <w:p>
                  <w:pPr>
                    <w:tabs>
                      <w:tab w:val="left" w:pos="426"/>
                    </w:tabs>
                    <w:spacing w:line="360" w:lineRule="auto"/>
                    <w:rPr>
                      <w:rFonts w:ascii="宋体" w:hAnsi="宋体" w:cs="宋体" w:hint="eastAsia"/>
                    </w:rPr>
                  </w:pPr>
                  <w:r>
                    <w:rPr>
                      <w:rFonts w:ascii="宋体" w:hAnsi="宋体" w:cs="宋体" w:hint="eastAsia"/>
                    </w:rPr>
                    <w:t xml:space="preserve">4、中标人在一年内的不良服务率（指设备发生故障，没有合理的理由而未能在合 同规定的时限内及时妥善处理，产生采购人有效投诉。）大于百分之三（以单台设备产品为单位），则中标人赔偿采购人损失，并承担合同金额百分之五的违约金。 </w:t>
                  </w:r>
                </w:p>
                <w:p>
                  <w:pPr>
                    <w:tabs>
                      <w:tab w:val="left" w:pos="426"/>
                    </w:tabs>
                    <w:spacing w:line="360" w:lineRule="auto"/>
                    <w:rPr>
                      <w:rFonts w:ascii="宋体" w:hAnsi="宋体" w:cs="宋体" w:hint="eastAsia"/>
                    </w:rPr>
                  </w:pPr>
                  <w:r>
                    <w:rPr>
                      <w:rFonts w:ascii="宋体" w:hAnsi="宋体" w:cs="宋体" w:hint="eastAsia"/>
                    </w:rPr>
                    <w:t xml:space="preserve">5、如中标人未按照本合同的约定提供售后服务，中标人向采购人支付本合同总金额百分之二十的违约金，给采购人造成损失的，中标人应承担全部赔偿责任。 </w:t>
                  </w:r>
                </w:p>
                <w:p>
                  <w:pPr>
                    <w:tabs>
                      <w:tab w:val="left" w:pos="426"/>
                    </w:tabs>
                    <w:spacing w:line="360" w:lineRule="auto"/>
                    <w:rPr>
                      <w:rFonts w:ascii="宋体" w:hAnsi="宋体" w:cs="宋体" w:hint="eastAsia"/>
                    </w:rPr>
                  </w:pPr>
                  <w:r>
                    <w:rPr>
                      <w:rFonts w:ascii="宋体" w:hAnsi="宋体" w:cs="宋体" w:hint="eastAsia"/>
                    </w:rPr>
                    <w:t xml:space="preserve">6、中标人所供设备因质量、缺陷、技术标准等问题，给采购人或实际使用人造成损害的，中标人接到采购人通知后立即到现场配合采购人处理事故，一切赔偿责任及法律责任由中标人承担。 </w:t>
                  </w:r>
                </w:p>
                <w:p>
                  <w:pPr>
                    <w:tabs>
                      <w:tab w:val="left" w:pos="426"/>
                    </w:tabs>
                    <w:spacing w:line="360" w:lineRule="auto"/>
                    <w:rPr>
                      <w:rFonts w:ascii="宋体" w:hAnsi="宋体" w:cs="宋体" w:hint="eastAsia"/>
                    </w:rPr>
                  </w:pPr>
                  <w:r>
                    <w:rPr>
                      <w:rFonts w:ascii="宋体" w:hAnsi="宋体" w:cs="宋体" w:hint="eastAsia"/>
                    </w:rPr>
                    <w:t>7、中标人如交付假冒伪劣、以旧充新、以不合格冒充合格产品，一经发现，采购人有权选择解除合同并且中标人应向采购人支付本合同总金额百分之二十的违约金，给采购人造成损失的，中标人应承担全部赔偿责任。</w:t>
                  </w:r>
                </w:p>
                <w:p>
                  <w:pPr>
                    <w:tabs>
                      <w:tab w:val="left" w:pos="426"/>
                    </w:tabs>
                    <w:spacing w:line="360" w:lineRule="auto"/>
                    <w:rPr>
                      <w:rFonts w:ascii="宋体" w:hAnsi="宋体" w:cs="宋体" w:hint="eastAsia"/>
                    </w:rPr>
                  </w:pPr>
                  <w:r>
                    <w:rPr>
                      <w:rFonts w:ascii="宋体" w:hAnsi="宋体" w:cs="宋体" w:hint="eastAsia"/>
                    </w:rPr>
                    <w:t>8、如果采购人对中标人提供的产品有质量异议的，可以视具体情况暂时中止支付争议款项或其他相关款项，直到争议解除，采购人不因此承担延期付款的违约责任。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9、中标人提供的产品不合格，或产品存在瑕疵、缺陷，采购人有权暂停支付中标人项下相应到期应付货款，且不视为采购人违约，直到双方正式处理完不合格产品为止。</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★其他要求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1、本项目中如有涉及水、电、气设备安装及调试、室外高空作业等项目的中标人应使用具有国家认可资质的操作人员（资质证书仍在有效期内）实施，否则由此造成的后果由中标人负责。</w:t>
                  </w:r>
                </w:p>
                <w:p>
                  <w:pPr>
                    <w:tabs>
                      <w:tab w:val="left" w:pos="426"/>
                    </w:tabs>
                    <w:spacing w:line="360" w:lineRule="auto"/>
                    <w:rPr>
                      <w:rFonts w:ascii="宋体" w:hAnsi="宋体" w:cs="宋体" w:hint="eastAsia"/>
                    </w:rPr>
                  </w:pPr>
                  <w:r>
                    <w:rPr>
                      <w:rFonts w:ascii="宋体" w:hAnsi="宋体" w:cs="宋体" w:hint="eastAsia"/>
                    </w:rPr>
                    <w:t>2、本项目所要求的硬件、软件，中标人要配备给采购人，并保证采购人能正常使用，不需要另外增加其他附件和其他费用。</w:t>
                  </w:r>
                </w:p>
                <w:p>
                  <w:pPr>
                    <w:tabs>
                      <w:tab w:val="left" w:pos="426"/>
                    </w:tabs>
                    <w:spacing w:line="360" w:lineRule="auto"/>
                    <w:rPr>
                      <w:rFonts w:ascii="宋体" w:hAnsi="宋体" w:cs="宋体" w:hint="eastAsia"/>
                    </w:rPr>
                  </w:pPr>
                  <w:r>
                    <w:rPr>
                      <w:rFonts w:ascii="宋体" w:hAnsi="宋体" w:cs="宋体" w:hint="eastAsia"/>
                    </w:rPr>
                    <w:t>3、涉及软件应用的设备，中标人和厂家应配合采购人智慧采购人信息化建设。在质保期内，应将软件更新、维护并提供更新所需的硬件，开放软件端口，无偿派人配合与采购人信息系统（包括但不限于HIS、PACS、LIS等系统）的连接工作，如涉及相关接口费用由中标人承担。直至该设备与采购人信息系统可进行完整的数据交换；当采购人信息系统变更或其他情形需要与该设备连接时，须无偿派人配合，直至该设备与采购人信息系统可进行完整的数据交换，确保数据安全，无外泄。上述工程需要按照采购人计划工期内完成，不得拖延，如因客观因素不得不延长工期的，需与采购人协商并获得采购人同意。</w:t>
                  </w:r>
                </w:p>
                <w:p>
                  <w:pPr>
                    <w:tabs>
                      <w:tab w:val="left" w:pos="426"/>
                    </w:tabs>
                    <w:spacing w:line="360" w:lineRule="auto"/>
                    <w:rPr>
                      <w:rFonts w:ascii="宋体" w:hAnsi="宋体" w:cs="宋体" w:hint="eastAsia"/>
                    </w:rPr>
                  </w:pPr>
                  <w:r>
                    <w:rPr>
                      <w:rFonts w:ascii="宋体" w:hAnsi="宋体" w:cs="宋体" w:hint="eastAsia"/>
                    </w:rPr>
                    <w:t>4、投标机型的硬件及软件配置均须是注册证或官方白皮书所描述的，且在不同的应用领域（临床、科研）新技术改进、更新的产品。</w:t>
                  </w:r>
                </w:p>
                <w:p>
                  <w:pPr>
                    <w:tabs>
                      <w:tab w:val="left" w:pos="426"/>
                    </w:tabs>
                    <w:spacing w:line="360" w:lineRule="auto"/>
                    <w:rPr>
                      <w:rFonts w:ascii="宋体" w:hAnsi="宋体" w:cs="宋体" w:hint="eastAsia"/>
                    </w:rPr>
                  </w:pPr>
                  <w:r>
                    <w:rPr>
                      <w:rFonts w:ascii="宋体" w:hAnsi="宋体" w:cs="宋体" w:hint="eastAsia"/>
                    </w:rPr>
                    <w:t>5、网络安全要求：所提供产品或服务满足国家网络安全管理要求，遵守医疗行业和采购人网络安全管理规范，保护采购人和患者信息安全。医疗设备自带软件（如有）具备合格的软件功能及安全测评报告、源代码安全审计报告和网络及数据接口说明等。</w:t>
                  </w:r>
                </w:p>
                <w:p>
                  <w:pPr>
                    <w:tabs>
                      <w:tab w:val="left" w:pos="426"/>
                    </w:tabs>
                    <w:spacing w:line="360" w:lineRule="auto"/>
                    <w:rPr>
                      <w:rFonts w:ascii="宋体" w:hAnsi="宋体" w:cs="宋体" w:hint="eastAsia"/>
                    </w:rPr>
                  </w:pPr>
                  <w:r>
                    <w:rPr>
                      <w:rFonts w:ascii="宋体" w:hAnsi="宋体" w:cs="宋体" w:hint="eastAsia"/>
                    </w:rPr>
                    <w:t>6、设备使用期间，发生产品召回事件，中标人提供替代或赔偿方案。</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kern w:val="0"/>
                      <w:szCs w:val="21"/>
                    </w:rPr>
                    <w:t>★其他条件</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b/>
                      <w:bCs/>
                      <w:szCs w:val="21"/>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adjustRightInd w:val="0"/>
              <w:snapToGrid w:val="0"/>
              <w:spacing w:line="360" w:lineRule="auto"/>
              <w:jc w:val="center"/>
              <w:rPr>
                <w:rFonts w:ascii="宋体" w:hAnsi="宋体" w:cs="宋体" w:hint="eastAsia"/>
                <w:color w:val="000000"/>
                <w:kern w:val="0"/>
                <w:szCs w:val="21"/>
              </w:rPr>
            </w:pPr>
          </w:p>
        </w:tc>
      </w:tr>
    </w:tbl>
    <w:p>
      <w:pPr>
        <w:rPr>
          <w:b/>
        </w:rPr>
      </w:pPr>
      <w:r>
        <w:rPr>
          <w:rFonts w:hint="eastAsia"/>
          <w:b/>
        </w:rPr>
        <w:t>注：上表所列内容为不可负偏离条款</w:t>
      </w:r>
      <w:bookmarkEnd w:id="41"/>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rFonts w:hint="eastAsia"/>
          <w:sz w:val="28"/>
          <w:szCs w:val="28"/>
        </w:rPr>
      </w:pPr>
      <w:r>
        <w:rPr>
          <w:rFonts w:hint="eastAsia"/>
          <w:sz w:val="28"/>
          <w:szCs w:val="28"/>
        </w:rPr>
        <w:t>四、技术要求</w:t>
      </w:r>
    </w:p>
    <w:p>
      <w:pPr>
        <w:ind w:firstLine="420" w:firstLineChars="200"/>
        <w:rPr>
          <w:b/>
        </w:rPr>
      </w:pPr>
      <w:bookmarkStart w:id="42" w:name="_Hlk72585069"/>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b/>
          <w:szCs w:val="21"/>
        </w:rPr>
      </w:pPr>
      <w:r>
        <w:rPr>
          <w:b/>
          <w:szCs w:val="21"/>
        </w:rPr>
        <w:t>3</w:t>
      </w:r>
      <w:r>
        <w:rPr>
          <w:rFonts w:hint="eastAsia"/>
          <w:b/>
          <w:szCs w:val="21"/>
        </w:rPr>
        <w:t>、招标技术要求中，要求提供证明资料需提供证明材料；其余指标项未要求提供证明资料，无需提供相关证明资料。</w:t>
      </w:r>
    </w:p>
    <w:p>
      <w:pPr>
        <w:ind w:firstLine="420" w:firstLineChars="200"/>
        <w:rPr>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b/>
          <w:szCs w:val="21"/>
        </w:rPr>
      </w:pPr>
      <w:r>
        <w:rPr>
          <w:rFonts w:hint="eastAsia"/>
          <w:b/>
          <w:szCs w:val="21"/>
        </w:rPr>
        <w:t>（1）“20L”（凡是响应内容与该数值不一致者，均视为负偏离）；</w:t>
      </w:r>
    </w:p>
    <w:p>
      <w:pPr>
        <w:ind w:firstLine="420" w:firstLineChars="200"/>
        <w:rPr>
          <w:b/>
          <w:szCs w:val="21"/>
        </w:rPr>
      </w:pPr>
      <w:r>
        <w:rPr>
          <w:rFonts w:hint="eastAsia"/>
          <w:b/>
          <w:szCs w:val="21"/>
        </w:rPr>
        <w:t>（2）“H≥6m”（凡是响应内容存在小于6m可能情形的均视为负偏离）；</w:t>
      </w:r>
    </w:p>
    <w:p>
      <w:pPr>
        <w:ind w:firstLine="420" w:firstLineChars="200"/>
        <w:rPr>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210" w:firstLineChars="100"/>
        <w:rPr>
          <w:bCs w:val="0"/>
          <w:sz w:val="21"/>
          <w:szCs w:val="21"/>
        </w:rPr>
      </w:pPr>
      <w:r>
        <w:rPr>
          <w:rFonts w:hint="eastAsia"/>
          <w:bCs w:val="0"/>
          <w:sz w:val="21"/>
          <w:szCs w:val="21"/>
        </w:rPr>
        <w:t>5.相关证明材料的产品名称与招标技术要求的货物名称不一致的，需提供为同种产品的说明；若名称不一致又未提供说明的，由评审委员会判定是否符合文件要求。</w:t>
      </w:r>
    </w:p>
    <w:p>
      <w:pPr>
        <w:ind w:firstLine="420" w:firstLineChars="200"/>
        <w:rPr>
          <w:b/>
          <w:szCs w:val="21"/>
        </w:rPr>
      </w:pPr>
    </w:p>
    <w:tbl>
      <w:tblPr>
        <w:tblStyle w:val="TableNormal"/>
        <w:tblW w:w="4998" w:type="pct"/>
        <w:tblInd w:w="0" w:type="dxa"/>
        <w:tblCellMar>
          <w:top w:w="0" w:type="dxa"/>
          <w:left w:w="108" w:type="dxa"/>
          <w:bottom w:w="0" w:type="dxa"/>
          <w:right w:w="108" w:type="dxa"/>
        </w:tblCellMar>
      </w:tblPr>
      <w:tblGrid>
        <w:gridCol w:w="847"/>
        <w:gridCol w:w="7679"/>
      </w:tblGrid>
      <w:tr>
        <w:tblPrEx>
          <w:tblW w:w="4998" w:type="pct"/>
          <w:tblInd w:w="0" w:type="dxa"/>
          <w:tblCellMar>
            <w:top w:w="0" w:type="dxa"/>
            <w:left w:w="108" w:type="dxa"/>
            <w:bottom w:w="0" w:type="dxa"/>
            <w:right w:w="108" w:type="dxa"/>
          </w:tblCellMar>
        </w:tblPrEx>
        <w:trPr>
          <w:trHeight w:val="270"/>
        </w:trPr>
        <w:tc>
          <w:tcPr>
            <w:tcW w:w="497"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宋体" w:hAnsi="宋体" w:cs="宋体" w:hint="eastAsia"/>
                <w:b/>
                <w:bCs/>
                <w:color w:val="000000"/>
                <w:szCs w:val="21"/>
              </w:rPr>
            </w:pPr>
            <w:bookmarkEnd w:id="42"/>
            <w:r>
              <w:rPr>
                <w:rFonts w:ascii="宋体" w:hAnsi="宋体" w:cs="宋体" w:hint="eastAsia"/>
                <w:b/>
                <w:bCs/>
                <w:color w:val="000000"/>
                <w:kern w:val="0"/>
                <w:szCs w:val="21"/>
              </w:rPr>
              <w:t>货物名称</w:t>
            </w: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宋体" w:hAnsi="宋体" w:cs="宋体" w:hint="eastAsia"/>
                <w:b/>
                <w:bCs/>
                <w:color w:val="000000"/>
                <w:szCs w:val="21"/>
              </w:rPr>
            </w:pPr>
            <w:r>
              <w:rPr>
                <w:rFonts w:ascii="宋体" w:hAnsi="宋体" w:cs="宋体" w:hint="eastAsia"/>
                <w:b/>
                <w:bCs/>
                <w:color w:val="000000"/>
                <w:kern w:val="0"/>
                <w:szCs w:val="21"/>
              </w:rPr>
              <w:t>主要技术参数和指标</w:t>
            </w:r>
          </w:p>
        </w:tc>
      </w:tr>
      <w:tr>
        <w:tblPrEx>
          <w:tblW w:w="4998" w:type="pct"/>
          <w:tblInd w:w="0" w:type="dxa"/>
          <w:tblCellMar>
            <w:top w:w="0" w:type="dxa"/>
            <w:left w:w="108" w:type="dxa"/>
            <w:bottom w:w="0" w:type="dxa"/>
            <w:right w:w="108" w:type="dxa"/>
          </w:tblCellMar>
        </w:tblPrEx>
        <w:trPr>
          <w:trHeight w:val="285"/>
        </w:trPr>
        <w:tc>
          <w:tcPr>
            <w:tcW w:w="4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rPr>
              <w:t>激光共聚焦显微镜</w:t>
            </w:r>
          </w:p>
        </w:tc>
        <w:tc>
          <w:tcPr>
            <w:tcW w:w="450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1.激光器部分，包含如下波段激光器，并要求满足如下功率：</w:t>
            </w:r>
            <w:r>
              <w:rPr>
                <w:rFonts w:ascii="宋体" w:hAnsi="宋体" w:cs="宋体" w:hint="eastAsia"/>
                <w:color w:val="000000"/>
                <w:kern w:val="0"/>
                <w:szCs w:val="21"/>
              </w:rPr>
              <w:br/>
            </w:r>
            <w:r>
              <w:rPr>
                <w:rFonts w:ascii="宋体" w:hAnsi="宋体" w:cs="宋体" w:hint="eastAsia"/>
                <w:color w:val="000000"/>
                <w:kern w:val="0"/>
                <w:szCs w:val="21"/>
              </w:rPr>
              <w:t xml:space="preserve">固态激光器405nm：出光纤口功率≥4mW； </w:t>
            </w:r>
            <w:r>
              <w:rPr>
                <w:rFonts w:ascii="宋体" w:hAnsi="宋体" w:cs="宋体" w:hint="eastAsia"/>
                <w:color w:val="000000"/>
                <w:kern w:val="0"/>
                <w:szCs w:val="21"/>
              </w:rPr>
              <w:br/>
            </w:r>
            <w:r>
              <w:rPr>
                <w:rFonts w:ascii="宋体" w:hAnsi="宋体" w:cs="宋体" w:hint="eastAsia"/>
                <w:color w:val="000000"/>
                <w:kern w:val="0"/>
                <w:szCs w:val="21"/>
              </w:rPr>
              <w:t>固态激光器488nm：出光纤口功率≥9mW；</w:t>
            </w:r>
            <w:r>
              <w:rPr>
                <w:rFonts w:ascii="宋体" w:hAnsi="宋体" w:cs="宋体" w:hint="eastAsia"/>
                <w:color w:val="000000"/>
                <w:kern w:val="0"/>
                <w:szCs w:val="21"/>
              </w:rPr>
              <w:br/>
            </w:r>
            <w:r>
              <w:rPr>
                <w:rFonts w:ascii="宋体" w:hAnsi="宋体" w:cs="宋体" w:hint="eastAsia"/>
                <w:color w:val="000000"/>
                <w:kern w:val="0"/>
                <w:szCs w:val="21"/>
              </w:rPr>
              <w:t xml:space="preserve">固态激光器561nm：出光纤口功率≥9mW； </w:t>
            </w:r>
            <w:r>
              <w:rPr>
                <w:rFonts w:ascii="宋体" w:hAnsi="宋体" w:cs="宋体" w:hint="eastAsia"/>
                <w:color w:val="000000"/>
                <w:kern w:val="0"/>
                <w:szCs w:val="21"/>
              </w:rPr>
              <w:br/>
            </w:r>
            <w:r>
              <w:rPr>
                <w:rFonts w:ascii="宋体" w:hAnsi="宋体" w:cs="宋体" w:hint="eastAsia"/>
                <w:color w:val="000000"/>
                <w:kern w:val="0"/>
                <w:szCs w:val="21"/>
              </w:rPr>
              <w:t>固态激光器640nm：出光纤口功率≥4mW；</w:t>
            </w:r>
          </w:p>
        </w:tc>
      </w:tr>
      <w:tr>
        <w:tblPrEx>
          <w:tblW w:w="4998" w:type="pct"/>
          <w:tblInd w:w="0" w:type="dxa"/>
          <w:tblCellMar>
            <w:top w:w="0" w:type="dxa"/>
            <w:left w:w="108" w:type="dxa"/>
            <w:bottom w:w="0" w:type="dxa"/>
            <w:right w:w="108" w:type="dxa"/>
          </w:tblCellMar>
        </w:tblPrEx>
        <w:trPr>
          <w:trHeight w:val="28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color w:val="000000"/>
                <w:szCs w:val="21"/>
              </w:rPr>
            </w:pPr>
          </w:p>
        </w:tc>
      </w:tr>
      <w:tr>
        <w:tblPrEx>
          <w:tblW w:w="4998" w:type="pct"/>
          <w:tblInd w:w="0" w:type="dxa"/>
          <w:tblCellMar>
            <w:top w:w="0" w:type="dxa"/>
            <w:left w:w="108" w:type="dxa"/>
            <w:bottom w:w="0" w:type="dxa"/>
            <w:right w:w="108" w:type="dxa"/>
          </w:tblCellMar>
        </w:tblPrEx>
        <w:trPr>
          <w:trHeight w:val="28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color w:val="000000"/>
                <w:szCs w:val="21"/>
              </w:rPr>
            </w:pPr>
          </w:p>
        </w:tc>
      </w:tr>
      <w:tr>
        <w:tblPrEx>
          <w:tblW w:w="4998" w:type="pct"/>
          <w:tblInd w:w="0" w:type="dxa"/>
          <w:tblCellMar>
            <w:top w:w="0" w:type="dxa"/>
            <w:left w:w="108" w:type="dxa"/>
            <w:bottom w:w="0" w:type="dxa"/>
            <w:right w:w="108" w:type="dxa"/>
          </w:tblCellMar>
        </w:tblPrEx>
        <w:trPr>
          <w:trHeight w:val="28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color w:val="000000"/>
                <w:szCs w:val="21"/>
              </w:rPr>
            </w:pPr>
          </w:p>
        </w:tc>
      </w:tr>
      <w:tr>
        <w:tblPrEx>
          <w:tblW w:w="4998" w:type="pct"/>
          <w:tblInd w:w="0" w:type="dxa"/>
          <w:tblCellMar>
            <w:top w:w="0" w:type="dxa"/>
            <w:left w:w="108" w:type="dxa"/>
            <w:bottom w:w="0" w:type="dxa"/>
            <w:right w:w="108" w:type="dxa"/>
          </w:tblCellMar>
        </w:tblPrEx>
        <w:trPr>
          <w:trHeight w:val="28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color w:val="000000"/>
                <w:szCs w:val="21"/>
              </w:rPr>
            </w:pP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b/>
                <w:bCs/>
                <w:color w:val="000000"/>
                <w:kern w:val="0"/>
                <w:szCs w:val="21"/>
              </w:rPr>
              <w:t>2.扫描模块</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▲2.1荧光检测器类型： 荧光检测器全部为光谱型检测器，调节精度和步进精度均可≤1.5nm。</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2.2 主分光镜：采用≤11°的小角度入射技术，用于抑制激光带来的背景信号。</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▲2.3 要求扫描振镜X、Y方向扫描振镜数量≤2个，减少激发荧光信号的折射损失，并采用超快线扫及帧飞回技术，扫描头线性扫描运动，以保证激光在每个点驻留时间相同，且回转时间短，≥80%的帧时间有效地用于信号采集。</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▲2.4 扫描旋转：可以≤1°精度步进来进行≥360°旋转实时扫描成像，</w:t>
            </w:r>
            <w:r>
              <w:rPr>
                <w:rFonts w:hint="eastAsia"/>
              </w:rPr>
              <w:t>x和y的方向可以自由移动</w:t>
            </w:r>
            <w:r>
              <w:rPr>
                <w:rFonts w:ascii="宋体" w:hAnsi="宋体" w:cs="宋体" w:hint="eastAsia"/>
                <w:color w:val="000000"/>
                <w:kern w:val="0"/>
                <w:szCs w:val="21"/>
              </w:rPr>
              <w:t>。</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2.5 扫描光学变倍：最小变倍扫描系数≤ 0.5x，且变倍连续可调。</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▲2.6最大扫描分辨率≥6000 x 6000像素。</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76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2.7 光谱扫描（Lambda成像）：两个检测器平行扫描完成光谱成像，扫描过程无荧光信号损失；最小光谱检测范围（光谱分辨率）≤1.5nm；可根据结果做线性光谱拆分。</w:t>
            </w: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b/>
                <w:bCs/>
                <w:color w:val="000000"/>
                <w:kern w:val="0"/>
                <w:szCs w:val="21"/>
              </w:rPr>
              <w:t>3.超高分辨率部分：</w:t>
            </w:r>
            <w:r>
              <w:rPr>
                <w:rFonts w:ascii="宋体" w:hAnsi="宋体" w:cs="宋体"/>
                <w:color w:val="000000"/>
                <w:kern w:val="0"/>
                <w:szCs w:val="21"/>
              </w:rPr>
              <w:t>将横向分辨率提高至</w:t>
            </w:r>
            <w:r>
              <w:rPr>
                <w:rFonts w:ascii="宋体" w:hAnsi="宋体" w:cs="宋体" w:hint="eastAsia"/>
                <w:color w:val="000000"/>
                <w:kern w:val="0"/>
                <w:szCs w:val="21"/>
              </w:rPr>
              <w:t>≤120nm。</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b/>
                <w:bCs/>
                <w:color w:val="000000"/>
                <w:kern w:val="0"/>
                <w:szCs w:val="21"/>
              </w:rPr>
              <w:t>4.显微镜主机</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4.1 显微镜内置电动调焦驱动马达，最小步进（minimum step size）≤10nm。</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4.2 全电动扫描台，行程≥130 mm x 100 mm，最大速度≥50mm/s，具有独立的控制器及操控手柄。</w:t>
            </w: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b/>
                <w:bCs/>
                <w:color w:val="000000"/>
                <w:kern w:val="0"/>
                <w:szCs w:val="21"/>
              </w:rPr>
              <w:t>4.3 物镜：</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4.3.1 10x干镜，数值孔径≥0.45，同时满足工作距离≥2毫米；</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4.3.2 20x干镜，数值孔径≥0.8，同时满足工作距离≥550微米；</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▲4.3.3 40x干镜，数值孔径≥0.95，同时满足工作距离≥250微米；</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▲4.3.4 60x或63x油镜，数值孔径≥1.4，同时满足工作距离≥190微米；</w:t>
            </w:r>
            <w:r>
              <w:rPr>
                <w:rFonts w:ascii="宋体" w:hAnsi="宋体" w:cs="宋体" w:hint="eastAsia"/>
                <w:color w:val="0000FF"/>
                <w:kern w:val="0"/>
                <w:szCs w:val="21"/>
              </w:rPr>
              <w:t>（</w:t>
            </w:r>
            <w:r>
              <w:rPr>
                <w:rFonts w:ascii="宋体" w:hAnsi="宋体" w:cs="宋体" w:hint="eastAsia"/>
                <w:color w:val="0000FF"/>
                <w:kern w:val="0"/>
                <w:szCs w:val="21"/>
                <w:lang w:eastAsia="zh-CN"/>
              </w:rPr>
              <w:t>要求提供制造商官方网站对应型号参数截图或产品彩页，否则视为负偏离，以上材料需要加盖制造商公章</w:t>
            </w:r>
            <w:r>
              <w:rPr>
                <w:rFonts w:ascii="宋体" w:hAnsi="宋体" w:cs="宋体" w:hint="eastAsia"/>
                <w:color w:val="0000FF"/>
                <w:kern w:val="0"/>
                <w:szCs w:val="21"/>
              </w:rPr>
              <w:t>）</w:t>
            </w:r>
          </w:p>
        </w:tc>
      </w:tr>
      <w:tr>
        <w:tblPrEx>
          <w:tblW w:w="4998" w:type="pct"/>
          <w:tblInd w:w="0" w:type="dxa"/>
          <w:tblCellMar>
            <w:top w:w="0" w:type="dxa"/>
            <w:left w:w="108" w:type="dxa"/>
            <w:bottom w:w="0" w:type="dxa"/>
            <w:right w:w="108" w:type="dxa"/>
          </w:tblCellMar>
        </w:tblPrEx>
        <w:trPr>
          <w:trHeight w:val="27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b/>
                <w:bCs/>
                <w:color w:val="000000"/>
                <w:kern w:val="0"/>
                <w:szCs w:val="21"/>
              </w:rPr>
              <w:t>5.原厂图像采集及分析软件</w:t>
            </w:r>
          </w:p>
        </w:tc>
      </w:tr>
      <w:tr>
        <w:tblPrEx>
          <w:tblW w:w="4998" w:type="pct"/>
          <w:tblInd w:w="0" w:type="dxa"/>
          <w:tblCellMar>
            <w:top w:w="0" w:type="dxa"/>
            <w:left w:w="108" w:type="dxa"/>
            <w:bottom w:w="0" w:type="dxa"/>
            <w:right w:w="108" w:type="dxa"/>
          </w:tblCellMar>
        </w:tblPrEx>
        <w:trPr>
          <w:trHeight w:val="76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5.1 交互式漂白：在进行图像采集的同时（包括连续扫描和时间序列实验），通过鼠标点击对指定区域进行漂白。适用于主动光活化实验、光转化实验或者快速光漂白实验。</w:t>
            </w:r>
          </w:p>
        </w:tc>
      </w:tr>
      <w:tr>
        <w:tblPrEx>
          <w:tblW w:w="4998" w:type="pct"/>
          <w:tblInd w:w="0" w:type="dxa"/>
          <w:tblCellMar>
            <w:top w:w="0" w:type="dxa"/>
            <w:left w:w="108" w:type="dxa"/>
            <w:bottom w:w="0" w:type="dxa"/>
            <w:right w:w="108" w:type="dxa"/>
          </w:tblCellMar>
        </w:tblPrEx>
        <w:trPr>
          <w:trHeight w:val="178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5.2 原厂离线图像处理软件，可满足至少10台电脑同时使用，可满足如下功能：用于查看该设备拍摄的显微图像，调节对比度，对图像添加标尺及标注；可进行常见的文件格式的数据导入/导出（如：JPEG, BMP, TIFF, BigTIFF, PNG, WDP, SUR, AVI, WMF, MOV, OME-TIF, ZVI）；具有≥1种二维图像去模糊功能，可利用二维去模糊算法进行图像质量优化；可对3D数据进行3D渲染并导出3D渲染视频；可实现2D数据关联；可展示正交图像，展示XY/YZ/XZ的任一切面层，并创建任一切面层图像；具有交互测量工具，可自定义测量参数，形成测量工作流，可对轮廓、曲线、面积、灰度等值进行测量。</w:t>
            </w:r>
          </w:p>
        </w:tc>
      </w:tr>
      <w:tr>
        <w:tblPrEx>
          <w:tblW w:w="4998" w:type="pct"/>
          <w:tblInd w:w="0" w:type="dxa"/>
          <w:tblCellMar>
            <w:top w:w="0" w:type="dxa"/>
            <w:left w:w="108" w:type="dxa"/>
            <w:bottom w:w="0" w:type="dxa"/>
            <w:right w:w="108" w:type="dxa"/>
          </w:tblCellMar>
        </w:tblPrEx>
        <w:trPr>
          <w:trHeight w:val="765"/>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5.3 生理学分析模块：用于离子浓度分析，可在图像拍摄的同时实时传输数据并做图像处理，支持多种模式的图像处理。具有图形化的感兴趣区域荧光强度平均值分析，实时或在扫描完成后显示和计算离子浓度。</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5.4 荧光共振能量转移（FRET）分析：获取和分析使用Youvan方法、Gordon方法和Xia方法的敏化发射以及受体光漂白FRET。</w:t>
            </w:r>
          </w:p>
        </w:tc>
      </w:tr>
      <w:tr>
        <w:tblPrEx>
          <w:tblW w:w="4998" w:type="pct"/>
          <w:tblInd w:w="0" w:type="dxa"/>
          <w:tblCellMar>
            <w:top w:w="0" w:type="dxa"/>
            <w:left w:w="108" w:type="dxa"/>
            <w:bottom w:w="0" w:type="dxa"/>
            <w:right w:w="108" w:type="dxa"/>
          </w:tblCellMar>
        </w:tblPrEx>
        <w:trPr>
          <w:trHeight w:val="510"/>
        </w:trPr>
        <w:tc>
          <w:tcPr>
            <w:tcW w:w="4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宋体" w:hAnsi="宋体" w:cs="宋体" w:hint="eastAsia"/>
                <w:color w:val="000000"/>
                <w:szCs w:val="21"/>
              </w:rPr>
            </w:pPr>
            <w:r>
              <w:rPr>
                <w:rFonts w:ascii="宋体" w:hAnsi="宋体" w:cs="宋体" w:hint="eastAsia"/>
                <w:color w:val="000000"/>
                <w:kern w:val="0"/>
                <w:szCs w:val="21"/>
              </w:rPr>
              <w:t>5.5 荧光漂白后恢复（FRAP）效率分析：获取和分析原始的FRAP曲线和根据原始曲线提供的参数得到拟合曲线。</w:t>
            </w:r>
          </w:p>
        </w:tc>
      </w:tr>
      <w:tr>
        <w:tblPrEx>
          <w:tblW w:w="4998" w:type="pct"/>
          <w:tblInd w:w="0" w:type="dxa"/>
          <w:tblCellMar>
            <w:top w:w="0" w:type="dxa"/>
            <w:left w:w="108" w:type="dxa"/>
            <w:bottom w:w="0" w:type="dxa"/>
            <w:right w:w="108" w:type="dxa"/>
          </w:tblCellMar>
        </w:tblPrEx>
        <w:trPr>
          <w:trHeight w:val="570"/>
        </w:trPr>
        <w:tc>
          <w:tcPr>
            <w:tcW w:w="497" w:type="pct"/>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hAnsi="宋体" w:cs="宋体" w:hint="eastAsia"/>
                <w:color w:val="000000"/>
                <w:sz w:val="22"/>
                <w:szCs w:val="22"/>
              </w:rPr>
            </w:pPr>
            <w:r>
              <w:rPr>
                <w:rFonts w:ascii="宋?" w:eastAsia="宋?" w:hAnsi="宋?" w:cs="宋?"/>
                <w:b/>
                <w:bCs/>
                <w:color w:val="000000"/>
                <w:kern w:val="0"/>
                <w:szCs w:val="21"/>
              </w:rPr>
              <w:t>心电图机</w:t>
            </w: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Theme="minorEastAsia" w:eastAsiaTheme="minorEastAsia" w:hAnsiTheme="minorEastAsia" w:cs="宋?" w:hint="eastAsia"/>
                <w:color w:val="000000"/>
                <w:kern w:val="0"/>
                <w:szCs w:val="21"/>
              </w:rPr>
            </w:pPr>
            <w:r>
              <w:rPr>
                <w:rFonts w:asciiTheme="minorEastAsia" w:eastAsiaTheme="minorEastAsia" w:hAnsiTheme="minorEastAsia" w:cs="宋?" w:hint="eastAsia"/>
                <w:color w:val="000000"/>
                <w:kern w:val="0"/>
                <w:szCs w:val="21"/>
              </w:rPr>
              <w:t>灵</w:t>
            </w:r>
            <w:r>
              <w:rPr>
                <w:rFonts w:ascii="宋?" w:eastAsia="宋?" w:hAnsi="宋?" w:cs="宋?"/>
                <w:color w:val="000000"/>
                <w:kern w:val="0"/>
                <w:szCs w:val="21"/>
              </w:rPr>
              <w:t>敏度选择：</w:t>
            </w:r>
            <w:r>
              <w:rPr>
                <w:rFonts w:ascii="Arial" w:hAnsi="Arial" w:cs="Arial"/>
                <w:color w:val="000000"/>
                <w:kern w:val="0"/>
                <w:szCs w:val="21"/>
              </w:rPr>
              <w:t>1.25</w:t>
            </w:r>
            <w:r>
              <w:rPr>
                <w:rFonts w:ascii="宋?" w:eastAsia="宋?" w:hAnsi="宋?" w:cs="宋?"/>
                <w:color w:val="000000"/>
                <w:kern w:val="0"/>
                <w:szCs w:val="21"/>
              </w:rPr>
              <w:t>、</w:t>
            </w:r>
            <w:r>
              <w:rPr>
                <w:rFonts w:ascii="Arial" w:hAnsi="Arial" w:cs="Arial"/>
                <w:color w:val="000000"/>
                <w:kern w:val="0"/>
                <w:szCs w:val="21"/>
              </w:rPr>
              <w:t>2.5</w:t>
            </w:r>
            <w:r>
              <w:rPr>
                <w:rFonts w:ascii="宋?" w:eastAsia="宋?" w:hAnsi="宋?" w:cs="宋?"/>
                <w:color w:val="000000"/>
                <w:kern w:val="0"/>
                <w:szCs w:val="21"/>
              </w:rPr>
              <w:t>、</w:t>
            </w:r>
            <w:r>
              <w:rPr>
                <w:rFonts w:ascii="Arial" w:hAnsi="Arial" w:cs="Arial"/>
                <w:color w:val="000000"/>
                <w:kern w:val="0"/>
                <w:szCs w:val="21"/>
              </w:rPr>
              <w:t>5</w:t>
            </w:r>
            <w:r>
              <w:rPr>
                <w:rFonts w:ascii="宋?" w:eastAsia="宋?" w:hAnsi="宋?" w:cs="宋?"/>
                <w:color w:val="000000"/>
                <w:kern w:val="0"/>
                <w:szCs w:val="21"/>
              </w:rPr>
              <w:t>、</w:t>
            </w:r>
            <w:r>
              <w:rPr>
                <w:rFonts w:ascii="Arial" w:hAnsi="Arial" w:cs="Arial"/>
                <w:color w:val="000000"/>
                <w:kern w:val="0"/>
                <w:szCs w:val="21"/>
              </w:rPr>
              <w:t>10</w:t>
            </w:r>
            <w:r>
              <w:rPr>
                <w:rFonts w:ascii="宋?" w:eastAsia="宋?" w:hAnsi="宋?" w:cs="宋?"/>
                <w:color w:val="000000"/>
                <w:kern w:val="0"/>
                <w:szCs w:val="21"/>
              </w:rPr>
              <w:t>、</w:t>
            </w:r>
            <w:r>
              <w:rPr>
                <w:rFonts w:ascii="Arial" w:hAnsi="Arial" w:cs="Arial"/>
                <w:color w:val="000000"/>
                <w:kern w:val="0"/>
                <w:szCs w:val="21"/>
              </w:rPr>
              <w:t>20</w:t>
            </w:r>
            <w:r>
              <w:rPr>
                <w:rFonts w:ascii="宋?" w:eastAsia="宋?" w:hAnsi="宋?" w:cs="宋?"/>
                <w:color w:val="000000"/>
                <w:kern w:val="0"/>
                <w:szCs w:val="21"/>
              </w:rPr>
              <w:t>、</w:t>
            </w:r>
            <w:r>
              <w:rPr>
                <w:rFonts w:ascii="Arial" w:hAnsi="Arial" w:cs="Arial"/>
                <w:color w:val="000000"/>
                <w:kern w:val="0"/>
                <w:szCs w:val="21"/>
              </w:rPr>
              <w:t>10/5</w:t>
            </w:r>
            <w:r>
              <w:rPr>
                <w:rFonts w:ascii="宋?" w:eastAsia="宋?" w:hAnsi="宋?" w:cs="宋?"/>
                <w:color w:val="000000"/>
                <w:kern w:val="0"/>
                <w:szCs w:val="21"/>
              </w:rPr>
              <w:t>、</w:t>
            </w:r>
            <w:r>
              <w:rPr>
                <w:rFonts w:ascii="Arial" w:hAnsi="Arial" w:cs="Arial"/>
                <w:color w:val="000000"/>
                <w:kern w:val="0"/>
                <w:szCs w:val="21"/>
              </w:rPr>
              <w:t>20/10</w:t>
            </w:r>
            <w:r>
              <w:rPr>
                <w:rFonts w:ascii="宋?" w:eastAsia="宋?" w:hAnsi="宋?" w:cs="宋?"/>
                <w:color w:val="000000"/>
                <w:kern w:val="0"/>
                <w:szCs w:val="21"/>
              </w:rPr>
              <w:t>、自动</w:t>
            </w:r>
            <w:r>
              <w:rPr>
                <w:rFonts w:ascii="Arial" w:hAnsi="Arial" w:cs="Arial"/>
                <w:color w:val="000000"/>
                <w:kern w:val="0"/>
                <w:szCs w:val="21"/>
              </w:rPr>
              <w:t>mm/mV ±5%</w:t>
            </w:r>
          </w:p>
        </w:tc>
      </w:tr>
      <w:tr>
        <w:tblPrEx>
          <w:tblW w:w="4998" w:type="pct"/>
          <w:tblInd w:w="0" w:type="dxa"/>
          <w:tblCellMar>
            <w:top w:w="0" w:type="dxa"/>
            <w:left w:w="108" w:type="dxa"/>
            <w:bottom w:w="0" w:type="dxa"/>
            <w:right w:w="108" w:type="dxa"/>
          </w:tblCellMar>
        </w:tblPrEx>
        <w:trPr>
          <w:trHeight w:val="285"/>
        </w:trPr>
        <w:tc>
          <w:tcPr>
            <w:tcW w:w="497" w:type="pct"/>
            <w:tcBorders>
              <w:top w:val="single" w:sz="4" w:space="0" w:color="000000"/>
              <w:left w:val="single" w:sz="4" w:space="0" w:color="000000"/>
              <w:bottom w:val="single" w:sz="4" w:space="0" w:color="000000"/>
              <w:right w:val="single" w:sz="4" w:space="0" w:color="000000"/>
            </w:tcBorders>
            <w:shd w:val="clear" w:color="auto" w:fill="auto"/>
          </w:tcPr>
          <w:p>
            <w:pPr>
              <w:rPr>
                <w:rFonts w:ascii="宋体" w:hAnsi="宋体" w:cs="宋体" w:hint="eastAsia"/>
              </w:rPr>
            </w:pPr>
          </w:p>
          <w:p>
            <w:pPr>
              <w:rPr>
                <w:rFonts w:ascii="宋体" w:hAnsi="宋体" w:cs="宋体" w:hint="eastAsia"/>
              </w:rPr>
            </w:pPr>
          </w:p>
          <w:p>
            <w:pPr>
              <w:rPr>
                <w:rFonts w:ascii="宋体" w:hAnsi="宋体" w:cs="宋体" w:hint="eastAsia"/>
                <w:color w:val="000000"/>
                <w:sz w:val="22"/>
                <w:szCs w:val="22"/>
              </w:rPr>
            </w:pPr>
            <w:r>
              <w:rPr>
                <w:rFonts w:hint="eastAsia"/>
                <w:b/>
                <w:szCs w:val="21"/>
              </w:rPr>
              <w:t>★</w:t>
            </w:r>
            <w:r>
              <w:rPr>
                <w:rFonts w:ascii="宋体" w:hAnsi="宋体" w:cs="宋体" w:hint="eastAsia"/>
              </w:rPr>
              <w:t>二、配置要求：</w:t>
            </w:r>
          </w:p>
        </w:tc>
        <w:tc>
          <w:tcPr>
            <w:tcW w:w="4502" w:type="pct"/>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spacing w:val="1"/>
              </w:rPr>
            </w:pPr>
            <w:r>
              <w:rPr>
                <w:rFonts w:ascii="宋体" w:hAnsi="宋体" w:cs="宋体" w:hint="eastAsia"/>
                <w:spacing w:val="1"/>
              </w:rPr>
              <w:t>1.全电动倒置显微镜                                      1台</w:t>
            </w:r>
          </w:p>
          <w:p>
            <w:pPr>
              <w:rPr>
                <w:rFonts w:ascii="宋体" w:hAnsi="宋体" w:cs="宋体" w:hint="eastAsia"/>
                <w:spacing w:val="1"/>
              </w:rPr>
            </w:pPr>
            <w:r>
              <w:rPr>
                <w:rFonts w:ascii="宋体" w:hAnsi="宋体" w:cs="宋体" w:hint="eastAsia"/>
                <w:spacing w:val="1"/>
              </w:rPr>
              <w:t>2.405nm/488nm/561nm/640nm固态激光器                     1套</w:t>
            </w:r>
          </w:p>
          <w:p>
            <w:pPr>
              <w:rPr>
                <w:rFonts w:ascii="宋体" w:hAnsi="宋体" w:cs="宋体" w:hint="eastAsia"/>
                <w:spacing w:val="1"/>
              </w:rPr>
            </w:pPr>
            <w:r>
              <w:rPr>
                <w:rFonts w:ascii="宋体" w:hAnsi="宋体" w:cs="宋体" w:hint="eastAsia"/>
                <w:spacing w:val="1"/>
              </w:rPr>
              <w:t>3.6个荧光通道，其中共聚焦荧光通道至少3个，宽场荧光通道至少3个</w:t>
            </w:r>
          </w:p>
          <w:p>
            <w:pPr>
              <w:rPr>
                <w:rFonts w:ascii="宋体" w:hAnsi="宋体" w:cs="宋体" w:hint="eastAsia"/>
                <w:spacing w:val="1"/>
              </w:rPr>
            </w:pPr>
            <w:r>
              <w:rPr>
                <w:rFonts w:ascii="宋体" w:hAnsi="宋体" w:cs="宋体" w:hint="eastAsia"/>
                <w:spacing w:val="1"/>
              </w:rPr>
              <w:t>4.低噪音共聚焦检测器                                3个</w:t>
            </w:r>
          </w:p>
          <w:p>
            <w:pPr>
              <w:rPr>
                <w:rFonts w:ascii="宋体" w:hAnsi="宋体" w:cs="宋体" w:hint="eastAsia"/>
                <w:spacing w:val="1"/>
              </w:rPr>
            </w:pPr>
            <w:r>
              <w:rPr>
                <w:rFonts w:ascii="宋体" w:hAnsi="宋体" w:cs="宋体" w:hint="eastAsia"/>
                <w:spacing w:val="1"/>
              </w:rPr>
              <w:t>5.明场检测器                                        1个</w:t>
            </w:r>
          </w:p>
          <w:p>
            <w:pPr>
              <w:rPr>
                <w:rFonts w:ascii="宋体" w:hAnsi="宋体" w:cs="宋体" w:hint="eastAsia"/>
                <w:spacing w:val="1"/>
              </w:rPr>
            </w:pPr>
            <w:r>
              <w:rPr>
                <w:rFonts w:ascii="宋体" w:hAnsi="宋体" w:cs="宋体" w:hint="eastAsia"/>
                <w:spacing w:val="1"/>
              </w:rPr>
              <w:t>6.10x 复消色差共聚焦物镜                            1个</w:t>
            </w:r>
          </w:p>
          <w:p>
            <w:pPr>
              <w:rPr>
                <w:rFonts w:ascii="宋体" w:hAnsi="宋体" w:cs="宋体" w:hint="eastAsia"/>
                <w:spacing w:val="1"/>
              </w:rPr>
            </w:pPr>
            <w:r>
              <w:rPr>
                <w:rFonts w:ascii="宋体" w:hAnsi="宋体" w:cs="宋体" w:hint="eastAsia"/>
                <w:spacing w:val="1"/>
              </w:rPr>
              <w:t>7.20x 复消色差共聚焦物镜                            1个</w:t>
            </w:r>
          </w:p>
          <w:p>
            <w:pPr>
              <w:rPr>
                <w:rFonts w:ascii="宋体" w:hAnsi="宋体" w:cs="宋体" w:hint="eastAsia"/>
                <w:spacing w:val="1"/>
              </w:rPr>
            </w:pPr>
            <w:r>
              <w:rPr>
                <w:rFonts w:ascii="宋体" w:hAnsi="宋体" w:cs="宋体" w:hint="eastAsia"/>
                <w:spacing w:val="1"/>
              </w:rPr>
              <w:t>8.40x 复消色差共聚焦物镜                            1个</w:t>
            </w:r>
          </w:p>
          <w:p>
            <w:pPr>
              <w:rPr>
                <w:rFonts w:ascii="宋体" w:hAnsi="宋体" w:cs="宋体" w:hint="eastAsia"/>
                <w:spacing w:val="1"/>
              </w:rPr>
            </w:pPr>
            <w:r>
              <w:rPr>
                <w:rFonts w:ascii="宋体" w:hAnsi="宋体" w:cs="宋体" w:hint="eastAsia"/>
                <w:spacing w:val="1"/>
              </w:rPr>
              <w:t>9.60x或63x 复消色差共聚焦物镜                       1个</w:t>
            </w:r>
          </w:p>
          <w:p>
            <w:pPr>
              <w:rPr>
                <w:rFonts w:ascii="宋体" w:hAnsi="宋体" w:cs="宋体" w:hint="eastAsia"/>
                <w:spacing w:val="1"/>
              </w:rPr>
            </w:pPr>
            <w:r>
              <w:rPr>
                <w:rFonts w:ascii="宋体" w:hAnsi="宋体" w:cs="宋体" w:hint="eastAsia"/>
                <w:spacing w:val="1"/>
              </w:rPr>
              <w:t>10.GFP/CY3/DAPI荧光激发滤块                         1套</w:t>
            </w:r>
          </w:p>
          <w:p>
            <w:pPr>
              <w:rPr>
                <w:rFonts w:ascii="宋体" w:hAnsi="宋体" w:cs="宋体" w:hint="eastAsia"/>
                <w:spacing w:val="1"/>
              </w:rPr>
            </w:pPr>
            <w:r>
              <w:rPr>
                <w:rFonts w:ascii="宋体" w:hAnsi="宋体" w:cs="宋体" w:hint="eastAsia"/>
                <w:spacing w:val="1"/>
              </w:rPr>
              <w:t>11.高分辨扫描振镜                                   1套</w:t>
            </w:r>
          </w:p>
          <w:p>
            <w:pPr>
              <w:rPr>
                <w:rFonts w:ascii="宋体" w:hAnsi="宋体" w:cs="宋体" w:hint="eastAsia"/>
                <w:spacing w:val="1"/>
              </w:rPr>
            </w:pPr>
            <w:r>
              <w:rPr>
                <w:rFonts w:ascii="宋体" w:hAnsi="宋体" w:cs="宋体" w:hint="eastAsia"/>
                <w:spacing w:val="1"/>
              </w:rPr>
              <w:t>12.旋钮调焦控制器                                   1个</w:t>
            </w:r>
          </w:p>
          <w:p>
            <w:pPr>
              <w:rPr>
                <w:rFonts w:ascii="宋体" w:hAnsi="宋体" w:cs="宋体" w:hint="eastAsia"/>
                <w:spacing w:val="1"/>
              </w:rPr>
            </w:pPr>
            <w:r>
              <w:rPr>
                <w:rFonts w:ascii="宋体" w:hAnsi="宋体" w:cs="宋体" w:hint="eastAsia"/>
                <w:spacing w:val="1"/>
              </w:rPr>
              <w:t>13.触屏操作控制器                                   1个</w:t>
            </w:r>
          </w:p>
          <w:p>
            <w:pPr>
              <w:rPr>
                <w:rFonts w:ascii="宋体" w:hAnsi="宋体" w:cs="宋体" w:hint="eastAsia"/>
                <w:spacing w:val="1"/>
              </w:rPr>
            </w:pPr>
            <w:r>
              <w:rPr>
                <w:rFonts w:ascii="宋体" w:hAnsi="宋体" w:cs="宋体" w:hint="eastAsia"/>
                <w:spacing w:val="1"/>
              </w:rPr>
              <w:t>14.超分辨成像分析组件                               1套</w:t>
            </w:r>
          </w:p>
          <w:p>
            <w:pPr>
              <w:rPr>
                <w:rFonts w:ascii="宋体" w:hAnsi="宋体" w:cs="宋体" w:hint="eastAsia"/>
                <w:spacing w:val="1"/>
              </w:rPr>
            </w:pPr>
            <w:r>
              <w:rPr>
                <w:rFonts w:ascii="宋体" w:hAnsi="宋体" w:cs="宋体" w:hint="eastAsia"/>
                <w:spacing w:val="1"/>
              </w:rPr>
              <w:t>15.高级图像处理工作站                               1个</w:t>
            </w:r>
          </w:p>
          <w:p>
            <w:pPr>
              <w:rPr>
                <w:rFonts w:ascii="宋体" w:hAnsi="宋体" w:cs="宋体" w:hint="eastAsia"/>
                <w:spacing w:val="1"/>
              </w:rPr>
            </w:pPr>
            <w:r>
              <w:rPr>
                <w:rFonts w:ascii="宋体" w:hAnsi="宋体" w:cs="宋体" w:hint="eastAsia"/>
                <w:spacing w:val="1"/>
              </w:rPr>
              <w:t>（配置不低于：12核处理器，512G SSD高速硬盘1个，8T硬盘1个，另配备不低于1T固态移动硬盘1个；64GB内存，8G显存，32英寸液晶显示器，分辨率3840 × 2160，Windows 10企业版 x64操作系统。）</w:t>
            </w:r>
          </w:p>
          <w:p>
            <w:pPr>
              <w:numPr>
                <w:ilvl w:val="0"/>
                <w:numId w:val="9"/>
              </w:numPr>
              <w:rPr>
                <w:rFonts w:ascii="宋体" w:hAnsi="宋体" w:cs="宋体" w:hint="eastAsia"/>
                <w:spacing w:val="1"/>
              </w:rPr>
            </w:pPr>
            <w:r>
              <w:rPr>
                <w:rFonts w:ascii="宋体" w:hAnsi="宋体" w:cs="宋体" w:hint="eastAsia"/>
                <w:spacing w:val="1"/>
              </w:rPr>
              <w:t>16.共聚焦控制及分析软件                             1套</w:t>
            </w:r>
          </w:p>
          <w:p>
            <w:pPr>
              <w:numPr>
                <w:ilvl w:val="255"/>
                <w:numId w:val="0"/>
              </w:numPr>
              <w:rPr>
                <w:rFonts w:ascii="宋体" w:hAnsi="宋体" w:cs="宋体" w:hint="eastAsia"/>
                <w:spacing w:val="1"/>
              </w:rPr>
            </w:pPr>
            <w:r>
              <w:rPr>
                <w:rFonts w:ascii="宋体" w:hAnsi="宋体" w:cs="宋体" w:hint="eastAsia"/>
                <w:spacing w:val="1"/>
              </w:rPr>
              <w:t>（至少包含如下功能：共定位分析、串色分离、3D成像、3D图像分析、浏览拼图、荧光共振能量转移（FRET）、荧光漂白后恢复（FRAP）效率分析，动态聚焦地图，图像反卷积处理，生理学分析，细胞计数）</w:t>
            </w:r>
          </w:p>
          <w:p>
            <w:pPr>
              <w:rPr>
                <w:rFonts w:ascii="宋体" w:hAnsi="宋体" w:cs="宋体" w:hint="eastAsia"/>
                <w:spacing w:val="1"/>
              </w:rPr>
            </w:pPr>
            <w:r>
              <w:rPr>
                <w:rFonts w:ascii="宋体" w:hAnsi="宋体" w:cs="宋体" w:hint="eastAsia"/>
                <w:spacing w:val="1"/>
              </w:rPr>
              <w:t>17.防震台                                           1张</w:t>
            </w:r>
          </w:p>
          <w:p>
            <w:pPr>
              <w:rPr>
                <w:rFonts w:ascii="宋体" w:hAnsi="宋体" w:cs="宋体" w:hint="eastAsia"/>
                <w:spacing w:val="1"/>
              </w:rPr>
            </w:pPr>
            <w:r>
              <w:rPr>
                <w:rFonts w:ascii="宋体" w:hAnsi="宋体" w:cs="宋体" w:hint="eastAsia"/>
                <w:spacing w:val="1"/>
              </w:rPr>
              <w:t>18.可升降电脑桌                                     1张</w:t>
            </w:r>
          </w:p>
          <w:p>
            <w:pPr>
              <w:rPr>
                <w:rFonts w:ascii="Arial" w:hAnsi="Arial" w:cs="Arial"/>
                <w:color w:val="000000"/>
                <w:kern w:val="0"/>
                <w:szCs w:val="21"/>
              </w:rPr>
            </w:pPr>
          </w:p>
        </w:tc>
      </w:tr>
    </w:tbl>
    <w:p>
      <w:pPr>
        <w:rPr>
          <w:b/>
          <w:szCs w:val="21"/>
        </w:rPr>
      </w:pPr>
    </w:p>
    <w:p>
      <w:pPr>
        <w:rPr>
          <w:b/>
          <w:szCs w:val="21"/>
        </w:rPr>
      </w:pPr>
    </w:p>
    <w:p>
      <w:pPr>
        <w:pStyle w:val="Heading2"/>
        <w:spacing w:before="120" w:beforeLines="50" w:after="120" w:afterLines="50"/>
        <w:rPr>
          <w:rFonts w:hint="eastAsia"/>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30"/>
        <w:gridCol w:w="6894"/>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★报价</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人民币报价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★交货地点</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采购人指定位置（深圳市龙岗区龙城街道黄阁路186号）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★交货期</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color w:val="222A35"/>
                <w:highlight w:val="yellow"/>
              </w:rPr>
              <w:t>合同签订后接到采购人通知后30个</w:t>
            </w:r>
            <w:r>
              <w:rPr>
                <w:rFonts w:hint="eastAsia"/>
                <w:highlight w:val="yellow"/>
              </w:rPr>
              <w:t>日历日</w:t>
            </w:r>
            <w:r>
              <w:rPr>
                <w:rFonts w:ascii="宋体" w:hAnsi="宋体" w:cs="宋体" w:hint="eastAsia"/>
                <w:color w:val="222A35"/>
                <w:highlight w:val="yellow"/>
              </w:rPr>
              <w:t>内</w:t>
            </w:r>
            <w:r>
              <w:rPr>
                <w:rFonts w:hint="eastAsia"/>
                <w:highlight w:val="yellow"/>
              </w:rPr>
              <w:t>完成交货</w:t>
            </w:r>
            <w:r>
              <w:rPr>
                <w:rFonts w:ascii="宋体" w:hAnsi="宋体" w:cs="宋体" w:hint="eastAsia"/>
                <w:color w:val="222A35"/>
                <w:highlight w:val="yellow"/>
              </w:rPr>
              <w:t>。</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★付款方式</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1、分期支付：①合同签订、财政资金到位后且收到中标人的发票，支付中标人不高于项目总额 70%预付款；②设备到货、财政资金到位且收到中标人累计100%设备货款发票，按照相应规定支付中标人累计不高于项目总额95%货款；③设备验收合格、财政资金到位按照相应规定支付中标人剩余货款。当采购人本年度的资金预算不足以支付项目款项时，则需顺延至下年度支付。</w:t>
            </w:r>
          </w:p>
          <w:p>
            <w:pPr>
              <w:tabs>
                <w:tab w:val="left" w:pos="426"/>
              </w:tabs>
              <w:spacing w:line="360" w:lineRule="auto"/>
              <w:rPr>
                <w:rFonts w:ascii="宋体" w:hAnsi="宋体" w:cs="宋体" w:hint="eastAsia"/>
              </w:rPr>
            </w:pPr>
            <w:r>
              <w:rPr>
                <w:rFonts w:ascii="宋体" w:hAnsi="宋体" w:cs="宋体" w:hint="eastAsia"/>
              </w:rPr>
              <w:t>2、签订合同时需提交厂家出具的3年质保售后服务承诺书。</w:t>
            </w:r>
          </w:p>
          <w:p>
            <w:pPr>
              <w:tabs>
                <w:tab w:val="left" w:pos="426"/>
              </w:tabs>
              <w:spacing w:line="360" w:lineRule="auto"/>
              <w:rPr>
                <w:rFonts w:ascii="宋体" w:hAnsi="宋体" w:cs="宋体" w:hint="eastAsia"/>
              </w:rPr>
            </w:pPr>
            <w:r>
              <w:rPr>
                <w:rFonts w:ascii="宋体" w:hAnsi="宋体" w:cs="宋体" w:hint="eastAsia"/>
              </w:rPr>
              <w:t>3、（1）如果采购人对中标人提供的产品有质量异议的，可以视具体情况暂时中止支付争议款项或其他相关款项，直到争议解除，采购人不因此承担延期付款的违约责任。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2）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tabs>
                <w:tab w:val="left" w:pos="426"/>
              </w:tabs>
              <w:spacing w:line="360" w:lineRule="auto"/>
              <w:rPr>
                <w:rFonts w:ascii="宋体" w:hAnsi="宋体" w:cs="宋体" w:hint="eastAsia"/>
              </w:rPr>
            </w:pPr>
            <w:r>
              <w:rPr>
                <w:rFonts w:ascii="宋体" w:hAnsi="宋体" w:cs="宋体" w:hint="eastAsia"/>
              </w:rPr>
              <w:t>（3）中标人提供的产品不合格，或产品存在瑕疵、缺陷，采购人有权暂停支付中标人项目相应到期应付货款，且不视为采购人违约，直到双方正式处理完不合格产品为止。</w:t>
            </w:r>
          </w:p>
          <w:p>
            <w:pPr>
              <w:tabs>
                <w:tab w:val="left" w:pos="426"/>
              </w:tabs>
              <w:spacing w:line="360" w:lineRule="auto"/>
              <w:rPr>
                <w:rFonts w:ascii="宋体" w:hAnsi="宋体" w:cs="宋体" w:hint="eastAsia"/>
              </w:rPr>
            </w:pPr>
            <w:r>
              <w:rPr>
                <w:rFonts w:ascii="宋体" w:hAnsi="宋体" w:cs="宋体" w:hint="eastAsia"/>
              </w:rPr>
              <w:t>（4）中标人应向采购人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tabs>
                <w:tab w:val="left" w:pos="426"/>
              </w:tabs>
              <w:spacing w:line="360" w:lineRule="auto"/>
              <w:rPr>
                <w:rFonts w:ascii="宋体" w:hAnsi="宋体" w:cs="宋体" w:hint="eastAsia"/>
              </w:rPr>
            </w:pPr>
            <w:r>
              <w:rPr>
                <w:rFonts w:ascii="宋体" w:hAnsi="宋体" w:cs="宋体" w:hint="eastAsia"/>
              </w:rPr>
              <w:t>（5）采购人在规定时间向支付部门提出支付申请，如因财政支付部门审核时间导致无法按期支付的，采购人不承担违约责任。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★验收方式</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1、货到安装，现场验收。中标人应派有经验的技术人员到现场进行安装、调试，直到设备正常使用。</w:t>
            </w:r>
          </w:p>
          <w:p>
            <w:pPr>
              <w:tabs>
                <w:tab w:val="left" w:pos="426"/>
              </w:tabs>
              <w:spacing w:line="360" w:lineRule="auto"/>
              <w:rPr>
                <w:rFonts w:ascii="宋体" w:hAnsi="宋体" w:cs="宋体" w:hint="eastAsia"/>
              </w:rPr>
            </w:pPr>
            <w:r>
              <w:rPr>
                <w:rFonts w:ascii="宋体" w:hAnsi="宋体" w:cs="宋体" w:hint="eastAsia"/>
              </w:rPr>
              <w:t>2、交货后30个日历日内完成安装、调试、交付使用，由采购人使用科室、设备科、中标人等代表在场进行验收。</w:t>
            </w:r>
          </w:p>
          <w:p>
            <w:pPr>
              <w:tabs>
                <w:tab w:val="left" w:pos="426"/>
              </w:tabs>
              <w:spacing w:line="360" w:lineRule="auto"/>
              <w:rPr>
                <w:rFonts w:ascii="宋体" w:hAnsi="宋体" w:cs="宋体" w:hint="eastAsia"/>
              </w:rPr>
            </w:pPr>
            <w:r>
              <w:rPr>
                <w:rFonts w:ascii="宋体" w:hAnsi="宋体" w:cs="宋体" w:hint="eastAsia"/>
              </w:rPr>
              <w:t>3、在本项目涉及的医疗设备安装过程中，若安装场地需进行改造以满足设备安装要求，中标人应承担全部改造工作及相关费用。改造工作包括但不限于拆除、新建、装修、水电线路改造、通风系统调整等一切为实现设备正常安装及后续使用所必需的工程内容。改造工程费用由中标人全额承担，费用包含但不限于材料采购、施工人员薪酬、设备租赁、运输、税费等所有与改造工程相关的支出。</w:t>
            </w:r>
          </w:p>
          <w:p>
            <w:pPr>
              <w:tabs>
                <w:tab w:val="left" w:pos="426"/>
              </w:tabs>
              <w:spacing w:line="360" w:lineRule="auto"/>
              <w:rPr>
                <w:rFonts w:ascii="宋体" w:hAnsi="宋体" w:cs="宋体" w:hint="eastAsia"/>
              </w:rPr>
            </w:pPr>
            <w:r>
              <w:rPr>
                <w:rFonts w:ascii="宋体" w:hAnsi="宋体" w:cs="宋体" w:hint="eastAsia"/>
              </w:rPr>
              <w:t>4、产品质量和安装调试检验标准遵照国家相关规定和最新标准执行。提供的货物必须为全新、经检验合格的产品，且</w:t>
            </w:r>
            <w:r>
              <w:rPr>
                <w:rFonts w:ascii="宋体" w:hAnsi="宋体" w:hint="eastAsia"/>
              </w:rPr>
              <w:t>产品生产日期应为验收日期一年内</w:t>
            </w:r>
            <w:r>
              <w:rPr>
                <w:rFonts w:ascii="宋体" w:hAnsi="宋体" w:cs="宋体" w:hint="eastAsia"/>
              </w:rPr>
              <w:t>。确保产品投入使用前，按照国家规定办理好产品所有启用所需的资质证件。验收中如发现有质量不合格或型号规格、数量等与送货清单不符等情况，中标人应更换或补齐，并承担因此发生的违约责任。中标人货物经过双方检验认可后，签署验收报告。以上费用均已包含在投标报价中。</w:t>
            </w:r>
          </w:p>
          <w:p>
            <w:pPr>
              <w:tabs>
                <w:tab w:val="left" w:pos="426"/>
              </w:tabs>
              <w:spacing w:line="360" w:lineRule="auto"/>
              <w:rPr>
                <w:rFonts w:ascii="宋体" w:hAnsi="宋体" w:cs="宋体" w:hint="eastAsia"/>
              </w:rPr>
            </w:pPr>
            <w:r>
              <w:rPr>
                <w:rFonts w:ascii="宋体" w:hAnsi="宋体" w:cs="宋体" w:hint="eastAsia"/>
              </w:rPr>
              <w:t>5、当满足以下条件时，采购人才向中标人签发货物验收报告：</w:t>
            </w:r>
          </w:p>
          <w:p>
            <w:pPr>
              <w:tabs>
                <w:tab w:val="left" w:pos="426"/>
              </w:tabs>
              <w:spacing w:line="360" w:lineRule="auto"/>
              <w:rPr>
                <w:rFonts w:ascii="宋体" w:hAnsi="宋体" w:cs="宋体" w:hint="eastAsia"/>
              </w:rPr>
            </w:pPr>
            <w:r>
              <w:rPr>
                <w:rFonts w:ascii="宋体" w:hAnsi="宋体" w:cs="宋体" w:hint="eastAsia"/>
              </w:rPr>
              <w:t>A.设备出厂日期≤1年</w:t>
            </w:r>
            <w:r>
              <w:rPr>
                <w:rFonts w:ascii="宋体" w:hAnsi="宋体" w:cs="宋体" w:hint="eastAsia"/>
                <w:color w:val="222A35"/>
              </w:rPr>
              <w:t>（以合同签订时间为准）</w:t>
            </w:r>
            <w:r>
              <w:rPr>
                <w:rFonts w:ascii="宋体" w:hAnsi="宋体" w:cs="宋体" w:hint="eastAsia"/>
              </w:rPr>
              <w:t>；</w:t>
            </w:r>
          </w:p>
          <w:p>
            <w:pPr>
              <w:tabs>
                <w:tab w:val="left" w:pos="426"/>
              </w:tabs>
              <w:spacing w:line="360" w:lineRule="auto"/>
              <w:rPr>
                <w:rFonts w:ascii="宋体" w:hAnsi="宋体" w:cs="宋体" w:hint="eastAsia"/>
              </w:rPr>
            </w:pPr>
            <w:r>
              <w:rPr>
                <w:rFonts w:ascii="宋体" w:hAnsi="宋体" w:cs="宋体" w:hint="eastAsia"/>
              </w:rPr>
              <w:t>B.中标人按合同要求如期交货；</w:t>
            </w:r>
          </w:p>
          <w:p>
            <w:pPr>
              <w:tabs>
                <w:tab w:val="left" w:pos="426"/>
              </w:tabs>
              <w:spacing w:line="360" w:lineRule="auto"/>
              <w:rPr>
                <w:rFonts w:ascii="宋体" w:hAnsi="宋体" w:cs="宋体" w:hint="eastAsia"/>
              </w:rPr>
            </w:pPr>
            <w:r>
              <w:rPr>
                <w:rFonts w:ascii="宋体" w:hAnsi="宋体" w:cs="宋体" w:hint="eastAsia"/>
              </w:rPr>
              <w:t>C.中标人已按照合同规定提供了全部产品及完整的技术资料；</w:t>
            </w:r>
          </w:p>
          <w:p>
            <w:pPr>
              <w:tabs>
                <w:tab w:val="left" w:pos="426"/>
              </w:tabs>
              <w:spacing w:line="360" w:lineRule="auto"/>
              <w:rPr>
                <w:rFonts w:ascii="宋体" w:hAnsi="宋体" w:cs="宋体" w:hint="eastAsia"/>
              </w:rPr>
            </w:pPr>
            <w:r>
              <w:rPr>
                <w:rFonts w:ascii="宋体" w:hAnsi="宋体" w:cs="宋体" w:hint="eastAsia"/>
              </w:rPr>
              <w:t>D.货物符合招标文件技术规格书的要求，性能满足要求；</w:t>
            </w:r>
          </w:p>
          <w:p>
            <w:pPr>
              <w:tabs>
                <w:tab w:val="left" w:pos="426"/>
              </w:tabs>
              <w:spacing w:line="360" w:lineRule="auto"/>
              <w:rPr>
                <w:rFonts w:ascii="宋体" w:hAnsi="宋体" w:cs="宋体" w:hint="eastAsia"/>
              </w:rPr>
            </w:pPr>
            <w:r>
              <w:rPr>
                <w:rFonts w:ascii="宋体" w:hAnsi="宋体" w:cs="宋体" w:hint="eastAsia"/>
              </w:rPr>
              <w:t>E.提供货物中文说明书；</w:t>
            </w:r>
          </w:p>
          <w:p>
            <w:pPr>
              <w:tabs>
                <w:tab w:val="left" w:pos="426"/>
              </w:tabs>
              <w:spacing w:line="360" w:lineRule="auto"/>
              <w:rPr>
                <w:rFonts w:ascii="宋体" w:hAnsi="宋体" w:cs="宋体" w:hint="eastAsia"/>
              </w:rPr>
            </w:pPr>
            <w:r>
              <w:rPr>
                <w:rFonts w:ascii="宋体" w:hAnsi="宋体" w:cs="宋体" w:hint="eastAsia"/>
              </w:rPr>
              <w:t>F.提供维修手册、与厂家签订的3年质保售后服务协议；</w:t>
            </w:r>
          </w:p>
          <w:p>
            <w:pPr>
              <w:tabs>
                <w:tab w:val="left" w:pos="426"/>
              </w:tabs>
              <w:spacing w:line="360" w:lineRule="auto"/>
              <w:rPr>
                <w:rFonts w:ascii="宋体" w:hAnsi="宋体" w:cs="宋体" w:hint="eastAsia"/>
              </w:rPr>
            </w:pPr>
            <w:r>
              <w:rPr>
                <w:rFonts w:ascii="宋体" w:hAnsi="宋体" w:cs="宋体" w:hint="eastAsia"/>
              </w:rPr>
              <w:t>G.进口设备必须提供正常有效的报关证明（报关单、海关增值税发票）及合法有效的商检合格证明；</w:t>
            </w:r>
          </w:p>
          <w:p>
            <w:pPr>
              <w:tabs>
                <w:tab w:val="left" w:pos="426"/>
              </w:tabs>
              <w:spacing w:line="360" w:lineRule="auto"/>
              <w:rPr>
                <w:rFonts w:ascii="宋体" w:hAnsi="宋体" w:cs="宋体" w:hint="eastAsia"/>
              </w:rPr>
            </w:pPr>
            <w:r>
              <w:rPr>
                <w:rFonts w:ascii="宋体" w:hAnsi="宋体" w:cs="宋体" w:hint="eastAsia"/>
              </w:rPr>
              <w:t>6、若采购人对中标人所供设备有质疑，中标人需无条件配合采购人委托第三方质量检测部门按照招投标文件进行验收确认，所需费用由中标人负责支付。出具合格的检测验收报告，采购人将履行采购合同；若检测验收报告不合格，采购人有权取消采购合同，因此造成的经济损失由中标人承担。</w:t>
            </w:r>
          </w:p>
          <w:p>
            <w:pPr>
              <w:tabs>
                <w:tab w:val="left" w:pos="426"/>
              </w:tabs>
              <w:spacing w:line="360" w:lineRule="auto"/>
              <w:rPr>
                <w:rFonts w:ascii="宋体" w:hAnsi="宋体" w:cs="宋体" w:hint="eastAsia"/>
              </w:rPr>
            </w:pPr>
            <w:r>
              <w:rPr>
                <w:rFonts w:ascii="宋体" w:hAnsi="宋体" w:cs="宋体" w:hint="eastAsia"/>
              </w:rPr>
              <w:t>7、验收时，中标人须按采购人要求提供中标验货验收所需要的其他资料。</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★包装及运输要求</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★售后服务要求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1、中标人对所提供的设备(包括零配件)提供免费保修期</w:t>
            </w:r>
            <w:r>
              <w:rPr>
                <w:rFonts w:ascii="宋体" w:hAnsi="宋体" w:cs="宋体" w:hint="eastAsia"/>
                <w:u w:val="single"/>
              </w:rPr>
              <w:t xml:space="preserve"> 3 </w:t>
            </w:r>
            <w:r>
              <w:rPr>
                <w:rFonts w:ascii="宋体" w:hAnsi="宋体" w:cs="宋体" w:hint="eastAsia"/>
              </w:rPr>
              <w:t>年。(免费保修期时间自最终验收合格并交付使用之日起计算)，在免费保修期，需提供原装的零配件及其维修，终身负责维修，储备足够的零配件备库并保证十年以上维修配件；一年需对设备进行维护四次（每季度一次），不额外收费。免费保修期内出现的质量问题,由中标人负责,中标人负责包修、包换或者包退,并承担修理、调换或退货的实际费用。免费保修期外，中标人负责提供原装配件并免费维修更换，不额外收费，采购人只需支付更换的零配件费用。中标人负责该套设备软件的免费安装，软件可终身升级维护、备份。</w:t>
            </w:r>
          </w:p>
          <w:p>
            <w:pPr>
              <w:tabs>
                <w:tab w:val="left" w:pos="426"/>
              </w:tabs>
              <w:spacing w:line="360" w:lineRule="auto"/>
              <w:rPr>
                <w:rFonts w:ascii="宋体" w:hAnsi="宋体" w:cs="宋体" w:hint="eastAsia"/>
              </w:rPr>
            </w:pPr>
            <w:r>
              <w:rPr>
                <w:rFonts w:ascii="宋体" w:hAnsi="宋体" w:cs="宋体" w:hint="eastAsia"/>
              </w:rPr>
              <w:t>2、免费保修期内，中标人应对产品因质量出现的问题修复，在</w:t>
            </w:r>
            <w:r>
              <w:rPr>
                <w:rFonts w:ascii="宋体" w:hAnsi="宋体" w:cs="宋体" w:hint="eastAsia"/>
                <w:u w:val="single"/>
              </w:rPr>
              <w:t>2小时</w:t>
            </w:r>
            <w:r>
              <w:rPr>
                <w:rFonts w:ascii="宋体" w:hAnsi="宋体" w:cs="宋体" w:hint="eastAsia"/>
              </w:rPr>
              <w:t>内响应，</w:t>
            </w:r>
            <w:r>
              <w:rPr>
                <w:rFonts w:ascii="宋体" w:hAnsi="宋体" w:cs="宋体" w:hint="eastAsia"/>
                <w:u w:val="single"/>
              </w:rPr>
              <w:t>48小时</w:t>
            </w:r>
            <w:r>
              <w:rPr>
                <w:rFonts w:ascii="宋体" w:hAnsi="宋体" w:cs="宋体" w:hint="eastAsia"/>
              </w:rPr>
              <w:t>内到达现场维修，</w:t>
            </w:r>
            <w:r>
              <w:rPr>
                <w:rFonts w:ascii="宋体" w:hAnsi="宋体" w:cs="宋体" w:hint="eastAsia"/>
                <w:u w:val="single"/>
              </w:rPr>
              <w:t>72小时</w:t>
            </w:r>
            <w:r>
              <w:rPr>
                <w:rFonts w:ascii="宋体" w:hAnsi="宋体" w:cs="宋体" w:hint="eastAsia"/>
              </w:rPr>
              <w:t>内消除故障(不可抗力情况除外)，消耗品/零配件供应及时。由此产生的包括但不限于运输费、安装费、搬运费、替换产品的损耗费、零部件费、调试费等全部费用由中标人承担。</w:t>
            </w:r>
          </w:p>
          <w:p>
            <w:pPr>
              <w:tabs>
                <w:tab w:val="left" w:pos="426"/>
              </w:tabs>
              <w:spacing w:line="360" w:lineRule="auto"/>
              <w:rPr>
                <w:rFonts w:ascii="宋体" w:hAnsi="宋体" w:cs="宋体" w:hint="eastAsia"/>
              </w:rPr>
            </w:pPr>
            <w:r>
              <w:rPr>
                <w:rFonts w:ascii="宋体" w:hAnsi="宋体" w:cs="宋体" w:hint="eastAsia"/>
              </w:rPr>
              <w:t>3、免费保修期，中标人应确保设备年开机率在98%（含）以上，若达不到此开机率，将作以下处理：年开机率在90%（含）-98%（不含）之间，免费保修期延长一年；年开机率在85%（含）-90%（不含）之间，免费保修期延长两年；年开机率低于85（不含），中标人必须无条件更换新设备，并重新计算新设备的免费保修期，以及赔偿采购人的直接经济损失和间接经济损失，以上费用均已包含在洽谈报价中。【注：年开机率=（365-停机天数）/365】</w:t>
            </w:r>
          </w:p>
          <w:p>
            <w:pPr>
              <w:tabs>
                <w:tab w:val="left" w:pos="426"/>
              </w:tabs>
              <w:spacing w:line="360" w:lineRule="auto"/>
              <w:rPr>
                <w:rFonts w:ascii="宋体" w:hAnsi="宋体" w:cs="宋体" w:hint="eastAsia"/>
              </w:rPr>
            </w:pPr>
            <w:r>
              <w:rPr>
                <w:rFonts w:ascii="宋体" w:hAnsi="宋体" w:cs="宋体" w:hint="eastAsia"/>
              </w:rPr>
              <w:t>4、提供工程师电话和技术维修力量情况和维修的详细地址及联系方式。</w:t>
            </w:r>
          </w:p>
          <w:p>
            <w:pPr>
              <w:tabs>
                <w:tab w:val="left" w:pos="426"/>
              </w:tabs>
              <w:spacing w:line="360" w:lineRule="auto"/>
              <w:rPr>
                <w:rFonts w:ascii="宋体" w:hAnsi="宋体" w:cs="宋体" w:hint="eastAsia"/>
              </w:rPr>
            </w:pPr>
            <w:r>
              <w:rPr>
                <w:rFonts w:ascii="宋体" w:hAnsi="宋体" w:cs="宋体" w:hint="eastAsia"/>
              </w:rPr>
              <w:t>5、负责安装、调试、提供技术咨询、软件及人员培训，以保证采购人工作人员掌握设备各种使用操作，不额外收费。</w:t>
            </w:r>
          </w:p>
          <w:p>
            <w:pPr>
              <w:tabs>
                <w:tab w:val="left" w:pos="426"/>
              </w:tabs>
              <w:spacing w:line="360" w:lineRule="auto"/>
              <w:rPr>
                <w:rFonts w:ascii="宋体" w:hAnsi="宋体" w:cs="宋体" w:hint="eastAsia"/>
              </w:rPr>
            </w:pPr>
            <w:r>
              <w:rPr>
                <w:rFonts w:ascii="宋体" w:hAnsi="宋体" w:cs="宋体" w:hint="eastAsia"/>
              </w:rPr>
              <w:t>6、如场地迁移，需要移机时，中标人需提供设备拆装服务（包括但不限于本次招标的设备）并提供技术支持，且确保机器的正常使用，不额外收费。</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★违约责任</w:t>
            </w:r>
          </w:p>
          <w:p>
            <w:pPr>
              <w:tabs>
                <w:tab w:val="left" w:pos="426"/>
              </w:tabs>
              <w:spacing w:line="360" w:lineRule="auto"/>
              <w:rPr>
                <w:rFonts w:ascii="宋体" w:hAnsi="宋体" w:cs="宋体" w:hint="eastAsia"/>
              </w:rPr>
            </w:pP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 xml:space="preserve">1、中标人所交的设备品种、规格、型号、质量等任何一项不符合同规定标准的，采购人有权拒绝收货，中标人向采购人支付本合同总金额百分之二十的违约金，并需在采购人指定期限内重新提供，否则采购人有权解除合同。 </w:t>
            </w:r>
          </w:p>
          <w:p>
            <w:pPr>
              <w:tabs>
                <w:tab w:val="left" w:pos="426"/>
              </w:tabs>
              <w:spacing w:line="360" w:lineRule="auto"/>
              <w:rPr>
                <w:rFonts w:ascii="宋体" w:hAnsi="宋体" w:cs="宋体" w:hint="eastAsia"/>
              </w:rPr>
            </w:pPr>
            <w:r>
              <w:rPr>
                <w:rFonts w:ascii="宋体" w:hAnsi="宋体" w:cs="宋体" w:hint="eastAsia"/>
              </w:rPr>
              <w:t xml:space="preserve">2、中标人若逾期30日以上不能交付设备，采购人有权选择解除合同并且中标人应向采购人支付本合同总金额百分之二十的违约金。 </w:t>
            </w:r>
          </w:p>
          <w:p>
            <w:pPr>
              <w:tabs>
                <w:tab w:val="left" w:pos="426"/>
              </w:tabs>
              <w:spacing w:line="360" w:lineRule="auto"/>
              <w:rPr>
                <w:rFonts w:ascii="宋体" w:hAnsi="宋体" w:cs="宋体" w:hint="eastAsia"/>
              </w:rPr>
            </w:pPr>
            <w:r>
              <w:rPr>
                <w:rFonts w:ascii="宋体" w:hAnsi="宋体" w:cs="宋体" w:hint="eastAsia"/>
              </w:rPr>
              <w:t xml:space="preserve">3、中标人逾期交付设备或安装调试，中标人向采购人每日支付本合同总金额万分之五的违约金。  </w:t>
            </w:r>
          </w:p>
          <w:p>
            <w:pPr>
              <w:tabs>
                <w:tab w:val="left" w:pos="426"/>
              </w:tabs>
              <w:spacing w:line="360" w:lineRule="auto"/>
              <w:rPr>
                <w:rFonts w:ascii="宋体" w:hAnsi="宋体" w:cs="宋体" w:hint="eastAsia"/>
              </w:rPr>
            </w:pPr>
            <w:r>
              <w:rPr>
                <w:rFonts w:ascii="宋体" w:hAnsi="宋体" w:cs="宋体" w:hint="eastAsia"/>
              </w:rPr>
              <w:t xml:space="preserve">4、中标人在一年内的不良服务率（指设备发生故障，没有合理的理由而未能在合 同规定的时限内及时妥善处理，产生采购人有效投诉。）大于百分之三（以单台设备产品为单位），则中标人赔偿采购人损失，并承担合同金额百分之五的违约金。 </w:t>
            </w:r>
          </w:p>
          <w:p>
            <w:pPr>
              <w:tabs>
                <w:tab w:val="left" w:pos="426"/>
              </w:tabs>
              <w:spacing w:line="360" w:lineRule="auto"/>
              <w:rPr>
                <w:rFonts w:ascii="宋体" w:hAnsi="宋体" w:cs="宋体" w:hint="eastAsia"/>
              </w:rPr>
            </w:pPr>
            <w:r>
              <w:rPr>
                <w:rFonts w:ascii="宋体" w:hAnsi="宋体" w:cs="宋体" w:hint="eastAsia"/>
              </w:rPr>
              <w:t xml:space="preserve">5、如中标人未按照本合同的约定提供售后服务，中标人向采购人支付本合同总金额百分之二十的违约金，给采购人造成损失的，中标人应承担全部赔偿责任。 </w:t>
            </w:r>
          </w:p>
          <w:p>
            <w:pPr>
              <w:tabs>
                <w:tab w:val="left" w:pos="426"/>
              </w:tabs>
              <w:spacing w:line="360" w:lineRule="auto"/>
              <w:rPr>
                <w:rFonts w:ascii="宋体" w:hAnsi="宋体" w:cs="宋体" w:hint="eastAsia"/>
              </w:rPr>
            </w:pPr>
            <w:r>
              <w:rPr>
                <w:rFonts w:ascii="宋体" w:hAnsi="宋体" w:cs="宋体" w:hint="eastAsia"/>
              </w:rPr>
              <w:t xml:space="preserve">6、中标人所供设备因质量、缺陷、技术标准等问题，给采购人或实际使用人造成损害的，中标人接到采购人通知后立即到现场配合采购人处理事故，一切赔偿责任及法律责任由中标人承担。 </w:t>
            </w:r>
          </w:p>
          <w:p>
            <w:pPr>
              <w:tabs>
                <w:tab w:val="left" w:pos="426"/>
              </w:tabs>
              <w:spacing w:line="360" w:lineRule="auto"/>
              <w:rPr>
                <w:rFonts w:ascii="宋体" w:hAnsi="宋体" w:cs="宋体" w:hint="eastAsia"/>
              </w:rPr>
            </w:pPr>
            <w:r>
              <w:rPr>
                <w:rFonts w:ascii="宋体" w:hAnsi="宋体" w:cs="宋体" w:hint="eastAsia"/>
              </w:rPr>
              <w:t>7、中标人如交付假冒伪劣、以旧充新、以不合格冒充合格产品，一经发现，采购人有权选择解除合同并且中标人应向采购人支付本合同总金额百分之二十的违约金，给采购人造成损失的，中标人应承担全部赔偿责任。</w:t>
            </w:r>
          </w:p>
          <w:p>
            <w:pPr>
              <w:tabs>
                <w:tab w:val="left" w:pos="426"/>
              </w:tabs>
              <w:spacing w:line="360" w:lineRule="auto"/>
              <w:rPr>
                <w:rFonts w:ascii="宋体" w:hAnsi="宋体" w:cs="宋体" w:hint="eastAsia"/>
              </w:rPr>
            </w:pPr>
            <w:r>
              <w:rPr>
                <w:rFonts w:ascii="宋体" w:hAnsi="宋体" w:cs="宋体" w:hint="eastAsia"/>
              </w:rPr>
              <w:t>8、如果采购人对中标人提供的产品有质量异议的，可以视具体情况暂时中止支付争议款项或其他相关款项，直到争议解除，采购人不因此承担延期付款的违约责任。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9、中标人提供的产品不合格，或产品存在瑕疵、缺陷，采购人有权暂停支付中标人项下相应到期应付货款，且不视为采购人违约，直到双方正式处理完不合格产品为止。</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★其他要求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1、本项目中如有涉及水、电、气设备安装及调试、室外高空作业等项目的中标人应使用具有国家认可资质的操作人员（资质证书仍在有效期内）实施，否则由此造成的后果由中标人负责。</w:t>
            </w:r>
          </w:p>
          <w:p>
            <w:pPr>
              <w:tabs>
                <w:tab w:val="left" w:pos="426"/>
              </w:tabs>
              <w:spacing w:line="360" w:lineRule="auto"/>
              <w:rPr>
                <w:rFonts w:ascii="宋体" w:hAnsi="宋体" w:cs="宋体" w:hint="eastAsia"/>
              </w:rPr>
            </w:pPr>
            <w:r>
              <w:rPr>
                <w:rFonts w:ascii="宋体" w:hAnsi="宋体" w:cs="宋体" w:hint="eastAsia"/>
              </w:rPr>
              <w:t>2、本项目所要求的硬件、软件，中标人要配备给采购人，并保证采购人能正常使用，不需要另外增加其他附件和其他费用。</w:t>
            </w:r>
          </w:p>
          <w:p>
            <w:pPr>
              <w:tabs>
                <w:tab w:val="left" w:pos="426"/>
              </w:tabs>
              <w:spacing w:line="360" w:lineRule="auto"/>
              <w:rPr>
                <w:rFonts w:ascii="宋体" w:hAnsi="宋体" w:cs="宋体" w:hint="eastAsia"/>
              </w:rPr>
            </w:pPr>
            <w:r>
              <w:rPr>
                <w:rFonts w:ascii="宋体" w:hAnsi="宋体" w:cs="宋体" w:hint="eastAsia"/>
              </w:rPr>
              <w:t>3、涉及软件应用的设备，中标人和厂家应配合采购人智慧采购人信息化建设。在质保期内，应将软件更新、维护并提供更新所需的硬件，开放软件端口，无偿派人配合与采购人信息系统（包括但不限于HIS、PACS、LIS等系统）的连接工作，如涉及相关接口费用由中标人承担。直至该设备与采购人信息系统可进行完整的数据交换；当采购人信息系统变更或其他情形需要与该设备连接时，须无偿派人配合，直至该设备与采购人信息系统可进行完整的数据交换，确保数据安全，无外泄。上述工程需要按照采购人计划工期内完成，不得拖延，如因客观因素不得不延长工期的，需与采购人协商并获得采购人同意。</w:t>
            </w:r>
          </w:p>
          <w:p>
            <w:pPr>
              <w:tabs>
                <w:tab w:val="left" w:pos="426"/>
              </w:tabs>
              <w:spacing w:line="360" w:lineRule="auto"/>
              <w:rPr>
                <w:rFonts w:ascii="宋体" w:hAnsi="宋体" w:cs="宋体" w:hint="eastAsia"/>
              </w:rPr>
            </w:pPr>
            <w:r>
              <w:rPr>
                <w:rFonts w:ascii="宋体" w:hAnsi="宋体" w:cs="宋体" w:hint="eastAsia"/>
              </w:rPr>
              <w:t>4、投标机型的硬件及软件配置均须是注册证或官方白皮书所描述的，且在不同的应用领域（临床、科研）新技术改进、更新的产品。</w:t>
            </w:r>
          </w:p>
          <w:p>
            <w:pPr>
              <w:tabs>
                <w:tab w:val="left" w:pos="426"/>
              </w:tabs>
              <w:spacing w:line="360" w:lineRule="auto"/>
              <w:rPr>
                <w:rFonts w:ascii="宋体" w:hAnsi="宋体" w:cs="宋体" w:hint="eastAsia"/>
              </w:rPr>
            </w:pPr>
            <w:r>
              <w:rPr>
                <w:rFonts w:ascii="宋体" w:hAnsi="宋体" w:cs="宋体" w:hint="eastAsia"/>
              </w:rPr>
              <w:t>5、网络安全要求：所提供产品或服务满足国家网络安全管理要求，遵守医疗行业和采购人网络安全管理规范，保护采购人和患者信息安全。医疗设备自带软件（如有）具备合格的软件功能及安全测评报告、源代码安全审计报告和网络及数据接口说明等。</w:t>
            </w:r>
          </w:p>
          <w:p>
            <w:pPr>
              <w:tabs>
                <w:tab w:val="left" w:pos="426"/>
              </w:tabs>
              <w:spacing w:line="360" w:lineRule="auto"/>
              <w:rPr>
                <w:rFonts w:ascii="宋体" w:hAnsi="宋体" w:cs="宋体" w:hint="eastAsia"/>
              </w:rPr>
            </w:pPr>
            <w:r>
              <w:rPr>
                <w:rFonts w:ascii="宋体" w:hAnsi="宋体" w:cs="宋体" w:hint="eastAsia"/>
              </w:rPr>
              <w:t>6、设备使用期间，发生产品召回事件，中标人提供替代或赔偿方案。</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kern w:val="0"/>
                <w:szCs w:val="21"/>
              </w:rPr>
              <w:t>★其他条件</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b/>
                <w:bCs/>
                <w:szCs w:val="21"/>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rPr>
          <w:b/>
        </w:rPr>
      </w:pPr>
    </w:p>
    <w:p>
      <w:pPr>
        <w:pStyle w:val="NormalIndent"/>
        <w:spacing w:before="60" w:beforeLines="25" w:after="60" w:afterLines="25"/>
        <w:ind w:firstLine="0"/>
        <w:rPr>
          <w:rFonts w:ascii="宋体" w:hAnsi="宋体" w:hint="eastAsia"/>
          <w:szCs w:val="21"/>
        </w:rPr>
      </w:pPr>
    </w:p>
    <w:p>
      <w:pPr>
        <w:pStyle w:val="Heading2"/>
        <w:spacing w:before="120" w:beforeLines="50" w:after="120" w:afterLines="50"/>
        <w:rPr>
          <w:rFonts w:hint="eastAsia"/>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BodyText2"/>
      </w:pPr>
    </w:p>
    <w:p>
      <w:pPr>
        <w:pStyle w:val="BodyText"/>
        <w:rPr>
          <w:rFonts w:ascii="宋体" w:hAnsi="宋体" w:hint="eastAsia"/>
        </w:rPr>
        <w:sectPr>
          <w:pgSz w:w="11907" w:h="16840"/>
          <w:pgMar w:top="1440" w:right="1797" w:bottom="1440" w:left="1797" w:header="851" w:footer="992" w:gutter="0"/>
          <w:cols w:num="1" w:space="425"/>
          <w:titlePg/>
          <w:docGrid w:linePitch="462" w:charSpace="0"/>
        </w:sectPr>
      </w:pPr>
    </w:p>
    <w:p>
      <w:pPr>
        <w:pStyle w:val="Heading2"/>
        <w:rPr>
          <w:rFonts w:hint="eastAsia"/>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hint="eastAsia"/>
          <w:kern w:val="0"/>
          <w:sz w:val="24"/>
        </w:rPr>
      </w:pPr>
      <w:r>
        <w:drawing>
          <wp:inline distT="0" distB="0" distL="0" distR="0">
            <wp:extent cx="5162550" cy="4011295"/>
            <wp:effectExtent l="0" t="0" r="3810" b="12065"/>
            <wp:docPr id="1026" name="图片 1" descr="c66f322b8feee32c1a3f0d48f365c82"/>
            <wp:cNvGraphicFramePr/>
            <a:graphic xmlns:a="http://schemas.openxmlformats.org/drawingml/2006/main">
              <a:graphicData uri="http://schemas.openxmlformats.org/drawingml/2006/picture">
                <pic:pic xmlns:pic="http://schemas.openxmlformats.org/drawingml/2006/picture">
                  <pic:nvPicPr>
                    <pic:cNvPr id="1026" name="图片 1" descr="c66f322b8feee32c1a3f0d48f365c82"/>
                    <pic:cNvPicPr/>
                  </pic:nvPicPr>
                  <pic:blipFill>
                    <a:blip xmlns:r="http://schemas.openxmlformats.org/officeDocument/2006/relationships" r:embed="rId10" cstate="print"/>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hint="eastAsia"/>
          <w:szCs w:val="21"/>
        </w:rPr>
      </w:pPr>
      <w:bookmarkEnd w:id="43"/>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hint="eastAsia"/>
          <w:sz w:val="24"/>
        </w:rPr>
      </w:pPr>
      <w:bookmarkStart w:id="44"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5" w:name="_Hlk72070784"/>
      <w:r>
        <w:rPr>
          <w:rFonts w:hint="eastAsia"/>
          <w:szCs w:val="21"/>
        </w:rPr>
        <w:t>投标函</w:t>
      </w:r>
      <w:bookmarkEnd w:id="45"/>
    </w:p>
    <w:p>
      <w:pPr>
        <w:ind w:left="718" w:firstLine="1418" w:leftChars="342" w:firstLineChars="675"/>
        <w:rPr>
          <w:szCs w:val="21"/>
        </w:rPr>
      </w:pPr>
      <w:r>
        <w:rPr>
          <w:rFonts w:hint="eastAsia"/>
          <w:szCs w:val="21"/>
        </w:rPr>
        <w:t>（2）</w:t>
      </w:r>
      <w:bookmarkStart w:id="46" w:name="_Hlk72062521"/>
      <w:r>
        <w:rPr>
          <w:rFonts w:hint="eastAsia"/>
          <w:szCs w:val="21"/>
        </w:rPr>
        <w:t>政府采购投标及履约承诺函</w:t>
      </w:r>
      <w:bookmarkEnd w:id="46"/>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7" w:name="_Hlk72257201"/>
      <w:r>
        <w:rPr>
          <w:rFonts w:hint="eastAsia"/>
          <w:szCs w:val="21"/>
        </w:rPr>
        <w:t>（</w:t>
      </w:r>
      <w:r>
        <w:rPr>
          <w:szCs w:val="21"/>
        </w:rPr>
        <w:t>4</w:t>
      </w:r>
      <w:r>
        <w:rPr>
          <w:rFonts w:hint="eastAsia"/>
          <w:szCs w:val="21"/>
        </w:rPr>
        <w:t>）项目详细报价</w:t>
      </w:r>
      <w:bookmarkEnd w:id="47"/>
    </w:p>
    <w:p>
      <w:pPr>
        <w:ind w:firstLine="1050" w:firstLineChars="5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（1）供应商基本情况表</w:t>
      </w:r>
    </w:p>
    <w:p>
      <w:pPr>
        <w:ind w:firstLine="2100" w:firstLineChars="1000"/>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（4）实质性条款响应情况表</w:t>
      </w:r>
    </w:p>
    <w:p>
      <w:pPr>
        <w:ind w:left="718" w:firstLine="1418" w:leftChars="342" w:firstLineChars="675"/>
        <w:rPr>
          <w:szCs w:val="21"/>
        </w:rPr>
      </w:pPr>
      <w:r>
        <w:rPr>
          <w:rFonts w:hint="eastAsia"/>
          <w:szCs w:val="21"/>
        </w:rPr>
        <w:t>（5）技术要求偏离表</w:t>
      </w:r>
    </w:p>
    <w:p>
      <w:pPr>
        <w:ind w:left="718" w:firstLine="1418" w:leftChars="342" w:firstLineChars="675"/>
        <w:rPr>
          <w:szCs w:val="21"/>
        </w:rPr>
      </w:pPr>
      <w:r>
        <w:rPr>
          <w:rFonts w:hint="eastAsia"/>
          <w:szCs w:val="21"/>
        </w:rPr>
        <w:t>（6）供货安装进度方案</w:t>
      </w:r>
    </w:p>
    <w:p>
      <w:pPr>
        <w:ind w:left="718" w:firstLine="1418" w:leftChars="342" w:firstLineChars="675"/>
        <w:rPr>
          <w:szCs w:val="21"/>
        </w:rPr>
      </w:pPr>
      <w:r>
        <w:rPr>
          <w:rFonts w:hint="eastAsia"/>
          <w:szCs w:val="21"/>
        </w:rPr>
        <w:t>（7）产品的保障措施</w:t>
      </w:r>
    </w:p>
    <w:p>
      <w:pPr>
        <w:ind w:left="718" w:firstLine="1418" w:leftChars="342" w:firstLineChars="675"/>
        <w:rPr>
          <w:szCs w:val="21"/>
        </w:rPr>
      </w:pPr>
      <w:r>
        <w:rPr>
          <w:rFonts w:hint="eastAsia"/>
          <w:szCs w:val="21"/>
        </w:rPr>
        <w:t>（8）投标人认为需要加以说明的其他内容</w:t>
      </w:r>
    </w:p>
    <w:p>
      <w:pPr>
        <w:pStyle w:val="BodyText"/>
      </w:pPr>
    </w:p>
    <w:p>
      <w:pPr>
        <w:ind w:left="718" w:firstLine="1418" w:leftChars="342" w:firstLineChars="675"/>
        <w:rPr>
          <w:szCs w:val="21"/>
        </w:rPr>
      </w:pPr>
      <w:bookmarkEnd w:id="44"/>
    </w:p>
    <w:p>
      <w:pPr>
        <w:ind w:firstLine="424" w:firstLineChars="202"/>
        <w:rPr>
          <w:rFonts w:ascii="宋体" w:hAnsi="宋体" w:hint="eastAsia"/>
          <w:b/>
          <w:szCs w:val="21"/>
        </w:rPr>
      </w:pPr>
      <w:bookmarkStart w:id="48" w:name="_Hlk72257771"/>
      <w:r>
        <w:rPr>
          <w:rFonts w:ascii="宋体" w:hAnsi="宋体" w:hint="eastAsia"/>
          <w:b/>
          <w:szCs w:val="21"/>
        </w:rPr>
        <w:t>备注：</w:t>
      </w:r>
    </w:p>
    <w:p>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hint="eastAsia"/>
          <w:color w:val="FF0000"/>
          <w:sz w:val="24"/>
        </w:rPr>
      </w:pPr>
      <w:bookmarkStart w:id="49" w:name="_Hlk72263559"/>
      <w:r>
        <w:rPr>
          <w:rFonts w:ascii="宋体" w:hAnsi="宋体" w:hint="eastAsia"/>
          <w:b/>
          <w:szCs w:val="21"/>
        </w:rPr>
        <w:t>2.关于填写“开标一览表”的说明：“开标一览表”中除“投标总价”外，其他信息不作评审依据。</w:t>
      </w:r>
      <w:bookmarkEnd w:id="48"/>
      <w:bookmarkEnd w:id="49"/>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hint="eastAsia"/>
          <w:sz w:val="24"/>
        </w:rPr>
      </w:pPr>
      <w:r>
        <w:rPr>
          <w:rFonts w:ascii="黑体" w:eastAsia="黑体" w:hint="eastAsia"/>
          <w:sz w:val="24"/>
        </w:rPr>
        <w:t>一、投标函</w:t>
      </w:r>
    </w:p>
    <w:p>
      <w:pPr>
        <w:spacing w:line="360" w:lineRule="auto"/>
        <w:rPr>
          <w:rFonts w:ascii="宋体" w:hAnsi="宋体" w:hint="eastAsia"/>
          <w:szCs w:val="21"/>
        </w:rPr>
      </w:pPr>
      <w:bookmarkStart w:id="50"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hint="eastAsia"/>
          <w:szCs w:val="21"/>
        </w:rPr>
      </w:pPr>
      <w:bookmarkStart w:id="51"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（项目名称）          </w:t>
      </w:r>
      <w:r>
        <w:rPr>
          <w:rFonts w:hint="eastAsia"/>
          <w:szCs w:val="21"/>
        </w:rPr>
        <w:t>项目的招标文件，遵照《深圳经济特区政府采购条例》和《深圳网上政府采购管理暂行办法》等有关规定，我单位经研究上述招标文件的专用条款及通用条款后，</w:t>
      </w:r>
      <w:bookmarkStart w:id="52" w:name="_Hlk72263588"/>
      <w:r>
        <w:rPr>
          <w:rFonts w:hint="eastAsia"/>
          <w:szCs w:val="21"/>
        </w:rPr>
        <w:t>愿意按照招标文件要求承包上述项目并修补其任何缺陷。</w:t>
      </w:r>
      <w:bookmarkEnd w:id="52"/>
    </w:p>
    <w:p>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53" w:name="_Hlk73819847"/>
      <w:r>
        <w:rPr>
          <w:rFonts w:ascii="宋体" w:hAnsi="宋体" w:hint="eastAsia"/>
          <w:szCs w:val="21"/>
        </w:rPr>
        <w:t>投标价格见</w:t>
      </w:r>
      <w:r>
        <w:rPr>
          <w:rFonts w:hint="eastAsia"/>
          <w:szCs w:val="21"/>
        </w:rPr>
        <w:t>投标书编制软件中《开标一览表》中填写的投标总价。</w:t>
      </w:r>
      <w:bookmarkEnd w:id="53"/>
    </w:p>
    <w:p>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51"/>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xml:space="preserve">  ；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hint="eastAsia"/>
        </w:rPr>
      </w:pPr>
    </w:p>
    <w:p>
      <w:pPr>
        <w:rPr>
          <w:rFonts w:ascii="黑体" w:eastAsia="黑体" w:hAnsi="宋体" w:hint="eastAsia"/>
        </w:rPr>
      </w:pPr>
    </w:p>
    <w:p>
      <w:pPr>
        <w:pStyle w:val="Heading3"/>
        <w:jc w:val="center"/>
        <w:rPr>
          <w:rFonts w:ascii="黑体" w:eastAsia="黑体" w:hint="eastAsia"/>
          <w:sz w:val="24"/>
        </w:rPr>
      </w:pPr>
      <w:bookmarkEnd w:id="50"/>
      <w:r>
        <w:rPr>
          <w:rFonts w:ascii="黑体" w:eastAsia="黑体" w:hint="eastAsia"/>
          <w:sz w:val="24"/>
        </w:rPr>
        <w:t>二、政府采购投标及履约承诺函</w:t>
      </w:r>
    </w:p>
    <w:p>
      <w:pPr>
        <w:rPr>
          <w:rFonts w:ascii="宋体" w:hAnsi="宋体" w:hint="eastAsia"/>
          <w:color w:val="FF0000"/>
          <w:szCs w:val="21"/>
        </w:rPr>
      </w:pPr>
      <w:bookmarkStart w:id="54"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hint="eastAsia"/>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Cs/>
          <w:szCs w:val="21"/>
        </w:rPr>
        <w:t>1.我单位参与本项目所投标（响应）的货物、工程或服务，不存在侵犯知识产权的情况。</w:t>
      </w:r>
    </w:p>
    <w:p>
      <w:pPr>
        <w:ind w:firstLine="420" w:firstLineChars="20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hint="eastAsia"/>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color w:val="FF0000"/>
        </w:rPr>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hint="eastAsia"/>
          <w:szCs w:val="21"/>
        </w:rPr>
      </w:pPr>
      <w:r>
        <w:rPr>
          <w:rFonts w:ascii="宋体" w:hAnsi="宋体" w:hint="eastAsia"/>
          <w:szCs w:val="21"/>
        </w:rPr>
        <w:t>6.</w:t>
      </w:r>
      <w:bookmarkStart w:id="55" w:name="_Hlk72587269"/>
      <w:bookmarkStart w:id="56"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ascii="宋体" w:hAnsi="宋体" w:hint="eastAsia"/>
          <w:szCs w:val="21"/>
        </w:rPr>
        <w:t>。</w:t>
      </w:r>
    </w:p>
    <w:p>
      <w:pPr>
        <w:ind w:firstLine="420" w:firstLineChars="200"/>
        <w:rPr>
          <w:rFonts w:ascii="宋体" w:hAnsi="宋体" w:hint="eastAsia"/>
          <w:szCs w:val="21"/>
        </w:rPr>
      </w:pPr>
      <w:bookmarkEnd w:id="56"/>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hint="eastAsia"/>
          <w:szCs w:val="21"/>
        </w:rPr>
      </w:pPr>
      <w:r>
        <w:rPr>
          <w:rFonts w:ascii="宋体" w:hAnsi="宋体" w:hint="eastAsia"/>
          <w:szCs w:val="21"/>
        </w:rPr>
        <w:t>9.我单位承诺中标后项目不转包，未经采购人同意不进行分包。</w:t>
      </w:r>
    </w:p>
    <w:p>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cs="宋体" w:hint="eastAsia"/>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w:t>
      </w:r>
      <w:r>
        <w:rPr>
          <w:rFonts w:ascii="宋体" w:hAnsi="宋体" w:hint="eastAsia"/>
          <w:bCs/>
        </w:rPr>
        <w:t>不存在为</w:t>
      </w:r>
      <w:r>
        <w:rPr>
          <w:rFonts w:ascii="宋体" w:hAnsi="宋体"/>
          <w:bCs/>
        </w:rPr>
        <w:t>本次采购项目提供整体设计、规范编制或者项目管理、监理、检测等服务的情形。</w:t>
      </w:r>
      <w:r>
        <w:rPr>
          <w:rFonts w:ascii="宋体" w:hAnsi="宋体" w:hint="eastAsia"/>
          <w:bCs/>
        </w:rPr>
        <w:t>若存在“不同供应商的董事、股东或其他高级管理人员为同一人的”情形的，我单位保证不存在串通投标、恶意串通或者视为串通投标的情形。</w:t>
      </w:r>
    </w:p>
    <w:p>
      <w:pPr>
        <w:ind w:firstLine="420" w:firstLineChars="200"/>
        <w:rPr>
          <w:rFonts w:ascii="宋体" w:hAnsi="宋体" w:hint="eastAsia"/>
          <w:b/>
          <w:szCs w:val="21"/>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hint="eastAsia"/>
        </w:rPr>
      </w:pPr>
    </w:p>
    <w:p>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hint="eastAsia"/>
          <w:szCs w:val="21"/>
        </w:rPr>
      </w:pPr>
      <w:r>
        <w:rPr>
          <w:rFonts w:ascii="宋体" w:hAnsi="宋体" w:hint="eastAsia"/>
          <w:szCs w:val="21"/>
        </w:rPr>
        <w:t xml:space="preserve">                                    </w:t>
      </w:r>
    </w:p>
    <w:p>
      <w:pPr>
        <w:spacing w:before="60" w:beforeLines="25" w:after="60" w:afterLines="25"/>
        <w:ind w:firstLine="5460" w:firstLineChars="2600"/>
        <w:rPr>
          <w:color w:val="FF0000"/>
        </w:rPr>
      </w:pPr>
      <w:bookmarkEnd w:id="54"/>
      <w:r>
        <w:rPr>
          <w:rFonts w:hint="eastAsia"/>
          <w:color w:val="FF0000"/>
          <w:szCs w:val="21"/>
        </w:rPr>
        <w:t>投标人：</w:t>
      </w:r>
      <w:r>
        <w:rPr>
          <w:rFonts w:hint="eastAsia"/>
          <w:color w:val="FF0000"/>
          <w:szCs w:val="21"/>
          <w:u w:val="thick"/>
        </w:rPr>
        <w:t xml:space="preserve">                           </w:t>
      </w:r>
      <w:r>
        <w:rPr>
          <w:rFonts w:hint="eastAsia"/>
          <w:color w:val="FF0000"/>
          <w:szCs w:val="21"/>
        </w:rPr>
        <w:t>.</w:t>
      </w:r>
    </w:p>
    <w:p>
      <w:pPr>
        <w:ind w:firstLine="645"/>
        <w:rPr>
          <w:rFonts w:ascii="宋体" w:hAnsi="宋体" w:hint="eastAsia"/>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hint="eastAsia"/>
          <w:szCs w:val="21"/>
        </w:rPr>
      </w:pPr>
    </w:p>
    <w:p>
      <w:pPr>
        <w:rPr>
          <w:rFonts w:ascii="宋体"/>
          <w:b/>
          <w:szCs w:val="21"/>
        </w:rPr>
      </w:pPr>
    </w:p>
    <w:p>
      <w:pPr>
        <w:ind w:firstLine="420" w:firstLineChars="200"/>
        <w:jc w:val="center"/>
        <w:rPr>
          <w:rFonts w:hAnsi="宋体" w:hint="eastAsia"/>
          <w:b/>
          <w:bCs/>
          <w:sz w:val="24"/>
        </w:rPr>
      </w:pPr>
    </w:p>
    <w:p>
      <w:pPr>
        <w:pStyle w:val="Heading3"/>
        <w:jc w:val="center"/>
        <w:rPr>
          <w:rFonts w:ascii="黑体" w:eastAsia="黑体" w:hint="eastAsia"/>
          <w:sz w:val="24"/>
          <w:szCs w:val="24"/>
        </w:rPr>
      </w:pPr>
      <w:r>
        <w:rPr>
          <w:rFonts w:ascii="黑体" w:eastAsia="黑体" w:hint="eastAsia"/>
          <w:sz w:val="24"/>
          <w:szCs w:val="24"/>
        </w:rPr>
        <w:t>三、投标人情况及资格证明文件</w:t>
      </w:r>
    </w:p>
    <w:p>
      <w:pPr>
        <w:rPr>
          <w:b/>
          <w:bCs/>
          <w:sz w:val="24"/>
        </w:rPr>
      </w:pPr>
    </w:p>
    <w:p>
      <w:pPr>
        <w:ind w:firstLine="2310" w:firstLineChars="1100"/>
        <w:outlineLvl w:val="3"/>
        <w:rPr>
          <w:rFonts w:ascii="黑体" w:eastAsia="黑体" w:hAnsi="宋体" w:hint="eastAsia"/>
          <w:bCs/>
          <w:kern w:val="0"/>
          <w:sz w:val="24"/>
          <w:szCs w:val="32"/>
        </w:rPr>
      </w:pPr>
      <w:bookmarkStart w:id="57"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rPr>
          <w:b/>
          <w:bCs/>
          <w:sz w:val="24"/>
        </w:rPr>
      </w:pPr>
    </w:p>
    <w:p>
      <w:pPr>
        <w:ind w:firstLine="420" w:firstLineChars="200"/>
        <w:outlineLvl w:val="3"/>
        <w:rPr>
          <w:rFonts w:ascii="黑体" w:eastAsia="黑体" w:hAnsi="宋体" w:hint="eastAsia"/>
          <w:bCs/>
          <w:kern w:val="0"/>
          <w:sz w:val="24"/>
          <w:szCs w:val="32"/>
        </w:rPr>
      </w:pPr>
      <w:bookmarkStart w:id="58"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hint="eastAsia"/>
          <w:bCs/>
          <w:kern w:val="0"/>
          <w:sz w:val="24"/>
          <w:szCs w:val="32"/>
        </w:rPr>
      </w:pPr>
      <w:bookmarkEnd w:id="57"/>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hint="eastAsia"/>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rPr>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0"/>
        </w:numPr>
        <w:jc w:val="center"/>
        <w:outlineLvl w:val="3"/>
        <w:rPr>
          <w:b/>
          <w:sz w:val="24"/>
        </w:rPr>
      </w:pPr>
      <w:r>
        <w:rPr>
          <w:b/>
          <w:sz w:val="24"/>
        </w:rPr>
        <w:t>中小企业声明函（货物）</w:t>
      </w:r>
    </w:p>
    <w:p>
      <w:pPr>
        <w:pStyle w:val="BodyText"/>
      </w:pPr>
    </w:p>
    <w:p>
      <w:pPr>
        <w:pStyle w:val="BodyText2"/>
        <w:ind w:firstLine="420" w:firstLineChars="200"/>
        <w:rPr>
          <w:rFonts w:ascii="宋体" w:hAnsi="宋体" w:cs="宋体" w:hint="eastAsia"/>
          <w:sz w:val="21"/>
          <w:szCs w:val="21"/>
        </w:rPr>
      </w:pPr>
      <w:r>
        <w:rPr>
          <w:rFonts w:ascii="宋体" w:hAnsi="宋体" w:cs="宋体" w:hint="eastAsia"/>
          <w:sz w:val="21"/>
          <w:szCs w:val="21"/>
        </w:rPr>
        <w:t>本公司（联合体）郑重声明，根据《政府采购促进中小企业发展管理办法》（财库﹝2020﹞46号）的规定，本公司（联合体）参加</w:t>
      </w:r>
      <w:r>
        <w:rPr>
          <w:rFonts w:ascii="宋体" w:hAnsi="宋体" w:cs="宋体" w:hint="eastAsia"/>
          <w:b/>
          <w:bCs/>
          <w:i/>
          <w:iCs/>
          <w:sz w:val="21"/>
          <w:szCs w:val="21"/>
          <w:u w:val="single"/>
        </w:rPr>
        <w:t xml:space="preserve">    （单位名称）    </w:t>
      </w:r>
      <w:r>
        <w:rPr>
          <w:rFonts w:ascii="宋体" w:hAnsi="宋体" w:cs="宋体" w:hint="eastAsia"/>
          <w:sz w:val="21"/>
          <w:szCs w:val="21"/>
        </w:rPr>
        <w:t>的</w:t>
      </w:r>
      <w:r>
        <w:rPr>
          <w:rFonts w:ascii="宋体" w:hAnsi="宋体" w:cs="宋体" w:hint="eastAsia"/>
          <w:b/>
          <w:bCs/>
          <w:i/>
          <w:iCs/>
          <w:sz w:val="21"/>
          <w:szCs w:val="21"/>
          <w:u w:val="single"/>
        </w:rPr>
        <w:t xml:space="preserve">    （项目名称）    </w:t>
      </w:r>
      <w:r>
        <w:rPr>
          <w:rFonts w:ascii="宋体" w:hAnsi="宋体" w:cs="宋体"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宋体" w:hAnsi="宋体" w:cs="宋体" w:hint="eastAsia"/>
          <w:sz w:val="21"/>
          <w:szCs w:val="21"/>
        </w:rPr>
      </w:pPr>
      <w:r>
        <w:rPr>
          <w:rFonts w:ascii="宋体" w:hAnsi="宋体" w:cs="宋体" w:hint="eastAsia"/>
          <w:sz w:val="21"/>
          <w:szCs w:val="21"/>
        </w:rPr>
        <w:t>1.</w:t>
      </w:r>
      <w:r>
        <w:rPr>
          <w:rFonts w:ascii="宋体" w:hAnsi="宋体" w:cs="宋体" w:hint="eastAsia"/>
          <w:b/>
          <w:bCs/>
          <w:i/>
          <w:iCs/>
          <w:sz w:val="21"/>
          <w:szCs w:val="21"/>
          <w:u w:val="single"/>
        </w:rPr>
        <w:t xml:space="preserve">    （标的名称）     </w:t>
      </w:r>
      <w:r>
        <w:rPr>
          <w:rFonts w:ascii="宋体" w:hAnsi="宋体" w:cs="宋体" w:hint="eastAsia"/>
          <w:sz w:val="21"/>
          <w:szCs w:val="21"/>
        </w:rPr>
        <w:t>，属于</w:t>
      </w:r>
      <w:r>
        <w:rPr>
          <w:rFonts w:ascii="宋体" w:hAnsi="宋体" w:cs="宋体" w:hint="eastAsia"/>
          <w:b/>
          <w:bCs/>
          <w:i/>
          <w:iCs/>
          <w:sz w:val="21"/>
          <w:szCs w:val="21"/>
          <w:u w:val="single"/>
        </w:rPr>
        <w:t xml:space="preserve">    （采购文件中明确的所属行业）    </w:t>
      </w:r>
      <w:r>
        <w:rPr>
          <w:rFonts w:ascii="宋体" w:hAnsi="宋体" w:cs="宋体" w:hint="eastAsia"/>
          <w:sz w:val="21"/>
          <w:szCs w:val="21"/>
        </w:rPr>
        <w:t>行业；制造商为</w:t>
      </w:r>
      <w:r>
        <w:rPr>
          <w:rFonts w:ascii="宋体" w:hAnsi="宋体" w:cs="宋体" w:hint="eastAsia"/>
          <w:b/>
          <w:bCs/>
          <w:i/>
          <w:iCs/>
          <w:sz w:val="21"/>
          <w:szCs w:val="21"/>
          <w:u w:val="single"/>
        </w:rPr>
        <w:t xml:space="preserve">    （企业名称，要求制造商本身所属行业应当与招标文件要求的行业相一致）    </w:t>
      </w:r>
      <w:r>
        <w:rPr>
          <w:rFonts w:ascii="宋体" w:hAnsi="宋体" w:cs="宋体" w:hint="eastAsia"/>
          <w:sz w:val="21"/>
          <w:szCs w:val="21"/>
        </w:rPr>
        <w:t>，从业人员</w:t>
      </w:r>
      <w:r>
        <w:rPr>
          <w:rFonts w:ascii="宋体" w:hAnsi="宋体" w:cs="宋体" w:hint="eastAsia"/>
          <w:b/>
          <w:bCs/>
          <w:i/>
          <w:iCs/>
          <w:sz w:val="21"/>
          <w:szCs w:val="21"/>
          <w:u w:val="single"/>
        </w:rPr>
        <w:t xml:space="preserve">        </w:t>
      </w:r>
      <w:r>
        <w:rPr>
          <w:rFonts w:ascii="宋体" w:hAnsi="宋体" w:cs="宋体" w:hint="eastAsia"/>
          <w:sz w:val="21"/>
          <w:szCs w:val="21"/>
        </w:rPr>
        <w:t>人，营业收入为</w:t>
      </w:r>
      <w:r>
        <w:rPr>
          <w:rFonts w:ascii="宋体" w:hAnsi="宋体" w:cs="宋体" w:hint="eastAsia"/>
          <w:b/>
          <w:bCs/>
          <w:i/>
          <w:iCs/>
          <w:sz w:val="21"/>
          <w:szCs w:val="21"/>
          <w:u w:val="single"/>
        </w:rPr>
        <w:t xml:space="preserve">         </w:t>
      </w:r>
      <w:r>
        <w:rPr>
          <w:rFonts w:ascii="宋体" w:hAnsi="宋体" w:cs="宋体" w:hint="eastAsia"/>
          <w:sz w:val="21"/>
          <w:szCs w:val="21"/>
        </w:rPr>
        <w:t>万元，资产总额为</w:t>
      </w:r>
      <w:r>
        <w:rPr>
          <w:rFonts w:ascii="宋体" w:hAnsi="宋体" w:cs="宋体" w:hint="eastAsia"/>
          <w:b/>
          <w:bCs/>
          <w:i/>
          <w:iCs/>
          <w:sz w:val="21"/>
          <w:szCs w:val="21"/>
          <w:u w:val="single"/>
        </w:rPr>
        <w:t xml:space="preserve">         </w:t>
      </w:r>
      <w:r>
        <w:rPr>
          <w:rFonts w:ascii="宋体" w:hAnsi="宋体" w:cs="宋体" w:hint="eastAsia"/>
          <w:sz w:val="21"/>
          <w:szCs w:val="21"/>
        </w:rPr>
        <w:t>万元，属于</w:t>
      </w:r>
      <w:r>
        <w:rPr>
          <w:rFonts w:ascii="宋体" w:hAnsi="宋体" w:cs="宋体" w:hint="eastAsia"/>
          <w:b/>
          <w:bCs/>
          <w:i/>
          <w:iCs/>
          <w:sz w:val="21"/>
          <w:szCs w:val="21"/>
          <w:u w:val="single"/>
        </w:rPr>
        <w:t xml:space="preserve">    （中型企业、小型企业、微型企业）    </w:t>
      </w:r>
      <w:r>
        <w:rPr>
          <w:rFonts w:ascii="宋体" w:hAnsi="宋体" w:cs="宋体" w:hint="eastAsia"/>
          <w:sz w:val="21"/>
          <w:szCs w:val="21"/>
        </w:rPr>
        <w:t>；</w:t>
      </w:r>
    </w:p>
    <w:p>
      <w:pPr>
        <w:pStyle w:val="BodyText2"/>
        <w:ind w:firstLine="420" w:firstLineChars="200"/>
        <w:rPr>
          <w:rFonts w:ascii="宋体" w:hAnsi="宋体" w:cs="宋体" w:hint="eastAsia"/>
          <w:sz w:val="21"/>
          <w:szCs w:val="21"/>
        </w:rPr>
      </w:pPr>
      <w:r>
        <w:rPr>
          <w:rFonts w:ascii="宋体" w:hAnsi="宋体" w:cs="宋体" w:hint="eastAsia"/>
          <w:sz w:val="21"/>
          <w:szCs w:val="21"/>
        </w:rPr>
        <w:t>2.</w:t>
      </w:r>
      <w:r>
        <w:rPr>
          <w:rFonts w:ascii="宋体" w:hAnsi="宋体" w:cs="宋体" w:hint="eastAsia"/>
          <w:b/>
          <w:bCs/>
          <w:i/>
          <w:iCs/>
          <w:sz w:val="21"/>
          <w:szCs w:val="21"/>
          <w:u w:val="single"/>
        </w:rPr>
        <w:t xml:space="preserve">    （标的名称）     </w:t>
      </w:r>
      <w:r>
        <w:rPr>
          <w:rFonts w:ascii="宋体" w:hAnsi="宋体" w:cs="宋体" w:hint="eastAsia"/>
          <w:sz w:val="21"/>
          <w:szCs w:val="21"/>
        </w:rPr>
        <w:t>，属于</w:t>
      </w:r>
      <w:r>
        <w:rPr>
          <w:rFonts w:ascii="宋体" w:hAnsi="宋体" w:cs="宋体" w:hint="eastAsia"/>
          <w:b/>
          <w:bCs/>
          <w:i/>
          <w:iCs/>
          <w:sz w:val="21"/>
          <w:szCs w:val="21"/>
          <w:u w:val="single"/>
        </w:rPr>
        <w:t xml:space="preserve">    （采购文件中明确的所属行业）    </w:t>
      </w:r>
      <w:r>
        <w:rPr>
          <w:rFonts w:ascii="宋体" w:hAnsi="宋体" w:cs="宋体" w:hint="eastAsia"/>
          <w:sz w:val="21"/>
          <w:szCs w:val="21"/>
        </w:rPr>
        <w:t>行业；制造商为</w:t>
      </w:r>
      <w:r>
        <w:rPr>
          <w:rFonts w:ascii="宋体" w:hAnsi="宋体" w:cs="宋体" w:hint="eastAsia"/>
          <w:b/>
          <w:bCs/>
          <w:i/>
          <w:iCs/>
          <w:sz w:val="21"/>
          <w:szCs w:val="21"/>
          <w:u w:val="single"/>
        </w:rPr>
        <w:t xml:space="preserve">    （企业名称，要求制造商本身所属行业应当与招标文件要求的行业相一致）    </w:t>
      </w:r>
      <w:r>
        <w:rPr>
          <w:rFonts w:ascii="宋体" w:hAnsi="宋体" w:cs="宋体" w:hint="eastAsia"/>
          <w:sz w:val="21"/>
          <w:szCs w:val="21"/>
        </w:rPr>
        <w:t>，从业人员</w:t>
      </w:r>
      <w:r>
        <w:rPr>
          <w:rFonts w:ascii="宋体" w:hAnsi="宋体" w:cs="宋体" w:hint="eastAsia"/>
          <w:b/>
          <w:bCs/>
          <w:i/>
          <w:iCs/>
          <w:sz w:val="21"/>
          <w:szCs w:val="21"/>
          <w:u w:val="single"/>
        </w:rPr>
        <w:t xml:space="preserve">        </w:t>
      </w:r>
      <w:r>
        <w:rPr>
          <w:rFonts w:ascii="宋体" w:hAnsi="宋体" w:cs="宋体" w:hint="eastAsia"/>
          <w:sz w:val="21"/>
          <w:szCs w:val="21"/>
        </w:rPr>
        <w:t>人，营业收入为</w:t>
      </w:r>
      <w:r>
        <w:rPr>
          <w:rFonts w:ascii="宋体" w:hAnsi="宋体" w:cs="宋体" w:hint="eastAsia"/>
          <w:b/>
          <w:bCs/>
          <w:i/>
          <w:iCs/>
          <w:sz w:val="21"/>
          <w:szCs w:val="21"/>
          <w:u w:val="single"/>
        </w:rPr>
        <w:t xml:space="preserve">         </w:t>
      </w:r>
      <w:r>
        <w:rPr>
          <w:rFonts w:ascii="宋体" w:hAnsi="宋体" w:cs="宋体" w:hint="eastAsia"/>
          <w:sz w:val="21"/>
          <w:szCs w:val="21"/>
        </w:rPr>
        <w:t>万元，资产总额为</w:t>
      </w:r>
      <w:r>
        <w:rPr>
          <w:rFonts w:ascii="宋体" w:hAnsi="宋体" w:cs="宋体" w:hint="eastAsia"/>
          <w:b/>
          <w:bCs/>
          <w:i/>
          <w:iCs/>
          <w:sz w:val="21"/>
          <w:szCs w:val="21"/>
          <w:u w:val="single"/>
        </w:rPr>
        <w:t xml:space="preserve">         </w:t>
      </w:r>
      <w:r>
        <w:rPr>
          <w:rFonts w:ascii="宋体" w:hAnsi="宋体" w:cs="宋体" w:hint="eastAsia"/>
          <w:sz w:val="21"/>
          <w:szCs w:val="21"/>
        </w:rPr>
        <w:t>万元，属于</w:t>
      </w:r>
      <w:r>
        <w:rPr>
          <w:rFonts w:ascii="宋体" w:hAnsi="宋体" w:cs="宋体" w:hint="eastAsia"/>
          <w:b/>
          <w:bCs/>
          <w:i/>
          <w:iCs/>
          <w:sz w:val="21"/>
          <w:szCs w:val="21"/>
          <w:u w:val="single"/>
        </w:rPr>
        <w:t xml:space="preserve">    （中型企业、小型企业、微型企业）    </w:t>
      </w:r>
      <w:r>
        <w:rPr>
          <w:rFonts w:ascii="宋体" w:hAnsi="宋体" w:cs="宋体" w:hint="eastAsia"/>
          <w:sz w:val="21"/>
          <w:szCs w:val="21"/>
        </w:rPr>
        <w:t>；</w:t>
      </w:r>
    </w:p>
    <w:p>
      <w:pPr>
        <w:pStyle w:val="BodyText2"/>
        <w:ind w:firstLine="420" w:firstLineChars="200"/>
        <w:rPr>
          <w:rFonts w:ascii="宋体" w:hAnsi="宋体" w:cs="宋体" w:hint="eastAsia"/>
          <w:sz w:val="21"/>
          <w:szCs w:val="21"/>
        </w:rPr>
      </w:pPr>
      <w:r>
        <w:rPr>
          <w:rFonts w:ascii="宋体" w:hAnsi="宋体" w:cs="宋体" w:hint="eastAsia"/>
          <w:sz w:val="21"/>
          <w:szCs w:val="21"/>
        </w:rPr>
        <w:t>……</w:t>
      </w:r>
    </w:p>
    <w:p>
      <w:pPr>
        <w:pStyle w:val="BodyText2"/>
        <w:ind w:firstLine="420" w:firstLineChars="200"/>
        <w:rPr>
          <w:rFonts w:ascii="宋体" w:hAnsi="宋体" w:cs="宋体" w:hint="eastAsia"/>
          <w:sz w:val="21"/>
          <w:szCs w:val="21"/>
        </w:rPr>
      </w:pPr>
    </w:p>
    <w:p>
      <w:pPr>
        <w:spacing w:line="360" w:lineRule="auto"/>
        <w:ind w:firstLine="420" w:firstLineChars="200"/>
        <w:outlineLvl w:val="3"/>
        <w:rPr>
          <w:rFonts w:ascii="宋体" w:hAnsi="宋体" w:cs="宋体" w:hint="eastAsia"/>
          <w:szCs w:val="21"/>
        </w:rPr>
      </w:pPr>
      <w:r>
        <w:rPr>
          <w:rFonts w:ascii="宋体" w:hAnsi="宋体" w:cs="宋体"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宋体" w:hAnsi="宋体" w:cs="宋体" w:hint="eastAsia"/>
          <w:szCs w:val="21"/>
        </w:rPr>
      </w:pPr>
      <w:bookmarkStart w:id="59" w:name="_Hlk73562203"/>
      <w:r>
        <w:rPr>
          <w:rFonts w:ascii="宋体" w:hAnsi="宋体" w:cs="宋体" w:hint="eastAsia"/>
          <w:szCs w:val="21"/>
        </w:rPr>
        <w:t>本投标人对上述声明内容的真实性负责。如有虚假，将依法承担相应责任。</w:t>
      </w:r>
    </w:p>
    <w:p>
      <w:pPr>
        <w:spacing w:line="360" w:lineRule="auto"/>
        <w:ind w:firstLine="420" w:firstLineChars="200"/>
        <w:rPr>
          <w:sz w:val="24"/>
        </w:rPr>
      </w:pPr>
      <w:r>
        <w:rPr>
          <w:rFonts w:ascii="宋体" w:hAnsi="宋体" w:cs="宋体"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9"/>
    </w:p>
    <w:p>
      <w:pPr>
        <w:ind w:firstLine="420" w:firstLineChars="200"/>
        <w:outlineLvl w:val="3"/>
        <w:rPr>
          <w:rFonts w:ascii="宋体" w:hAnsi="宋体" w:hint="eastAsia"/>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spacing w:line="360" w:lineRule="auto"/>
        <w:ind w:firstLine="420" w:firstLineChars="200"/>
        <w:rPr>
          <w:rFonts w:ascii="宋体" w:hAnsi="宋体" w:cs="宋体" w:hint="eastAsia"/>
          <w:szCs w:val="21"/>
        </w:rPr>
      </w:pPr>
      <w:bookmarkStart w:id="60" w:name="_Hlk73562331"/>
      <w:bookmarkStart w:id="61" w:name="_Hlk73562245"/>
      <w:r>
        <w:rPr>
          <w:rFonts w:ascii="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hAnsi="宋体" w:cs="宋体" w:hint="eastAsia"/>
          <w:b/>
          <w:bCs/>
          <w:i/>
          <w:iCs/>
          <w:szCs w:val="21"/>
          <w:u w:val="single"/>
        </w:rPr>
        <w:t xml:space="preserve">    （单位名称）    </w:t>
      </w:r>
      <w:r>
        <w:rPr>
          <w:rFonts w:ascii="宋体" w:hAnsi="宋体" w:cs="宋体" w:hint="eastAsia"/>
          <w:szCs w:val="21"/>
        </w:rPr>
        <w:t>单位的</w:t>
      </w:r>
      <w:r>
        <w:rPr>
          <w:rFonts w:ascii="宋体" w:hAnsi="宋体" w:cs="宋体" w:hint="eastAsia"/>
          <w:b/>
          <w:bCs/>
          <w:i/>
          <w:iCs/>
          <w:szCs w:val="21"/>
          <w:u w:val="single"/>
        </w:rPr>
        <w:t xml:space="preserve">    （项目名称）    </w:t>
      </w:r>
      <w:r>
        <w:rPr>
          <w:rFonts w:ascii="宋体" w:hAnsi="宋体" w:cs="宋体" w:hint="eastAsia"/>
          <w:szCs w:val="21"/>
        </w:rPr>
        <w:t>项目采购活动提供本单位制造的货物（由本单位承担工程/提供服务），或者提供其他残疾人福利性单位制造的货物（不包括使用非残疾人福利性单位注册商标的货物）。</w:t>
      </w:r>
    </w:p>
    <w:p>
      <w:pPr>
        <w:spacing w:line="360" w:lineRule="auto"/>
        <w:ind w:firstLine="420" w:firstLineChars="200"/>
        <w:rPr>
          <w:rFonts w:ascii="宋体" w:hAnsi="宋体" w:cs="宋体" w:hint="eastAsia"/>
          <w:szCs w:val="21"/>
        </w:rPr>
      </w:pPr>
      <w:r>
        <w:rPr>
          <w:rFonts w:ascii="宋体" w:hAnsi="宋体" w:cs="宋体" w:hint="eastAsia"/>
          <w:szCs w:val="21"/>
        </w:rPr>
        <w:t>本单位对上述声明的真实性负责。如有虚假，将依法承担相应责任。</w:t>
      </w:r>
    </w:p>
    <w:p>
      <w:pPr>
        <w:spacing w:line="360" w:lineRule="auto"/>
        <w:ind w:firstLine="420" w:firstLineChars="200"/>
        <w:rPr>
          <w:rFonts w:ascii="宋体" w:hAnsi="宋体" w:cs="宋体" w:hint="eastAsia"/>
          <w:szCs w:val="21"/>
        </w:rPr>
      </w:pPr>
      <w:r>
        <w:rPr>
          <w:rFonts w:ascii="宋体" w:hAnsi="宋体" w:cs="宋体"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0"/>
    </w:p>
    <w:p>
      <w:pPr>
        <w:ind w:firstLine="420" w:firstLineChars="200"/>
        <w:rPr>
          <w:rFonts w:ascii="宋体" w:hAnsi="宋体" w:hint="eastAsia"/>
          <w:szCs w:val="21"/>
        </w:rPr>
      </w:pPr>
      <w:bookmarkEnd w:id="61"/>
    </w:p>
    <w:p>
      <w:pPr>
        <w:ind w:firstLine="420" w:firstLineChars="200"/>
        <w:rPr>
          <w:rFonts w:ascii="宋体" w:hAnsi="宋体" w:hint="eastAsia"/>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宋体"/>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spacing w:line="360" w:lineRule="auto"/>
        <w:ind w:firstLine="420" w:firstLineChars="20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pPr>
        <w:spacing w:line="360" w:lineRule="auto"/>
        <w:ind w:firstLine="420" w:firstLineChars="20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pPr>
        <w:spacing w:line="360" w:lineRule="auto"/>
        <w:ind w:firstLine="420" w:firstLineChars="200"/>
        <w:outlineLvl w:val="3"/>
        <w:rPr>
          <w:rFonts w:ascii="宋体" w:hAnsi="宋体" w:hint="eastAsia"/>
          <w:szCs w:val="21"/>
        </w:rPr>
      </w:pPr>
      <w:r>
        <w:rPr>
          <w:rFonts w:ascii="宋体" w:hAnsi="宋体"/>
          <w:szCs w:val="21"/>
        </w:rPr>
        <w:t xml:space="preserve">…… </w:t>
      </w:r>
    </w:p>
    <w:p>
      <w:pPr>
        <w:spacing w:line="360" w:lineRule="auto"/>
        <w:ind w:firstLine="420" w:firstLineChars="200"/>
        <w:rPr>
          <w:rFonts w:ascii="宋体" w:hAnsi="宋体" w:hint="eastAsia"/>
          <w:szCs w:val="21"/>
        </w:rPr>
      </w:pPr>
      <w:r>
        <w:rPr>
          <w:rFonts w:ascii="宋体" w:hAnsi="宋体" w:cs="宋体"/>
          <w:szCs w:val="21"/>
        </w:rPr>
        <w:t>本</w:t>
      </w:r>
      <w:r>
        <w:rPr>
          <w:rFonts w:ascii="宋体" w:hAnsi="宋体" w:cs="宋体" w:hint="eastAsia"/>
          <w:szCs w:val="21"/>
        </w:rPr>
        <w:t>投标人</w:t>
      </w:r>
      <w:r>
        <w:rPr>
          <w:rFonts w:ascii="宋体" w:hAnsi="宋体"/>
          <w:szCs w:val="21"/>
        </w:rPr>
        <w:t>对上述声明内容的真实性负责。如有虚假，将依法承担相应责任。</w:t>
      </w:r>
    </w:p>
    <w:p>
      <w:pPr>
        <w:spacing w:line="360" w:lineRule="auto"/>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58"/>
    </w:p>
    <w:p>
      <w:pPr>
        <w:pStyle w:val="Heading3"/>
        <w:jc w:val="center"/>
        <w:rPr>
          <w:rFonts w:ascii="黑体" w:eastAsia="黑体" w:hint="eastAsia"/>
          <w:sz w:val="24"/>
          <w:szCs w:val="24"/>
        </w:rPr>
      </w:pPr>
      <w:bookmarkStart w:id="62" w:name="_Hlk72259976"/>
      <w:r>
        <w:rPr>
          <w:rFonts w:ascii="黑体" w:eastAsia="黑体" w:hint="eastAsia"/>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序号</w:t>
            </w:r>
          </w:p>
        </w:tc>
        <w:tc>
          <w:tcPr>
            <w:tcW w:w="1485" w:type="dxa"/>
            <w:vAlign w:val="center"/>
          </w:tcPr>
          <w:p>
            <w:pPr>
              <w:jc w:val="center"/>
              <w:rPr>
                <w:bCs/>
                <w:szCs w:val="21"/>
              </w:rPr>
            </w:pPr>
            <w:r>
              <w:rPr>
                <w:rFonts w:hint="eastAsia"/>
                <w:szCs w:val="21"/>
              </w:rPr>
              <w:t>采购计划编号</w:t>
            </w:r>
          </w:p>
        </w:tc>
        <w:tc>
          <w:tcPr>
            <w:tcW w:w="1147" w:type="dxa"/>
            <w:vAlign w:val="center"/>
          </w:tcPr>
          <w:p>
            <w:pPr>
              <w:jc w:val="center"/>
              <w:rPr>
                <w:bCs/>
                <w:szCs w:val="21"/>
              </w:rPr>
            </w:pPr>
            <w:r>
              <w:rPr>
                <w:rFonts w:hint="eastAsia"/>
                <w:bCs/>
                <w:szCs w:val="21"/>
              </w:rPr>
              <w:t>货物名称</w:t>
            </w:r>
          </w:p>
        </w:tc>
        <w:tc>
          <w:tcPr>
            <w:tcW w:w="703" w:type="dxa"/>
            <w:vAlign w:val="center"/>
          </w:tcPr>
          <w:p>
            <w:pPr>
              <w:jc w:val="center"/>
              <w:rPr>
                <w:bCs/>
                <w:szCs w:val="21"/>
              </w:rPr>
            </w:pPr>
            <w:r>
              <w:rPr>
                <w:rFonts w:hint="eastAsia"/>
                <w:szCs w:val="21"/>
              </w:rPr>
              <w:t>品牌</w:t>
            </w:r>
          </w:p>
        </w:tc>
        <w:tc>
          <w:tcPr>
            <w:tcW w:w="703" w:type="dxa"/>
            <w:vAlign w:val="center"/>
          </w:tcPr>
          <w:p>
            <w:pPr>
              <w:jc w:val="center"/>
              <w:rPr>
                <w:bCs/>
                <w:szCs w:val="21"/>
              </w:rPr>
            </w:pPr>
            <w:r>
              <w:rPr>
                <w:rFonts w:hint="eastAsia"/>
                <w:szCs w:val="21"/>
              </w:rPr>
              <w:t>规格/型号</w:t>
            </w:r>
          </w:p>
        </w:tc>
        <w:tc>
          <w:tcPr>
            <w:tcW w:w="612" w:type="dxa"/>
            <w:vAlign w:val="center"/>
          </w:tcPr>
          <w:p>
            <w:pPr>
              <w:jc w:val="center"/>
              <w:rPr>
                <w:bCs/>
                <w:szCs w:val="21"/>
              </w:rPr>
            </w:pPr>
            <w:r>
              <w:rPr>
                <w:rFonts w:hint="eastAsia"/>
                <w:b/>
                <w:color w:val="FF0000"/>
                <w:szCs w:val="21"/>
              </w:rPr>
              <w:t>原产地</w:t>
            </w:r>
          </w:p>
        </w:tc>
        <w:tc>
          <w:tcPr>
            <w:tcW w:w="726" w:type="dxa"/>
            <w:vAlign w:val="center"/>
          </w:tcPr>
          <w:p>
            <w:pPr>
              <w:jc w:val="center"/>
              <w:rPr>
                <w:bCs/>
                <w:szCs w:val="21"/>
              </w:rPr>
            </w:pPr>
            <w:r>
              <w:rPr>
                <w:rFonts w:hint="eastAsia"/>
                <w:szCs w:val="21"/>
              </w:rPr>
              <w:t>制造商名称</w:t>
            </w:r>
          </w:p>
        </w:tc>
        <w:tc>
          <w:tcPr>
            <w:tcW w:w="462" w:type="dxa"/>
            <w:vAlign w:val="center"/>
          </w:tcPr>
          <w:p>
            <w:pPr>
              <w:jc w:val="center"/>
              <w:rPr>
                <w:bCs/>
                <w:szCs w:val="21"/>
              </w:rPr>
            </w:pPr>
            <w:r>
              <w:rPr>
                <w:rFonts w:hint="eastAsia"/>
                <w:bCs/>
                <w:szCs w:val="21"/>
              </w:rPr>
              <w:t>数量</w:t>
            </w:r>
          </w:p>
        </w:tc>
        <w:tc>
          <w:tcPr>
            <w:tcW w:w="427" w:type="dxa"/>
            <w:vAlign w:val="center"/>
          </w:tcPr>
          <w:p>
            <w:pPr>
              <w:jc w:val="center"/>
              <w:rPr>
                <w:bCs/>
                <w:szCs w:val="21"/>
              </w:rPr>
            </w:pPr>
            <w:r>
              <w:rPr>
                <w:rFonts w:hint="eastAsia"/>
                <w:bCs/>
                <w:szCs w:val="21"/>
              </w:rPr>
              <w:t>单位</w:t>
            </w:r>
          </w:p>
        </w:tc>
        <w:tc>
          <w:tcPr>
            <w:tcW w:w="571" w:type="dxa"/>
            <w:vAlign w:val="center"/>
          </w:tcPr>
          <w:p>
            <w:pPr>
              <w:jc w:val="center"/>
              <w:rPr>
                <w:bCs/>
                <w:szCs w:val="21"/>
              </w:rPr>
            </w:pPr>
            <w:r>
              <w:rPr>
                <w:rFonts w:hint="eastAsia"/>
                <w:szCs w:val="21"/>
              </w:rPr>
              <w:t>单价(元)</w:t>
            </w:r>
          </w:p>
        </w:tc>
        <w:tc>
          <w:tcPr>
            <w:tcW w:w="563" w:type="dxa"/>
            <w:vAlign w:val="center"/>
          </w:tcPr>
          <w:p>
            <w:pPr>
              <w:jc w:val="center"/>
              <w:rPr>
                <w:bCs/>
                <w:szCs w:val="21"/>
              </w:rPr>
            </w:pPr>
            <w:r>
              <w:rPr>
                <w:rFonts w:hint="eastAsia"/>
                <w:szCs w:val="21"/>
              </w:rPr>
              <w:t>合价(元)</w:t>
            </w:r>
          </w:p>
        </w:tc>
        <w:tc>
          <w:tcPr>
            <w:tcW w:w="703" w:type="dxa"/>
            <w:vAlign w:val="center"/>
          </w:tcPr>
          <w:p>
            <w:pPr>
              <w:jc w:val="center"/>
              <w:rPr>
                <w:szCs w:val="21"/>
              </w:rPr>
            </w:pPr>
            <w:r>
              <w:rPr>
                <w:rFonts w:hint="eastAsia"/>
                <w:szCs w:val="21"/>
              </w:rPr>
              <w:t>预算金额（元）</w:t>
            </w:r>
          </w:p>
        </w:tc>
      </w:tr>
      <w:tr>
        <w:tblPrEx>
          <w:tblW w:w="8529" w:type="dxa"/>
          <w:jc w:val="center"/>
          <w:tblLayout w:type="fixed"/>
          <w:tblCellMar>
            <w:top w:w="0" w:type="dxa"/>
            <w:left w:w="108" w:type="dxa"/>
            <w:bottom w:w="0" w:type="dxa"/>
            <w:right w:w="108" w:type="dxa"/>
          </w:tblCellMar>
        </w:tblPrEx>
        <w:trPr>
          <w:trHeight w:val="542"/>
          <w:jc w:val="center"/>
        </w:trPr>
        <w:tc>
          <w:tcPr>
            <w:tcW w:w="427" w:type="dxa"/>
            <w:vAlign w:val="center"/>
          </w:tcPr>
          <w:p>
            <w:pPr>
              <w:jc w:val="center"/>
              <w:rPr>
                <w:bCs/>
                <w:szCs w:val="21"/>
              </w:rPr>
            </w:pPr>
            <w:r>
              <w:rPr>
                <w:rFonts w:hint="eastAsia"/>
                <w:bCs/>
                <w:szCs w:val="21"/>
              </w:rPr>
              <w:t>1</w:t>
            </w:r>
          </w:p>
        </w:tc>
        <w:tc>
          <w:tcPr>
            <w:tcW w:w="1485" w:type="dxa"/>
            <w:vMerge w:val="restart"/>
            <w:vAlign w:val="center"/>
          </w:tcPr>
          <w:p>
            <w:pPr>
              <w:jc w:val="center"/>
              <w:rPr>
                <w:bCs/>
                <w:szCs w:val="21"/>
              </w:rPr>
            </w:pPr>
            <w:r>
              <w:rPr>
                <w:rFonts w:ascii="宋体" w:hAnsi="宋体" w:cs="宋体" w:hint="eastAsia"/>
                <w:bCs/>
                <w:szCs w:val="21"/>
              </w:rPr>
              <w:t>PLAN-2025-440307000-022017-09663、PLAN-2025-440307000-022017-09664</w:t>
            </w:r>
            <w:bookmarkStart w:id="63" w:name="_GoBack"/>
            <w:bookmarkEnd w:id="63"/>
          </w:p>
        </w:tc>
        <w:tc>
          <w:tcPr>
            <w:tcW w:w="1147" w:type="dxa"/>
            <w:vAlign w:val="center"/>
          </w:tcPr>
          <w:p>
            <w:pPr>
              <w:jc w:val="left"/>
              <w:rPr>
                <w:bCs/>
                <w:szCs w:val="21"/>
              </w:rPr>
            </w:pPr>
            <w:r>
              <w:rPr>
                <w:rFonts w:ascii="宋体" w:hAnsi="宋体" w:cs="宋体" w:hint="eastAsia"/>
              </w:rPr>
              <w:t>激光共聚焦显微镜</w:t>
            </w:r>
          </w:p>
        </w:tc>
        <w:tc>
          <w:tcPr>
            <w:tcW w:w="703" w:type="dxa"/>
            <w:vAlign w:val="center"/>
          </w:tcPr>
          <w:p>
            <w:pPr>
              <w:jc w:val="center"/>
              <w:rPr>
                <w:bCs/>
                <w:szCs w:val="21"/>
              </w:rPr>
            </w:pPr>
          </w:p>
        </w:tc>
        <w:tc>
          <w:tcPr>
            <w:tcW w:w="703" w:type="dxa"/>
            <w:vAlign w:val="center"/>
          </w:tcPr>
          <w:p>
            <w:pPr>
              <w:jc w:val="center"/>
              <w:rPr>
                <w:bCs/>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bCs/>
                <w:szCs w:val="21"/>
              </w:rPr>
            </w:pPr>
            <w:r>
              <w:rPr>
                <w:rFonts w:ascii="宋体" w:hAnsi="宋体" w:cs="宋体"/>
                <w:bCs/>
                <w:szCs w:val="21"/>
              </w:rPr>
              <w:t>1</w:t>
            </w:r>
          </w:p>
        </w:tc>
        <w:tc>
          <w:tcPr>
            <w:tcW w:w="427" w:type="dxa"/>
            <w:vAlign w:val="center"/>
          </w:tcPr>
          <w:p>
            <w:pPr>
              <w:jc w:val="center"/>
              <w:rPr>
                <w:bCs/>
                <w:szCs w:val="21"/>
              </w:rPr>
            </w:pPr>
            <w:r>
              <w:rPr>
                <w:rFonts w:ascii="宋体" w:hAnsi="宋体" w:cs="宋体" w:hint="eastAsia"/>
                <w:bCs/>
                <w:szCs w:val="21"/>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restart"/>
            <w:vAlign w:val="center"/>
          </w:tcPr>
          <w:p>
            <w:pPr>
              <w:jc w:val="center"/>
              <w:rPr>
                <w:b/>
                <w:bCs/>
                <w:szCs w:val="21"/>
              </w:rPr>
            </w:pPr>
            <w:r>
              <w:rPr>
                <w:b/>
                <w:bCs/>
                <w:szCs w:val="21"/>
              </w:rPr>
              <w:t>2795000.00</w:t>
            </w:r>
          </w:p>
        </w:tc>
      </w:tr>
      <w:tr>
        <w:tblPrEx>
          <w:tblW w:w="8529" w:type="dxa"/>
          <w:jc w:val="center"/>
          <w:tblLayout w:type="fixed"/>
          <w:tblCellMar>
            <w:top w:w="0" w:type="dxa"/>
            <w:left w:w="108" w:type="dxa"/>
            <w:bottom w:w="0" w:type="dxa"/>
            <w:right w:w="108" w:type="dxa"/>
          </w:tblCellMar>
        </w:tblPrEx>
        <w:trPr>
          <w:trHeight w:val="542"/>
          <w:jc w:val="center"/>
        </w:trPr>
        <w:tc>
          <w:tcPr>
            <w:tcW w:w="427" w:type="dxa"/>
            <w:vAlign w:val="center"/>
          </w:tcPr>
          <w:p>
            <w:pPr>
              <w:jc w:val="center"/>
              <w:rPr>
                <w:rFonts w:eastAsia="宋体" w:hint="eastAsia"/>
                <w:bCs/>
                <w:szCs w:val="21"/>
                <w:lang w:val="en-US" w:eastAsia="zh-CN"/>
              </w:rPr>
            </w:pPr>
            <w:r>
              <w:rPr>
                <w:rFonts w:hint="eastAsia"/>
                <w:bCs/>
                <w:szCs w:val="21"/>
                <w:lang w:val="en-US" w:eastAsia="zh-CN"/>
              </w:rPr>
              <w:t>2</w:t>
            </w:r>
          </w:p>
        </w:tc>
        <w:tc>
          <w:tcPr>
            <w:tcW w:w="1485" w:type="dxa"/>
            <w:vMerge/>
            <w:vAlign w:val="center"/>
          </w:tcPr>
          <w:p>
            <w:pPr>
              <w:jc w:val="center"/>
              <w:rPr>
                <w:bCs/>
                <w:szCs w:val="21"/>
              </w:rPr>
            </w:pPr>
          </w:p>
        </w:tc>
        <w:tc>
          <w:tcPr>
            <w:tcW w:w="1147" w:type="dxa"/>
            <w:vAlign w:val="center"/>
          </w:tcPr>
          <w:p>
            <w:pPr>
              <w:jc w:val="left"/>
              <w:rPr>
                <w:bCs/>
                <w:szCs w:val="21"/>
              </w:rPr>
            </w:pPr>
            <w:r>
              <w:rPr>
                <w:rFonts w:ascii="宋体" w:hAnsi="宋体" w:cs="宋体" w:hint="eastAsia"/>
              </w:rPr>
              <w:t>心电图机</w:t>
            </w:r>
          </w:p>
        </w:tc>
        <w:tc>
          <w:tcPr>
            <w:tcW w:w="703" w:type="dxa"/>
            <w:vAlign w:val="center"/>
          </w:tcPr>
          <w:p>
            <w:pPr>
              <w:jc w:val="center"/>
              <w:rPr>
                <w:bCs/>
                <w:szCs w:val="21"/>
              </w:rPr>
            </w:pPr>
          </w:p>
        </w:tc>
        <w:tc>
          <w:tcPr>
            <w:tcW w:w="703" w:type="dxa"/>
            <w:vAlign w:val="center"/>
          </w:tcPr>
          <w:p>
            <w:pPr>
              <w:jc w:val="center"/>
              <w:rPr>
                <w:bCs/>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bCs/>
                <w:szCs w:val="21"/>
              </w:rPr>
            </w:pPr>
            <w:r>
              <w:rPr>
                <w:rFonts w:ascii="宋体" w:hAnsi="宋体" w:cs="宋体" w:hint="eastAsia"/>
                <w:bCs/>
                <w:szCs w:val="21"/>
              </w:rPr>
              <w:t>1</w:t>
            </w:r>
          </w:p>
        </w:tc>
        <w:tc>
          <w:tcPr>
            <w:tcW w:w="427" w:type="dxa"/>
            <w:vAlign w:val="center"/>
          </w:tcPr>
          <w:p>
            <w:pPr>
              <w:jc w:val="center"/>
              <w:rPr>
                <w:bCs/>
                <w:szCs w:val="21"/>
              </w:rPr>
            </w:pPr>
            <w:r>
              <w:rPr>
                <w:rFonts w:ascii="宋体" w:hAnsi="宋体" w:cs="宋体" w:hint="eastAsia"/>
                <w:bCs/>
                <w:szCs w:val="21"/>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szCs w:val="21"/>
              </w:rPr>
            </w:pPr>
          </w:p>
        </w:tc>
      </w:tr>
      <w:tr>
        <w:tblPrEx>
          <w:tblW w:w="8529" w:type="dxa"/>
          <w:jc w:val="center"/>
          <w:tblLayout w:type="fixed"/>
          <w:tblCellMar>
            <w:top w:w="0" w:type="dxa"/>
            <w:left w:w="108" w:type="dxa"/>
            <w:bottom w:w="0" w:type="dxa"/>
            <w:right w:w="108" w:type="dxa"/>
          </w:tblCellMar>
        </w:tblPrEx>
        <w:trPr>
          <w:trHeight w:val="542"/>
          <w:jc w:val="center"/>
        </w:trPr>
        <w:tc>
          <w:tcPr>
            <w:tcW w:w="8529" w:type="dxa"/>
            <w:gridSpan w:val="12"/>
            <w:vAlign w:val="center"/>
          </w:tcPr>
          <w:p>
            <w:pPr>
              <w:jc w:val="center"/>
              <w:rPr>
                <w:rFonts w:ascii="宋体" w:hAnsi="宋体" w:cs="宋体" w:hint="eastAsia"/>
                <w:bCs/>
                <w:spacing w:val="-4"/>
                <w:szCs w:val="21"/>
              </w:rPr>
            </w:pPr>
            <w:r>
              <w:rPr>
                <w:rFonts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hint="eastAsia"/>
          <w:b/>
          <w:sz w:val="24"/>
        </w:rPr>
      </w:pPr>
      <w:r>
        <w:rPr>
          <w:rFonts w:ascii="宋体" w:hAnsi="宋体" w:hint="eastAsia"/>
          <w:b/>
          <w:sz w:val="24"/>
        </w:rPr>
        <w:t>注：1.本表可按同样格式扩展。</w:t>
      </w:r>
    </w:p>
    <w:p>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4"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由供应商承担。经评审委员会认定，在使用综合评分法的项目中一项此类填写错误或缺漏将按照一项普通招标技术要求（一般参数/普通参数）负偏离扣分处理。</w:t>
      </w:r>
      <w:bookmarkEnd w:id="64"/>
    </w:p>
    <w:p>
      <w:pPr>
        <w:ind w:firstLine="412" w:firstLineChars="196"/>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pPr>
        <w:ind w:firstLine="420" w:firstLineChars="200"/>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hint="eastAsia"/>
          <w:b/>
          <w:color w:val="FF0000"/>
          <w:sz w:val="24"/>
        </w:rPr>
      </w:pPr>
    </w:p>
    <w:p>
      <w:pPr>
        <w:tabs>
          <w:tab w:val="left" w:pos="720"/>
        </w:tabs>
        <w:jc w:val="center"/>
        <w:rPr>
          <w:b/>
          <w:sz w:val="24"/>
        </w:rPr>
      </w:pPr>
      <w:r>
        <w:rPr>
          <w:rFonts w:hint="eastAsia"/>
          <w:b/>
          <w:sz w:val="24"/>
        </w:rPr>
        <w:t>（二）设备的备品（件）、耗材价格一览表（如有，不包括总报价内）</w:t>
      </w:r>
    </w:p>
    <w:p>
      <w:pPr>
        <w:widowControl/>
        <w:rPr>
          <w:rFonts w:ascii="宋体" w:hAnsi="宋体" w:cs="宋体" w:hint="eastAsia"/>
          <w:kern w:val="0"/>
          <w:szCs w:val="21"/>
          <w:u w:val="single"/>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950"/>
        <w:gridCol w:w="2274"/>
        <w:gridCol w:w="1402"/>
        <w:gridCol w:w="1125"/>
        <w:gridCol w:w="1360"/>
        <w:gridCol w:w="139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hRule="exact" w:val="567"/>
          <w:jc w:val="center"/>
        </w:trPr>
        <w:tc>
          <w:tcPr>
            <w:tcW w:w="950" w:type="dxa"/>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序号</w:t>
            </w:r>
          </w:p>
        </w:tc>
        <w:tc>
          <w:tcPr>
            <w:tcW w:w="2274" w:type="dxa"/>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备品（件）、耗材名称</w:t>
            </w:r>
          </w:p>
        </w:tc>
        <w:tc>
          <w:tcPr>
            <w:tcW w:w="1402" w:type="dxa"/>
            <w:vAlign w:val="center"/>
          </w:tcPr>
          <w:p>
            <w:pPr>
              <w:widowControl/>
              <w:jc w:val="center"/>
              <w:rPr>
                <w:rFonts w:ascii="宋体" w:hAnsi="宋体" w:cs="宋体" w:hint="eastAsia"/>
                <w:kern w:val="0"/>
                <w:szCs w:val="21"/>
              </w:rPr>
            </w:pPr>
            <w:r>
              <w:rPr>
                <w:rFonts w:ascii="宋体" w:hAnsi="宋体" w:cs="宋体" w:hint="eastAsia"/>
                <w:kern w:val="0"/>
                <w:szCs w:val="21"/>
              </w:rPr>
              <w:t>数量</w:t>
            </w:r>
          </w:p>
        </w:tc>
        <w:tc>
          <w:tcPr>
            <w:tcW w:w="1125" w:type="dxa"/>
            <w:vAlign w:val="center"/>
          </w:tcPr>
          <w:p>
            <w:pPr>
              <w:widowControl/>
              <w:jc w:val="center"/>
              <w:rPr>
                <w:rFonts w:ascii="宋体" w:hAnsi="宋体" w:cs="宋体" w:hint="eastAsia"/>
                <w:kern w:val="0"/>
                <w:szCs w:val="21"/>
              </w:rPr>
            </w:pPr>
            <w:r>
              <w:rPr>
                <w:rFonts w:ascii="宋体" w:hAnsi="宋体" w:cs="宋体" w:hint="eastAsia"/>
                <w:kern w:val="0"/>
                <w:szCs w:val="21"/>
              </w:rPr>
              <w:t>单位</w:t>
            </w:r>
          </w:p>
        </w:tc>
        <w:tc>
          <w:tcPr>
            <w:tcW w:w="1360" w:type="dxa"/>
            <w:vAlign w:val="center"/>
          </w:tcPr>
          <w:p>
            <w:pPr>
              <w:widowControl/>
              <w:jc w:val="center"/>
              <w:rPr>
                <w:rFonts w:ascii="宋体" w:hAnsi="宋体" w:cs="宋体" w:hint="eastAsia"/>
                <w:kern w:val="0"/>
                <w:szCs w:val="21"/>
              </w:rPr>
            </w:pPr>
            <w:r>
              <w:rPr>
                <w:rFonts w:ascii="宋体" w:hAnsi="宋体" w:cs="宋体" w:hint="eastAsia"/>
                <w:kern w:val="0"/>
                <w:szCs w:val="21"/>
              </w:rPr>
              <w:t>单价（元）</w:t>
            </w:r>
          </w:p>
        </w:tc>
        <w:tc>
          <w:tcPr>
            <w:tcW w:w="1393" w:type="dxa"/>
            <w:vAlign w:val="center"/>
          </w:tcPr>
          <w:p>
            <w:pPr>
              <w:widowControl/>
              <w:jc w:val="center"/>
              <w:rPr>
                <w:rFonts w:ascii="宋体" w:hAnsi="宋体" w:cs="宋体" w:hint="eastAsia"/>
                <w:kern w:val="0"/>
                <w:szCs w:val="21"/>
              </w:rPr>
            </w:pPr>
            <w:r>
              <w:rPr>
                <w:rFonts w:ascii="宋体" w:hAnsi="宋体" w:cs="宋体" w:hint="eastAsia"/>
                <w:kern w:val="0"/>
                <w:szCs w:val="21"/>
              </w:rPr>
              <w:t>小计（元）</w:t>
            </w:r>
          </w:p>
        </w:tc>
      </w:tr>
      <w:tr>
        <w:tblPrEx>
          <w:tblW w:w="0" w:type="auto"/>
          <w:jc w:val="center"/>
          <w:tblLayout w:type="fixed"/>
          <w:tblCellMar>
            <w:top w:w="0" w:type="dxa"/>
            <w:left w:w="0" w:type="dxa"/>
            <w:bottom w:w="0" w:type="dxa"/>
            <w:right w:w="0" w:type="dxa"/>
          </w:tblCellMar>
        </w:tblPrEx>
        <w:trPr>
          <w:trHeight w:hRule="exact" w:val="567"/>
          <w:jc w:val="center"/>
        </w:trPr>
        <w:tc>
          <w:tcPr>
            <w:tcW w:w="950" w:type="dxa"/>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1</w:t>
            </w:r>
          </w:p>
        </w:tc>
        <w:tc>
          <w:tcPr>
            <w:tcW w:w="2274" w:type="dxa"/>
            <w:tcMar>
              <w:top w:w="0" w:type="dxa"/>
              <w:left w:w="108" w:type="dxa"/>
              <w:bottom w:w="0" w:type="dxa"/>
              <w:right w:w="108" w:type="dxa"/>
            </w:tcMar>
            <w:vAlign w:val="center"/>
          </w:tcPr>
          <w:p>
            <w:pPr>
              <w:widowControl/>
              <w:jc w:val="center"/>
              <w:rPr>
                <w:rFonts w:ascii="宋体" w:hAnsi="宋体" w:cs="宋体" w:hint="eastAsia"/>
                <w:kern w:val="0"/>
                <w:szCs w:val="21"/>
              </w:rPr>
            </w:pPr>
          </w:p>
        </w:tc>
        <w:tc>
          <w:tcPr>
            <w:tcW w:w="1402" w:type="dxa"/>
            <w:vAlign w:val="center"/>
          </w:tcPr>
          <w:p>
            <w:pPr>
              <w:widowControl/>
              <w:jc w:val="center"/>
              <w:rPr>
                <w:rFonts w:ascii="宋体" w:hAnsi="宋体" w:cs="宋体" w:hint="eastAsia"/>
                <w:kern w:val="0"/>
                <w:szCs w:val="21"/>
              </w:rPr>
            </w:pPr>
          </w:p>
        </w:tc>
        <w:tc>
          <w:tcPr>
            <w:tcW w:w="1125" w:type="dxa"/>
            <w:vAlign w:val="center"/>
          </w:tcPr>
          <w:p>
            <w:pPr>
              <w:widowControl/>
              <w:jc w:val="center"/>
              <w:rPr>
                <w:rFonts w:ascii="宋体" w:hAnsi="宋体" w:cs="宋体" w:hint="eastAsia"/>
                <w:kern w:val="0"/>
                <w:szCs w:val="21"/>
              </w:rPr>
            </w:pPr>
          </w:p>
        </w:tc>
        <w:tc>
          <w:tcPr>
            <w:tcW w:w="1360" w:type="dxa"/>
            <w:vAlign w:val="center"/>
          </w:tcPr>
          <w:p>
            <w:pPr>
              <w:widowControl/>
              <w:jc w:val="center"/>
              <w:rPr>
                <w:rFonts w:ascii="宋体" w:hAnsi="宋体" w:cs="宋体" w:hint="eastAsia"/>
                <w:kern w:val="0"/>
                <w:szCs w:val="21"/>
              </w:rPr>
            </w:pPr>
          </w:p>
        </w:tc>
        <w:tc>
          <w:tcPr>
            <w:tcW w:w="1393" w:type="dxa"/>
            <w:vAlign w:val="center"/>
          </w:tcPr>
          <w:p>
            <w:pPr>
              <w:widowControl/>
              <w:jc w:val="center"/>
              <w:rPr>
                <w:rFonts w:ascii="宋体" w:hAnsi="宋体" w:cs="宋体" w:hint="eastAsia"/>
                <w:kern w:val="0"/>
                <w:szCs w:val="21"/>
              </w:rPr>
            </w:pPr>
          </w:p>
        </w:tc>
      </w:tr>
      <w:tr>
        <w:tblPrEx>
          <w:tblW w:w="0" w:type="auto"/>
          <w:jc w:val="center"/>
          <w:tblLayout w:type="fixed"/>
          <w:tblCellMar>
            <w:top w:w="0" w:type="dxa"/>
            <w:left w:w="0" w:type="dxa"/>
            <w:bottom w:w="0" w:type="dxa"/>
            <w:right w:w="0" w:type="dxa"/>
          </w:tblCellMar>
        </w:tblPrEx>
        <w:trPr>
          <w:trHeight w:hRule="exact" w:val="567"/>
          <w:jc w:val="center"/>
        </w:trPr>
        <w:tc>
          <w:tcPr>
            <w:tcW w:w="950" w:type="dxa"/>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2</w:t>
            </w:r>
          </w:p>
        </w:tc>
        <w:tc>
          <w:tcPr>
            <w:tcW w:w="2274" w:type="dxa"/>
            <w:tcMar>
              <w:top w:w="0" w:type="dxa"/>
              <w:left w:w="108" w:type="dxa"/>
              <w:bottom w:w="0" w:type="dxa"/>
              <w:right w:w="108" w:type="dxa"/>
            </w:tcMar>
            <w:vAlign w:val="center"/>
          </w:tcPr>
          <w:p>
            <w:pPr>
              <w:widowControl/>
              <w:jc w:val="center"/>
              <w:rPr>
                <w:rFonts w:ascii="宋体" w:hAnsi="宋体" w:cs="宋体" w:hint="eastAsia"/>
                <w:kern w:val="0"/>
                <w:szCs w:val="21"/>
              </w:rPr>
            </w:pPr>
          </w:p>
        </w:tc>
        <w:tc>
          <w:tcPr>
            <w:tcW w:w="1402" w:type="dxa"/>
            <w:vAlign w:val="center"/>
          </w:tcPr>
          <w:p>
            <w:pPr>
              <w:widowControl/>
              <w:jc w:val="center"/>
              <w:rPr>
                <w:rFonts w:ascii="宋体" w:hAnsi="宋体" w:cs="宋体" w:hint="eastAsia"/>
                <w:kern w:val="0"/>
                <w:szCs w:val="21"/>
              </w:rPr>
            </w:pPr>
          </w:p>
        </w:tc>
        <w:tc>
          <w:tcPr>
            <w:tcW w:w="1125" w:type="dxa"/>
            <w:vAlign w:val="center"/>
          </w:tcPr>
          <w:p>
            <w:pPr>
              <w:widowControl/>
              <w:jc w:val="center"/>
              <w:rPr>
                <w:rFonts w:ascii="宋体" w:hAnsi="宋体" w:cs="宋体" w:hint="eastAsia"/>
                <w:kern w:val="0"/>
                <w:szCs w:val="21"/>
              </w:rPr>
            </w:pPr>
          </w:p>
        </w:tc>
        <w:tc>
          <w:tcPr>
            <w:tcW w:w="1360" w:type="dxa"/>
            <w:vAlign w:val="center"/>
          </w:tcPr>
          <w:p>
            <w:pPr>
              <w:widowControl/>
              <w:jc w:val="center"/>
              <w:rPr>
                <w:rFonts w:ascii="宋体" w:hAnsi="宋体" w:cs="宋体" w:hint="eastAsia"/>
                <w:kern w:val="0"/>
                <w:szCs w:val="21"/>
              </w:rPr>
            </w:pPr>
          </w:p>
        </w:tc>
        <w:tc>
          <w:tcPr>
            <w:tcW w:w="1393" w:type="dxa"/>
            <w:vAlign w:val="center"/>
          </w:tcPr>
          <w:p>
            <w:pPr>
              <w:widowControl/>
              <w:jc w:val="center"/>
              <w:rPr>
                <w:rFonts w:ascii="宋体" w:hAnsi="宋体" w:cs="宋体" w:hint="eastAsia"/>
                <w:kern w:val="0"/>
                <w:szCs w:val="21"/>
              </w:rPr>
            </w:pPr>
          </w:p>
        </w:tc>
      </w:tr>
    </w:tbl>
    <w:p>
      <w:pPr>
        <w:ind w:firstLine="420" w:firstLineChars="200"/>
        <w:rPr>
          <w:rFonts w:hAnsi="宋体" w:hint="eastAsia"/>
          <w:b/>
          <w:bCs/>
          <w:szCs w:val="21"/>
        </w:rPr>
      </w:pPr>
      <w:r>
        <w:rPr>
          <w:rFonts w:ascii="仿宋" w:hAnsi="仿宋" w:cs="宋体" w:hint="eastAsia"/>
          <w:szCs w:val="21"/>
        </w:rPr>
        <w:t>备注：本表格仅为指导性范本，由供应商根据所选用的投标产品的具体情况对此表进行调整，提供更详尽的备品（件）、耗材优惠价格，另外供应商提供的单价将作为供应商合同履行的依据，即在合同履行期间，供应商所提供的备品（件）、耗材单价不高于上述表格的报价。若供应商所提供的备品（件）、耗材单价高于上述表格的报价，采购人有权自主选择是否采购。</w:t>
      </w:r>
    </w:p>
    <w:p>
      <w:pPr>
        <w:tabs>
          <w:tab w:val="left" w:pos="720"/>
        </w:tabs>
        <w:jc w:val="center"/>
        <w:rPr>
          <w:b/>
          <w:sz w:val="24"/>
        </w:rPr>
      </w:pPr>
      <w:r>
        <w:rPr>
          <w:rFonts w:hint="eastAsia"/>
          <w:b/>
          <w:sz w:val="24"/>
        </w:rPr>
        <w:t>（三）核心产品品牌</w:t>
      </w:r>
    </w:p>
    <w:p>
      <w:pPr>
        <w:ind w:firstLine="420" w:firstLineChars="200"/>
        <w:rPr>
          <w:rFonts w:ascii="宋体" w:hAnsi="宋体" w:hint="eastAsia"/>
          <w:b/>
          <w:color w:val="FF0000"/>
          <w:sz w:val="24"/>
        </w:rPr>
      </w:pPr>
    </w:p>
    <w:p>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hint="eastAsia"/>
          <w:b/>
          <w:color w:val="FF0000"/>
          <w:sz w:val="24"/>
        </w:rPr>
      </w:pPr>
    </w:p>
    <w:p>
      <w:pPr>
        <w:ind w:firstLine="420" w:firstLineChars="200"/>
        <w:rPr>
          <w:rFonts w:ascii="宋体" w:hAnsi="宋体" w:hint="eastAsia"/>
          <w:sz w:val="24"/>
        </w:rPr>
      </w:pPr>
      <w:r>
        <w:rPr>
          <w:rFonts w:ascii="宋体" w:hAnsi="宋体" w:hint="eastAsia"/>
          <w:sz w:val="24"/>
        </w:rPr>
        <w:t>备注：招标文件未列明核心产品的，无需填写该项。</w:t>
      </w:r>
    </w:p>
    <w:p>
      <w:pPr>
        <w:ind w:firstLine="420" w:firstLineChars="200"/>
        <w:rPr>
          <w:rFonts w:ascii="宋体" w:hAnsi="宋体" w:hint="eastAsia"/>
          <w:b/>
          <w:color w:val="FF0000"/>
          <w:sz w:val="24"/>
        </w:rPr>
      </w:pPr>
    </w:p>
    <w:p>
      <w:pPr>
        <w:ind w:firstLine="420" w:firstLineChars="200"/>
        <w:rPr>
          <w:rFonts w:ascii="宋体" w:hAnsi="宋体" w:hint="eastAsia"/>
          <w:b/>
          <w:color w:val="FF0000"/>
          <w:sz w:val="24"/>
        </w:rPr>
      </w:pPr>
    </w:p>
    <w:p>
      <w:pPr>
        <w:rPr>
          <w:b/>
          <w:sz w:val="24"/>
        </w:rPr>
      </w:pPr>
    </w:p>
    <w:p>
      <w:pPr>
        <w:tabs>
          <w:tab w:val="left" w:pos="720"/>
        </w:tabs>
        <w:jc w:val="center"/>
        <w:rPr>
          <w:b/>
          <w:sz w:val="24"/>
        </w:rPr>
      </w:pPr>
      <w:r>
        <w:rPr>
          <w:rFonts w:hint="eastAsia"/>
          <w:b/>
          <w:sz w:val="24"/>
        </w:rPr>
        <w:t>（四）</w:t>
      </w:r>
      <w:bookmarkStart w:id="65" w:name="_Hlk72073235"/>
      <w:r>
        <w:rPr>
          <w:rFonts w:hint="eastAsia"/>
          <w:b/>
          <w:sz w:val="24"/>
        </w:rPr>
        <w:t>投标人认为需要涉及的其他内容报价清单</w:t>
      </w:r>
      <w:bookmarkEnd w:id="65"/>
    </w:p>
    <w:p/>
    <w:p>
      <w:pPr>
        <w:pStyle w:val="BodyText"/>
      </w:pPr>
    </w:p>
    <w:p>
      <w:pPr>
        <w:pStyle w:val="BodyText"/>
      </w:pPr>
    </w:p>
    <w:p>
      <w:pPr>
        <w:ind w:firstLine="630" w:firstLineChars="300"/>
        <w:rPr>
          <w:b/>
          <w:color w:val="FF0000"/>
          <w:sz w:val="24"/>
        </w:rPr>
      </w:pPr>
      <w:r>
        <w:rPr>
          <w:rFonts w:hint="eastAsia"/>
          <w:b/>
          <w:color w:val="FF0000"/>
          <w:sz w:val="24"/>
        </w:rPr>
        <w:t>（信息公开部分的内容到此为止！以下为信息不公开部分。）</w:t>
      </w:r>
    </w:p>
    <w:p>
      <w:bookmarkEnd w:id="62"/>
      <w:r>
        <w:br w:type="page"/>
      </w:r>
    </w:p>
    <w:p>
      <w:pPr>
        <w:outlineLvl w:val="1"/>
        <w:rPr>
          <w:rFonts w:ascii="宋体" w:hAnsi="宋体" w:hint="eastAsia"/>
          <w:b/>
          <w:color w:val="FF0000"/>
          <w:sz w:val="28"/>
          <w:szCs w:val="28"/>
        </w:rPr>
      </w:pPr>
      <w:bookmarkStart w:id="66" w:name="_Hlk72260530"/>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snapToGrid w:val="0"/>
        <w:jc w:val="center"/>
        <w:outlineLvl w:val="0"/>
        <w:rPr>
          <w:rFonts w:ascii="黑体" w:eastAsia="黑体" w:hAnsi="宋体" w:hint="eastAsia"/>
          <w:bCs/>
          <w:sz w:val="24"/>
          <w:szCs w:val="32"/>
        </w:rPr>
      </w:pPr>
      <w:r>
        <w:rPr>
          <w:rFonts w:ascii="黑体" w:eastAsia="黑体" w:hAnsi="宋体" w:hint="eastAsia"/>
          <w:bCs/>
          <w:sz w:val="24"/>
          <w:szCs w:val="32"/>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vAlign w:val="center"/>
          </w:tcPr>
          <w:p>
            <w:pPr>
              <w:rPr>
                <w:rFonts w:ascii="宋体" w:hAnsi="宋体" w:cs="宋体" w:hint="eastAsia"/>
                <w:szCs w:val="21"/>
              </w:rPr>
            </w:pPr>
            <w:r>
              <w:rPr>
                <w:rFonts w:ascii="宋体" w:hAnsi="宋体" w:cs="宋体" w:hint="eastAsia"/>
                <w:szCs w:val="21"/>
              </w:rPr>
              <w:t>投标（响应）供应商</w:t>
            </w:r>
          </w:p>
        </w:tc>
        <w:tc>
          <w:tcPr>
            <w:tcW w:w="1427" w:type="pct"/>
            <w:gridSpan w:val="2"/>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r>
              <w:rPr>
                <w:rFonts w:ascii="宋体" w:hAnsi="宋体" w:cs="宋体" w:hint="eastAsia"/>
                <w:szCs w:val="21"/>
              </w:rPr>
              <w:t>项目名称及编号</w:t>
            </w:r>
          </w:p>
        </w:tc>
        <w:tc>
          <w:tcPr>
            <w:tcW w:w="1669" w:type="pct"/>
            <w:gridSpan w:val="2"/>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jc w:val="center"/>
              <w:rPr>
                <w:rFonts w:ascii="宋体" w:hAnsi="宋体" w:cs="宋体" w:hint="eastAsia"/>
                <w:szCs w:val="21"/>
              </w:rPr>
            </w:pPr>
            <w:r>
              <w:rPr>
                <w:rFonts w:ascii="宋体" w:hAnsi="宋体" w:cs="宋体" w:hint="eastAsia"/>
                <w:b/>
                <w:bCs/>
                <w:szCs w:val="21"/>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职务</w:t>
            </w:r>
          </w:p>
        </w:tc>
        <w:tc>
          <w:tcPr>
            <w:tcW w:w="529" w:type="pct"/>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姓名</w:t>
            </w:r>
          </w:p>
        </w:tc>
        <w:tc>
          <w:tcPr>
            <w:tcW w:w="1113"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身份证号码</w:t>
            </w:r>
          </w:p>
        </w:tc>
        <w:tc>
          <w:tcPr>
            <w:tcW w:w="838"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劳动合同</w:t>
            </w:r>
          </w:p>
          <w:p>
            <w:pPr>
              <w:snapToGrid w:val="0"/>
              <w:jc w:val="center"/>
              <w:rPr>
                <w:rFonts w:ascii="宋体" w:hAnsi="宋体" w:cs="宋体" w:hint="eastAsia"/>
                <w:szCs w:val="21"/>
              </w:rPr>
            </w:pPr>
            <w:r>
              <w:rPr>
                <w:rFonts w:ascii="宋体" w:hAnsi="宋体" w:cs="宋体" w:hint="eastAsia"/>
                <w:szCs w:val="21"/>
              </w:rPr>
              <w:t>关系单位</w:t>
            </w:r>
          </w:p>
        </w:tc>
        <w:tc>
          <w:tcPr>
            <w:tcW w:w="830"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缴纳社会</w:t>
            </w:r>
          </w:p>
          <w:p>
            <w:pPr>
              <w:snapToGrid w:val="0"/>
              <w:jc w:val="center"/>
              <w:rPr>
                <w:rFonts w:ascii="宋体" w:hAnsi="宋体" w:cs="宋体" w:hint="eastAsia"/>
                <w:szCs w:val="21"/>
              </w:rPr>
            </w:pPr>
            <w:r>
              <w:rPr>
                <w:rFonts w:ascii="宋体" w:hAnsi="宋体" w:cs="宋体" w:hint="eastAsia"/>
                <w:szCs w:val="21"/>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hAnsi="宋体" w:cs="宋体" w:hint="eastAsia"/>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3</w:t>
            </w:r>
          </w:p>
        </w:tc>
        <w:tc>
          <w:tcPr>
            <w:tcW w:w="1275" w:type="pct"/>
            <w:gridSpan w:val="2"/>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项目负责人</w:t>
            </w:r>
          </w:p>
        </w:tc>
        <w:tc>
          <w:tcPr>
            <w:tcW w:w="529" w:type="pct"/>
            <w:tcBorders>
              <w:top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tcBorders>
            <w:vAlign w:val="center"/>
          </w:tcPr>
          <w:p>
            <w:pPr>
              <w:jc w:val="center"/>
              <w:rPr>
                <w:rFonts w:ascii="宋体" w:hAnsi="宋体" w:cs="宋体" w:hint="eastAsia"/>
                <w:szCs w:val="21"/>
              </w:rPr>
            </w:pPr>
          </w:p>
        </w:tc>
        <w:tc>
          <w:tcPr>
            <w:tcW w:w="838" w:type="pct"/>
            <w:tcBorders>
              <w:top w:val="single" w:sz="4" w:space="0" w:color="auto"/>
            </w:tcBorders>
            <w:vAlign w:val="center"/>
          </w:tcPr>
          <w:p>
            <w:pPr>
              <w:jc w:val="center"/>
              <w:rPr>
                <w:rFonts w:ascii="宋体" w:hAnsi="宋体" w:cs="宋体" w:hint="eastAsia"/>
                <w:szCs w:val="21"/>
              </w:rPr>
            </w:pPr>
          </w:p>
        </w:tc>
        <w:tc>
          <w:tcPr>
            <w:tcW w:w="830" w:type="pct"/>
            <w:tcBorders>
              <w:top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rPr>
            </w:pPr>
            <w:r>
              <w:rPr>
                <w:rFonts w:ascii="宋体" w:hAnsi="宋体" w:cs="宋体" w:hint="eastAsia"/>
                <w:szCs w:val="21"/>
              </w:rPr>
              <w:t>4</w:t>
            </w:r>
          </w:p>
        </w:tc>
        <w:tc>
          <w:tcPr>
            <w:tcW w:w="1275" w:type="pct"/>
            <w:gridSpan w:val="2"/>
            <w:vAlign w:val="center"/>
          </w:tcPr>
          <w:p>
            <w:pPr>
              <w:jc w:val="center"/>
              <w:rPr>
                <w:rFonts w:ascii="宋体" w:hAnsi="宋体" w:cs="宋体" w:hint="eastAsia"/>
                <w:szCs w:val="21"/>
              </w:rPr>
            </w:pPr>
            <w:r>
              <w:rPr>
                <w:rFonts w:ascii="宋体" w:hAnsi="宋体" w:cs="宋体" w:hint="eastAsia"/>
                <w:szCs w:val="21"/>
              </w:rPr>
              <w:t>主要技术人员</w:t>
            </w:r>
          </w:p>
        </w:tc>
        <w:tc>
          <w:tcPr>
            <w:tcW w:w="529" w:type="pct"/>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p>
        </w:tc>
        <w:tc>
          <w:tcPr>
            <w:tcW w:w="838" w:type="pct"/>
            <w:vAlign w:val="center"/>
          </w:tcPr>
          <w:p>
            <w:pPr>
              <w:jc w:val="center"/>
              <w:rPr>
                <w:rFonts w:ascii="宋体" w:hAnsi="宋体" w:cs="宋体" w:hint="eastAsia"/>
                <w:szCs w:val="21"/>
              </w:rPr>
            </w:pPr>
          </w:p>
        </w:tc>
        <w:tc>
          <w:tcPr>
            <w:tcW w:w="830" w:type="pct"/>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rPr>
            </w:pPr>
            <w:r>
              <w:rPr>
                <w:rFonts w:ascii="宋体" w:hAnsi="宋体" w:cs="宋体" w:hint="eastAsia"/>
                <w:szCs w:val="21"/>
              </w:rPr>
              <w:t>5</w:t>
            </w:r>
          </w:p>
        </w:tc>
        <w:tc>
          <w:tcPr>
            <w:tcW w:w="1275" w:type="pct"/>
            <w:gridSpan w:val="2"/>
            <w:vAlign w:val="center"/>
          </w:tcPr>
          <w:p>
            <w:pPr>
              <w:snapToGrid w:val="0"/>
              <w:jc w:val="center"/>
              <w:rPr>
                <w:rFonts w:ascii="宋体" w:hAnsi="宋体" w:cs="宋体" w:hint="eastAsia"/>
                <w:szCs w:val="21"/>
              </w:rPr>
            </w:pPr>
            <w:r>
              <w:rPr>
                <w:rFonts w:ascii="宋体" w:hAnsi="宋体" w:cs="宋体" w:hint="eastAsia"/>
                <w:szCs w:val="21"/>
              </w:rPr>
              <w:t>投标文件编制人员</w:t>
            </w:r>
          </w:p>
        </w:tc>
        <w:tc>
          <w:tcPr>
            <w:tcW w:w="529" w:type="pct"/>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p>
        </w:tc>
        <w:tc>
          <w:tcPr>
            <w:tcW w:w="838" w:type="pct"/>
            <w:vAlign w:val="center"/>
          </w:tcPr>
          <w:p>
            <w:pPr>
              <w:jc w:val="center"/>
              <w:rPr>
                <w:rFonts w:ascii="宋体" w:hAnsi="宋体" w:cs="宋体" w:hint="eastAsia"/>
                <w:szCs w:val="21"/>
              </w:rPr>
            </w:pPr>
          </w:p>
        </w:tc>
        <w:tc>
          <w:tcPr>
            <w:tcW w:w="830" w:type="pct"/>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rPr>
                <w:rFonts w:ascii="宋体" w:hAnsi="宋体" w:cs="宋体" w:hint="eastAsia"/>
                <w:szCs w:val="21"/>
              </w:rPr>
            </w:pPr>
            <w:r>
              <w:rPr>
                <w:rFonts w:ascii="宋体" w:hAnsi="宋体" w:cs="宋体" w:hint="eastAsia"/>
                <w:b/>
                <w:bCs/>
                <w:szCs w:val="21"/>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vAlign w:val="center"/>
          </w:tcPr>
          <w:p>
            <w:pPr>
              <w:jc w:val="center"/>
              <w:rPr>
                <w:rFonts w:ascii="宋体" w:hAnsi="宋体" w:cs="宋体" w:hint="eastAsia"/>
                <w:b/>
                <w:bCs/>
                <w:szCs w:val="21"/>
              </w:rPr>
            </w:pPr>
            <w:r>
              <w:rPr>
                <w:rFonts w:ascii="宋体" w:hAnsi="宋体" w:cs="宋体" w:hint="eastAsia"/>
                <w:b/>
                <w:bCs/>
                <w:szCs w:val="21"/>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pPr>
        <w:pStyle w:val="NoSpacing"/>
        <w:rPr>
          <w:rFonts w:ascii="宋体" w:hAnsi="宋体" w:hint="eastAsia"/>
          <w:b/>
          <w:color w:val="FF0000"/>
          <w:sz w:val="28"/>
          <w:szCs w:val="28"/>
        </w:rPr>
      </w:pPr>
    </w:p>
    <w:p>
      <w:pPr>
        <w:pStyle w:val="NoSpacing"/>
        <w:rPr>
          <w:rFonts w:ascii="宋体" w:hAnsi="宋体" w:hint="eastAsia"/>
          <w:b/>
          <w:color w:val="FF0000"/>
          <w:sz w:val="28"/>
          <w:szCs w:val="28"/>
        </w:rPr>
      </w:pPr>
    </w:p>
    <w:p>
      <w:pPr>
        <w:pStyle w:val="Heading3"/>
        <w:jc w:val="center"/>
        <w:rPr>
          <w:rFonts w:ascii="黑体" w:eastAsia="黑体" w:hint="eastAsia"/>
          <w:sz w:val="24"/>
        </w:rPr>
      </w:pPr>
      <w:r>
        <w:rPr>
          <w:rFonts w:ascii="黑体" w:eastAsia="黑体" w:hint="eastAsia"/>
          <w:sz w:val="24"/>
        </w:rPr>
        <w:t>二、</w:t>
      </w:r>
      <w:bookmarkStart w:id="67" w:name="_Hlk72092499"/>
      <w:r>
        <w:rPr>
          <w:rFonts w:ascii="黑体" w:eastAsia="黑体" w:hint="eastAsia"/>
          <w:sz w:val="24"/>
        </w:rPr>
        <w:t>法定代表人（负责人）证明书</w:t>
      </w:r>
      <w:bookmarkEnd w:id="67"/>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11"/>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11"/>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11"/>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NoSpacing"/>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NoSpacing"/>
        <w:rPr>
          <w:sz w:val="24"/>
        </w:rPr>
      </w:pPr>
    </w:p>
    <w:p>
      <w:pPr>
        <w:pStyle w:val="NoSpacing"/>
        <w:rPr>
          <w:sz w:val="24"/>
        </w:rPr>
        <w:sectPr>
          <w:pgSz w:w="11907" w:h="16840"/>
          <w:pgMar w:top="1440" w:right="1797" w:bottom="1440" w:left="1797" w:header="851" w:footer="992" w:gutter="0"/>
          <w:cols w:num="1" w:space="425"/>
          <w:titlePg/>
          <w:docGrid w:linePitch="462" w:charSpace="0"/>
        </w:sectPr>
      </w:pPr>
    </w:p>
    <w:p>
      <w:pPr>
        <w:pStyle w:val="NoSpacing"/>
        <w:rPr>
          <w:sz w:val="24"/>
        </w:rPr>
      </w:pPr>
    </w:p>
    <w:p>
      <w:pPr>
        <w:pStyle w:val="Heading3"/>
        <w:spacing w:before="120" w:after="120"/>
        <w:jc w:val="center"/>
        <w:rPr>
          <w:rFonts w:ascii="黑体" w:eastAsia="黑体" w:hint="eastAsia"/>
          <w:sz w:val="24"/>
        </w:rPr>
      </w:pPr>
      <w:r>
        <w:rPr>
          <w:rFonts w:ascii="黑体" w:eastAsia="黑体" w:hint="eastAsia"/>
          <w:sz w:val="24"/>
        </w:rPr>
        <w:t>三、投标文件签署授权委托书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rFonts w:ascii="黑体" w:eastAsia="黑体" w:hAnsi="黑体" w:cs="黑体" w:hint="eastAsia"/>
          <w:b/>
          <w:bCs/>
          <w:sz w:val="24"/>
        </w:rPr>
      </w:pPr>
    </w:p>
    <w:p>
      <w:pPr>
        <w:rPr>
          <w:rFonts w:ascii="Calibri" w:hAnsi="Calibri"/>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Calibri" w:hAnsi="Calibri"/>
          <w:szCs w:val="22"/>
        </w:rPr>
      </w:pPr>
    </w:p>
    <w:p>
      <w:pPr>
        <w:rPr>
          <w:rFonts w:ascii="Calibri" w:hAnsi="Calibri"/>
          <w:szCs w:val="22"/>
        </w:rPr>
      </w:pPr>
    </w:p>
    <w:p>
      <w:pPr>
        <w:rPr>
          <w:rFonts w:ascii="Calibri" w:hAnsi="Calibri"/>
          <w:szCs w:val="22"/>
        </w:rPr>
      </w:pPr>
    </w:p>
    <w:p>
      <w:pPr>
        <w:rPr>
          <w:rFonts w:ascii="黑体" w:eastAsia="黑体"/>
          <w:kern w:val="0"/>
          <w:sz w:val="24"/>
        </w:rPr>
      </w:pPr>
    </w:p>
    <w:p>
      <w:pPr>
        <w:pStyle w:val="NoSpacing"/>
        <w:rPr>
          <w:rFonts w:ascii="黑体" w:eastAsia="黑体"/>
          <w:kern w:val="0"/>
          <w:sz w:val="24"/>
          <w:szCs w:val="24"/>
        </w:rPr>
        <w:sectPr>
          <w:pgSz w:w="11907" w:h="16840"/>
          <w:pgMar w:top="1440" w:right="1797" w:bottom="1440" w:left="1797" w:header="851" w:footer="992" w:gutter="0"/>
          <w:cols w:num="1" w:space="425"/>
          <w:titlePg/>
          <w:docGrid w:linePitch="462" w:charSpace="0"/>
        </w:sectPr>
      </w:pPr>
    </w:p>
    <w:p>
      <w:pPr>
        <w:pStyle w:val="Heading3"/>
        <w:jc w:val="center"/>
        <w:rPr>
          <w:rFonts w:ascii="黑体" w:eastAsia="黑体" w:hint="eastAsia"/>
          <w:kern w:val="0"/>
          <w:sz w:val="24"/>
          <w:szCs w:val="24"/>
        </w:rPr>
      </w:pPr>
      <w:r>
        <w:rPr>
          <w:rFonts w:ascii="黑体" w:eastAsia="黑体" w:hint="eastAsia"/>
          <w:kern w:val="0"/>
          <w:sz w:val="24"/>
          <w:szCs w:val="24"/>
        </w:rPr>
        <w:t>四、</w:t>
      </w:r>
      <w:bookmarkStart w:id="68" w:name="_Hlk72092634"/>
      <w:r>
        <w:rPr>
          <w:rFonts w:ascii="黑体" w:eastAsia="黑体" w:hint="eastAsia"/>
          <w:kern w:val="0"/>
          <w:sz w:val="24"/>
          <w:szCs w:val="24"/>
        </w:rPr>
        <w:t>实质性条款响应情况表</w:t>
      </w:r>
      <w:bookmarkEnd w:id="68"/>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28"/>
        <w:gridCol w:w="3723"/>
        <w:gridCol w:w="1268"/>
        <w:gridCol w:w="1452"/>
        <w:gridCol w:w="1146"/>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hint="eastAsia"/>
                <w:kern w:val="0"/>
                <w:szCs w:val="21"/>
              </w:rPr>
            </w:pPr>
            <w:bookmarkStart w:id="69"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hint="eastAsia"/>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hint="eastAsia"/>
                <w:kern w:val="0"/>
                <w:szCs w:val="21"/>
              </w:rPr>
            </w:pPr>
            <w:r>
              <w:rPr>
                <w:rFonts w:hint="eastAsia"/>
              </w:rPr>
              <w:t>说明</w:t>
            </w:r>
          </w:p>
        </w:tc>
      </w:tr>
      <w:tr>
        <w:tblPrEx>
          <w:tblW w:w="8217" w:type="dxa"/>
          <w:tblInd w:w="0" w:type="dxa"/>
          <w:tblCellMar>
            <w:top w:w="0" w:type="dxa"/>
            <w:left w:w="108" w:type="dxa"/>
            <w:bottom w:w="0" w:type="dxa"/>
            <w:right w:w="108" w:type="dxa"/>
          </w:tblCellMar>
        </w:tblPrEx>
        <w:tc>
          <w:tcPr>
            <w:tcW w:w="705" w:type="dxa"/>
          </w:tcPr>
          <w:p>
            <w:pPr>
              <w:adjustRightInd w:val="0"/>
              <w:snapToGrid w:val="0"/>
              <w:spacing w:line="360" w:lineRule="auto"/>
              <w:rPr>
                <w:rFonts w:ascii="宋体" w:hAnsi="宋体" w:hint="eastAsia"/>
                <w:kern w:val="0"/>
                <w:szCs w:val="21"/>
              </w:rPr>
            </w:pPr>
            <w:bookmarkEnd w:id="69"/>
            <w:r>
              <w:rPr>
                <w:rFonts w:ascii="宋体" w:hAnsi="宋体" w:hint="eastAsia"/>
                <w:kern w:val="0"/>
                <w:szCs w:val="21"/>
              </w:rPr>
              <w:t>1</w:t>
            </w:r>
          </w:p>
        </w:tc>
        <w:tc>
          <w:tcPr>
            <w:tcW w:w="2664" w:type="dxa"/>
            <w:vAlign w:val="center"/>
          </w:tcPr>
          <w:tbl>
            <w:tblPr>
              <w:tblStyle w:val="TableNormal"/>
              <w:tblW w:w="4999" w:type="pct"/>
              <w:tblInd w:w="0" w:type="dxa"/>
              <w:tblCellMar>
                <w:top w:w="0" w:type="dxa"/>
                <w:left w:w="108" w:type="dxa"/>
                <w:bottom w:w="0" w:type="dxa"/>
                <w:right w:w="108" w:type="dxa"/>
              </w:tblCellMar>
            </w:tblPr>
            <w:tblGrid>
              <w:gridCol w:w="636"/>
              <w:gridCol w:w="2870"/>
            </w:tblGrid>
            <w:tr>
              <w:tblPrEx>
                <w:tblW w:w="4999" w:type="pct"/>
                <w:tblInd w:w="0" w:type="dxa"/>
                <w:tblCellMar>
                  <w:top w:w="0" w:type="dxa"/>
                  <w:left w:w="108" w:type="dxa"/>
                  <w:bottom w:w="0" w:type="dxa"/>
                  <w:right w:w="108" w:type="dxa"/>
                </w:tblCellMar>
              </w:tblPrEx>
              <w:trPr>
                <w:trHeight w:val="285"/>
              </w:trPr>
              <w:tc>
                <w:tcPr>
                  <w:tcW w:w="497" w:type="pct"/>
                  <w:tcBorders>
                    <w:top w:val="single" w:sz="4" w:space="0" w:color="000000"/>
                    <w:left w:val="single" w:sz="4" w:space="0" w:color="000000"/>
                    <w:bottom w:val="single" w:sz="4" w:space="0" w:color="000000"/>
                    <w:right w:val="single" w:sz="4" w:space="0" w:color="000000"/>
                  </w:tcBorders>
                  <w:shd w:val="clear" w:color="auto" w:fill="auto"/>
                </w:tcPr>
                <w:p>
                  <w:pPr>
                    <w:rPr>
                      <w:rFonts w:ascii="宋体" w:hAnsi="宋体" w:cs="宋体" w:hint="eastAsia"/>
                    </w:rPr>
                  </w:pPr>
                </w:p>
                <w:p>
                  <w:pPr>
                    <w:rPr>
                      <w:rFonts w:ascii="宋体" w:hAnsi="宋体" w:cs="宋体" w:hint="eastAsia"/>
                    </w:rPr>
                  </w:pPr>
                </w:p>
                <w:p>
                  <w:pPr>
                    <w:rPr>
                      <w:rFonts w:ascii="宋体" w:hAnsi="宋体" w:cs="宋体" w:hint="eastAsia"/>
                      <w:color w:val="000000"/>
                      <w:sz w:val="22"/>
                      <w:szCs w:val="22"/>
                    </w:rPr>
                  </w:pPr>
                  <w:r>
                    <w:rPr>
                      <w:rFonts w:hint="eastAsia"/>
                      <w:b/>
                      <w:szCs w:val="21"/>
                    </w:rPr>
                    <w:t>★</w:t>
                  </w:r>
                  <w:r>
                    <w:rPr>
                      <w:rFonts w:ascii="宋体" w:hAnsi="宋体" w:cs="宋体" w:hint="eastAsia"/>
                    </w:rPr>
                    <w:t>二、配置要求：</w:t>
                  </w:r>
                </w:p>
              </w:tc>
              <w:tc>
                <w:tcPr>
                  <w:tcW w:w="4503" w:type="pct"/>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宋体" w:hAnsi="宋体" w:cs="宋体" w:hint="eastAsia"/>
                      <w:spacing w:val="1"/>
                    </w:rPr>
                  </w:pPr>
                  <w:r>
                    <w:rPr>
                      <w:rFonts w:ascii="宋体" w:hAnsi="宋体" w:cs="宋体" w:hint="eastAsia"/>
                      <w:spacing w:val="1"/>
                    </w:rPr>
                    <w:t>1.全电动倒置显微镜                                      1台</w:t>
                  </w:r>
                </w:p>
                <w:p>
                  <w:pPr>
                    <w:rPr>
                      <w:rFonts w:ascii="宋体" w:hAnsi="宋体" w:cs="宋体" w:hint="eastAsia"/>
                      <w:spacing w:val="1"/>
                    </w:rPr>
                  </w:pPr>
                  <w:r>
                    <w:rPr>
                      <w:rFonts w:ascii="宋体" w:hAnsi="宋体" w:cs="宋体" w:hint="eastAsia"/>
                      <w:spacing w:val="1"/>
                    </w:rPr>
                    <w:t>2.405nm/488nm/561nm/640nm固态激光器                     1套</w:t>
                  </w:r>
                </w:p>
                <w:p>
                  <w:pPr>
                    <w:rPr>
                      <w:rFonts w:ascii="宋体" w:hAnsi="宋体" w:cs="宋体" w:hint="eastAsia"/>
                      <w:spacing w:val="1"/>
                    </w:rPr>
                  </w:pPr>
                  <w:r>
                    <w:rPr>
                      <w:rFonts w:ascii="宋体" w:hAnsi="宋体" w:cs="宋体" w:hint="eastAsia"/>
                      <w:spacing w:val="1"/>
                    </w:rPr>
                    <w:t>3.6个荧光通道，其中共聚焦荧光通道至少3个，宽场荧光通道至少3个</w:t>
                  </w:r>
                </w:p>
                <w:p>
                  <w:pPr>
                    <w:rPr>
                      <w:rFonts w:ascii="宋体" w:hAnsi="宋体" w:cs="宋体" w:hint="eastAsia"/>
                      <w:spacing w:val="1"/>
                    </w:rPr>
                  </w:pPr>
                  <w:r>
                    <w:rPr>
                      <w:rFonts w:ascii="宋体" w:hAnsi="宋体" w:cs="宋体" w:hint="eastAsia"/>
                      <w:spacing w:val="1"/>
                    </w:rPr>
                    <w:t>4.低噪音共聚焦检测器                                3个</w:t>
                  </w:r>
                </w:p>
                <w:p>
                  <w:pPr>
                    <w:rPr>
                      <w:rFonts w:ascii="宋体" w:hAnsi="宋体" w:cs="宋体" w:hint="eastAsia"/>
                      <w:spacing w:val="1"/>
                    </w:rPr>
                  </w:pPr>
                  <w:r>
                    <w:rPr>
                      <w:rFonts w:ascii="宋体" w:hAnsi="宋体" w:cs="宋体" w:hint="eastAsia"/>
                      <w:spacing w:val="1"/>
                    </w:rPr>
                    <w:t>5.明场检测器                                        1个</w:t>
                  </w:r>
                </w:p>
                <w:p>
                  <w:pPr>
                    <w:rPr>
                      <w:rFonts w:ascii="宋体" w:hAnsi="宋体" w:cs="宋体" w:hint="eastAsia"/>
                      <w:spacing w:val="1"/>
                    </w:rPr>
                  </w:pPr>
                  <w:r>
                    <w:rPr>
                      <w:rFonts w:ascii="宋体" w:hAnsi="宋体" w:cs="宋体" w:hint="eastAsia"/>
                      <w:spacing w:val="1"/>
                    </w:rPr>
                    <w:t>6.10x 复消色差共聚焦物镜                            1个</w:t>
                  </w:r>
                </w:p>
                <w:p>
                  <w:pPr>
                    <w:rPr>
                      <w:rFonts w:ascii="宋体" w:hAnsi="宋体" w:cs="宋体" w:hint="eastAsia"/>
                      <w:spacing w:val="1"/>
                    </w:rPr>
                  </w:pPr>
                  <w:r>
                    <w:rPr>
                      <w:rFonts w:ascii="宋体" w:hAnsi="宋体" w:cs="宋体" w:hint="eastAsia"/>
                      <w:spacing w:val="1"/>
                    </w:rPr>
                    <w:t>7.20x 复消色差共聚焦物镜                            1个</w:t>
                  </w:r>
                </w:p>
                <w:p>
                  <w:pPr>
                    <w:rPr>
                      <w:rFonts w:ascii="宋体" w:hAnsi="宋体" w:cs="宋体" w:hint="eastAsia"/>
                      <w:spacing w:val="1"/>
                    </w:rPr>
                  </w:pPr>
                  <w:r>
                    <w:rPr>
                      <w:rFonts w:ascii="宋体" w:hAnsi="宋体" w:cs="宋体" w:hint="eastAsia"/>
                      <w:spacing w:val="1"/>
                    </w:rPr>
                    <w:t>8.40x 复消色差共聚焦物镜                            1个</w:t>
                  </w:r>
                </w:p>
                <w:p>
                  <w:pPr>
                    <w:rPr>
                      <w:rFonts w:ascii="宋体" w:hAnsi="宋体" w:cs="宋体" w:hint="eastAsia"/>
                      <w:spacing w:val="1"/>
                    </w:rPr>
                  </w:pPr>
                  <w:r>
                    <w:rPr>
                      <w:rFonts w:ascii="宋体" w:hAnsi="宋体" w:cs="宋体" w:hint="eastAsia"/>
                      <w:spacing w:val="1"/>
                    </w:rPr>
                    <w:t>9.60x或63x 复消色差共聚焦物镜                       1个</w:t>
                  </w:r>
                </w:p>
                <w:p>
                  <w:pPr>
                    <w:rPr>
                      <w:rFonts w:ascii="宋体" w:hAnsi="宋体" w:cs="宋体" w:hint="eastAsia"/>
                      <w:spacing w:val="1"/>
                    </w:rPr>
                  </w:pPr>
                  <w:r>
                    <w:rPr>
                      <w:rFonts w:ascii="宋体" w:hAnsi="宋体" w:cs="宋体" w:hint="eastAsia"/>
                      <w:spacing w:val="1"/>
                    </w:rPr>
                    <w:t>10.GFP/CY3/DAPI荧光激发滤块                         1套</w:t>
                  </w:r>
                </w:p>
                <w:p>
                  <w:pPr>
                    <w:rPr>
                      <w:rFonts w:ascii="宋体" w:hAnsi="宋体" w:cs="宋体" w:hint="eastAsia"/>
                      <w:spacing w:val="1"/>
                    </w:rPr>
                  </w:pPr>
                  <w:r>
                    <w:rPr>
                      <w:rFonts w:ascii="宋体" w:hAnsi="宋体" w:cs="宋体" w:hint="eastAsia"/>
                      <w:spacing w:val="1"/>
                    </w:rPr>
                    <w:t>11.高分辨扫描振镜                                   1套</w:t>
                  </w:r>
                </w:p>
                <w:p>
                  <w:pPr>
                    <w:rPr>
                      <w:rFonts w:ascii="宋体" w:hAnsi="宋体" w:cs="宋体" w:hint="eastAsia"/>
                      <w:spacing w:val="1"/>
                    </w:rPr>
                  </w:pPr>
                  <w:r>
                    <w:rPr>
                      <w:rFonts w:ascii="宋体" w:hAnsi="宋体" w:cs="宋体" w:hint="eastAsia"/>
                      <w:spacing w:val="1"/>
                    </w:rPr>
                    <w:t>12.旋钮调焦控制器                                   1个</w:t>
                  </w:r>
                </w:p>
                <w:p>
                  <w:pPr>
                    <w:rPr>
                      <w:rFonts w:ascii="宋体" w:hAnsi="宋体" w:cs="宋体" w:hint="eastAsia"/>
                      <w:spacing w:val="1"/>
                    </w:rPr>
                  </w:pPr>
                  <w:r>
                    <w:rPr>
                      <w:rFonts w:ascii="宋体" w:hAnsi="宋体" w:cs="宋体" w:hint="eastAsia"/>
                      <w:spacing w:val="1"/>
                    </w:rPr>
                    <w:t>13.触屏操作控制器                                   1个</w:t>
                  </w:r>
                </w:p>
                <w:p>
                  <w:pPr>
                    <w:rPr>
                      <w:rFonts w:ascii="宋体" w:hAnsi="宋体" w:cs="宋体" w:hint="eastAsia"/>
                      <w:spacing w:val="1"/>
                    </w:rPr>
                  </w:pPr>
                  <w:r>
                    <w:rPr>
                      <w:rFonts w:ascii="宋体" w:hAnsi="宋体" w:cs="宋体" w:hint="eastAsia"/>
                      <w:spacing w:val="1"/>
                    </w:rPr>
                    <w:t>14.超分辨成像分析组件                               1套</w:t>
                  </w:r>
                </w:p>
                <w:p>
                  <w:pPr>
                    <w:rPr>
                      <w:rFonts w:ascii="宋体" w:hAnsi="宋体" w:cs="宋体" w:hint="eastAsia"/>
                      <w:spacing w:val="1"/>
                    </w:rPr>
                  </w:pPr>
                  <w:r>
                    <w:rPr>
                      <w:rFonts w:ascii="宋体" w:hAnsi="宋体" w:cs="宋体" w:hint="eastAsia"/>
                      <w:spacing w:val="1"/>
                    </w:rPr>
                    <w:t>15.高级图像处理工作站                               1个</w:t>
                  </w:r>
                </w:p>
                <w:p>
                  <w:pPr>
                    <w:rPr>
                      <w:rFonts w:ascii="宋体" w:hAnsi="宋体" w:cs="宋体" w:hint="eastAsia"/>
                      <w:spacing w:val="1"/>
                    </w:rPr>
                  </w:pPr>
                  <w:r>
                    <w:rPr>
                      <w:rFonts w:ascii="宋体" w:hAnsi="宋体" w:cs="宋体" w:hint="eastAsia"/>
                      <w:spacing w:val="1"/>
                    </w:rPr>
                    <w:t>（配置不低于：12核处理器，512G SSD高速硬盘1个，8T硬盘1个，另配备不低于1T固态移动硬盘1个；64GB内存，8G显存，32英寸液晶显示器，分辨率3840 × 2160，Windows 10企业版 x64操作系统。）</w:t>
                  </w:r>
                </w:p>
                <w:p>
                  <w:pPr>
                    <w:numPr>
                      <w:ilvl w:val="0"/>
                      <w:numId w:val="9"/>
                    </w:numPr>
                    <w:rPr>
                      <w:rFonts w:ascii="宋体" w:hAnsi="宋体" w:cs="宋体" w:hint="eastAsia"/>
                      <w:spacing w:val="1"/>
                    </w:rPr>
                  </w:pPr>
                  <w:r>
                    <w:rPr>
                      <w:rFonts w:ascii="宋体" w:hAnsi="宋体" w:cs="宋体" w:hint="eastAsia"/>
                      <w:spacing w:val="1"/>
                    </w:rPr>
                    <w:t>16.共聚焦控制及分析软件                             1套</w:t>
                  </w:r>
                </w:p>
                <w:p>
                  <w:pPr>
                    <w:numPr>
                      <w:ilvl w:val="255"/>
                      <w:numId w:val="0"/>
                    </w:numPr>
                    <w:rPr>
                      <w:rFonts w:ascii="宋体" w:hAnsi="宋体" w:cs="宋体" w:hint="eastAsia"/>
                      <w:spacing w:val="1"/>
                    </w:rPr>
                  </w:pPr>
                  <w:r>
                    <w:rPr>
                      <w:rFonts w:ascii="宋体" w:hAnsi="宋体" w:cs="宋体" w:hint="eastAsia"/>
                      <w:spacing w:val="1"/>
                    </w:rPr>
                    <w:t>（至少包含如下功能：共定位分析、串色分离、3D成像、3D图像分析、浏览拼图、荧光共振能量转移（FRET）、荧光漂白后恢复（FRAP）效率分析，动态聚焦地图，图像反卷积处理，生理学分析，细胞计数）</w:t>
                  </w:r>
                </w:p>
                <w:p>
                  <w:pPr>
                    <w:rPr>
                      <w:rFonts w:ascii="宋体" w:hAnsi="宋体" w:cs="宋体" w:hint="eastAsia"/>
                      <w:spacing w:val="1"/>
                    </w:rPr>
                  </w:pPr>
                  <w:r>
                    <w:rPr>
                      <w:rFonts w:ascii="宋体" w:hAnsi="宋体" w:cs="宋体" w:hint="eastAsia"/>
                      <w:spacing w:val="1"/>
                    </w:rPr>
                    <w:t>17.防震台                                           1张</w:t>
                  </w:r>
                </w:p>
                <w:p>
                  <w:pPr>
                    <w:rPr>
                      <w:rFonts w:ascii="宋体" w:hAnsi="宋体" w:cs="宋体" w:hint="eastAsia"/>
                      <w:spacing w:val="1"/>
                    </w:rPr>
                  </w:pPr>
                  <w:r>
                    <w:rPr>
                      <w:rFonts w:ascii="宋体" w:hAnsi="宋体" w:cs="宋体" w:hint="eastAsia"/>
                      <w:spacing w:val="1"/>
                    </w:rPr>
                    <w:t>18.可升降电脑桌                                     1张</w:t>
                  </w:r>
                </w:p>
                <w:p>
                  <w:pPr>
                    <w:rPr>
                      <w:rFonts w:ascii="Arial" w:hAnsi="Arial" w:cs="Arial"/>
                      <w:color w:val="000000"/>
                      <w:kern w:val="0"/>
                      <w:szCs w:val="21"/>
                    </w:rPr>
                  </w:pPr>
                </w:p>
              </w:tc>
            </w:tr>
          </w:tbl>
          <w:p>
            <w:pPr>
              <w:adjustRightInd w:val="0"/>
              <w:snapToGrid w:val="0"/>
              <w:spacing w:line="360" w:lineRule="auto"/>
              <w:jc w:val="center"/>
              <w:rPr>
                <w:rFonts w:hAnsi="宋体" w:hint="eastAsia"/>
                <w:kern w:val="0"/>
                <w:szCs w:val="21"/>
              </w:rPr>
            </w:pP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r>
        <w:tblPrEx>
          <w:tblW w:w="8217" w:type="dxa"/>
          <w:tblInd w:w="0" w:type="dxa"/>
          <w:tblCellMar>
            <w:top w:w="0" w:type="dxa"/>
            <w:left w:w="108" w:type="dxa"/>
            <w:bottom w:w="0" w:type="dxa"/>
            <w:right w:w="108" w:type="dxa"/>
          </w:tblCellMar>
        </w:tblPrEx>
        <w:tc>
          <w:tcPr>
            <w:tcW w:w="705" w:type="dxa"/>
          </w:tcPr>
          <w:p>
            <w:pPr>
              <w:adjustRightInd w:val="0"/>
              <w:snapToGrid w:val="0"/>
              <w:spacing w:line="360" w:lineRule="auto"/>
              <w:rPr>
                <w:rFonts w:ascii="宋体" w:hAnsi="宋体" w:hint="eastAsia"/>
                <w:kern w:val="0"/>
                <w:szCs w:val="21"/>
              </w:rPr>
            </w:pPr>
            <w:r>
              <w:rPr>
                <w:rFonts w:ascii="宋体" w:hAnsi="宋体" w:hint="eastAsia"/>
                <w:kern w:val="0"/>
                <w:szCs w:val="21"/>
              </w:rPr>
              <w:t>2</w:t>
            </w:r>
          </w:p>
        </w:tc>
        <w:tc>
          <w:tcPr>
            <w:tcW w:w="2664" w:type="dxa"/>
            <w:vAlign w:val="center"/>
          </w:tcPr>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68"/>
              <w:gridCol w:w="2827"/>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★报价</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人民币报价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★交货地点</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采购人指定位置（深圳市龙岗区龙城街道黄阁路186号）</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★交货期</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color w:val="222A35"/>
                      <w:highlight w:val="yellow"/>
                    </w:rPr>
                    <w:t>合同签订后接到采购人通知后30个</w:t>
                  </w:r>
                  <w:r>
                    <w:rPr>
                      <w:rFonts w:hint="eastAsia"/>
                      <w:highlight w:val="yellow"/>
                    </w:rPr>
                    <w:t>日历日</w:t>
                  </w:r>
                  <w:r>
                    <w:rPr>
                      <w:rFonts w:ascii="宋体" w:hAnsi="宋体" w:cs="宋体" w:hint="eastAsia"/>
                      <w:color w:val="222A35"/>
                      <w:highlight w:val="yellow"/>
                    </w:rPr>
                    <w:t>内</w:t>
                  </w:r>
                  <w:r>
                    <w:rPr>
                      <w:rFonts w:hint="eastAsia"/>
                      <w:highlight w:val="yellow"/>
                    </w:rPr>
                    <w:t>完成交货</w:t>
                  </w:r>
                  <w:r>
                    <w:rPr>
                      <w:rFonts w:ascii="宋体" w:hAnsi="宋体" w:cs="宋体" w:hint="eastAsia"/>
                      <w:color w:val="222A35"/>
                      <w:highlight w:val="yellow"/>
                    </w:rPr>
                    <w:t>。</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★付款方式</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1、分期支付：①合同签订、财政资金到位后且收到中标人的发票，支付中标人不高于项目总额 70%预付款；②设备到货、财政资金到位且收到中标人累计100%设备货款发票，按照相应规定支付中标人累计不高于项目总额95%货款；③设备验收合格、财政资金到位按照相应规定支付中标人剩余货款。当采购人本年度的资金预算不足以支付项目款项时，则需顺延至下年度支付。</w:t>
                  </w:r>
                </w:p>
                <w:p>
                  <w:pPr>
                    <w:tabs>
                      <w:tab w:val="left" w:pos="426"/>
                    </w:tabs>
                    <w:spacing w:line="360" w:lineRule="auto"/>
                    <w:rPr>
                      <w:rFonts w:ascii="宋体" w:hAnsi="宋体" w:cs="宋体" w:hint="eastAsia"/>
                    </w:rPr>
                  </w:pPr>
                  <w:r>
                    <w:rPr>
                      <w:rFonts w:ascii="宋体" w:hAnsi="宋体" w:cs="宋体" w:hint="eastAsia"/>
                    </w:rPr>
                    <w:t>2、签订合同时需提交厂家出具的3年质保售后服务承诺书。</w:t>
                  </w:r>
                </w:p>
                <w:p>
                  <w:pPr>
                    <w:tabs>
                      <w:tab w:val="left" w:pos="426"/>
                    </w:tabs>
                    <w:spacing w:line="360" w:lineRule="auto"/>
                    <w:rPr>
                      <w:rFonts w:ascii="宋体" w:hAnsi="宋体" w:cs="宋体" w:hint="eastAsia"/>
                    </w:rPr>
                  </w:pPr>
                  <w:r>
                    <w:rPr>
                      <w:rFonts w:ascii="宋体" w:hAnsi="宋体" w:cs="宋体" w:hint="eastAsia"/>
                    </w:rPr>
                    <w:t>3、（1）如果采购人对中标人提供的产品有质量异议的，可以视具体情况暂时中止支付争议款项或其他相关款项，直到争议解除，采购人不因此承担延期付款的违约责任。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2）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tabs>
                      <w:tab w:val="left" w:pos="426"/>
                    </w:tabs>
                    <w:spacing w:line="360" w:lineRule="auto"/>
                    <w:rPr>
                      <w:rFonts w:ascii="宋体" w:hAnsi="宋体" w:cs="宋体" w:hint="eastAsia"/>
                    </w:rPr>
                  </w:pPr>
                  <w:r>
                    <w:rPr>
                      <w:rFonts w:ascii="宋体" w:hAnsi="宋体" w:cs="宋体" w:hint="eastAsia"/>
                    </w:rPr>
                    <w:t>（3）中标人提供的产品不合格，或产品存在瑕疵、缺陷，采购人有权暂停支付中标人项目相应到期应付货款，且不视为采购人违约，直到双方正式处理完不合格产品为止。</w:t>
                  </w:r>
                </w:p>
                <w:p>
                  <w:pPr>
                    <w:tabs>
                      <w:tab w:val="left" w:pos="426"/>
                    </w:tabs>
                    <w:spacing w:line="360" w:lineRule="auto"/>
                    <w:rPr>
                      <w:rFonts w:ascii="宋体" w:hAnsi="宋体" w:cs="宋体" w:hint="eastAsia"/>
                    </w:rPr>
                  </w:pPr>
                  <w:r>
                    <w:rPr>
                      <w:rFonts w:ascii="宋体" w:hAnsi="宋体" w:cs="宋体" w:hint="eastAsia"/>
                    </w:rPr>
                    <w:t>（4）中标人应向采购人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tabs>
                      <w:tab w:val="left" w:pos="426"/>
                    </w:tabs>
                    <w:spacing w:line="360" w:lineRule="auto"/>
                    <w:rPr>
                      <w:rFonts w:ascii="宋体" w:hAnsi="宋体" w:cs="宋体" w:hint="eastAsia"/>
                    </w:rPr>
                  </w:pPr>
                  <w:r>
                    <w:rPr>
                      <w:rFonts w:ascii="宋体" w:hAnsi="宋体" w:cs="宋体" w:hint="eastAsia"/>
                    </w:rPr>
                    <w:t>（5）采购人在规定时间向支付部门提出支付申请，如因财政支付部门审核时间导致无法按期支付的，采购人不承担违约责任。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★验收方式</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1、货到安装，现场验收。中标人应派有经验的技术人员到现场进行安装、调试，直到设备正常使用。</w:t>
                  </w:r>
                </w:p>
                <w:p>
                  <w:pPr>
                    <w:tabs>
                      <w:tab w:val="left" w:pos="426"/>
                    </w:tabs>
                    <w:spacing w:line="360" w:lineRule="auto"/>
                    <w:rPr>
                      <w:rFonts w:ascii="宋体" w:hAnsi="宋体" w:cs="宋体" w:hint="eastAsia"/>
                    </w:rPr>
                  </w:pPr>
                  <w:r>
                    <w:rPr>
                      <w:rFonts w:ascii="宋体" w:hAnsi="宋体" w:cs="宋体" w:hint="eastAsia"/>
                    </w:rPr>
                    <w:t>2、交货后30个日历日内完成安装、调试、交付使用，由采购人使用科室、设备科、中标人等代表在场进行验收。</w:t>
                  </w:r>
                </w:p>
                <w:p>
                  <w:pPr>
                    <w:tabs>
                      <w:tab w:val="left" w:pos="426"/>
                    </w:tabs>
                    <w:spacing w:line="360" w:lineRule="auto"/>
                    <w:rPr>
                      <w:rFonts w:ascii="宋体" w:hAnsi="宋体" w:cs="宋体" w:hint="eastAsia"/>
                    </w:rPr>
                  </w:pPr>
                  <w:r>
                    <w:rPr>
                      <w:rFonts w:ascii="宋体" w:hAnsi="宋体" w:cs="宋体" w:hint="eastAsia"/>
                    </w:rPr>
                    <w:t>3、在本项目涉及的医疗设备安装过程中，若安装场地需进行改造以满足设备安装要求，中标人应承担全部改造工作及相关费用。改造工作包括但不限于拆除、新建、装修、水电线路改造、通风系统调整等一切为实现设备正常安装及后续使用所必需的工程内容。改造工程费用由中标人全额承担，费用包含但不限于材料采购、施工人员薪酬、设备租赁、运输、税费等所有与改造工程相关的支出。</w:t>
                  </w:r>
                </w:p>
                <w:p>
                  <w:pPr>
                    <w:tabs>
                      <w:tab w:val="left" w:pos="426"/>
                    </w:tabs>
                    <w:spacing w:line="360" w:lineRule="auto"/>
                    <w:rPr>
                      <w:rFonts w:ascii="宋体" w:hAnsi="宋体" w:cs="宋体" w:hint="eastAsia"/>
                    </w:rPr>
                  </w:pPr>
                  <w:r>
                    <w:rPr>
                      <w:rFonts w:ascii="宋体" w:hAnsi="宋体" w:cs="宋体" w:hint="eastAsia"/>
                    </w:rPr>
                    <w:t>4、产品质量和安装调试检验标准遵照国家相关规定和最新标准执行。提供的货物必须为全新、经检验合格的产品，且</w:t>
                  </w:r>
                  <w:r>
                    <w:rPr>
                      <w:rFonts w:ascii="宋体" w:hAnsi="宋体" w:hint="eastAsia"/>
                    </w:rPr>
                    <w:t>产品生产日期应为验收日期一年内</w:t>
                  </w:r>
                  <w:r>
                    <w:rPr>
                      <w:rFonts w:ascii="宋体" w:hAnsi="宋体" w:cs="宋体" w:hint="eastAsia"/>
                    </w:rPr>
                    <w:t>。确保产品投入使用前，按照国家规定办理好产品所有启用所需的资质证件。验收中如发现有质量不合格或型号规格、数量等与送货清单不符等情况，中标人应更换或补齐，并承担因此发生的违约责任。中标人货物经过双方检验认可后，签署验收报告。以上费用均已包含在投标报价中。</w:t>
                  </w:r>
                </w:p>
                <w:p>
                  <w:pPr>
                    <w:tabs>
                      <w:tab w:val="left" w:pos="426"/>
                    </w:tabs>
                    <w:spacing w:line="360" w:lineRule="auto"/>
                    <w:rPr>
                      <w:rFonts w:ascii="宋体" w:hAnsi="宋体" w:cs="宋体" w:hint="eastAsia"/>
                    </w:rPr>
                  </w:pPr>
                  <w:r>
                    <w:rPr>
                      <w:rFonts w:ascii="宋体" w:hAnsi="宋体" w:cs="宋体" w:hint="eastAsia"/>
                    </w:rPr>
                    <w:t>5、当满足以下条件时，采购人才向中标人签发货物验收报告：</w:t>
                  </w:r>
                </w:p>
                <w:p>
                  <w:pPr>
                    <w:tabs>
                      <w:tab w:val="left" w:pos="426"/>
                    </w:tabs>
                    <w:spacing w:line="360" w:lineRule="auto"/>
                    <w:rPr>
                      <w:rFonts w:ascii="宋体" w:hAnsi="宋体" w:cs="宋体" w:hint="eastAsia"/>
                    </w:rPr>
                  </w:pPr>
                  <w:r>
                    <w:rPr>
                      <w:rFonts w:ascii="宋体" w:hAnsi="宋体" w:cs="宋体" w:hint="eastAsia"/>
                    </w:rPr>
                    <w:t>A.设备出厂日期≤1年</w:t>
                  </w:r>
                  <w:r>
                    <w:rPr>
                      <w:rFonts w:ascii="宋体" w:hAnsi="宋体" w:cs="宋体" w:hint="eastAsia"/>
                      <w:color w:val="222A35"/>
                    </w:rPr>
                    <w:t>（以合同签订时间为准）</w:t>
                  </w:r>
                  <w:r>
                    <w:rPr>
                      <w:rFonts w:ascii="宋体" w:hAnsi="宋体" w:cs="宋体" w:hint="eastAsia"/>
                    </w:rPr>
                    <w:t>；</w:t>
                  </w:r>
                </w:p>
                <w:p>
                  <w:pPr>
                    <w:tabs>
                      <w:tab w:val="left" w:pos="426"/>
                    </w:tabs>
                    <w:spacing w:line="360" w:lineRule="auto"/>
                    <w:rPr>
                      <w:rFonts w:ascii="宋体" w:hAnsi="宋体" w:cs="宋体" w:hint="eastAsia"/>
                    </w:rPr>
                  </w:pPr>
                  <w:r>
                    <w:rPr>
                      <w:rFonts w:ascii="宋体" w:hAnsi="宋体" w:cs="宋体" w:hint="eastAsia"/>
                    </w:rPr>
                    <w:t>B.中标人按合同要求如期交货；</w:t>
                  </w:r>
                </w:p>
                <w:p>
                  <w:pPr>
                    <w:tabs>
                      <w:tab w:val="left" w:pos="426"/>
                    </w:tabs>
                    <w:spacing w:line="360" w:lineRule="auto"/>
                    <w:rPr>
                      <w:rFonts w:ascii="宋体" w:hAnsi="宋体" w:cs="宋体" w:hint="eastAsia"/>
                    </w:rPr>
                  </w:pPr>
                  <w:r>
                    <w:rPr>
                      <w:rFonts w:ascii="宋体" w:hAnsi="宋体" w:cs="宋体" w:hint="eastAsia"/>
                    </w:rPr>
                    <w:t>C.中标人已按照合同规定提供了全部产品及完整的技术资料；</w:t>
                  </w:r>
                </w:p>
                <w:p>
                  <w:pPr>
                    <w:tabs>
                      <w:tab w:val="left" w:pos="426"/>
                    </w:tabs>
                    <w:spacing w:line="360" w:lineRule="auto"/>
                    <w:rPr>
                      <w:rFonts w:ascii="宋体" w:hAnsi="宋体" w:cs="宋体" w:hint="eastAsia"/>
                    </w:rPr>
                  </w:pPr>
                  <w:r>
                    <w:rPr>
                      <w:rFonts w:ascii="宋体" w:hAnsi="宋体" w:cs="宋体" w:hint="eastAsia"/>
                    </w:rPr>
                    <w:t>D.货物符合招标文件技术规格书的要求，性能满足要求；</w:t>
                  </w:r>
                </w:p>
                <w:p>
                  <w:pPr>
                    <w:tabs>
                      <w:tab w:val="left" w:pos="426"/>
                    </w:tabs>
                    <w:spacing w:line="360" w:lineRule="auto"/>
                    <w:rPr>
                      <w:rFonts w:ascii="宋体" w:hAnsi="宋体" w:cs="宋体" w:hint="eastAsia"/>
                    </w:rPr>
                  </w:pPr>
                  <w:r>
                    <w:rPr>
                      <w:rFonts w:ascii="宋体" w:hAnsi="宋体" w:cs="宋体" w:hint="eastAsia"/>
                    </w:rPr>
                    <w:t>E.提供货物中文说明书；</w:t>
                  </w:r>
                </w:p>
                <w:p>
                  <w:pPr>
                    <w:tabs>
                      <w:tab w:val="left" w:pos="426"/>
                    </w:tabs>
                    <w:spacing w:line="360" w:lineRule="auto"/>
                    <w:rPr>
                      <w:rFonts w:ascii="宋体" w:hAnsi="宋体" w:cs="宋体" w:hint="eastAsia"/>
                    </w:rPr>
                  </w:pPr>
                  <w:r>
                    <w:rPr>
                      <w:rFonts w:ascii="宋体" w:hAnsi="宋体" w:cs="宋体" w:hint="eastAsia"/>
                    </w:rPr>
                    <w:t>F.提供维修手册、与厂家签订的3年质保售后服务协议；</w:t>
                  </w:r>
                </w:p>
                <w:p>
                  <w:pPr>
                    <w:tabs>
                      <w:tab w:val="left" w:pos="426"/>
                    </w:tabs>
                    <w:spacing w:line="360" w:lineRule="auto"/>
                    <w:rPr>
                      <w:rFonts w:ascii="宋体" w:hAnsi="宋体" w:cs="宋体" w:hint="eastAsia"/>
                    </w:rPr>
                  </w:pPr>
                  <w:r>
                    <w:rPr>
                      <w:rFonts w:ascii="宋体" w:hAnsi="宋体" w:cs="宋体" w:hint="eastAsia"/>
                    </w:rPr>
                    <w:t>G.进口设备必须提供正常有效的报关证明（报关单、海关增值税发票）及合法有效的商检合格证明；</w:t>
                  </w:r>
                </w:p>
                <w:p>
                  <w:pPr>
                    <w:tabs>
                      <w:tab w:val="left" w:pos="426"/>
                    </w:tabs>
                    <w:spacing w:line="360" w:lineRule="auto"/>
                    <w:rPr>
                      <w:rFonts w:ascii="宋体" w:hAnsi="宋体" w:cs="宋体" w:hint="eastAsia"/>
                    </w:rPr>
                  </w:pPr>
                  <w:r>
                    <w:rPr>
                      <w:rFonts w:ascii="宋体" w:hAnsi="宋体" w:cs="宋体" w:hint="eastAsia"/>
                    </w:rPr>
                    <w:t>6、若采购人对中标人所供设备有质疑，中标人需无条件配合采购人委托第三方质量检测部门按照招投标文件进行验收确认，所需费用由中标人负责支付。出具合格的检测验收报告，采购人将履行采购合同；若检测验收报告不合格，采购人有权取消采购合同，因此造成的经济损失由中标人承担。</w:t>
                  </w:r>
                </w:p>
                <w:p>
                  <w:pPr>
                    <w:tabs>
                      <w:tab w:val="left" w:pos="426"/>
                    </w:tabs>
                    <w:spacing w:line="360" w:lineRule="auto"/>
                    <w:rPr>
                      <w:rFonts w:ascii="宋体" w:hAnsi="宋体" w:cs="宋体" w:hint="eastAsia"/>
                    </w:rPr>
                  </w:pPr>
                  <w:r>
                    <w:rPr>
                      <w:rFonts w:ascii="宋体" w:hAnsi="宋体" w:cs="宋体" w:hint="eastAsia"/>
                    </w:rPr>
                    <w:t>7、验收时，中标人须按采购人要求提供中标验货验收所需要的其他资料。</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★包装及运输要求</w:t>
                  </w:r>
                </w:p>
              </w:tc>
              <w:tc>
                <w:tcPr>
                  <w:tcW w:w="4043" w:type="pct"/>
                  <w:tcBorders>
                    <w:top w:val="single" w:sz="4" w:space="0" w:color="auto"/>
                    <w:left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★售后服务要求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1、中标人对所提供的设备(包括零配件)提供免费保修期</w:t>
                  </w:r>
                  <w:r>
                    <w:rPr>
                      <w:rFonts w:ascii="宋体" w:hAnsi="宋体" w:cs="宋体" w:hint="eastAsia"/>
                      <w:u w:val="single"/>
                    </w:rPr>
                    <w:t xml:space="preserve"> 3 </w:t>
                  </w:r>
                  <w:r>
                    <w:rPr>
                      <w:rFonts w:ascii="宋体" w:hAnsi="宋体" w:cs="宋体" w:hint="eastAsia"/>
                    </w:rPr>
                    <w:t>年。(免费保修期时间自最终验收合格并交付使用之日起计算)，在免费保修期，需提供原装的零配件及其维修，终身负责维修，储备足够的零配件备库并保证十年以上维修配件；一年需对设备进行维护四次（每季度一次），不额外收费。免费保修期内出现的质量问题,由中标人负责,中标人负责包修、包换或者包退,并承担修理、调换或退货的实际费用。免费保修期外，中标人负责提供原装配件并免费维修更换，不额外收费，采购人只需支付更换的零配件费用。中标人负责该套设备软件的免费安装，软件可终身升级维护、备份。</w:t>
                  </w:r>
                </w:p>
                <w:p>
                  <w:pPr>
                    <w:tabs>
                      <w:tab w:val="left" w:pos="426"/>
                    </w:tabs>
                    <w:spacing w:line="360" w:lineRule="auto"/>
                    <w:rPr>
                      <w:rFonts w:ascii="宋体" w:hAnsi="宋体" w:cs="宋体" w:hint="eastAsia"/>
                    </w:rPr>
                  </w:pPr>
                  <w:r>
                    <w:rPr>
                      <w:rFonts w:ascii="宋体" w:hAnsi="宋体" w:cs="宋体" w:hint="eastAsia"/>
                    </w:rPr>
                    <w:t>2、免费保修期内，中标人应对产品因质量出现的问题修复，在</w:t>
                  </w:r>
                  <w:r>
                    <w:rPr>
                      <w:rFonts w:ascii="宋体" w:hAnsi="宋体" w:cs="宋体" w:hint="eastAsia"/>
                      <w:u w:val="single"/>
                    </w:rPr>
                    <w:t>2小时</w:t>
                  </w:r>
                  <w:r>
                    <w:rPr>
                      <w:rFonts w:ascii="宋体" w:hAnsi="宋体" w:cs="宋体" w:hint="eastAsia"/>
                    </w:rPr>
                    <w:t>内响应，</w:t>
                  </w:r>
                  <w:r>
                    <w:rPr>
                      <w:rFonts w:ascii="宋体" w:hAnsi="宋体" w:cs="宋体" w:hint="eastAsia"/>
                      <w:u w:val="single"/>
                    </w:rPr>
                    <w:t>48小时</w:t>
                  </w:r>
                  <w:r>
                    <w:rPr>
                      <w:rFonts w:ascii="宋体" w:hAnsi="宋体" w:cs="宋体" w:hint="eastAsia"/>
                    </w:rPr>
                    <w:t>内到达现场维修，</w:t>
                  </w:r>
                  <w:r>
                    <w:rPr>
                      <w:rFonts w:ascii="宋体" w:hAnsi="宋体" w:cs="宋体" w:hint="eastAsia"/>
                      <w:u w:val="single"/>
                    </w:rPr>
                    <w:t>72小时</w:t>
                  </w:r>
                  <w:r>
                    <w:rPr>
                      <w:rFonts w:ascii="宋体" w:hAnsi="宋体" w:cs="宋体" w:hint="eastAsia"/>
                    </w:rPr>
                    <w:t>内消除故障(不可抗力情况除外)，消耗品/零配件供应及时。由此产生的包括但不限于运输费、安装费、搬运费、替换产品的损耗费、零部件费、调试费等全部费用由中标人承担。</w:t>
                  </w:r>
                </w:p>
                <w:p>
                  <w:pPr>
                    <w:tabs>
                      <w:tab w:val="left" w:pos="426"/>
                    </w:tabs>
                    <w:spacing w:line="360" w:lineRule="auto"/>
                    <w:rPr>
                      <w:rFonts w:ascii="宋体" w:hAnsi="宋体" w:cs="宋体" w:hint="eastAsia"/>
                    </w:rPr>
                  </w:pPr>
                  <w:r>
                    <w:rPr>
                      <w:rFonts w:ascii="宋体" w:hAnsi="宋体" w:cs="宋体" w:hint="eastAsia"/>
                    </w:rPr>
                    <w:t>3、免费保修期，中标人应确保设备年开机率在98%（含）以上，若达不到此开机率，将作以下处理：年开机率在90%（含）-98%（不含）之间，免费保修期延长一年；年开机率在85%（含）-90%（不含）之间，免费保修期延长两年；年开机率低于85（不含），中标人必须无条件更换新设备，并重新计算新设备的免费保修期，以及赔偿采购人的直接经济损失和间接经济损失，以上费用均已包含在洽谈报价中。【注：年开机率=（365-停机天数）/365】</w:t>
                  </w:r>
                </w:p>
                <w:p>
                  <w:pPr>
                    <w:tabs>
                      <w:tab w:val="left" w:pos="426"/>
                    </w:tabs>
                    <w:spacing w:line="360" w:lineRule="auto"/>
                    <w:rPr>
                      <w:rFonts w:ascii="宋体" w:hAnsi="宋体" w:cs="宋体" w:hint="eastAsia"/>
                    </w:rPr>
                  </w:pPr>
                  <w:r>
                    <w:rPr>
                      <w:rFonts w:ascii="宋体" w:hAnsi="宋体" w:cs="宋体" w:hint="eastAsia"/>
                    </w:rPr>
                    <w:t>4、提供工程师电话和技术维修力量情况和维修的详细地址及联系方式。</w:t>
                  </w:r>
                </w:p>
                <w:p>
                  <w:pPr>
                    <w:tabs>
                      <w:tab w:val="left" w:pos="426"/>
                    </w:tabs>
                    <w:spacing w:line="360" w:lineRule="auto"/>
                    <w:rPr>
                      <w:rFonts w:ascii="宋体" w:hAnsi="宋体" w:cs="宋体" w:hint="eastAsia"/>
                    </w:rPr>
                  </w:pPr>
                  <w:r>
                    <w:rPr>
                      <w:rFonts w:ascii="宋体" w:hAnsi="宋体" w:cs="宋体" w:hint="eastAsia"/>
                    </w:rPr>
                    <w:t>5、负责安装、调试、提供技术咨询、软件及人员培训，以保证采购人工作人员掌握设备各种使用操作，不额外收费。</w:t>
                  </w:r>
                </w:p>
                <w:p>
                  <w:pPr>
                    <w:tabs>
                      <w:tab w:val="left" w:pos="426"/>
                    </w:tabs>
                    <w:spacing w:line="360" w:lineRule="auto"/>
                    <w:rPr>
                      <w:rFonts w:ascii="宋体" w:hAnsi="宋体" w:cs="宋体" w:hint="eastAsia"/>
                    </w:rPr>
                  </w:pPr>
                  <w:r>
                    <w:rPr>
                      <w:rFonts w:ascii="宋体" w:hAnsi="宋体" w:cs="宋体" w:hint="eastAsia"/>
                    </w:rPr>
                    <w:t>6、如场地迁移，需要移机时，中标人需提供设备拆装服务（包括但不限于本次招标的设备）并提供技术支持，且确保机器的正常使用，不额外收费。</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★违约责任</w:t>
                  </w:r>
                </w:p>
                <w:p>
                  <w:pPr>
                    <w:tabs>
                      <w:tab w:val="left" w:pos="426"/>
                    </w:tabs>
                    <w:spacing w:line="360" w:lineRule="auto"/>
                    <w:rPr>
                      <w:rFonts w:ascii="宋体" w:hAnsi="宋体" w:cs="宋体" w:hint="eastAsia"/>
                    </w:rPr>
                  </w:pP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 xml:space="preserve">1、中标人所交的设备品种、规格、型号、质量等任何一项不符合同规定标准的，采购人有权拒绝收货，中标人向采购人支付本合同总金额百分之二十的违约金，并需在采购人指定期限内重新提供，否则采购人有权解除合同。 </w:t>
                  </w:r>
                </w:p>
                <w:p>
                  <w:pPr>
                    <w:tabs>
                      <w:tab w:val="left" w:pos="426"/>
                    </w:tabs>
                    <w:spacing w:line="360" w:lineRule="auto"/>
                    <w:rPr>
                      <w:rFonts w:ascii="宋体" w:hAnsi="宋体" w:cs="宋体" w:hint="eastAsia"/>
                    </w:rPr>
                  </w:pPr>
                  <w:r>
                    <w:rPr>
                      <w:rFonts w:ascii="宋体" w:hAnsi="宋体" w:cs="宋体" w:hint="eastAsia"/>
                    </w:rPr>
                    <w:t xml:space="preserve">2、中标人若逾期30日以上不能交付设备，采购人有权选择解除合同并且中标人应向采购人支付本合同总金额百分之二十的违约金。 </w:t>
                  </w:r>
                </w:p>
                <w:p>
                  <w:pPr>
                    <w:tabs>
                      <w:tab w:val="left" w:pos="426"/>
                    </w:tabs>
                    <w:spacing w:line="360" w:lineRule="auto"/>
                    <w:rPr>
                      <w:rFonts w:ascii="宋体" w:hAnsi="宋体" w:cs="宋体" w:hint="eastAsia"/>
                    </w:rPr>
                  </w:pPr>
                  <w:r>
                    <w:rPr>
                      <w:rFonts w:ascii="宋体" w:hAnsi="宋体" w:cs="宋体" w:hint="eastAsia"/>
                    </w:rPr>
                    <w:t xml:space="preserve">3、中标人逾期交付设备或安装调试，中标人向采购人每日支付本合同总金额万分之五的违约金。  </w:t>
                  </w:r>
                </w:p>
                <w:p>
                  <w:pPr>
                    <w:tabs>
                      <w:tab w:val="left" w:pos="426"/>
                    </w:tabs>
                    <w:spacing w:line="360" w:lineRule="auto"/>
                    <w:rPr>
                      <w:rFonts w:ascii="宋体" w:hAnsi="宋体" w:cs="宋体" w:hint="eastAsia"/>
                    </w:rPr>
                  </w:pPr>
                  <w:r>
                    <w:rPr>
                      <w:rFonts w:ascii="宋体" w:hAnsi="宋体" w:cs="宋体" w:hint="eastAsia"/>
                    </w:rPr>
                    <w:t xml:space="preserve">4、中标人在一年内的不良服务率（指设备发生故障，没有合理的理由而未能在合 同规定的时限内及时妥善处理，产生采购人有效投诉。）大于百分之三（以单台设备产品为单位），则中标人赔偿采购人损失，并承担合同金额百分之五的违约金。 </w:t>
                  </w:r>
                </w:p>
                <w:p>
                  <w:pPr>
                    <w:tabs>
                      <w:tab w:val="left" w:pos="426"/>
                    </w:tabs>
                    <w:spacing w:line="360" w:lineRule="auto"/>
                    <w:rPr>
                      <w:rFonts w:ascii="宋体" w:hAnsi="宋体" w:cs="宋体" w:hint="eastAsia"/>
                    </w:rPr>
                  </w:pPr>
                  <w:r>
                    <w:rPr>
                      <w:rFonts w:ascii="宋体" w:hAnsi="宋体" w:cs="宋体" w:hint="eastAsia"/>
                    </w:rPr>
                    <w:t xml:space="preserve">5、如中标人未按照本合同的约定提供售后服务，中标人向采购人支付本合同总金额百分之二十的违约金，给采购人造成损失的，中标人应承担全部赔偿责任。 </w:t>
                  </w:r>
                </w:p>
                <w:p>
                  <w:pPr>
                    <w:tabs>
                      <w:tab w:val="left" w:pos="426"/>
                    </w:tabs>
                    <w:spacing w:line="360" w:lineRule="auto"/>
                    <w:rPr>
                      <w:rFonts w:ascii="宋体" w:hAnsi="宋体" w:cs="宋体" w:hint="eastAsia"/>
                    </w:rPr>
                  </w:pPr>
                  <w:r>
                    <w:rPr>
                      <w:rFonts w:ascii="宋体" w:hAnsi="宋体" w:cs="宋体" w:hint="eastAsia"/>
                    </w:rPr>
                    <w:t xml:space="preserve">6、中标人所供设备因质量、缺陷、技术标准等问题，给采购人或实际使用人造成损害的，中标人接到采购人通知后立即到现场配合采购人处理事故，一切赔偿责任及法律责任由中标人承担。 </w:t>
                  </w:r>
                </w:p>
                <w:p>
                  <w:pPr>
                    <w:tabs>
                      <w:tab w:val="left" w:pos="426"/>
                    </w:tabs>
                    <w:spacing w:line="360" w:lineRule="auto"/>
                    <w:rPr>
                      <w:rFonts w:ascii="宋体" w:hAnsi="宋体" w:cs="宋体" w:hint="eastAsia"/>
                    </w:rPr>
                  </w:pPr>
                  <w:r>
                    <w:rPr>
                      <w:rFonts w:ascii="宋体" w:hAnsi="宋体" w:cs="宋体" w:hint="eastAsia"/>
                    </w:rPr>
                    <w:t>7、中标人如交付假冒伪劣、以旧充新、以不合格冒充合格产品，一经发现，采购人有权选择解除合同并且中标人应向采购人支付本合同总金额百分之二十的违约金，给采购人造成损失的，中标人应承担全部赔偿责任。</w:t>
                  </w:r>
                </w:p>
                <w:p>
                  <w:pPr>
                    <w:tabs>
                      <w:tab w:val="left" w:pos="426"/>
                    </w:tabs>
                    <w:spacing w:line="360" w:lineRule="auto"/>
                    <w:rPr>
                      <w:rFonts w:ascii="宋体" w:hAnsi="宋体" w:cs="宋体" w:hint="eastAsia"/>
                    </w:rPr>
                  </w:pPr>
                  <w:r>
                    <w:rPr>
                      <w:rFonts w:ascii="宋体" w:hAnsi="宋体" w:cs="宋体" w:hint="eastAsia"/>
                    </w:rPr>
                    <w:t>8、如果采购人对中标人提供的产品有质量异议的，可以视具体情况暂时中止支付争议款项或其他相关款项，直到争议解除，采购人不因此承担延期付款的违约责任。</w:t>
                  </w:r>
                </w:p>
                <w:p>
                  <w:pPr>
                    <w:tabs>
                      <w:tab w:val="left" w:pos="426"/>
                    </w:tabs>
                    <w:spacing w:line="360" w:lineRule="auto"/>
                    <w:rPr>
                      <w:rFonts w:ascii="宋体" w:hAnsi="宋体" w:cs="宋体" w:hint="eastAsia"/>
                    </w:rPr>
                  </w:pPr>
                  <w:r>
                    <w:rPr>
                      <w:rFonts w:ascii="宋体" w:hAnsi="宋体" w:cs="宋体" w:hint="eastAsia"/>
                    </w:rPr>
                    <w:t>9、中标人提供的产品不合格，或产品存在瑕疵、缺陷，采购人有权暂停支付中标人项下相应到期应付货款，且不视为采购人违约，直到双方正式处理完不合格产品为止。</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★其他要求</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rPr>
                    <w:t>1、本项目中如有涉及水、电、气设备安装及调试、室外高空作业等项目的中标人应使用具有国家认可资质的操作人员（资质证书仍在有效期内）实施，否则由此造成的后果由中标人负责。</w:t>
                  </w:r>
                </w:p>
                <w:p>
                  <w:pPr>
                    <w:tabs>
                      <w:tab w:val="left" w:pos="426"/>
                    </w:tabs>
                    <w:spacing w:line="360" w:lineRule="auto"/>
                    <w:rPr>
                      <w:rFonts w:ascii="宋体" w:hAnsi="宋体" w:cs="宋体" w:hint="eastAsia"/>
                    </w:rPr>
                  </w:pPr>
                  <w:r>
                    <w:rPr>
                      <w:rFonts w:ascii="宋体" w:hAnsi="宋体" w:cs="宋体" w:hint="eastAsia"/>
                    </w:rPr>
                    <w:t>2、本项目所要求的硬件、软件，中标人要配备给采购人，并保证采购人能正常使用，不需要另外增加其他附件和其他费用。</w:t>
                  </w:r>
                </w:p>
                <w:p>
                  <w:pPr>
                    <w:tabs>
                      <w:tab w:val="left" w:pos="426"/>
                    </w:tabs>
                    <w:spacing w:line="360" w:lineRule="auto"/>
                    <w:rPr>
                      <w:rFonts w:ascii="宋体" w:hAnsi="宋体" w:cs="宋体" w:hint="eastAsia"/>
                    </w:rPr>
                  </w:pPr>
                  <w:r>
                    <w:rPr>
                      <w:rFonts w:ascii="宋体" w:hAnsi="宋体" w:cs="宋体" w:hint="eastAsia"/>
                    </w:rPr>
                    <w:t>3、涉及软件应用的设备，中标人和厂家应配合采购人智慧采购人信息化建设。在质保期内，应将软件更新、维护并提供更新所需的硬件，开放软件端口，无偿派人配合与采购人信息系统（包括但不限于HIS、PACS、LIS等系统）的连接工作，如涉及相关接口费用由中标人承担。直至该设备与采购人信息系统可进行完整的数据交换；当采购人信息系统变更或其他情形需要与该设备连接时，须无偿派人配合，直至该设备与采购人信息系统可进行完整的数据交换，确保数据安全，无外泄。上述工程需要按照采购人计划工期内完成，不得拖延，如因客观因素不得不延长工期的，需与采购人协商并获得采购人同意。</w:t>
                  </w:r>
                </w:p>
                <w:p>
                  <w:pPr>
                    <w:tabs>
                      <w:tab w:val="left" w:pos="426"/>
                    </w:tabs>
                    <w:spacing w:line="360" w:lineRule="auto"/>
                    <w:rPr>
                      <w:rFonts w:ascii="宋体" w:hAnsi="宋体" w:cs="宋体" w:hint="eastAsia"/>
                    </w:rPr>
                  </w:pPr>
                  <w:r>
                    <w:rPr>
                      <w:rFonts w:ascii="宋体" w:hAnsi="宋体" w:cs="宋体" w:hint="eastAsia"/>
                    </w:rPr>
                    <w:t>4、投标机型的硬件及软件配置均须是注册证或官方白皮书所描述的，且在不同的应用领域（临床、科研）新技术改进、更新的产品。</w:t>
                  </w:r>
                </w:p>
                <w:p>
                  <w:pPr>
                    <w:tabs>
                      <w:tab w:val="left" w:pos="426"/>
                    </w:tabs>
                    <w:spacing w:line="360" w:lineRule="auto"/>
                    <w:rPr>
                      <w:rFonts w:ascii="宋体" w:hAnsi="宋体" w:cs="宋体" w:hint="eastAsia"/>
                    </w:rPr>
                  </w:pPr>
                  <w:r>
                    <w:rPr>
                      <w:rFonts w:ascii="宋体" w:hAnsi="宋体" w:cs="宋体" w:hint="eastAsia"/>
                    </w:rPr>
                    <w:t>5、网络安全要求：所提供产品或服务满足国家网络安全管理要求，遵守医疗行业和采购人网络安全管理规范，保护采购人和患者信息安全。医疗设备自带软件（如有）具备合格的软件功能及安全测评报告、源代码安全审计报告和网络及数据接口说明等。</w:t>
                  </w:r>
                </w:p>
                <w:p>
                  <w:pPr>
                    <w:tabs>
                      <w:tab w:val="left" w:pos="426"/>
                    </w:tabs>
                    <w:spacing w:line="360" w:lineRule="auto"/>
                    <w:rPr>
                      <w:rFonts w:ascii="宋体" w:hAnsi="宋体" w:cs="宋体" w:hint="eastAsia"/>
                    </w:rPr>
                  </w:pPr>
                  <w:r>
                    <w:rPr>
                      <w:rFonts w:ascii="宋体" w:hAnsi="宋体" w:cs="宋体" w:hint="eastAsia"/>
                    </w:rPr>
                    <w:t>6、设备使用期间，发生产品召回事件，中标人提供替代或赔偿方案。</w:t>
                  </w:r>
                </w:p>
              </w:tc>
            </w:tr>
            <w:tr>
              <w:tblPrEx>
                <w:tblW w:w="4997" w:type="pct"/>
                <w:tblInd w:w="0" w:type="dxa"/>
                <w:tblCellMar>
                  <w:top w:w="0" w:type="dxa"/>
                  <w:left w:w="108" w:type="dxa"/>
                  <w:bottom w:w="0" w:type="dxa"/>
                  <w:right w:w="108" w:type="dxa"/>
                </w:tblCellMar>
              </w:tblPrEx>
              <w:trPr>
                <w:trHeight w:val="454"/>
              </w:trPr>
              <w:tc>
                <w:tcPr>
                  <w:tcW w:w="956"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kern w:val="0"/>
                      <w:szCs w:val="21"/>
                    </w:rPr>
                    <w:t>★其他条件</w:t>
                  </w:r>
                </w:p>
              </w:tc>
              <w:tc>
                <w:tcPr>
                  <w:tcW w:w="4043" w:type="pct"/>
                  <w:tcBorders>
                    <w:top w:val="single" w:sz="4" w:space="0" w:color="auto"/>
                    <w:left w:val="single" w:sz="4" w:space="0" w:color="auto"/>
                    <w:bottom w:val="single" w:sz="4" w:space="0" w:color="auto"/>
                    <w:right w:val="single" w:sz="4" w:space="0" w:color="auto"/>
                  </w:tcBorders>
                  <w:vAlign w:val="center"/>
                </w:tcPr>
                <w:p>
                  <w:pPr>
                    <w:tabs>
                      <w:tab w:val="left" w:pos="426"/>
                    </w:tabs>
                    <w:spacing w:line="360" w:lineRule="auto"/>
                    <w:rPr>
                      <w:rFonts w:ascii="宋体" w:hAnsi="宋体" w:cs="宋体" w:hint="eastAsia"/>
                    </w:rPr>
                  </w:pPr>
                  <w:r>
                    <w:rPr>
                      <w:rFonts w:ascii="宋体" w:hAnsi="宋体" w:cs="宋体" w:hint="eastAsia"/>
                      <w:b/>
                      <w:bCs/>
                      <w:szCs w:val="21"/>
                    </w:rPr>
                    <w:t>投标人所投产品具备相关主管部门要求的认证资料：所投产品为第一类医疗器械的，提供监督管理部门签发的有效的《医疗器械备案凭证》扫描件，原件备查；所投产品为第二、三类医疗器械的，提供监督管理部门签发的涵盖所投产品的《医疗器械注册证》(有效期内)扫描件，原件备查。</w:t>
                  </w:r>
                </w:p>
              </w:tc>
            </w:tr>
          </w:tbl>
          <w:p>
            <w:pPr>
              <w:adjustRightInd w:val="0"/>
              <w:snapToGrid w:val="0"/>
              <w:spacing w:line="360" w:lineRule="auto"/>
              <w:jc w:val="center"/>
              <w:rPr>
                <w:rFonts w:hAnsi="宋体" w:hint="eastAsia"/>
                <w:kern w:val="0"/>
                <w:szCs w:val="21"/>
              </w:rPr>
            </w:pP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6"/>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Heading3"/>
        <w:jc w:val="center"/>
        <w:rPr>
          <w:rFonts w:hint="eastAsia"/>
          <w:sz w:val="24"/>
        </w:rPr>
      </w:pPr>
      <w:r>
        <w:rPr>
          <w:rFonts w:ascii="黑体" w:eastAsia="黑体" w:hint="eastAsia"/>
          <w:sz w:val="24"/>
          <w:szCs w:val="24"/>
        </w:rPr>
        <w:t>五、技术要求偏离表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szCs w:val="21"/>
              </w:rPr>
            </w:pPr>
            <w:r>
              <w:rPr>
                <w:rFonts w:hint="eastAsia"/>
                <w:sz w:val="24"/>
              </w:rPr>
              <w:t>序号</w:t>
            </w:r>
          </w:p>
        </w:tc>
        <w:tc>
          <w:tcPr>
            <w:tcW w:w="772" w:type="dxa"/>
            <w:vAlign w:val="center"/>
          </w:tcPr>
          <w:p>
            <w:pPr>
              <w:jc w:val="center"/>
              <w:rPr>
                <w:color w:val="000000"/>
                <w:szCs w:val="21"/>
              </w:rPr>
            </w:pPr>
            <w:r>
              <w:rPr>
                <w:rFonts w:hint="eastAsia"/>
                <w:sz w:val="24"/>
              </w:rPr>
              <w:t>货物名称</w:t>
            </w:r>
          </w:p>
        </w:tc>
        <w:tc>
          <w:tcPr>
            <w:tcW w:w="5446" w:type="dxa"/>
            <w:vAlign w:val="center"/>
          </w:tcPr>
          <w:p>
            <w:pPr>
              <w:jc w:val="center"/>
              <w:rPr>
                <w:color w:val="000000"/>
                <w:szCs w:val="21"/>
              </w:rPr>
            </w:pPr>
            <w:r>
              <w:rPr>
                <w:rFonts w:hint="eastAsia"/>
                <w:sz w:val="24"/>
              </w:rPr>
              <w:t>招标技术要求</w:t>
            </w:r>
          </w:p>
        </w:tc>
        <w:tc>
          <w:tcPr>
            <w:tcW w:w="972" w:type="dxa"/>
            <w:vAlign w:val="center"/>
          </w:tcPr>
          <w:p>
            <w:pPr>
              <w:jc w:val="center"/>
              <w:rPr>
                <w:color w:val="000000"/>
                <w:szCs w:val="21"/>
              </w:rPr>
            </w:pPr>
            <w:r>
              <w:rPr>
                <w:rFonts w:hint="eastAsia"/>
                <w:sz w:val="24"/>
              </w:rPr>
              <w:t>投标技术响应</w:t>
            </w:r>
          </w:p>
        </w:tc>
        <w:tc>
          <w:tcPr>
            <w:tcW w:w="710" w:type="dxa"/>
            <w:vAlign w:val="center"/>
          </w:tcPr>
          <w:p>
            <w:pPr>
              <w:jc w:val="center"/>
              <w:rPr>
                <w:color w:val="000000"/>
                <w:szCs w:val="21"/>
              </w:rPr>
            </w:pPr>
            <w:r>
              <w:rPr>
                <w:rFonts w:hint="eastAsia"/>
                <w:sz w:val="24"/>
              </w:rPr>
              <w:t>偏离情况</w:t>
            </w:r>
          </w:p>
        </w:tc>
        <w:tc>
          <w:tcPr>
            <w:tcW w:w="390" w:type="dxa"/>
            <w:vAlign w:val="center"/>
          </w:tcPr>
          <w:p>
            <w:pPr>
              <w:jc w:val="center"/>
              <w:rPr>
                <w:color w:val="000000"/>
                <w:szCs w:val="21"/>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szCs w:val="21"/>
              </w:rPr>
            </w:pPr>
            <w:r>
              <w:rPr>
                <w:color w:val="000000"/>
                <w:szCs w:val="21"/>
              </w:rPr>
              <w:t>1</w:t>
            </w:r>
          </w:p>
        </w:tc>
        <w:tc>
          <w:tcPr>
            <w:tcW w:w="772"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rStyle w:val="Strong"/>
                <w:b w:val="0"/>
                <w:bCs w:val="0"/>
                <w:color w:val="000000"/>
                <w:szCs w:val="21"/>
              </w:rPr>
            </w:pPr>
          </w:p>
        </w:tc>
        <w:tc>
          <w:tcPr>
            <w:tcW w:w="710" w:type="dxa"/>
          </w:tcPr>
          <w:p>
            <w:pPr>
              <w:rPr>
                <w:rStyle w:val="Strong"/>
                <w:b w:val="0"/>
                <w:bCs w:val="0"/>
                <w:color w:val="000000"/>
                <w:szCs w:val="21"/>
              </w:rPr>
            </w:pPr>
          </w:p>
        </w:tc>
        <w:tc>
          <w:tcPr>
            <w:tcW w:w="390" w:type="dxa"/>
          </w:tcPr>
          <w:p>
            <w:pPr>
              <w:rPr>
                <w:rStyle w:val="Strong"/>
                <w:b w:val="0"/>
                <w:bCs w:val="0"/>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b/>
                <w:bCs/>
                <w:color w:val="000000"/>
                <w:szCs w:val="21"/>
              </w:rPr>
            </w:pPr>
            <w:r>
              <w:rPr>
                <w:rFonts w:ascii="宋体" w:hAnsi="宋体" w:hint="eastAsia"/>
                <w:color w:val="000000"/>
                <w:szCs w:val="21"/>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szCs w:val="21"/>
              </w:rPr>
            </w:pPr>
            <w:r>
              <w:rPr>
                <w:rFonts w:hint="eastAsia"/>
                <w:color w:val="000000"/>
                <w:szCs w:val="21"/>
              </w:rPr>
              <w:t>2</w:t>
            </w:r>
          </w:p>
        </w:tc>
        <w:tc>
          <w:tcPr>
            <w:tcW w:w="772"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5446" w:type="dxa"/>
          </w:tcPr>
          <w:p>
            <w:pPr>
              <w:jc w:val="center"/>
              <w:rPr>
                <w:b/>
                <w:bCs/>
                <w:color w:val="000000"/>
                <w:szCs w:val="21"/>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bl>
    <w:p>
      <w:pPr>
        <w:rPr>
          <w:sz w:val="24"/>
        </w:rPr>
      </w:pPr>
    </w:p>
    <w:p>
      <w:pPr>
        <w:rPr>
          <w:szCs w:val="21"/>
        </w:rPr>
      </w:pPr>
      <w:bookmarkStart w:id="70" w:name="_Hlk72095977"/>
      <w:r>
        <w:rPr>
          <w:rFonts w:hint="eastAsia"/>
          <w:szCs w:val="21"/>
        </w:rPr>
        <w:t>证明资料【如有的话，提供的证明资料应统一编号（排序），格式自定】</w:t>
      </w:r>
      <w:bookmarkEnd w:id="70"/>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71" w:name="_Hlk72094407"/>
      <w:r>
        <w:rPr>
          <w:rFonts w:hint="eastAsia"/>
          <w:bCs/>
          <w:szCs w:val="21"/>
        </w:rPr>
        <w:t>对应“用户需求书”中的“技术要求”章节</w:t>
      </w:r>
      <w:bookmarkEnd w:id="71"/>
      <w:r>
        <w:rPr>
          <w:rFonts w:hint="eastAsia"/>
          <w:bCs/>
          <w:szCs w:val="21"/>
        </w:rPr>
        <w:t>相关内容。</w:t>
      </w:r>
    </w:p>
    <w:p>
      <w:pPr>
        <w:pStyle w:val="NormalWeb"/>
        <w:widowControl/>
        <w:spacing w:beforeAutospacing="0" w:afterAutospacing="0"/>
        <w:ind w:firstLine="420" w:firstLineChars="20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pPr>
        <w:ind w:firstLine="420" w:firstLineChars="200"/>
        <w:rPr>
          <w:bCs/>
          <w:color w:val="FF0000"/>
          <w:szCs w:val="21"/>
        </w:rPr>
      </w:pPr>
      <w:r>
        <w:rPr>
          <w:bCs/>
          <w:szCs w:val="21"/>
        </w:rPr>
        <w:t>3</w:t>
      </w:r>
      <w:r>
        <w:rPr>
          <w:rFonts w:hint="eastAsia"/>
          <w:bCs/>
          <w:szCs w:val="21"/>
        </w:rPr>
        <w:t>、</w:t>
      </w:r>
      <w:bookmarkStart w:id="72" w:name="_Hlk72158270"/>
      <w:r>
        <w:rPr>
          <w:rFonts w:hint="eastAsia"/>
          <w:bCs/>
          <w:szCs w:val="21"/>
        </w:rPr>
        <w:t>“偏离情况”</w:t>
      </w:r>
      <w:bookmarkEnd w:id="72"/>
      <w:r>
        <w:rPr>
          <w:rFonts w:hint="eastAsia"/>
          <w:bCs/>
          <w:szCs w:val="21"/>
        </w:rPr>
        <w:t>一栏填写如实填写“正偏离”、“负偏离”或“无偏离”，其中：</w:t>
      </w:r>
      <w:bookmarkStart w:id="73" w:name="_Hlk72093866"/>
      <w:r>
        <w:rPr>
          <w:rFonts w:hint="eastAsia"/>
          <w:bCs/>
          <w:szCs w:val="21"/>
        </w:rPr>
        <w:t>“正偏离”表示“投标响应优于招标技术要求”，“负偏离”表示“投标响应不满足招标技术要求”，“无偏离”表示“投标响应与招标技术要求一致”</w:t>
      </w:r>
      <w:bookmarkEnd w:id="73"/>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4" w:name="_Hlk72096106"/>
      <w:r>
        <w:rPr>
          <w:rFonts w:hint="eastAsia"/>
          <w:bCs/>
          <w:szCs w:val="21"/>
        </w:rPr>
        <w:t>证明资料条款响应要求</w:t>
      </w:r>
      <w:bookmarkEnd w:id="74"/>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5"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6" w:name="_Hlk73558164"/>
      <w:r>
        <w:rPr>
          <w:rFonts w:hint="eastAsia"/>
          <w:bCs/>
          <w:szCs w:val="21"/>
        </w:rPr>
        <w:t>且投标人在“偏离情况”一栏响应为“正偏离”或“无偏离”的，经评审委员会认定，将判定为负偏离。</w:t>
      </w:r>
      <w:bookmarkEnd w:id="75"/>
      <w:bookmarkEnd w:id="76"/>
    </w:p>
    <w:p>
      <w:pPr>
        <w:ind w:firstLine="420" w:firstLineChars="200"/>
        <w:rPr>
          <w:bCs/>
          <w:szCs w:val="21"/>
        </w:rPr>
      </w:pPr>
      <w:r>
        <w:rPr>
          <w:rFonts w:hint="eastAsia"/>
          <w:bCs/>
          <w:szCs w:val="21"/>
        </w:rPr>
        <w:t>6、</w:t>
      </w:r>
      <w:bookmarkStart w:id="77" w:name="_Hlk72096137"/>
      <w:r>
        <w:rPr>
          <w:rFonts w:hint="eastAsia"/>
          <w:bCs/>
          <w:szCs w:val="21"/>
        </w:rPr>
        <w:t>表后“证明资料”部分内容的编制</w:t>
      </w:r>
      <w:bookmarkEnd w:id="77"/>
      <w:r>
        <w:rPr>
          <w:rFonts w:hint="eastAsia"/>
          <w:bCs/>
          <w:szCs w:val="21"/>
        </w:rPr>
        <w:t>：提供的所有证明资料应当统一编号（排序），且证明资料的编号（顺序）、数量和名称（形式）均应与“说明”一栏所填内容保持一致（一一对应），以便评审委员会查看。</w:t>
      </w:r>
      <w:bookmarkStart w:id="78" w:name="_Hlk73558180"/>
      <w:r>
        <w:rPr>
          <w:rFonts w:hint="eastAsia"/>
          <w:bCs/>
          <w:szCs w:val="21"/>
        </w:rPr>
        <w:t>未按照招标文件要求在表后放置证明材料的供应商将承担不利后果，经评审委员会认定，相关技术要求将判定为负偏离。</w:t>
      </w:r>
      <w:bookmarkEnd w:id="78"/>
    </w:p>
    <w:p>
      <w:pPr>
        <w:ind w:firstLine="420" w:firstLineChars="200"/>
        <w:rPr>
          <w:bCs/>
          <w:szCs w:val="21"/>
        </w:rPr>
      </w:pPr>
      <w:r>
        <w:rPr>
          <w:rFonts w:hint="eastAsia"/>
          <w:bCs/>
          <w:szCs w:val="21"/>
        </w:rPr>
        <w:t>7、</w:t>
      </w:r>
      <w:bookmarkStart w:id="79" w:name="_Hlk72096176"/>
      <w:r>
        <w:rPr>
          <w:rFonts w:hint="eastAsia"/>
          <w:bCs/>
          <w:szCs w:val="21"/>
        </w:rPr>
        <w:t>证明资料的形式及其它具体要求</w:t>
      </w:r>
      <w:bookmarkEnd w:id="79"/>
      <w:r>
        <w:rPr>
          <w:rFonts w:hint="eastAsia"/>
          <w:bCs/>
          <w:szCs w:val="21"/>
        </w:rPr>
        <w:t>：</w:t>
      </w:r>
    </w:p>
    <w:p>
      <w:pPr>
        <w:ind w:firstLine="420" w:firstLineChars="200"/>
        <w:rPr>
          <w:bCs/>
          <w:szCs w:val="21"/>
        </w:rPr>
      </w:pPr>
      <w:r>
        <w:rPr>
          <w:rFonts w:hint="eastAsia"/>
          <w:bCs/>
          <w:szCs w:val="21"/>
        </w:rPr>
        <w:t>（1）除照片、图片（截图）及不需加盖公章的文字说明（技术说明）外，其它证明资料均要求为原件扫描件；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其它证明资料的形式要求参照以上要求执行；</w:t>
      </w:r>
    </w:p>
    <w:p>
      <w:pPr>
        <w:ind w:firstLine="420" w:firstLineChars="200"/>
        <w:rPr>
          <w:bCs/>
          <w:szCs w:val="21"/>
        </w:rPr>
      </w:pPr>
      <w:r>
        <w:rPr>
          <w:rFonts w:hint="eastAsia"/>
          <w:bCs/>
          <w:szCs w:val="21"/>
        </w:rPr>
        <w:t>（4）证明资料均要求原件备查。</w:t>
      </w:r>
    </w:p>
    <w:p>
      <w:pPr>
        <w:ind w:firstLine="420" w:firstLineChars="200"/>
        <w:rPr>
          <w:bCs/>
          <w:szCs w:val="21"/>
        </w:rPr>
      </w:pPr>
      <w:r>
        <w:rPr>
          <w:rFonts w:hint="eastAsia"/>
          <w:bCs/>
          <w:szCs w:val="21"/>
        </w:rPr>
        <w:t>8、其它注意事项：</w:t>
      </w:r>
    </w:p>
    <w:p>
      <w:pPr>
        <w:ind w:firstLine="420" w:firstLineChars="200"/>
        <w:rPr>
          <w:bCs/>
          <w:szCs w:val="21"/>
        </w:rPr>
      </w:pPr>
      <w:r>
        <w:rPr>
          <w:rFonts w:hint="eastAsia"/>
          <w:bCs/>
          <w:szCs w:val="21"/>
        </w:rPr>
        <w:t>（1）评审委员会有权对投标人的响应情况作出判断（评审结论）；</w:t>
      </w:r>
    </w:p>
    <w:p>
      <w:pPr>
        <w:ind w:firstLine="420" w:firstLineChars="200"/>
        <w:rPr>
          <w:bCs/>
          <w:szCs w:val="21"/>
        </w:rPr>
      </w:pPr>
      <w:r>
        <w:rPr>
          <w:rFonts w:hint="eastAsia"/>
          <w:bCs/>
          <w:szCs w:val="21"/>
        </w:rPr>
        <w:t>（2）</w:t>
      </w:r>
      <w:bookmarkStart w:id="80"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0"/>
    </w:p>
    <w:p>
      <w:pPr>
        <w:ind w:firstLine="420" w:firstLineChars="200"/>
        <w:rPr>
          <w:b/>
          <w:sz w:val="24"/>
        </w:rPr>
      </w:pPr>
    </w:p>
    <w:p>
      <w:pPr>
        <w:rPr>
          <w:sz w:val="24"/>
        </w:rPr>
      </w:pPr>
    </w:p>
    <w:p>
      <w:pPr>
        <w:ind w:left="718" w:firstLine="1418" w:leftChars="342" w:firstLineChars="675"/>
        <w:rPr>
          <w:rFonts w:ascii="黑体" w:eastAsia="黑体" w:hAnsi="宋体" w:hint="eastAsia"/>
          <w:sz w:val="24"/>
          <w:szCs w:val="20"/>
        </w:rPr>
      </w:pPr>
      <w:bookmarkStart w:id="81" w:name="_Hlk72260576"/>
      <w:r>
        <w:rPr>
          <w:rFonts w:ascii="黑体" w:eastAsia="黑体" w:hAnsi="宋体" w:hint="eastAsia"/>
          <w:sz w:val="24"/>
          <w:szCs w:val="20"/>
        </w:rPr>
        <w:t>六、供货安装进度方案</w:t>
      </w:r>
    </w:p>
    <w:p>
      <w:pPr>
        <w:rPr>
          <w:rFonts w:ascii="黑体" w:eastAsia="黑体" w:hAnsi="宋体" w:hint="eastAsia"/>
          <w:sz w:val="24"/>
          <w:szCs w:val="20"/>
        </w:rPr>
      </w:pPr>
      <w:r>
        <w:t xml:space="preserve"> </w:t>
      </w:r>
      <w:r>
        <w:rPr>
          <w:rFonts w:ascii="宋体" w:hAnsi="宋体" w:cs="宋体" w:hint="eastAsia"/>
          <w:sz w:val="24"/>
        </w:rPr>
        <w:t>（特别提示：投标人须按本招标文件评标信息中这一评审因素要求，提供证明资料）</w:t>
      </w:r>
    </w:p>
    <w:p>
      <w:pPr>
        <w:ind w:left="2781"/>
        <w:rPr>
          <w:rFonts w:ascii="黑体" w:eastAsia="黑体" w:hAnsi="宋体" w:hint="eastAsia"/>
          <w:sz w:val="24"/>
          <w:szCs w:val="20"/>
        </w:rPr>
      </w:pPr>
      <w:r>
        <w:rPr>
          <w:rFonts w:ascii="黑体" w:eastAsia="黑体" w:hAnsi="宋体" w:hint="eastAsia"/>
          <w:sz w:val="24"/>
          <w:szCs w:val="20"/>
        </w:rPr>
        <w:t>七、产品的保障措施</w:t>
      </w:r>
    </w:p>
    <w:p>
      <w:r>
        <w:t xml:space="preserve"> </w:t>
      </w:r>
      <w:r>
        <w:rPr>
          <w:rFonts w:ascii="宋体" w:hAnsi="宋体" w:cs="宋体" w:hint="eastAsia"/>
          <w:sz w:val="24"/>
        </w:rPr>
        <w:t>（特别提示：投标人须按本招标文件评标信息中这一评审因素要求，提供证明资料）</w:t>
      </w:r>
    </w:p>
    <w:p>
      <w:pPr>
        <w:pStyle w:val="Heading3"/>
        <w:jc w:val="center"/>
        <w:rPr>
          <w:rFonts w:ascii="黑体" w:eastAsia="黑体" w:hint="eastAsia"/>
          <w:sz w:val="24"/>
          <w:szCs w:val="20"/>
        </w:rPr>
      </w:pPr>
      <w:r>
        <w:rPr>
          <w:rFonts w:ascii="黑体" w:eastAsia="黑体" w:hint="eastAsia"/>
          <w:sz w:val="24"/>
          <w:szCs w:val="20"/>
        </w:rPr>
        <w:t>八、</w:t>
      </w:r>
      <w:bookmarkStart w:id="82" w:name="_Hlk72062872"/>
      <w:r>
        <w:rPr>
          <w:rFonts w:ascii="黑体" w:eastAsia="黑体" w:hint="eastAsia"/>
          <w:sz w:val="24"/>
          <w:szCs w:val="20"/>
        </w:rPr>
        <w:t>投标人认为需要加以说明的其他内容</w:t>
      </w:r>
      <w:bookmarkEnd w:id="82"/>
    </w:p>
    <w:p>
      <w:pPr>
        <w:widowControl/>
        <w:jc w:val="center"/>
        <w:rPr>
          <w:rFonts w:ascii="黑体" w:eastAsia="黑体" w:hAnsi="宋体" w:hint="eastAsia"/>
          <w:kern w:val="0"/>
          <w:sz w:val="24"/>
          <w:szCs w:val="20"/>
        </w:rPr>
      </w:pPr>
      <w:bookmarkEnd w:id="81"/>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hint="eastAsia"/>
          <w:kern w:val="0"/>
          <w:sz w:val="24"/>
          <w:szCs w:val="20"/>
        </w:rPr>
      </w:pPr>
    </w:p>
    <w:p>
      <w:pPr>
        <w:spacing w:after="120" w:afterLines="50" w:line="360" w:lineRule="exact"/>
        <w:ind w:firstLine="420" w:firstLineChars="200"/>
        <w:rPr>
          <w:rFonts w:ascii="宋体" w:hAnsi="宋体" w:cs="宋体" w:hint="eastAsia"/>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tcPr>
          <w:p>
            <w:pPr>
              <w:spacing w:line="400" w:lineRule="exact"/>
              <w:jc w:val="center"/>
              <w:rPr>
                <w:rFonts w:ascii="宋体" w:hAnsi="宋体" w:cs="宋体" w:hint="eastAsia"/>
                <w:szCs w:val="21"/>
              </w:rPr>
            </w:pPr>
            <w:r>
              <w:rPr>
                <w:rFonts w:ascii="宋体" w:hAnsi="宋体" w:cs="宋体" w:hint="eastAsia"/>
                <w:szCs w:val="21"/>
              </w:rPr>
              <w:t>序号</w:t>
            </w:r>
          </w:p>
        </w:tc>
        <w:tc>
          <w:tcPr>
            <w:tcW w:w="7811" w:type="dxa"/>
          </w:tcPr>
          <w:p>
            <w:pPr>
              <w:spacing w:line="400" w:lineRule="exact"/>
              <w:jc w:val="center"/>
              <w:rPr>
                <w:rFonts w:ascii="宋体" w:hAnsi="宋体" w:cs="宋体" w:hint="eastAsia"/>
                <w:szCs w:val="21"/>
              </w:rPr>
            </w:pPr>
            <w:r>
              <w:rPr>
                <w:rFonts w:ascii="宋体" w:hAnsi="宋体" w:cs="宋体" w:hint="eastAsia"/>
                <w:b/>
                <w:bCs/>
                <w:szCs w:val="21"/>
              </w:rPr>
              <w:t>供应商参与投标禁止情形</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1</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rPr>
            </w:pPr>
            <w:r>
              <w:rPr>
                <w:rFonts w:ascii="宋体" w:hAnsi="宋体" w:cs="宋体" w:hint="eastAsia"/>
                <w:szCs w:val="21"/>
              </w:rPr>
              <w:t>2</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3</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4</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rPr>
            </w:pPr>
            <w:r>
              <w:rPr>
                <w:rFonts w:ascii="宋体" w:hAnsi="宋体" w:cs="宋体" w:hint="eastAsia"/>
                <w:szCs w:val="21"/>
              </w:rPr>
              <w:t>5</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rPr>
            </w:pPr>
            <w:r>
              <w:rPr>
                <w:rFonts w:ascii="宋体" w:hAnsi="宋体" w:cs="宋体" w:hint="eastAsia"/>
                <w:szCs w:val="21"/>
              </w:rPr>
              <w:t>6</w:t>
            </w:r>
          </w:p>
        </w:tc>
        <w:tc>
          <w:tcPr>
            <w:tcW w:w="7811" w:type="dxa"/>
            <w:vAlign w:val="center"/>
          </w:tcPr>
          <w:p>
            <w:pPr>
              <w:spacing w:line="400" w:lineRule="exact"/>
              <w:jc w:val="left"/>
              <w:rPr>
                <w:rFonts w:ascii="宋体" w:hAnsi="宋体" w:cs="宋体" w:hint="eastAsia"/>
                <w:szCs w:val="21"/>
              </w:rPr>
            </w:pPr>
            <w:r>
              <w:rPr>
                <w:rFonts w:ascii="宋体" w:hAnsi="宋体" w:cs="宋体" w:hint="eastAsia"/>
                <w:szCs w:val="21"/>
              </w:rPr>
              <w:t>擅自将投标密钥或电子营业执照出借他人使用或未妥善保管。</w:t>
            </w:r>
          </w:p>
        </w:tc>
      </w:tr>
    </w:tbl>
    <w:p>
      <w:pPr>
        <w:spacing w:before="120" w:beforeLines="50" w:line="380" w:lineRule="exact"/>
        <w:ind w:firstLine="420" w:firstLineChars="200"/>
        <w:rPr>
          <w:rFonts w:ascii="宋体" w:hAnsi="宋体" w:cs="宋体" w:hint="eastAsia"/>
          <w:b/>
          <w:szCs w:val="21"/>
        </w:rPr>
      </w:pPr>
      <w:r>
        <w:rPr>
          <w:rFonts w:ascii="宋体" w:hAnsi="宋体" w:cs="宋体" w:hint="eastAsia"/>
          <w:b/>
          <w:szCs w:val="21"/>
        </w:rPr>
        <w:t>一、我单位已充分知悉“隐瞒真实情况，提供虚假资料”的法定情形，包括但不限于：</w:t>
      </w:r>
    </w:p>
    <w:p>
      <w:pPr>
        <w:spacing w:line="380" w:lineRule="exact"/>
        <w:ind w:firstLine="420" w:firstLineChars="200"/>
        <w:rPr>
          <w:rFonts w:ascii="宋体" w:hAnsi="宋体" w:cs="宋体" w:hint="eastAsia"/>
          <w:szCs w:val="21"/>
        </w:rPr>
      </w:pPr>
      <w:r>
        <w:rPr>
          <w:rFonts w:ascii="宋体" w:hAnsi="宋体" w:cs="宋体" w:hint="eastAsia"/>
          <w:szCs w:val="21"/>
        </w:rPr>
        <w:t>（一）通过转让或者租借等方式从其他单位获取资格或者资质证书投标的。</w:t>
      </w:r>
    </w:p>
    <w:p>
      <w:pPr>
        <w:spacing w:line="380" w:lineRule="exact"/>
        <w:ind w:firstLine="420" w:firstLineChars="200"/>
        <w:rPr>
          <w:rFonts w:ascii="宋体" w:hAnsi="宋体" w:cs="宋体" w:hint="eastAsia"/>
          <w:szCs w:val="21"/>
        </w:rPr>
      </w:pPr>
      <w:r>
        <w:rPr>
          <w:rFonts w:ascii="宋体" w:hAnsi="宋体" w:cs="宋体" w:hint="eastAsia"/>
          <w:szCs w:val="21"/>
        </w:rPr>
        <w:t>（二）由其他单位或者其他单位负责人在投标供应商编制的投标文件上加盖印章或者签字的。</w:t>
      </w:r>
    </w:p>
    <w:p>
      <w:pPr>
        <w:spacing w:line="380" w:lineRule="exact"/>
        <w:ind w:firstLine="420" w:firstLineChars="200"/>
        <w:rPr>
          <w:rFonts w:ascii="宋体" w:hAnsi="宋体" w:cs="宋体" w:hint="eastAsia"/>
          <w:szCs w:val="21"/>
        </w:rPr>
      </w:pPr>
      <w:r>
        <w:rPr>
          <w:rFonts w:ascii="宋体" w:hAnsi="宋体" w:cs="宋体" w:hint="eastAsia"/>
          <w:szCs w:val="21"/>
        </w:rPr>
        <w:t>（三）项目负责人或者主要技术人员不是本单位人员的。</w:t>
      </w:r>
    </w:p>
    <w:p>
      <w:pPr>
        <w:spacing w:line="380" w:lineRule="exact"/>
        <w:ind w:firstLine="420" w:firstLineChars="200"/>
        <w:rPr>
          <w:rFonts w:ascii="宋体" w:hAnsi="宋体" w:cs="宋体" w:hint="eastAsia"/>
          <w:szCs w:val="21"/>
        </w:rPr>
      </w:pPr>
      <w:r>
        <w:rPr>
          <w:rFonts w:ascii="宋体" w:hAnsi="宋体" w:cs="宋体" w:hint="eastAsia"/>
          <w:szCs w:val="21"/>
        </w:rPr>
        <w:t>（四）投标保证金不是从投标供应商基本账户转出的。</w:t>
      </w:r>
    </w:p>
    <w:p>
      <w:pPr>
        <w:spacing w:line="380" w:lineRule="exact"/>
        <w:ind w:firstLine="420" w:firstLineChars="200"/>
        <w:rPr>
          <w:rFonts w:ascii="宋体" w:hAnsi="宋体" w:cs="宋体" w:hint="eastAsia"/>
          <w:szCs w:val="21"/>
        </w:rPr>
      </w:pPr>
      <w:r>
        <w:rPr>
          <w:rFonts w:ascii="宋体" w:hAnsi="宋体" w:cs="宋体" w:hint="eastAsia"/>
          <w:szCs w:val="21"/>
        </w:rPr>
        <w:t>（五）其他隐瞒真实情况、提供虚假资料的行为。</w:t>
      </w:r>
    </w:p>
    <w:p>
      <w:pPr>
        <w:spacing w:line="380" w:lineRule="exact"/>
        <w:ind w:firstLine="420" w:firstLineChars="200"/>
        <w:rPr>
          <w:rFonts w:ascii="宋体" w:hAnsi="宋体" w:cs="宋体" w:hint="eastAsia"/>
          <w:b/>
          <w:szCs w:val="21"/>
        </w:rPr>
      </w:pPr>
      <w:r>
        <w:rPr>
          <w:rFonts w:ascii="宋体" w:hAnsi="宋体" w:cs="宋体" w:hint="eastAsia"/>
          <w:b/>
          <w:szCs w:val="21"/>
        </w:rPr>
        <w:t>二、我单位已充分知悉“与其他采购参加人串通投标”的法定情形，包括但不限于：</w:t>
      </w:r>
    </w:p>
    <w:p>
      <w:pPr>
        <w:spacing w:line="380" w:lineRule="exact"/>
        <w:ind w:firstLine="420" w:firstLineChars="200"/>
        <w:rPr>
          <w:rFonts w:ascii="宋体" w:hAnsi="宋体" w:cs="宋体" w:hint="eastAsia"/>
          <w:szCs w:val="21"/>
        </w:rPr>
      </w:pPr>
      <w:r>
        <w:rPr>
          <w:rFonts w:ascii="宋体" w:hAnsi="宋体" w:cs="宋体" w:hint="eastAsia"/>
          <w:szCs w:val="21"/>
        </w:rPr>
        <w:t>（一）投标供应商之间相互约定给予未中标的供应商利益补偿。</w:t>
      </w:r>
    </w:p>
    <w:p>
      <w:pPr>
        <w:spacing w:line="380" w:lineRule="exact"/>
        <w:ind w:firstLine="420" w:firstLineChars="200"/>
        <w:rPr>
          <w:rFonts w:ascii="宋体" w:hAnsi="宋体" w:cs="宋体" w:hint="eastAsia"/>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hAnsi="宋体" w:cs="宋体" w:hint="eastAsia"/>
          <w:szCs w:val="21"/>
        </w:rPr>
      </w:pPr>
      <w:r>
        <w:rPr>
          <w:rFonts w:ascii="宋体" w:hAnsi="宋体" w:cs="宋体" w:hint="eastAsia"/>
          <w:szCs w:val="21"/>
        </w:rPr>
        <w:t>（三）不同投标供应商的投标文件由同一单位或者同一人编制，或者由同一人分阶段参与编制的。</w:t>
      </w:r>
    </w:p>
    <w:p>
      <w:pPr>
        <w:spacing w:line="340" w:lineRule="exact"/>
        <w:ind w:firstLine="420" w:firstLineChars="200"/>
        <w:rPr>
          <w:rFonts w:ascii="宋体" w:hAnsi="宋体" w:cs="宋体" w:hint="eastAsia"/>
          <w:szCs w:val="21"/>
        </w:rPr>
      </w:pPr>
      <w:r>
        <w:rPr>
          <w:rFonts w:ascii="宋体" w:hAnsi="宋体" w:cs="宋体" w:hint="eastAsia"/>
          <w:szCs w:val="21"/>
        </w:rPr>
        <w:t>（四）不同投标供应商的投标文件或部分投标文件相互混装。</w:t>
      </w:r>
    </w:p>
    <w:p>
      <w:pPr>
        <w:spacing w:line="340" w:lineRule="exact"/>
        <w:ind w:firstLine="420" w:firstLineChars="200"/>
        <w:rPr>
          <w:rFonts w:ascii="宋体" w:hAnsi="宋体" w:cs="宋体" w:hint="eastAsia"/>
          <w:szCs w:val="21"/>
        </w:rPr>
      </w:pPr>
      <w:r>
        <w:rPr>
          <w:rFonts w:ascii="宋体" w:hAnsi="宋体" w:cs="宋体" w:hint="eastAsia"/>
          <w:szCs w:val="21"/>
        </w:rPr>
        <w:t>（五）不同投标供应商的投标文件内容存在非正常一致。</w:t>
      </w:r>
    </w:p>
    <w:p>
      <w:pPr>
        <w:spacing w:line="340" w:lineRule="exact"/>
        <w:ind w:firstLine="420" w:firstLineChars="200"/>
        <w:rPr>
          <w:rFonts w:ascii="宋体" w:hAnsi="宋体" w:cs="宋体" w:hint="eastAsia"/>
          <w:szCs w:val="21"/>
        </w:rPr>
      </w:pPr>
      <w:r>
        <w:rPr>
          <w:rFonts w:ascii="宋体" w:hAnsi="宋体" w:cs="宋体" w:hint="eastAsia"/>
          <w:szCs w:val="21"/>
        </w:rPr>
        <w:t>（六）由同一单位工作人员为两家以上（含两家）供应商进行同一项投标活动的。</w:t>
      </w:r>
    </w:p>
    <w:p>
      <w:pPr>
        <w:spacing w:line="340" w:lineRule="exact"/>
        <w:ind w:firstLine="420" w:firstLineChars="200"/>
        <w:rPr>
          <w:rFonts w:ascii="宋体" w:hAnsi="宋体" w:cs="宋体" w:hint="eastAsia"/>
          <w:szCs w:val="21"/>
        </w:rPr>
      </w:pPr>
      <w:r>
        <w:rPr>
          <w:rFonts w:ascii="宋体" w:hAnsi="宋体" w:cs="宋体" w:hint="eastAsia"/>
          <w:szCs w:val="21"/>
        </w:rPr>
        <w:t>（七）不同投标人的投标报价呈规律性差异。</w:t>
      </w:r>
    </w:p>
    <w:p>
      <w:pPr>
        <w:spacing w:line="340" w:lineRule="exact"/>
        <w:ind w:firstLine="420" w:firstLineChars="200"/>
        <w:rPr>
          <w:rFonts w:ascii="宋体" w:hAnsi="宋体" w:cs="宋体" w:hint="eastAsia"/>
          <w:szCs w:val="21"/>
        </w:rPr>
      </w:pPr>
      <w:r>
        <w:rPr>
          <w:rFonts w:ascii="宋体" w:hAnsi="宋体" w:cs="宋体" w:hint="eastAsia"/>
          <w:szCs w:val="21"/>
        </w:rPr>
        <w:t>（八）不同投标人的投标保证金从同一单位或者个人的账户转出。</w:t>
      </w:r>
    </w:p>
    <w:p>
      <w:pPr>
        <w:spacing w:line="340" w:lineRule="exact"/>
        <w:ind w:firstLine="420" w:firstLineChars="200"/>
        <w:rPr>
          <w:rFonts w:ascii="宋体" w:hAnsi="宋体" w:cs="宋体" w:hint="eastAsia"/>
          <w:szCs w:val="21"/>
        </w:rPr>
      </w:pPr>
      <w:r>
        <w:rPr>
          <w:rFonts w:ascii="宋体" w:hAnsi="宋体" w:cs="宋体" w:hint="eastAsia"/>
          <w:szCs w:val="21"/>
        </w:rPr>
        <w:t>（九）主管部门依照法律、法规认定的其他情形。</w:t>
      </w:r>
    </w:p>
    <w:p>
      <w:pPr>
        <w:spacing w:line="340" w:lineRule="exact"/>
        <w:ind w:firstLine="420" w:firstLineChars="200"/>
        <w:rPr>
          <w:rFonts w:ascii="宋体" w:hAnsi="宋体" w:cs="宋体" w:hint="eastAsia"/>
          <w:b/>
          <w:szCs w:val="21"/>
        </w:rPr>
      </w:pPr>
      <w:r>
        <w:rPr>
          <w:rFonts w:ascii="宋体" w:hAnsi="宋体" w:cs="宋体" w:hint="eastAsia"/>
          <w:b/>
          <w:szCs w:val="21"/>
        </w:rPr>
        <w:t>三、我单位已充分知悉下列情形存在法律风险，在投标前已对相关风险事项进行排查。</w:t>
      </w:r>
    </w:p>
    <w:p>
      <w:pPr>
        <w:spacing w:line="340" w:lineRule="exact"/>
        <w:ind w:firstLine="420" w:firstLineChars="200"/>
        <w:rPr>
          <w:rFonts w:ascii="宋体" w:hAnsi="宋体" w:cs="宋体" w:hint="eastAsia"/>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hAnsi="宋体" w:cs="宋体" w:hint="eastAsia"/>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rPr>
          <w:rFonts w:ascii="宋体" w:hAnsi="宋体" w:cs="宋体" w:hint="eastAsia"/>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pPr>
        <w:spacing w:line="340" w:lineRule="exact"/>
        <w:ind w:firstLine="420" w:firstLineChars="200"/>
        <w:rPr>
          <w:rFonts w:ascii="宋体" w:hAnsi="宋体" w:cs="宋体" w:hint="eastAsia"/>
          <w:b/>
          <w:szCs w:val="21"/>
        </w:rPr>
      </w:pPr>
      <w:r>
        <w:rPr>
          <w:rFonts w:ascii="宋体" w:hAnsi="宋体" w:cs="宋体" w:hint="eastAsia"/>
          <w:b/>
          <w:szCs w:val="21"/>
        </w:rPr>
        <w:t>四、我单位已充分知悉政府采购违法、违规行为的法律后果。</w:t>
      </w:r>
    </w:p>
    <w:p>
      <w:pPr>
        <w:spacing w:line="340" w:lineRule="exact"/>
        <w:ind w:firstLine="420" w:firstLineChars="200"/>
        <w:rPr>
          <w:rFonts w:ascii="宋体" w:hAnsi="宋体" w:cs="宋体" w:hint="eastAsia"/>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hAnsi="宋体" w:cs="宋体" w:hint="eastAsia"/>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13"/>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cs="宋体"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hAnsi="宋体" w:cs="宋体" w:hint="eastAsia"/>
                <w:spacing w:val="-4"/>
                <w:kern w:val="0"/>
                <w:szCs w:val="21"/>
              </w:rPr>
            </w:pPr>
          </w:p>
        </w:tc>
      </w:tr>
    </w:tbl>
    <w:p>
      <w:pPr>
        <w:widowControl/>
        <w:wordWrap w:val="0"/>
        <w:autoSpaceDE w:val="0"/>
        <w:autoSpaceDN w:val="0"/>
        <w:spacing w:line="340" w:lineRule="exact"/>
        <w:ind w:right="808" w:firstLine="420" w:firstLineChars="200"/>
        <w:jc w:val="right"/>
        <w:rPr>
          <w:rFonts w:ascii="宋体" w:hAnsi="宋体" w:cs="宋体" w:hint="eastAsia"/>
          <w:spacing w:val="-4"/>
          <w:kern w:val="0"/>
          <w:szCs w:val="21"/>
        </w:rPr>
      </w:pP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pPr>
        <w:widowControl/>
        <w:wordWrap w:val="0"/>
        <w:autoSpaceDE w:val="0"/>
        <w:autoSpaceDN w:val="0"/>
        <w:spacing w:line="340" w:lineRule="exact"/>
        <w:ind w:right="808" w:firstLine="420" w:firstLineChars="200"/>
        <w:jc w:val="center"/>
        <w:rPr>
          <w:rFonts w:ascii="宋体" w:hAnsi="宋体" w:cs="宋体" w:hint="eastAsia"/>
          <w:spacing w:val="-4"/>
          <w:kern w:val="0"/>
          <w:szCs w:val="21"/>
          <w:u w:val="single"/>
        </w:rPr>
      </w:pPr>
      <w:r>
        <w:rPr>
          <w:rFonts w:ascii="宋体" w:hAnsi="宋体" w:cs="宋体" w:hint="eastAsia"/>
          <w:spacing w:val="-4"/>
          <w:kern w:val="0"/>
          <w:szCs w:val="21"/>
        </w:rPr>
        <w:t xml:space="preserve">                                 （加盖公章）</w:t>
      </w: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pPr>
        <w:widowControl/>
        <w:autoSpaceDE w:val="0"/>
        <w:autoSpaceDN w:val="0"/>
        <w:spacing w:line="340" w:lineRule="exact"/>
        <w:ind w:firstLine="420" w:firstLineChars="200"/>
        <w:jc w:val="left"/>
        <w:rPr>
          <w:rFonts w:ascii="宋体" w:hAnsi="宋体" w:cs="宋体" w:hint="eastAsia"/>
          <w:b/>
          <w:bCs/>
          <w:spacing w:val="-4"/>
          <w:kern w:val="0"/>
          <w:szCs w:val="21"/>
        </w:rPr>
      </w:pPr>
    </w:p>
    <w:p>
      <w:pPr>
        <w:widowControl/>
        <w:autoSpaceDE w:val="0"/>
        <w:autoSpaceDN w:val="0"/>
        <w:spacing w:line="340" w:lineRule="exact"/>
        <w:ind w:firstLine="420" w:firstLineChars="200"/>
        <w:jc w:val="left"/>
        <w:rPr>
          <w:rFonts w:ascii="宋体" w:hAnsi="宋体" w:cs="宋体" w:hint="eastAsia"/>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pPr>
        <w:pStyle w:val="NoSpacing"/>
      </w:pPr>
      <w:r>
        <w:rPr>
          <w:rFonts w:ascii="宋体" w:hAnsi="宋体" w:cs="宋体" w:hint="eastAsia"/>
          <w:b/>
          <w:bCs/>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pPr>
        <w:widowControl/>
        <w:autoSpaceDE w:val="0"/>
        <w:autoSpaceDN w:val="0"/>
        <w:spacing w:line="400" w:lineRule="exact"/>
        <w:jc w:val="left"/>
        <w:rPr>
          <w:rFonts w:ascii="宋体" w:hAnsi="宋体" w:hint="eastAsia"/>
          <w:color w:val="FF0000"/>
          <w:spacing w:val="-4"/>
          <w:kern w:val="0"/>
          <w:szCs w:val="21"/>
        </w:rPr>
      </w:pPr>
    </w:p>
    <w:p>
      <w:pPr>
        <w:pStyle w:val="NoSpacing"/>
        <w:rPr>
          <w:rFonts w:ascii="宋体" w:hAnsi="宋体" w:hint="eastAsia"/>
          <w:color w:val="FF0000"/>
          <w:spacing w:val="-4"/>
          <w:kern w:val="0"/>
          <w:szCs w:val="21"/>
        </w:rPr>
      </w:pPr>
    </w:p>
    <w:p>
      <w:pPr>
        <w:pStyle w:val="NoSpacing"/>
        <w:rPr>
          <w:rFonts w:ascii="宋体" w:hAnsi="宋体" w:hint="eastAsia"/>
          <w:color w:val="FF0000"/>
          <w:spacing w:val="-4"/>
          <w:kern w:val="0"/>
          <w:szCs w:val="21"/>
        </w:rPr>
      </w:pPr>
    </w:p>
    <w:p>
      <w:pPr>
        <w:widowControl/>
        <w:autoSpaceDE w:val="0"/>
        <w:autoSpaceDN w:val="0"/>
        <w:spacing w:line="400" w:lineRule="exact"/>
        <w:ind w:right="1414" w:firstLine="420" w:firstLineChars="200"/>
        <w:jc w:val="right"/>
        <w:rPr>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hint="eastAsia"/>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hint="eastAsia"/>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hint="eastAsia"/>
          <w:b/>
          <w:bCs/>
          <w:color w:val="FF0000"/>
          <w:spacing w:val="-4"/>
          <w:kern w:val="0"/>
          <w:szCs w:val="21"/>
        </w:rPr>
        <w:t>注：本项填写内容作为订单融资开展的参考信息，不作为供应商资格性审查及符合性审查条件。</w:t>
      </w:r>
    </w:p>
    <w:p>
      <w:pPr>
        <w:widowControl/>
        <w:tabs>
          <w:tab w:val="left" w:pos="8200"/>
        </w:tabs>
        <w:autoSpaceDE w:val="0"/>
        <w:autoSpaceDN w:val="0"/>
        <w:spacing w:line="400" w:lineRule="exact"/>
        <w:ind w:right="1414" w:firstLine="420" w:firstLineChars="200"/>
        <w:rPr>
          <w:rFonts w:ascii="宋体" w:hAnsi="宋体" w:hint="eastAsia"/>
          <w:b/>
          <w:bCs/>
          <w:color w:val="FF0000"/>
          <w:spacing w:val="-4"/>
          <w:kern w:val="0"/>
          <w:szCs w:val="21"/>
        </w:rPr>
      </w:pPr>
    </w:p>
    <w:p>
      <w:pPr>
        <w:widowControl/>
        <w:tabs>
          <w:tab w:val="left" w:pos="6930"/>
          <w:tab w:val="left" w:pos="8200"/>
        </w:tabs>
        <w:autoSpaceDE w:val="0"/>
        <w:autoSpaceDN w:val="0"/>
        <w:spacing w:line="400" w:lineRule="exact"/>
        <w:ind w:right="1414" w:firstLine="420" w:firstLineChars="200"/>
        <w:rPr>
          <w:kern w:val="0"/>
          <w:sz w:val="24"/>
        </w:rPr>
      </w:pPr>
    </w:p>
    <w:p>
      <w:pPr>
        <w:widowControl/>
        <w:autoSpaceDE w:val="0"/>
        <w:autoSpaceDN w:val="0"/>
        <w:spacing w:line="400" w:lineRule="exact"/>
        <w:ind w:right="1414" w:firstLine="420" w:firstLineChars="200"/>
        <w:jc w:val="right"/>
        <w:rPr>
          <w:kern w:val="0"/>
          <w:sz w:val="24"/>
        </w:rPr>
      </w:pPr>
    </w:p>
    <w:p>
      <w:pPr>
        <w:ind w:firstLine="630" w:firstLineChars="300"/>
        <w:rPr>
          <w:rFonts w:ascii="宋体" w:hAnsi="宋体" w:hint="eastAsia"/>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b/>
          <w:bCs/>
          <w:kern w:val="0"/>
          <w:sz w:val="24"/>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pPr>
        <w:jc w:val="center"/>
        <w:rPr>
          <w:b/>
          <w:sz w:val="32"/>
          <w:szCs w:val="32"/>
        </w:rPr>
      </w:pPr>
    </w:p>
    <w:p>
      <w:pPr>
        <w:ind w:firstLine="424" w:firstLineChars="202"/>
        <w:rPr>
          <w:rFonts w:ascii="宋体" w:hAnsi="宋体" w:hint="eastAsia"/>
          <w:szCs w:val="21"/>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sectPr>
          <w:pgSz w:w="11907" w:h="16840"/>
          <w:pgMar w:top="1440" w:right="1797" w:bottom="1440" w:left="1797" w:header="851" w:footer="992" w:gutter="0"/>
          <w:cols w:num="1" w:space="425"/>
          <w:titlePg/>
          <w:docGrid w:linePitch="462" w:charSpace="0"/>
        </w:sectPr>
      </w:pPr>
    </w:p>
    <w:p>
      <w:pPr>
        <w:pStyle w:val="Heading2"/>
        <w:rPr>
          <w:rFonts w:hint="eastAsia"/>
        </w:rPr>
      </w:pPr>
      <w:r>
        <w:rPr>
          <w:rFonts w:hint="eastAsia"/>
        </w:rPr>
        <w:t>第五章  合同条款及格式</w:t>
      </w:r>
    </w:p>
    <w:p/>
    <w:p>
      <w:pPr>
        <w:jc w:val="center"/>
        <w:outlineLvl w:val="0"/>
      </w:pPr>
      <w:bookmarkStart w:id="83" w:name="_Toc3995"/>
      <w:r>
        <w:rPr>
          <w:rFonts w:hint="eastAsia"/>
          <w:b/>
          <w:sz w:val="24"/>
        </w:rPr>
        <w:t>（仅供参考，具体以项目需求及采购结果为准）</w:t>
      </w:r>
    </w:p>
    <w:p>
      <w:pPr>
        <w:jc w:val="center"/>
        <w:rPr>
          <w:rFonts w:ascii="宋体" w:hAnsi="宋体" w:cs="宋体" w:hint="eastAsia"/>
          <w:b/>
          <w:bCs/>
          <w:spacing w:val="-20"/>
          <w:kern w:val="44"/>
          <w:sz w:val="48"/>
          <w:szCs w:val="48"/>
        </w:rPr>
      </w:pPr>
    </w:p>
    <w:p>
      <w:pPr>
        <w:jc w:val="center"/>
        <w:rPr>
          <w:rFonts w:ascii="宋体" w:hAnsi="宋体" w:cs="宋体" w:hint="eastAsia"/>
          <w:b/>
          <w:bCs/>
          <w:spacing w:val="-20"/>
          <w:kern w:val="44"/>
          <w:sz w:val="48"/>
          <w:szCs w:val="48"/>
        </w:rPr>
      </w:pPr>
    </w:p>
    <w:p>
      <w:pPr>
        <w:pStyle w:val="BodyText"/>
      </w:pPr>
    </w:p>
    <w:p>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pPr>
        <w:rPr>
          <w:rFonts w:ascii="宋体" w:hAnsi="宋体" w:cs="宋体" w:hint="eastAsia"/>
          <w:b/>
          <w:bCs/>
          <w:spacing w:val="-20"/>
          <w:kern w:val="44"/>
          <w:sz w:val="40"/>
          <w:szCs w:val="40"/>
        </w:rPr>
      </w:pPr>
    </w:p>
    <w:p>
      <w:pPr>
        <w:rPr>
          <w:rFonts w:ascii="宋体" w:hAnsi="宋体" w:cs="宋体" w:hint="eastAsia"/>
          <w:b/>
          <w:bCs/>
          <w:spacing w:val="-20"/>
          <w:kern w:val="44"/>
          <w:sz w:val="40"/>
          <w:szCs w:val="40"/>
        </w:rPr>
      </w:pPr>
    </w:p>
    <w:p>
      <w:pPr>
        <w:rPr>
          <w:rFonts w:ascii="宋体" w:hAnsi="宋体" w:cs="宋体" w:hint="eastAsia"/>
          <w:b/>
          <w:bCs/>
          <w:spacing w:val="-20"/>
          <w:kern w:val="44"/>
          <w:sz w:val="40"/>
          <w:szCs w:val="40"/>
        </w:rPr>
      </w:pPr>
    </w:p>
    <w:p>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sz w:val="44"/>
          <w:szCs w:val="44"/>
        </w:rPr>
      </w:pPr>
      <w:r>
        <w:rPr>
          <w:rFonts w:eastAsia="黑体" w:hint="eastAsia"/>
          <w:sz w:val="44"/>
          <w:szCs w:val="44"/>
        </w:rPr>
        <w:t>使 用 说 明</w:t>
      </w:r>
    </w:p>
    <w:p>
      <w:pPr>
        <w:ind w:firstLine="420" w:firstLineChars="200"/>
        <w:rPr>
          <w:rFonts w:ascii="仿宋_GB2312" w:eastAsia="仿宋_GB2312" w:hAnsi="仿宋_GB2312" w:cs="仿宋_GB2312" w:hint="eastAsia"/>
          <w:sz w:val="32"/>
          <w:szCs w:val="32"/>
        </w:rPr>
      </w:pPr>
    </w:p>
    <w:p>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pPr>
        <w:ind w:firstLine="420" w:firstLineChars="200"/>
        <w:rPr>
          <w:rFonts w:eastAsia="黑体"/>
          <w:sz w:val="44"/>
          <w:szCs w:val="44"/>
        </w:rPr>
        <w:sectPr>
          <w:headerReference w:type="default" r:id="rId11"/>
          <w:footerReference w:type="default" r:id="rId12"/>
          <w:pgSz w:w="11906" w:h="16838"/>
          <w:pgMar w:top="1440" w:right="1800" w:bottom="1440" w:left="1800" w:header="851" w:footer="992" w:gutter="0"/>
          <w:cols w:num="1" w:space="425"/>
          <w:docGrid w:type="lines" w:linePitch="312" w:charSpace="0"/>
        </w:sectPr>
      </w:pPr>
    </w:p>
    <w:p>
      <w:pPr>
        <w:keepNext/>
        <w:keepLines/>
        <w:adjustRightInd w:val="0"/>
        <w:snapToGrid w:val="0"/>
        <w:spacing w:line="400" w:lineRule="exact"/>
        <w:jc w:val="center"/>
        <w:outlineLvl w:val="1"/>
        <w:rPr>
          <w:rFonts w:ascii="黑体" w:eastAsia="黑体" w:hAnsi="黑体" w:hint="eastAsia"/>
          <w:b/>
          <w:bCs/>
          <w:sz w:val="28"/>
          <w:szCs w:val="28"/>
        </w:rPr>
      </w:pPr>
      <w:bookmarkEnd w:id="83"/>
      <w:bookmarkStart w:id="84" w:name="_Toc22209"/>
    </w:p>
    <w:p>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4"/>
    </w:p>
    <w:p>
      <w:pPr>
        <w:keepNext/>
        <w:keepLines/>
        <w:adjustRightInd w:val="0"/>
        <w:snapToGrid w:val="0"/>
        <w:spacing w:line="400" w:lineRule="exact"/>
        <w:jc w:val="center"/>
        <w:outlineLvl w:val="1"/>
        <w:rPr>
          <w:rFonts w:ascii="黑体" w:eastAsia="黑体" w:hAnsi="华文中宋" w:hint="eastAsia"/>
          <w:sz w:val="28"/>
          <w:szCs w:val="28"/>
        </w:rPr>
      </w:pPr>
    </w:p>
    <w:p>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r>
      <w:r>
        <w:rPr>
          <w:rFonts w:ascii="宋体" w:hAnsi="宋体" w:hint="eastAsia"/>
          <w:szCs w:val="21"/>
        </w:rPr>
        <w:t xml:space="preserve">                                   文件约定的合同甲方）</w:t>
      </w:r>
    </w:p>
    <w:p>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pPr>
        <w:spacing w:line="400" w:lineRule="exact"/>
      </w:pPr>
    </w:p>
    <w:p>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项目信息</w:t>
      </w:r>
    </w:p>
    <w:p>
      <w:pPr>
        <w:numPr>
          <w:ilvl w:val="0"/>
          <w:numId w:val="13"/>
        </w:numPr>
        <w:adjustRightInd w:val="0"/>
        <w:snapToGrid w:val="0"/>
        <w:spacing w:line="400" w:lineRule="exact"/>
        <w:ind w:firstLine="420" w:firstLineChars="20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（3）项目内容：</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pPr>
        <w:adjustRightInd w:val="0"/>
        <w:snapToGrid w:val="0"/>
        <w:spacing w:line="400" w:lineRule="exact"/>
        <w:ind w:firstLine="945" w:firstLineChars="450"/>
        <w:rPr>
          <w:rFonts w:ascii="宋体" w:hAnsi="宋体" w:hint="eastAsia"/>
          <w:szCs w:val="21"/>
          <w:u w:val="single"/>
        </w:rPr>
      </w:pPr>
      <w:r>
        <w:rPr>
          <w:rFonts w:ascii="宋体" w:hAnsi="宋体" w:hint="eastAsia"/>
          <w:szCs w:val="21"/>
        </w:rPr>
        <w:t>采购标的的技术要求、商务要求具体见附件。</w:t>
      </w:r>
    </w:p>
    <w:p>
      <w:pPr>
        <w:numPr>
          <w:ilvl w:val="255"/>
          <w:numId w:val="0"/>
        </w:numPr>
        <w:adjustRightInd w:val="0"/>
        <w:snapToGrid w:val="0"/>
        <w:spacing w:line="400" w:lineRule="exact"/>
        <w:ind w:firstLine="945" w:firstLineChars="450"/>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pPr>
        <w:numPr>
          <w:ilvl w:val="255"/>
          <w:numId w:val="0"/>
        </w:numPr>
        <w:adjustRightInd w:val="0"/>
        <w:snapToGrid w:val="0"/>
        <w:spacing w:line="400" w:lineRule="exact"/>
        <w:ind w:firstLine="420" w:firstLineChars="20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pPr>
        <w:numPr>
          <w:ilvl w:val="255"/>
          <w:numId w:val="0"/>
        </w:numPr>
        <w:autoSpaceDE w:val="0"/>
        <w:autoSpaceDN w:val="0"/>
        <w:adjustRightInd w:val="0"/>
        <w:snapToGrid w:val="0"/>
        <w:spacing w:line="400" w:lineRule="exact"/>
        <w:ind w:left="210" w:firstLine="210" w:leftChars="100" w:firstLineChars="100"/>
        <w:rPr>
          <w:rFonts w:ascii="宋体" w:hAnsi="宋体" w:cs="宋体" w:hint="eastAsia"/>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pPr>
        <w:numPr>
          <w:ilvl w:val="255"/>
          <w:numId w:val="0"/>
        </w:numPr>
        <w:autoSpaceDE w:val="0"/>
        <w:autoSpaceDN w:val="0"/>
        <w:adjustRightInd w:val="0"/>
        <w:snapToGrid w:val="0"/>
        <w:spacing w:line="400" w:lineRule="exact"/>
        <w:ind w:firstLine="210" w:firstLineChars="10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255"/>
          <w:numId w:val="0"/>
        </w:numPr>
        <w:adjustRightInd w:val="0"/>
        <w:snapToGrid w:val="0"/>
        <w:spacing w:line="400" w:lineRule="exact"/>
        <w:rPr>
          <w:rFonts w:ascii="宋体" w:hAnsi="宋体" w:hint="eastAsia"/>
          <w:iCs/>
          <w:szCs w:val="21"/>
        </w:rPr>
      </w:pPr>
      <w:r>
        <w:rPr>
          <w:rFonts w:hint="eastAsia"/>
        </w:rPr>
        <w:t xml:space="preserve">         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255"/>
          <w:numId w:val="0"/>
        </w:numPr>
        <w:adjustRightInd w:val="0"/>
        <w:snapToGrid w:val="0"/>
        <w:spacing w:line="400" w:lineRule="exact"/>
        <w:rPr>
          <w:rFonts w:ascii="宋体" w:hAnsi="宋体" w:hint="eastAsia"/>
          <w:iCs/>
          <w:szCs w:val="21"/>
        </w:rPr>
      </w:pPr>
      <w:r>
        <w:rPr>
          <w:rFonts w:hint="eastAsia"/>
        </w:rPr>
        <w:t xml:space="preserve">         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snapToGrid w:val="0"/>
        <w:spacing w:line="400" w:lineRule="exact"/>
      </w:pPr>
      <w:r>
        <w:rPr>
          <w:rFonts w:hint="eastAsia"/>
        </w:rPr>
        <w:t xml:space="preserve">         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分包供应商/制造商名称（如供应商和制造商不同，请分别填写）：</w:t>
      </w:r>
    </w:p>
    <w:p>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分包供应商/制造商类型（如果供应商和制造商不同，只填写制造商类型）：</w:t>
      </w:r>
    </w:p>
    <w:p>
      <w:pPr>
        <w:adjustRightInd w:val="0"/>
        <w:snapToGrid w:val="0"/>
        <w:spacing w:line="400" w:lineRule="exact"/>
        <w:ind w:firstLine="840" w:firstLineChars="400"/>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pPr>
        <w:tabs>
          <w:tab w:val="left" w:pos="1340"/>
        </w:tabs>
        <w:autoSpaceDE w:val="0"/>
        <w:autoSpaceDN w:val="0"/>
        <w:adjustRightInd w:val="0"/>
        <w:spacing w:line="400" w:lineRule="exact"/>
        <w:ind w:firstLine="420" w:firstLineChars="200"/>
        <w:rPr>
          <w:rFonts w:ascii="宋体" w:hAnsi="宋体" w:cs="宋体" w:hint="eastAsia"/>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pPr>
        <w:numPr>
          <w:ilvl w:val="255"/>
          <w:numId w:val="0"/>
        </w:numPr>
        <w:adjustRightInd w:val="0"/>
        <w:snapToGrid w:val="0"/>
        <w:spacing w:line="400" w:lineRule="exact"/>
        <w:ind w:firstLine="840" w:firstLineChars="400"/>
        <w:rPr>
          <w:rFonts w:ascii="宋体" w:hAnsi="宋体" w:cs="宋体" w:hint="eastAsia"/>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pPr>
        <w:numPr>
          <w:ilvl w:val="255"/>
          <w:numId w:val="0"/>
        </w:numPr>
        <w:adjustRightInd w:val="0"/>
        <w:snapToGrid w:val="0"/>
        <w:spacing w:line="400" w:lineRule="exact"/>
        <w:ind w:firstLine="840" w:firstLineChars="40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pPr>
        <w:numPr>
          <w:ilvl w:val="255"/>
          <w:numId w:val="0"/>
        </w:numPr>
        <w:adjustRightInd w:val="0"/>
        <w:snapToGrid w:val="0"/>
        <w:spacing w:line="400" w:lineRule="exact"/>
        <w:ind w:firstLine="840" w:firstLineChars="400"/>
        <w:rPr>
          <w:rFonts w:ascii="宋体" w:hAnsi="宋体" w:hint="eastAsia"/>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合同金额</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（2）合同定价方式（采用组合定价方式的，可以勾选多项）：</w:t>
      </w:r>
    </w:p>
    <w:p>
      <w:pPr>
        <w:adjustRightInd w:val="0"/>
        <w:snapToGrid w:val="0"/>
        <w:spacing w:line="400" w:lineRule="exact"/>
        <w:ind w:firstLine="420" w:firstLineChars="200"/>
        <w:rPr>
          <w:rFonts w:ascii="宋体" w:hAnsi="宋体" w:hint="eastAsia"/>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pPr>
        <w:spacing w:line="400" w:lineRule="exact"/>
        <w:ind w:firstLine="420" w:firstLineChars="200"/>
        <w:rPr>
          <w:szCs w:val="21"/>
        </w:rPr>
      </w:pPr>
      <w:r>
        <w:rPr>
          <w:rFonts w:ascii="宋体" w:hAnsi="宋体" w:hint="eastAsia"/>
          <w:szCs w:val="21"/>
        </w:rPr>
        <w:t>（3）付款方式（按项目实际勾选填写）：</w:t>
      </w:r>
    </w:p>
    <w:p>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pPr>
        <w:adjustRightInd w:val="0"/>
        <w:snapToGrid w:val="0"/>
        <w:spacing w:line="400" w:lineRule="exact"/>
        <w:ind w:firstLine="630" w:firstLineChars="300"/>
        <w:rPr>
          <w:rFonts w:ascii="宋体" w:hAnsi="宋体" w:hint="eastAsia"/>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pPr>
        <w:numPr>
          <w:ilvl w:val="0"/>
          <w:numId w:val="12"/>
        </w:numPr>
        <w:adjustRightInd w:val="0"/>
        <w:snapToGrid w:val="0"/>
        <w:spacing w:line="400" w:lineRule="exact"/>
        <w:ind w:firstLine="420" w:firstLineChars="200"/>
        <w:rPr>
          <w:rFonts w:ascii="宋体" w:hAnsi="宋体" w:hint="eastAsia"/>
          <w:b/>
          <w:szCs w:val="21"/>
          <w:u w:val="single"/>
        </w:rPr>
      </w:pPr>
      <w:r>
        <w:rPr>
          <w:rFonts w:ascii="宋体" w:hAnsi="宋体" w:hint="eastAsia"/>
          <w:b/>
          <w:szCs w:val="21"/>
        </w:rPr>
        <w:t>合同履行</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pPr>
        <w:autoSpaceDE w:val="0"/>
        <w:autoSpaceDN w:val="0"/>
        <w:adjustRightInd w:val="0"/>
        <w:spacing w:line="400" w:lineRule="exact"/>
        <w:ind w:firstLine="420" w:firstLineChars="20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pPr>
        <w:snapToGrid w:val="0"/>
        <w:spacing w:line="400" w:lineRule="exact"/>
        <w:ind w:firstLine="420" w:firstLineChars="20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合同验收</w:t>
      </w:r>
    </w:p>
    <w:p>
      <w:pPr>
        <w:numPr>
          <w:ilvl w:val="0"/>
          <w:numId w:val="14"/>
        </w:numPr>
        <w:adjustRightInd w:val="0"/>
        <w:snapToGrid w:val="0"/>
        <w:spacing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pPr>
        <w:adjustRightInd w:val="0"/>
        <w:snapToGrid w:val="0"/>
        <w:spacing w:line="400" w:lineRule="exact"/>
        <w:ind w:firstLine="420" w:firstLineChars="200"/>
        <w:rPr>
          <w:rFonts w:ascii="宋体" w:hAnsi="宋体" w:hint="eastAsia"/>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pPr>
        <w:adjustRightInd w:val="0"/>
        <w:snapToGrid w:val="0"/>
        <w:spacing w:line="400" w:lineRule="exact"/>
        <w:ind w:firstLine="420" w:firstLineChars="20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pPr>
        <w:adjustRightInd w:val="0"/>
        <w:snapToGrid w:val="0"/>
        <w:spacing w:line="400" w:lineRule="exact"/>
        <w:ind w:firstLine="420" w:firstLineChars="20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组成合同的文件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（1）政府采购合同协议书及其变更、补充协议</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（2）政府采购合同专用条款</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（3）政府采购合同通用条款</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（4）中标（成交）通知书</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（5）投标（响应）文件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（6）采购文件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（7）有关技术文件，图纸</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合同生效</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pPr>
        <w:numPr>
          <w:ilvl w:val="0"/>
          <w:numId w:val="12"/>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合同份数</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
        <w:rPr>
          <w:rFonts w:hint="eastAsia"/>
        </w:rPr>
        <w:br w:type="page"/>
      </w:r>
    </w:p>
    <w:p>
      <w:pPr>
        <w:ind w:firstLine="420" w:firstLineChars="200"/>
        <w:rPr>
          <w:szCs w:val="21"/>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pPr>
            <w:r>
              <w:rPr>
                <w:szCs w:val="21"/>
              </w:rPr>
              <w:t>乙方</w:t>
            </w:r>
            <w:r>
              <w:rPr>
                <w:rFonts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pPr>
        <w:keepNext/>
        <w:keepLines/>
        <w:adjustRightInd w:val="0"/>
        <w:snapToGrid w:val="0"/>
        <w:spacing w:before="120" w:beforeLines="5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85" w:name="_Toc27624"/>
      <w:r>
        <w:rPr>
          <w:rFonts w:ascii="黑体" w:eastAsia="黑体" w:hAnsi="黑体" w:hint="eastAsia"/>
          <w:sz w:val="28"/>
          <w:szCs w:val="28"/>
        </w:rPr>
        <w:t>第二节 政府采购合同通用条款</w:t>
      </w:r>
      <w:bookmarkEnd w:id="85"/>
    </w:p>
    <w:p>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1.1合同当事人</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1.2本合同下列术语应解释为：</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pPr>
        <w:numPr>
          <w:ilvl w:val="0"/>
          <w:numId w:val="15"/>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pPr>
        <w:autoSpaceDE w:val="0"/>
        <w:autoSpaceDN w:val="0"/>
        <w:adjustRightInd w:val="0"/>
        <w:snapToGrid w:val="0"/>
        <w:spacing w:line="400" w:lineRule="exact"/>
        <w:ind w:firstLine="420" w:firstLineChars="20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t>3. 履行合同的时间、地点和方式</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pPr>
        <w:numPr>
          <w:ilvl w:val="0"/>
          <w:numId w:val="16"/>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pPr>
        <w:adjustRightInd w:val="0"/>
        <w:snapToGrid w:val="0"/>
        <w:spacing w:line="400" w:lineRule="exact"/>
        <w:ind w:firstLine="420" w:firstLineChars="200"/>
        <w:jc w:val="left"/>
        <w:rPr>
          <w:rFonts w:ascii="宋体" w:hAnsi="宋体" w:cs="Courier New" w:hint="eastAsia"/>
          <w:b/>
          <w:szCs w:val="21"/>
        </w:rPr>
      </w:pPr>
      <w:r>
        <w:rPr>
          <w:rFonts w:ascii="宋体" w:hAnsi="宋体" w:cs="Courier New" w:hint="eastAsia"/>
          <w:szCs w:val="21"/>
        </w:rPr>
        <w:t>8.1 质量标准</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adjustRightInd w:val="0"/>
        <w:snapToGrid w:val="0"/>
        <w:spacing w:line="400" w:lineRule="exact"/>
        <w:ind w:firstLine="420" w:firstLineChars="200"/>
        <w:jc w:val="left"/>
        <w:rPr>
          <w:rFonts w:ascii="宋体" w:hAnsi="宋体" w:cs="Courier New" w:hint="eastAsia"/>
          <w:szCs w:val="21"/>
        </w:rPr>
      </w:pPr>
      <w:r>
        <w:rPr>
          <w:rFonts w:ascii="宋体" w:hAnsi="宋体" w:cs="Courier New" w:hint="eastAsia"/>
          <w:szCs w:val="21"/>
        </w:rPr>
        <w:t>（2）采用中华人民共和国法定计量单位。</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（3）乙方所提供的货物应符合国家有关安全、环保、卫生的规定。</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8.2 保证</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9.1 乙方保证对其出售的货物享有合法的权利。</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6"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6"/>
      <w:r>
        <w:rPr>
          <w:rFonts w:ascii="宋体" w:hAnsi="宋体" w:hint="eastAsia"/>
          <w:szCs w:val="21"/>
        </w:rPr>
        <w:t>。</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pPr>
        <w:autoSpaceDE w:val="0"/>
        <w:autoSpaceDN w:val="0"/>
        <w:adjustRightInd w:val="0"/>
        <w:snapToGrid w:val="0"/>
        <w:spacing w:line="400" w:lineRule="exact"/>
        <w:ind w:firstLine="420" w:firstLineChars="20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12.1 合同价款支付按照国库集中支付制度及财政管理相关规定执行。</w:t>
      </w:r>
    </w:p>
    <w:p>
      <w:pPr>
        <w:keepNext/>
        <w:keepLines/>
        <w:spacing w:line="400" w:lineRule="exact"/>
        <w:ind w:firstLine="420" w:firstLineChars="20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pPr>
        <w:spacing w:line="400" w:lineRule="exact"/>
        <w:rPr>
          <w:rFonts w:ascii="宋体" w:hAnsi="宋体" w:hint="eastAsia"/>
          <w:b/>
          <w:bCs/>
          <w:sz w:val="24"/>
        </w:rPr>
      </w:pPr>
      <w:r>
        <w:rPr>
          <w:rFonts w:ascii="宋体" w:hAnsi="宋体" w:hint="eastAsia"/>
          <w:b/>
          <w:bCs/>
          <w:sz w:val="24"/>
        </w:rPr>
        <w:t>13. 履约保证金</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14.1 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（1）货物的现场移动、安装、调试、启动监督及技术支持；</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（2）提供货物组装和维修所需的专用工具和辅助材料；</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14.2 乙方提供的售后服务的费用已包含在合同价款中，甲方不再另行支付。</w:t>
      </w:r>
    </w:p>
    <w:p>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15.1质量瑕疵的违约责任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pPr>
        <w:autoSpaceDE w:val="0"/>
        <w:autoSpaceDN w:val="0"/>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15.2 迟延交货的违约责任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15.3 迟延支付的违约责任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pPr>
        <w:adjustRightInd w:val="0"/>
        <w:snapToGrid w:val="0"/>
        <w:spacing w:line="400" w:lineRule="exact"/>
        <w:ind w:firstLine="420" w:firstLineChars="20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pPr>
        <w:numPr>
          <w:ilvl w:val="0"/>
          <w:numId w:val="17"/>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16.2合同的中止</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16.3合同的终止</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（1）合同因有效期限届满而终止；</w:t>
      </w:r>
    </w:p>
    <w:p>
      <w:pPr>
        <w:snapToGrid w:val="0"/>
        <w:spacing w:line="400" w:lineRule="exact"/>
        <w:ind w:firstLine="420" w:firstLineChars="20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pPr>
        <w:autoSpaceDE w:val="0"/>
        <w:autoSpaceDN w:val="0"/>
        <w:adjustRightInd w:val="0"/>
        <w:spacing w:line="400" w:lineRule="exact"/>
        <w:ind w:firstLine="420" w:firstLineChars="20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18.1 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22.4通知以送达之日或通知书中规定的生效之日起生效，两者中以较迟之日为准。</w:t>
      </w:r>
    </w:p>
    <w:p>
      <w:pPr>
        <w:numPr>
          <w:ilvl w:val="0"/>
          <w:numId w:val="18"/>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87" w:name="_Toc20313"/>
    </w:p>
    <w:p>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t>第三节 政府采购合同专用条款</w:t>
      </w:r>
      <w:bookmarkEnd w:id="87"/>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第1.2（6）项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第1.2（7）项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第4.4款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履约验收中甲方提出异议或作出说明的期限</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第4.6款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snapToGrid w:val="0"/>
              <w:jc w:val="center"/>
            </w:pPr>
            <w:r>
              <w:rPr>
                <w:rFonts w:ascii="宋体" w:hAnsi="宋体" w:hint="eastAsia"/>
                <w:szCs w:val="21"/>
              </w:rPr>
              <w:t>第5.4款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snapToGrid w:val="0"/>
              <w:jc w:val="center"/>
              <w:rPr>
                <w:rFonts w:ascii="宋体" w:hAnsi="宋体" w:hint="eastAsia"/>
                <w:szCs w:val="21"/>
              </w:rPr>
            </w:pPr>
            <w:r>
              <w:rPr>
                <w:rFonts w:ascii="宋体" w:hAnsi="宋体" w:hint="eastAsia"/>
                <w:szCs w:val="21"/>
              </w:rPr>
              <w:t>第6.1款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hAnsi="宋体" w:hint="eastAsia"/>
                <w:szCs w:val="21"/>
              </w:rPr>
            </w:pPr>
          </w:p>
        </w:tc>
        <w:tc>
          <w:tcPr>
            <w:tcW w:w="1742" w:type="dxa"/>
            <w:vAlign w:val="center"/>
          </w:tcPr>
          <w:p>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第8.2（1）项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第8.2（3）项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货物质量缺陷</w:t>
            </w:r>
          </w:p>
          <w:p>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hAnsi="宋体" w:cs="宋体" w:hint="eastAsia"/>
                <w:szCs w:val="21"/>
              </w:rPr>
            </w:pPr>
            <w:r>
              <w:rPr>
                <w:rFonts w:ascii="宋体" w:hAnsi="宋体" w:cs="宋体" w:hint="eastAsia"/>
                <w:szCs w:val="21"/>
              </w:rPr>
              <w:t>第二节</w:t>
            </w:r>
          </w:p>
          <w:p>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vAlign w:val="center"/>
          </w:tcPr>
          <w:p>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第13.2款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第13.3款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第14.1（3）项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第14.1（5）项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第14.1（6）项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第15.2（2）项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第23.1款</w:t>
            </w:r>
          </w:p>
        </w:tc>
        <w:tc>
          <w:tcPr>
            <w:tcW w:w="1742" w:type="dxa"/>
            <w:vAlign w:val="center"/>
          </w:tcPr>
          <w:p>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pPr>
              <w:adjustRightInd w:val="0"/>
              <w:snapToGrid w:val="0"/>
              <w:jc w:val="left"/>
              <w:rPr>
                <w:rFonts w:ascii="宋体" w:hAnsi="宋体" w:hint="eastAsia"/>
                <w:szCs w:val="21"/>
              </w:rPr>
            </w:pPr>
          </w:p>
        </w:tc>
      </w:tr>
    </w:tbl>
    <w:p/>
    <w:p/>
    <w:p>
      <w:pPr>
        <w:widowControl/>
        <w:jc w:val="left"/>
        <w:rPr>
          <w:rFonts w:ascii="宋体" w:hAnsi="宋体" w:hint="eastAsia"/>
          <w:szCs w:val="21"/>
        </w:rPr>
      </w:pPr>
      <w:r>
        <w:rPr>
          <w:rFonts w:ascii="宋体" w:hAnsi="宋体"/>
          <w:szCs w:val="21"/>
        </w:rPr>
        <w:br w:type="page"/>
      </w:r>
    </w:p>
    <w:p>
      <w:pPr>
        <w:widowControl/>
        <w:jc w:val="left"/>
        <w:rPr>
          <w:rFonts w:ascii="宋体" w:hAnsi="宋体" w:hint="eastAsia"/>
          <w:szCs w:val="21"/>
        </w:rPr>
      </w:pPr>
    </w:p>
    <w:p>
      <w:pPr>
        <w:pStyle w:val="Heading2"/>
        <w:spacing w:before="120" w:beforeLines="50" w:after="120" w:afterLines="50"/>
        <w:ind w:left="562"/>
        <w:rPr>
          <w:rFonts w:hint="eastAsia"/>
          <w:sz w:val="28"/>
          <w:szCs w:val="28"/>
        </w:rPr>
      </w:pPr>
      <w:r>
        <w:rPr>
          <w:rFonts w:hint="eastAsia"/>
          <w:sz w:val="28"/>
          <w:szCs w:val="28"/>
        </w:rPr>
        <w:t>第二册  通用条款（公开招标）</w:t>
      </w:r>
    </w:p>
    <w:p>
      <w:pPr>
        <w:pStyle w:val="Heading2"/>
        <w:numPr>
          <w:ilvl w:val="0"/>
          <w:numId w:val="19"/>
        </w:numPr>
        <w:spacing w:before="120" w:beforeLines="50" w:after="120" w:afterLines="50"/>
        <w:ind w:left="562" w:hanging="562"/>
        <w:rPr>
          <w:rFonts w:hint="eastAsia"/>
          <w:sz w:val="28"/>
          <w:szCs w:val="28"/>
        </w:rPr>
      </w:pPr>
      <w:bookmarkStart w:id="88" w:name="_Hlk72399513"/>
      <w:r>
        <w:rPr>
          <w:rFonts w:hint="eastAsia"/>
          <w:sz w:val="28"/>
          <w:szCs w:val="28"/>
        </w:rPr>
        <w:t>总则</w:t>
      </w:r>
    </w:p>
    <w:p>
      <w:pPr>
        <w:rPr>
          <w:rFonts w:ascii="黑体" w:eastAsia="黑体" w:hAnsi="宋体" w:hint="eastAsia"/>
          <w:sz w:val="24"/>
        </w:rPr>
      </w:pPr>
      <w:bookmarkEnd w:id="88"/>
      <w:r>
        <w:rPr>
          <w:rFonts w:ascii="黑体" w:eastAsia="黑体" w:hAnsi="宋体" w:hint="eastAsia"/>
          <w:sz w:val="24"/>
        </w:rPr>
        <w:t>1. 通用条款说明</w:t>
      </w:r>
    </w:p>
    <w:p>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89" w:name="_Hlk72399729"/>
      <w:r>
        <w:rPr>
          <w:rFonts w:ascii="宋体" w:hAnsi="宋体" w:hint="eastAsia"/>
          <w:szCs w:val="21"/>
        </w:rPr>
        <w:t>如有需要，政府集中采购机构可以对通用条款的内容进行补充。</w:t>
      </w:r>
      <w:bookmarkEnd w:id="89"/>
    </w:p>
    <w:p>
      <w:pPr>
        <w:ind w:firstLine="412" w:firstLineChars="196"/>
        <w:rPr>
          <w:rFonts w:ascii="宋体" w:hAnsi="宋体" w:hint="eastAsia"/>
          <w:szCs w:val="21"/>
        </w:rPr>
      </w:pPr>
      <w:r>
        <w:rPr>
          <w:rFonts w:ascii="宋体" w:hAnsi="宋体" w:hint="eastAsia"/>
          <w:szCs w:val="21"/>
        </w:rPr>
        <w:t>1.2招标文件分为第一册“专用条款”和第二册“通用条款”。</w:t>
      </w:r>
    </w:p>
    <w:p>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hint="eastAsia"/>
          <w:sz w:val="24"/>
        </w:rPr>
      </w:pPr>
      <w:r>
        <w:rPr>
          <w:rFonts w:ascii="黑体" w:eastAsia="黑体" w:hAnsi="宋体" w:hint="eastAsia"/>
          <w:sz w:val="24"/>
        </w:rPr>
        <w:t>3．定义</w:t>
      </w:r>
    </w:p>
    <w:p>
      <w:pPr>
        <w:ind w:firstLine="420" w:firstLineChars="200"/>
        <w:rPr>
          <w:rFonts w:ascii="宋体" w:hAnsi="宋体" w:hint="eastAsia"/>
          <w:szCs w:val="21"/>
        </w:rPr>
      </w:pPr>
      <w:r>
        <w:rPr>
          <w:rFonts w:ascii="宋体" w:hAnsi="宋体"/>
          <w:szCs w:val="21"/>
        </w:rPr>
        <w:t>招标文件中下列术语应解释为：</w:t>
      </w:r>
    </w:p>
    <w:p>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hint="eastAsia"/>
          <w:szCs w:val="21"/>
        </w:rPr>
      </w:pPr>
      <w:r>
        <w:rPr>
          <w:rFonts w:ascii="宋体" w:hAnsi="宋体" w:hint="eastAsia"/>
          <w:szCs w:val="21"/>
        </w:rPr>
        <w:t>3.6“合同”指由本次招标所产生的合同或合约文件；</w:t>
      </w:r>
    </w:p>
    <w:p>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深圳公共资源交易中心（深圳交易集团有限公司龙岗分公司）</w:t>
      </w:r>
      <w:r>
        <w:rPr>
          <w:rFonts w:ascii="宋体" w:hAnsi="宋体" w:hint="eastAsia"/>
          <w:szCs w:val="21"/>
        </w:rPr>
        <w:t>网站上传电子投标文件；</w:t>
      </w:r>
    </w:p>
    <w:p>
      <w:pPr>
        <w:ind w:firstLine="412" w:firstLineChars="196"/>
        <w:rPr>
          <w:rFonts w:ascii="宋体" w:hAnsi="宋体" w:hint="eastAsia"/>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hint="eastAsia"/>
          <w:sz w:val="24"/>
        </w:rPr>
      </w:pPr>
      <w:r>
        <w:rPr>
          <w:rFonts w:ascii="黑体" w:eastAsia="黑体" w:hAnsi="宋体" w:hint="eastAsia"/>
          <w:sz w:val="24"/>
        </w:rPr>
        <w:t xml:space="preserve">4. </w:t>
      </w:r>
      <w:bookmarkStart w:id="90" w:name="_Hlk72398643"/>
      <w:r>
        <w:rPr>
          <w:rFonts w:ascii="黑体" w:eastAsia="黑体" w:hAnsi="宋体" w:hint="eastAsia"/>
          <w:sz w:val="24"/>
        </w:rPr>
        <w:t>政府采购供应商责任</w:t>
      </w:r>
    </w:p>
    <w:p>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hint="eastAsia"/>
          <w:sz w:val="24"/>
        </w:rPr>
      </w:pPr>
      <w:r>
        <w:rPr>
          <w:rFonts w:ascii="黑体" w:eastAsia="黑体" w:hAnsi="宋体" w:hint="eastAsia"/>
          <w:sz w:val="24"/>
        </w:rPr>
        <w:t>5．投标人参加政府采购的条件</w:t>
      </w:r>
    </w:p>
    <w:p>
      <w:pPr>
        <w:ind w:firstLine="412" w:firstLineChars="196"/>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hint="eastAsia"/>
          <w:szCs w:val="21"/>
        </w:rPr>
      </w:pPr>
      <w:r>
        <w:rPr>
          <w:rFonts w:ascii="宋体" w:hAnsi="宋体" w:hint="eastAsia"/>
          <w:szCs w:val="21"/>
        </w:rPr>
        <w:t>5.2投标人资格要求</w:t>
      </w:r>
    </w:p>
    <w:p>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hint="eastAsia"/>
          <w:szCs w:val="21"/>
        </w:rPr>
      </w:pPr>
      <w:r>
        <w:rPr>
          <w:rFonts w:ascii="宋体" w:hAnsi="宋体" w:hint="eastAsia"/>
          <w:szCs w:val="21"/>
        </w:rPr>
        <w:t>5.3联合体投标</w:t>
      </w:r>
    </w:p>
    <w:p>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hint="eastAsia"/>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hint="eastAsia"/>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hint="eastAsia"/>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hint="eastAsia"/>
        </w:rPr>
      </w:pPr>
      <w:r>
        <w:rPr>
          <w:rFonts w:ascii="宋体" w:hAnsi="宋体" w:hint="eastAsia"/>
        </w:rPr>
        <w:t>（2）在投标截止前，投标联合体各方均应注册成政府集中采购机构供应商；</w:t>
      </w:r>
    </w:p>
    <w:p>
      <w:pPr>
        <w:ind w:firstLine="412" w:firstLineChars="196"/>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pPr>
        <w:rPr>
          <w:rFonts w:ascii="黑体" w:eastAsia="黑体" w:hAnsi="宋体" w:hint="eastAsia"/>
          <w:sz w:val="24"/>
        </w:rPr>
      </w:pPr>
      <w:r>
        <w:rPr>
          <w:rFonts w:ascii="黑体" w:eastAsia="黑体" w:hAnsi="宋体" w:hint="eastAsia"/>
          <w:sz w:val="24"/>
        </w:rPr>
        <w:t>6．政策导向</w:t>
      </w:r>
    </w:p>
    <w:p>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1"/>
    </w:p>
    <w:p>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hint="eastAsia"/>
        </w:rPr>
      </w:pPr>
      <w:r>
        <w:rPr>
          <w:rFonts w:ascii="宋体" w:hAnsi="宋体" w:hint="eastAsia"/>
        </w:rPr>
        <w:t>7.7  投标人必须承担的设备运输、安装调试、验收检测和提供设备操作说明书、图纸等其他相关及类似的义务。</w:t>
      </w:r>
    </w:p>
    <w:p>
      <w:pPr>
        <w:rPr>
          <w:rFonts w:ascii="黑体" w:eastAsia="黑体" w:hAnsi="宋体" w:hint="eastAsia"/>
          <w:sz w:val="24"/>
        </w:rPr>
      </w:pPr>
      <w:r>
        <w:rPr>
          <w:rFonts w:ascii="黑体" w:eastAsia="黑体" w:hAnsi="宋体" w:hint="eastAsia"/>
          <w:sz w:val="24"/>
        </w:rPr>
        <w:t>8．投标费用</w:t>
      </w:r>
    </w:p>
    <w:p>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hint="eastAsia"/>
          <w:sz w:val="24"/>
        </w:rPr>
      </w:pPr>
      <w:r>
        <w:rPr>
          <w:rFonts w:ascii="黑体" w:eastAsia="黑体" w:hAnsi="宋体" w:hint="eastAsia"/>
          <w:sz w:val="24"/>
        </w:rPr>
        <w:t>9．踏勘现场</w:t>
      </w:r>
    </w:p>
    <w:p>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hint="eastAsia"/>
        </w:rPr>
      </w:pPr>
      <w:bookmarkEnd w:id="90"/>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招标文件</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2" w:name="_Hlk72399819"/>
      <w:r>
        <w:rPr>
          <w:rFonts w:ascii="黑体" w:eastAsia="黑体" w:hAnsi="宋体" w:hint="eastAsia"/>
          <w:sz w:val="24"/>
        </w:rPr>
        <w:t>招标文件的编制与组成</w:t>
      </w:r>
    </w:p>
    <w:p>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hint="eastAsia"/>
          <w:szCs w:val="21"/>
        </w:rPr>
      </w:pPr>
      <w:r>
        <w:rPr>
          <w:rFonts w:ascii="宋体" w:hAnsi="宋体" w:hint="eastAsia"/>
          <w:szCs w:val="21"/>
        </w:rPr>
        <w:t>招标文件包括下列内容：</w:t>
      </w:r>
    </w:p>
    <w:p>
      <w:pPr>
        <w:ind w:left="420" w:firstLine="412" w:leftChars="200" w:firstLineChars="196"/>
        <w:rPr>
          <w:rFonts w:ascii="宋体" w:hAnsi="宋体" w:hint="eastAsia"/>
          <w:b/>
          <w:szCs w:val="21"/>
        </w:rPr>
      </w:pPr>
      <w:r>
        <w:rPr>
          <w:rFonts w:ascii="宋体" w:hAnsi="宋体" w:hint="eastAsia"/>
          <w:b/>
          <w:szCs w:val="21"/>
        </w:rPr>
        <w:t>第一册  专用条款</w:t>
      </w:r>
    </w:p>
    <w:p>
      <w:pPr>
        <w:ind w:left="1079" w:leftChars="514"/>
        <w:rPr>
          <w:rFonts w:ascii="宋体" w:hAnsi="宋体" w:hint="eastAsia"/>
          <w:b/>
          <w:szCs w:val="21"/>
        </w:rPr>
      </w:pPr>
      <w:r>
        <w:rPr>
          <w:rFonts w:ascii="宋体" w:hAnsi="宋体" w:hint="eastAsia"/>
          <w:b/>
          <w:szCs w:val="21"/>
        </w:rPr>
        <w:t>关键信息</w:t>
      </w:r>
    </w:p>
    <w:p>
      <w:pPr>
        <w:ind w:left="630" w:firstLine="412" w:leftChars="300" w:firstLineChars="196"/>
        <w:rPr>
          <w:rFonts w:ascii="宋体" w:hAnsi="宋体" w:hint="eastAsia"/>
          <w:szCs w:val="21"/>
        </w:rPr>
      </w:pPr>
      <w:r>
        <w:rPr>
          <w:rFonts w:ascii="宋体" w:hAnsi="宋体" w:hint="eastAsia"/>
          <w:szCs w:val="21"/>
        </w:rPr>
        <w:t>第一章  招标公告</w:t>
      </w:r>
    </w:p>
    <w:p>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pPr>
        <w:ind w:left="630" w:firstLine="412" w:leftChars="300" w:firstLineChars="196"/>
        <w:rPr>
          <w:rFonts w:ascii="宋体" w:hAnsi="宋体" w:hint="eastAsia"/>
          <w:szCs w:val="21"/>
        </w:rPr>
      </w:pPr>
      <w:r>
        <w:rPr>
          <w:rFonts w:ascii="宋体" w:hAnsi="宋体" w:hint="eastAsia"/>
          <w:szCs w:val="21"/>
        </w:rPr>
        <w:t>第三章  用户需求书</w:t>
      </w:r>
    </w:p>
    <w:p>
      <w:pPr>
        <w:ind w:left="630" w:firstLine="412" w:leftChars="300" w:firstLineChars="196"/>
        <w:rPr>
          <w:rFonts w:ascii="宋体" w:hAnsi="宋体" w:hint="eastAsia"/>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hint="eastAsia"/>
          <w:szCs w:val="21"/>
        </w:rPr>
      </w:pPr>
      <w:r>
        <w:rPr>
          <w:rFonts w:ascii="宋体" w:hAnsi="宋体" w:hint="eastAsia"/>
          <w:szCs w:val="21"/>
        </w:rPr>
        <w:t>第五章  合同条款及格式</w:t>
      </w:r>
    </w:p>
    <w:p>
      <w:pPr>
        <w:ind w:left="420" w:firstLine="412" w:leftChars="200" w:firstLineChars="196"/>
        <w:rPr>
          <w:rFonts w:ascii="宋体" w:hAnsi="宋体" w:hint="eastAsia"/>
          <w:b/>
          <w:szCs w:val="21"/>
        </w:rPr>
      </w:pPr>
      <w:r>
        <w:rPr>
          <w:rFonts w:ascii="宋体" w:hAnsi="宋体" w:hint="eastAsia"/>
          <w:b/>
          <w:szCs w:val="21"/>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left="630" w:firstLine="412" w:leftChars="300" w:firstLineChars="196"/>
        <w:rPr>
          <w:rFonts w:ascii="宋体" w:hAnsi="宋体" w:hint="eastAsia"/>
          <w:szCs w:val="21"/>
        </w:rPr>
      </w:pPr>
      <w:r>
        <w:rPr>
          <w:rFonts w:ascii="宋体" w:hAnsi="宋体" w:hint="eastAsia"/>
          <w:szCs w:val="21"/>
        </w:rPr>
        <w:t>第十一章  质疑处理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hAnsi="宋体" w:hint="eastAsia"/>
          <w:b w:val="0"/>
          <w:bCs w:val="0"/>
          <w:sz w:val="21"/>
        </w:rPr>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2"/>
    </w:p>
    <w:p>
      <w:pPr>
        <w:rPr>
          <w:rFonts w:ascii="宋体" w:hAnsi="宋体" w:hint="eastAsia"/>
          <w:szCs w:val="21"/>
        </w:rPr>
      </w:pPr>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投标文件的编制</w:t>
      </w:r>
    </w:p>
    <w:p>
      <w:pPr>
        <w:rPr>
          <w:rFonts w:ascii="黑体" w:eastAsia="黑体" w:hAnsi="宋体" w:hint="eastAsia"/>
          <w:sz w:val="24"/>
        </w:rPr>
      </w:pPr>
      <w:r>
        <w:rPr>
          <w:rFonts w:ascii="黑体" w:eastAsia="黑体" w:hAnsi="宋体" w:hint="eastAsia"/>
          <w:sz w:val="24"/>
        </w:rPr>
        <w:t>14．</w:t>
      </w:r>
      <w:bookmarkStart w:id="93" w:name="_Hlk72400236"/>
      <w:r>
        <w:rPr>
          <w:rFonts w:ascii="黑体" w:eastAsia="黑体" w:hAnsi="宋体" w:hint="eastAsia"/>
          <w:sz w:val="24"/>
        </w:rPr>
        <w:t>投标文件的语言及度量单位</w:t>
      </w:r>
    </w:p>
    <w:p>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hint="eastAsia"/>
          <w:sz w:val="24"/>
        </w:rPr>
      </w:pPr>
      <w:bookmarkEnd w:id="93"/>
      <w:r>
        <w:rPr>
          <w:rFonts w:ascii="黑体" w:eastAsia="黑体" w:hAnsi="宋体" w:hint="eastAsia"/>
          <w:sz w:val="24"/>
        </w:rPr>
        <w:t>15．</w:t>
      </w:r>
      <w:bookmarkStart w:id="94" w:name="_Hlk72401567"/>
      <w:r>
        <w:rPr>
          <w:rFonts w:ascii="黑体" w:eastAsia="黑体" w:hAnsi="宋体" w:hint="eastAsia"/>
          <w:sz w:val="24"/>
        </w:rPr>
        <w:t>投标文件的组成</w:t>
      </w:r>
    </w:p>
    <w:p>
      <w:pPr>
        <w:ind w:firstLine="412" w:firstLineChars="196"/>
        <w:rPr>
          <w:rFonts w:ascii="宋体" w:hAnsi="宋体" w:hint="eastAsia"/>
          <w:szCs w:val="21"/>
        </w:rPr>
      </w:pPr>
      <w:r>
        <w:rPr>
          <w:rFonts w:ascii="宋体" w:hAnsi="宋体" w:hint="eastAsia"/>
          <w:szCs w:val="21"/>
        </w:rPr>
        <w:t>具体内容在招标文件专用条款中进行规定。</w:t>
      </w:r>
    </w:p>
    <w:p>
      <w:pPr>
        <w:rPr>
          <w:rFonts w:ascii="黑体" w:eastAsia="黑体" w:hAnsi="宋体" w:hint="eastAsia"/>
          <w:sz w:val="24"/>
        </w:rPr>
      </w:pPr>
      <w:r>
        <w:rPr>
          <w:rFonts w:ascii="黑体" w:eastAsia="黑体" w:hAnsi="宋体"/>
          <w:sz w:val="24"/>
        </w:rPr>
        <w:t>16．投标文件格式</w:t>
      </w:r>
    </w:p>
    <w:p>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hint="eastAsia"/>
          <w:sz w:val="24"/>
        </w:rPr>
      </w:pPr>
      <w:r>
        <w:rPr>
          <w:rFonts w:ascii="黑体" w:eastAsia="黑体" w:hAnsi="宋体" w:hint="eastAsia"/>
          <w:sz w:val="24"/>
        </w:rPr>
        <w:t>17．投标货币</w:t>
      </w:r>
    </w:p>
    <w:p>
      <w:pPr>
        <w:ind w:firstLine="412" w:firstLineChars="196"/>
        <w:rPr>
          <w:rFonts w:ascii="宋体" w:hAnsi="宋体" w:hint="eastAsia"/>
          <w:szCs w:val="21"/>
        </w:rPr>
      </w:pPr>
      <w:r>
        <w:rPr>
          <w:rFonts w:ascii="宋体" w:hAnsi="宋体" w:hint="eastAsia"/>
          <w:szCs w:val="21"/>
        </w:rPr>
        <w:t>本项目的投标报价应以人民币计。</w:t>
      </w:r>
    </w:p>
    <w:p>
      <w:pPr>
        <w:rPr>
          <w:rFonts w:ascii="黑体" w:eastAsia="黑体" w:hAnsi="宋体" w:hint="eastAsia"/>
          <w:sz w:val="24"/>
        </w:rPr>
      </w:pPr>
      <w:bookmarkEnd w:id="94"/>
      <w:r>
        <w:rPr>
          <w:rFonts w:ascii="黑体" w:eastAsia="黑体" w:hAnsi="宋体" w:hint="eastAsia"/>
          <w:sz w:val="24"/>
        </w:rPr>
        <w:t>18．</w:t>
      </w:r>
      <w:bookmarkStart w:id="9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hint="eastAsia"/>
          <w:szCs w:val="21"/>
        </w:rPr>
      </w:pPr>
      <w:r>
        <w:rPr>
          <w:rFonts w:ascii="宋体" w:hAnsi="宋体" w:hint="eastAsia"/>
          <w:szCs w:val="21"/>
        </w:rPr>
        <w:t>18.2.1主要技术指标和性能的详细说明。</w:t>
      </w:r>
    </w:p>
    <w:p>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hint="eastAsia"/>
          <w:sz w:val="24"/>
        </w:rPr>
      </w:pPr>
      <w:bookmarkEnd w:id="95"/>
      <w:r>
        <w:rPr>
          <w:rFonts w:ascii="黑体" w:eastAsia="黑体" w:hAnsi="宋体" w:hint="eastAsia"/>
          <w:sz w:val="24"/>
        </w:rPr>
        <w:t>19．</w:t>
      </w:r>
      <w:bookmarkStart w:id="96" w:name="_Hlk72402034"/>
      <w:r>
        <w:rPr>
          <w:rFonts w:ascii="黑体" w:eastAsia="黑体" w:hAnsi="宋体" w:hint="eastAsia"/>
          <w:sz w:val="24"/>
        </w:rPr>
        <w:t>投标文件其他证明文件的要求</w:t>
      </w:r>
    </w:p>
    <w:p>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7"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hint="eastAsia"/>
          <w:szCs w:val="21"/>
        </w:rPr>
      </w:pPr>
      <w:bookmarkEnd w:id="97"/>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hint="eastAsia"/>
          <w:sz w:val="24"/>
        </w:rPr>
      </w:pPr>
      <w:r>
        <w:rPr>
          <w:rFonts w:ascii="黑体" w:eastAsia="黑体" w:hAnsi="宋体" w:hint="eastAsia"/>
          <w:sz w:val="24"/>
        </w:rPr>
        <w:t>20．投标有效期</w:t>
      </w:r>
    </w:p>
    <w:p>
      <w:pPr>
        <w:ind w:firstLine="412" w:firstLineChars="196"/>
        <w:rPr>
          <w:rFonts w:ascii="宋体" w:hAnsi="宋体" w:hint="eastAsia"/>
          <w:szCs w:val="21"/>
        </w:rPr>
      </w:pPr>
      <w:bookmarkEnd w:id="96"/>
      <w:bookmarkStart w:id="9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hint="eastAsia"/>
          <w:sz w:val="24"/>
        </w:rPr>
      </w:pPr>
      <w:bookmarkEnd w:id="98"/>
      <w:r>
        <w:rPr>
          <w:rFonts w:ascii="黑体" w:eastAsia="黑体" w:hAnsi="宋体" w:hint="eastAsia"/>
          <w:sz w:val="24"/>
        </w:rPr>
        <w:t>21．</w:t>
      </w:r>
      <w:bookmarkStart w:id="99" w:name="_Hlk72402325"/>
      <w:r>
        <w:rPr>
          <w:rFonts w:ascii="黑体" w:eastAsia="黑体" w:hAnsi="宋体" w:hint="eastAsia"/>
          <w:sz w:val="24"/>
        </w:rPr>
        <w:t xml:space="preserve">关于投标保证金 </w:t>
      </w:r>
    </w:p>
    <w:p>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hint="eastAsia"/>
          <w:sz w:val="24"/>
        </w:rPr>
      </w:pPr>
      <w:r>
        <w:rPr>
          <w:rFonts w:ascii="黑体" w:eastAsia="黑体" w:hAnsi="宋体" w:hint="eastAsia"/>
          <w:sz w:val="24"/>
        </w:rPr>
        <w:t>22．投标人的替代方案</w:t>
      </w:r>
    </w:p>
    <w:p>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hint="eastAsia"/>
          <w:sz w:val="24"/>
        </w:rPr>
      </w:pPr>
      <w:bookmarkEnd w:id="99"/>
      <w:r>
        <w:rPr>
          <w:rFonts w:ascii="黑体" w:eastAsia="黑体" w:hAnsi="宋体" w:hint="eastAsia"/>
          <w:sz w:val="24"/>
        </w:rPr>
        <w:t>23．</w:t>
      </w:r>
      <w:bookmarkStart w:id="10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hint="eastAsia"/>
        </w:rPr>
      </w:pPr>
      <w:r>
        <w:rPr>
          <w:rFonts w:ascii="宋体" w:hAnsi="宋体" w:hint="eastAsia"/>
        </w:rPr>
        <w:t>23.2投标人在使用《投标书编制软件》编制投标书时须注意：</w:t>
      </w:r>
    </w:p>
    <w:p>
      <w:pPr>
        <w:ind w:firstLine="412" w:firstLineChars="196"/>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nt="eastAsia"/>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hint="eastAsia"/>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nt="eastAsia"/>
        </w:rPr>
      </w:pPr>
      <w:r>
        <w:rPr>
          <w:rFonts w:ascii="宋体" w:hAnsi="宋体" w:hint="eastAsia"/>
        </w:rPr>
        <w:t>23.2.5完整填写“投标关键信息”，如下图所示：</w:t>
      </w:r>
    </w:p>
    <w:p>
      <w:pPr>
        <w:ind w:firstLine="412" w:firstLineChars="196"/>
        <w:rPr>
          <w:rFonts w:ascii="宋体" w:hAnsi="宋体" w:hint="eastAsia"/>
        </w:rPr>
      </w:pPr>
      <w:r>
        <w:rPr>
          <w:rFonts w:ascii="宋体" w:hAnsi="宋体"/>
        </w:rPr>
        <w:drawing>
          <wp:inline distT="0" distB="0" distL="0" distR="0">
            <wp:extent cx="5278755" cy="2721610"/>
            <wp:effectExtent l="0" t="0" r="0" b="0"/>
            <wp:docPr id="1027" name="图片 3"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7" name="图片 3" descr="图形用户界面, 应用程序&#10;&#10;描述已自动生成"/>
                    <pic:cNvPicPr/>
                  </pic:nvPicPr>
                  <pic:blipFill>
                    <a:blip xmlns:r="http://schemas.openxmlformats.org/officeDocument/2006/relationships" r:embed="rId13" cstate="print"/>
                    <a:stretch>
                      <a:fillRect/>
                    </a:stretch>
                  </pic:blipFill>
                  <pic:spPr>
                    <a:xfrm>
                      <a:off x="0" y="0"/>
                      <a:ext cx="5278755" cy="2721610"/>
                    </a:xfrm>
                    <a:prstGeom prst="rect">
                      <a:avLst/>
                    </a:prstGeom>
                    <a:ln>
                      <a:noFill/>
                    </a:ln>
                  </pic:spPr>
                </pic:pic>
              </a:graphicData>
            </a:graphic>
          </wp:inline>
        </w:drawing>
      </w:r>
    </w:p>
    <w:p>
      <w:pPr>
        <w:ind w:firstLine="412" w:firstLineChars="196"/>
        <w:rPr>
          <w:rFonts w:ascii="宋体" w:hAnsi="宋体" w:hint="eastAsia"/>
          <w:b/>
        </w:rPr>
      </w:pPr>
    </w:p>
    <w:p>
      <w:pPr>
        <w:ind w:firstLine="412" w:firstLineChars="196"/>
        <w:rPr>
          <w:rFonts w:ascii="宋体" w:hAnsi="宋体" w:hint="eastAsia"/>
        </w:rPr>
      </w:pPr>
    </w:p>
    <w:p>
      <w:pPr>
        <w:rPr>
          <w:rFonts w:ascii="宋体" w:hAnsi="宋体" w:hint="eastAsia"/>
        </w:rPr>
      </w:pPr>
    </w:p>
    <w:p>
      <w:pPr>
        <w:widowControl/>
        <w:jc w:val="left"/>
        <w:rPr>
          <w:rFonts w:ascii="宋体" w:hAnsi="宋体" w:cs="宋体" w:hint="eastAsia"/>
          <w:kern w:val="0"/>
          <w:sz w:val="24"/>
        </w:rPr>
      </w:pPr>
    </w:p>
    <w:p>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nt="eastAsia"/>
        </w:rPr>
      </w:pPr>
      <w:r>
        <w:rPr>
          <w:rFonts w:ascii="宋体" w:hAnsi="宋体" w:hint="eastAsia"/>
        </w:rPr>
        <w:t>23.3电报、电话、传真形式的投标概不接受。</w:t>
      </w:r>
    </w:p>
    <w:p>
      <w:pPr>
        <w:ind w:firstLine="412" w:firstLineChars="196"/>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hint="eastAsia"/>
        </w:rPr>
      </w:pPr>
      <w:r>
        <w:rPr>
          <w:rFonts w:ascii="宋体" w:hAnsi="宋体" w:hint="eastAsia"/>
          <w:bCs/>
        </w:rPr>
        <w:t xml:space="preserve">23.5 </w:t>
      </w:r>
      <w:r>
        <w:rPr>
          <w:rFonts w:ascii="宋体" w:hAnsi="宋体" w:hint="eastAsia"/>
        </w:rPr>
        <w:t>各类资格（资质）文件提供扫描件，专用条款另有要求的除外。</w:t>
      </w:r>
      <w:bookmarkEnd w:id="100"/>
    </w:p>
    <w:p>
      <w:pPr>
        <w:ind w:firstLine="412" w:firstLineChars="196"/>
        <w:rPr>
          <w:rFonts w:ascii="宋体" w:hAnsi="宋体" w:hint="eastAsia"/>
          <w:szCs w:val="21"/>
        </w:rPr>
      </w:pPr>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投标文件的递交</w:t>
      </w:r>
    </w:p>
    <w:p>
      <w:pPr>
        <w:rPr>
          <w:rFonts w:ascii="黑体" w:eastAsia="黑体" w:hAnsi="宋体" w:hint="eastAsia"/>
          <w:sz w:val="24"/>
        </w:rPr>
      </w:pPr>
      <w:bookmarkStart w:id="101" w:name="_Hlk72405459"/>
      <w:r>
        <w:rPr>
          <w:rFonts w:ascii="黑体" w:eastAsia="黑体" w:hAnsi="宋体" w:hint="eastAsia"/>
          <w:sz w:val="24"/>
        </w:rPr>
        <w:t>24．投标文件的保密</w:t>
      </w:r>
    </w:p>
    <w:p>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hint="eastAsia"/>
          <w:kern w:val="0"/>
          <w:sz w:val="24"/>
        </w:rPr>
      </w:pPr>
      <w:r>
        <w:rPr>
          <w:rFonts w:ascii="宋体" w:hAnsi="宋体"/>
        </w:rPr>
        <w:drawing>
          <wp:inline distT="0" distB="0" distL="0" distR="0">
            <wp:extent cx="5278755" cy="2721610"/>
            <wp:effectExtent l="0" t="0" r="0" b="0"/>
            <wp:docPr id="1028" name="图片 8"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028" name="图片 8" descr="图形用户界面, 应用程序&#10;&#10;描述已自动生成"/>
                    <pic:cNvPicPr/>
                  </pic:nvPicPr>
                  <pic:blipFill>
                    <a:blip xmlns:r="http://schemas.openxmlformats.org/officeDocument/2006/relationships" r:embed="rId13" cstate="print"/>
                    <a:stretch>
                      <a:fillRect/>
                    </a:stretch>
                  </pic:blipFill>
                  <pic:spPr>
                    <a:xfrm>
                      <a:off x="0" y="0"/>
                      <a:ext cx="5278755" cy="2721610"/>
                    </a:xfrm>
                    <a:prstGeom prst="rect">
                      <a:avLst/>
                    </a:prstGeom>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1029" name="图片 9" descr="图形用户界面&#10;&#10;描述已自动生成"/>
            <wp:cNvGraphicFramePr/>
            <a:graphic xmlns:a="http://schemas.openxmlformats.org/drawingml/2006/main">
              <a:graphicData uri="http://schemas.openxmlformats.org/drawingml/2006/picture">
                <pic:pic xmlns:pic="http://schemas.openxmlformats.org/drawingml/2006/picture">
                  <pic:nvPicPr>
                    <pic:cNvPr id="1029" name="图片 9" descr="图形用户界面&#10;&#10;描述已自动生成"/>
                    <pic:cNvPicPr/>
                  </pic:nvPicPr>
                  <pic:blipFill>
                    <a:blip xmlns:r="http://schemas.openxmlformats.org/officeDocument/2006/relationships" r:embed="rId14" cstate="print"/>
                    <a:stretch>
                      <a:fillRect/>
                    </a:stretch>
                  </pic:blipFill>
                  <pic:spPr>
                    <a:xfrm>
                      <a:off x="0" y="0"/>
                      <a:ext cx="5278755" cy="2732405"/>
                    </a:xfrm>
                    <a:prstGeom prst="rect">
                      <a:avLst/>
                    </a:prstGeom>
                    <a:ln>
                      <a:noFill/>
                    </a:ln>
                  </pic:spPr>
                </pic:pic>
              </a:graphicData>
            </a:graphic>
          </wp:inline>
        </w:drawing>
      </w:r>
    </w:p>
    <w:p>
      <w:pPr>
        <w:ind w:firstLine="412" w:firstLineChars="196"/>
        <w:rPr>
          <w:rFonts w:ascii="宋体" w:hAnsi="宋体" w:hint="eastAsia"/>
        </w:rPr>
      </w:pPr>
    </w:p>
    <w:p>
      <w:pPr>
        <w:rPr>
          <w:rFonts w:ascii="宋体" w:hAnsi="宋体" w:hint="eastAsia"/>
          <w:b/>
        </w:rPr>
      </w:pPr>
      <w:r>
        <w:rPr>
          <w:rFonts w:ascii="黑体" w:eastAsia="黑体" w:hAnsi="宋体" w:hint="eastAsia"/>
          <w:sz w:val="24"/>
        </w:rPr>
        <w:t>24.2若采购项目出现延期情况：</w:t>
      </w:r>
    </w:p>
    <w:p>
      <w:pPr>
        <w:ind w:firstLine="420" w:firstLineChars="200"/>
        <w:rPr>
          <w:rFonts w:ascii="黑体" w:eastAsia="黑体" w:hAnsi="宋体" w:hint="eastAsia"/>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rPr>
        <w:t>（是否重新制作投标文件根据项目实际情况定）。否则，投标人自行承担投标文件无法解密导致投标无效的后果。</w:t>
      </w:r>
    </w:p>
    <w:p>
      <w:pPr>
        <w:rPr>
          <w:rFonts w:ascii="黑体" w:eastAsia="黑体" w:hAnsi="宋体" w:hint="eastAsia"/>
          <w:sz w:val="24"/>
        </w:rPr>
      </w:pPr>
      <w:r>
        <w:rPr>
          <w:rFonts w:ascii="黑体" w:eastAsia="黑体" w:hAnsi="宋体" w:hint="eastAsia"/>
          <w:sz w:val="24"/>
        </w:rPr>
        <w:t>25．上传投标文件及投标截止日期</w:t>
      </w:r>
    </w:p>
    <w:p>
      <w:pPr>
        <w:wordWrap w:val="0"/>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深圳公共资源交易中心（深圳交易集团有限公司龙岗分公司）1</w:t>
      </w:r>
      <w:r>
        <w:rPr>
          <w:rFonts w:ascii="宋体" w:hAnsi="宋体" w:hint="eastAsia"/>
          <w:b/>
          <w:bCs/>
        </w:rPr>
        <w:t>楼（地址：深圳市龙岗区黄阁路383号）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hint="eastAsia"/>
        </w:rPr>
      </w:pPr>
    </w:p>
    <w:p>
      <w:pPr>
        <w:ind w:firstLine="412" w:firstLineChars="196"/>
        <w:rPr>
          <w:rFonts w:ascii="宋体" w:hAnsi="宋体" w:hint="eastAsia"/>
        </w:rPr>
      </w:pPr>
    </w:p>
    <w:p>
      <w:pPr>
        <w:rPr>
          <w:rFonts w:ascii="黑体" w:eastAsia="黑体" w:hAnsi="宋体" w:hint="eastAsia"/>
          <w:sz w:val="24"/>
        </w:rPr>
      </w:pPr>
      <w:bookmarkEnd w:id="101"/>
      <w:r>
        <w:rPr>
          <w:rFonts w:ascii="黑体" w:eastAsia="黑体" w:hAnsi="宋体" w:hint="eastAsia"/>
          <w:sz w:val="24"/>
        </w:rPr>
        <w:t>26. 样品、现场演示、方案讲解</w:t>
      </w:r>
    </w:p>
    <w:p>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pPr>
        <w:rPr>
          <w:rFonts w:ascii="黑体" w:eastAsia="黑体" w:hAnsi="宋体" w:hint="eastAsia"/>
          <w:sz w:val="24"/>
        </w:rPr>
      </w:pPr>
      <w:bookmarkStart w:id="10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p>
    <w:p>
      <w:pPr>
        <w:pStyle w:val="Heading2"/>
        <w:numPr>
          <w:ilvl w:val="0"/>
          <w:numId w:val="19"/>
        </w:numPr>
        <w:spacing w:before="120" w:beforeLines="50" w:after="120" w:afterLines="50"/>
        <w:ind w:left="562" w:hanging="562"/>
        <w:rPr>
          <w:rFonts w:hint="eastAsia"/>
          <w:sz w:val="28"/>
          <w:szCs w:val="28"/>
        </w:rPr>
      </w:pPr>
      <w:bookmarkEnd w:id="102"/>
      <w:r>
        <w:rPr>
          <w:rFonts w:hint="eastAsia"/>
          <w:sz w:val="28"/>
          <w:szCs w:val="28"/>
        </w:rPr>
        <w:t>开标</w:t>
      </w:r>
    </w:p>
    <w:p>
      <w:pPr>
        <w:rPr>
          <w:rFonts w:ascii="黑体" w:eastAsia="黑体" w:hAnsi="宋体" w:hint="eastAsia"/>
          <w:sz w:val="24"/>
        </w:rPr>
      </w:pPr>
      <w:r>
        <w:rPr>
          <w:rFonts w:ascii="黑体" w:eastAsia="黑体" w:hAnsi="宋体" w:hint="eastAsia"/>
          <w:sz w:val="24"/>
        </w:rPr>
        <w:t>28．开标</w:t>
      </w:r>
    </w:p>
    <w:p>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hint="eastAsia"/>
          <w:szCs w:val="21"/>
        </w:rPr>
      </w:pPr>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评审要求</w:t>
      </w:r>
    </w:p>
    <w:p>
      <w:pPr>
        <w:rPr>
          <w:rFonts w:ascii="黑体" w:eastAsia="黑体" w:hAnsi="宋体" w:hint="eastAsia"/>
          <w:sz w:val="24"/>
        </w:rPr>
      </w:pPr>
      <w:r>
        <w:rPr>
          <w:rFonts w:ascii="黑体" w:eastAsia="黑体" w:hAnsi="宋体" w:hint="eastAsia"/>
          <w:sz w:val="24"/>
        </w:rPr>
        <w:t>29．评审委员会组成</w:t>
      </w:r>
    </w:p>
    <w:p>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hint="eastAsia"/>
        </w:rPr>
      </w:pPr>
      <w:r>
        <w:rPr>
          <w:rFonts w:ascii="宋体" w:hAnsi="宋体" w:hint="eastAsia"/>
        </w:rPr>
        <w:t>29.2评审定标应当遵循公平、公正、科学、择优的原则。</w:t>
      </w:r>
    </w:p>
    <w:p>
      <w:pPr>
        <w:ind w:firstLine="412" w:firstLineChars="196"/>
        <w:rPr>
          <w:rFonts w:ascii="宋体" w:hAnsi="宋体" w:hint="eastAsia"/>
        </w:rPr>
      </w:pPr>
      <w:r>
        <w:rPr>
          <w:rFonts w:ascii="宋体" w:hAnsi="宋体" w:hint="eastAsia"/>
        </w:rPr>
        <w:t>29.3评审活动依法进行，任何单位和个人不得非法干预评标过程和结果。</w:t>
      </w:r>
    </w:p>
    <w:p>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hint="eastAsia"/>
          <w:sz w:val="24"/>
        </w:rPr>
      </w:pPr>
      <w:r>
        <w:rPr>
          <w:rFonts w:ascii="黑体" w:eastAsia="黑体" w:hAnsi="宋体" w:hint="eastAsia"/>
          <w:sz w:val="24"/>
        </w:rPr>
        <w:t>30．向评审委员会提供的资料</w:t>
      </w:r>
    </w:p>
    <w:p>
      <w:pPr>
        <w:ind w:firstLine="412" w:firstLineChars="196"/>
        <w:rPr>
          <w:rFonts w:ascii="宋体" w:hAnsi="宋体" w:hint="eastAsia"/>
        </w:rPr>
      </w:pPr>
      <w:r>
        <w:rPr>
          <w:rFonts w:ascii="宋体" w:hAnsi="宋体" w:hint="eastAsia"/>
        </w:rPr>
        <w:t>30.1公开发布的招标文件，包括图纸、服务清单、答疑文件等；</w:t>
      </w:r>
    </w:p>
    <w:p>
      <w:pPr>
        <w:ind w:firstLine="412" w:firstLineChars="196"/>
        <w:rPr>
          <w:rFonts w:ascii="宋体" w:hAnsi="宋体" w:hint="eastAsia"/>
        </w:rPr>
      </w:pPr>
      <w:r>
        <w:rPr>
          <w:rFonts w:ascii="宋体" w:hAnsi="宋体" w:hint="eastAsia"/>
        </w:rPr>
        <w:t>30.2其他评标必须的资料。</w:t>
      </w:r>
    </w:p>
    <w:p>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hint="eastAsia"/>
        </w:rPr>
      </w:pPr>
      <w:r>
        <w:rPr>
          <w:rFonts w:ascii="宋体" w:hAnsi="宋体" w:hint="eastAsia"/>
        </w:rPr>
        <w:t>（1）招标的目的；</w:t>
      </w:r>
    </w:p>
    <w:p>
      <w:pPr>
        <w:ind w:firstLine="412" w:firstLineChars="196"/>
        <w:rPr>
          <w:rFonts w:ascii="宋体" w:hAnsi="宋体" w:hint="eastAsia"/>
        </w:rPr>
      </w:pPr>
      <w:r>
        <w:rPr>
          <w:rFonts w:ascii="宋体" w:hAnsi="宋体" w:hint="eastAsia"/>
        </w:rPr>
        <w:t>（2）招标项目需求的范围和性质；</w:t>
      </w:r>
    </w:p>
    <w:p>
      <w:pPr>
        <w:ind w:firstLine="412" w:firstLineChars="196"/>
        <w:rPr>
          <w:rFonts w:ascii="宋体" w:hAnsi="宋体" w:hint="eastAsia"/>
        </w:rPr>
      </w:pPr>
      <w:r>
        <w:rPr>
          <w:rFonts w:ascii="宋体" w:hAnsi="宋体" w:hint="eastAsia"/>
        </w:rPr>
        <w:t>（3）招标文件规定的投标人的资格、财政预算限额、商务条款；</w:t>
      </w:r>
    </w:p>
    <w:p>
      <w:pPr>
        <w:ind w:firstLine="412" w:firstLineChars="196"/>
        <w:rPr>
          <w:rFonts w:ascii="宋体" w:hAnsi="宋体" w:hint="eastAsia"/>
        </w:rPr>
      </w:pPr>
      <w:r>
        <w:rPr>
          <w:rFonts w:ascii="宋体" w:hAnsi="宋体" w:hint="eastAsia"/>
        </w:rPr>
        <w:t>（4）招标文件规定的评标程序、评标方法和评标因素；</w:t>
      </w:r>
    </w:p>
    <w:p>
      <w:pPr>
        <w:ind w:firstLine="412" w:firstLineChars="196"/>
        <w:rPr>
          <w:rFonts w:ascii="宋体" w:hAnsi="宋体" w:hint="eastAsia"/>
        </w:rPr>
      </w:pPr>
      <w:r>
        <w:rPr>
          <w:rFonts w:ascii="宋体" w:hAnsi="宋体" w:hint="eastAsia"/>
        </w:rPr>
        <w:t>（5）招标文件所列示的资格性审查表及符合性审查表。</w:t>
      </w:r>
    </w:p>
    <w:p>
      <w:pPr>
        <w:rPr>
          <w:rFonts w:ascii="黑体" w:eastAsia="黑体" w:hAnsi="宋体" w:hint="eastAsia"/>
          <w:sz w:val="24"/>
        </w:rPr>
      </w:pPr>
      <w:r>
        <w:rPr>
          <w:rFonts w:ascii="黑体" w:eastAsia="黑体" w:hAnsi="宋体" w:hint="eastAsia"/>
          <w:sz w:val="24"/>
        </w:rPr>
        <w:t>31．独立评审</w:t>
      </w:r>
    </w:p>
    <w:p>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hint="eastAsia"/>
          <w:bCs/>
          <w:szCs w:val="21"/>
        </w:rPr>
      </w:pPr>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评审程序及评审方法</w:t>
      </w:r>
    </w:p>
    <w:p>
      <w:pPr>
        <w:rPr>
          <w:rFonts w:ascii="黑体" w:eastAsia="黑体" w:hAnsi="宋体" w:hint="eastAsia"/>
          <w:sz w:val="24"/>
        </w:rPr>
      </w:pPr>
      <w:r>
        <w:rPr>
          <w:rFonts w:ascii="黑体" w:eastAsia="黑体" w:hAnsi="宋体" w:hint="eastAsia"/>
          <w:sz w:val="24"/>
        </w:rPr>
        <w:t>32．投标文件初审</w:t>
      </w:r>
    </w:p>
    <w:p>
      <w:pPr>
        <w:ind w:firstLine="412" w:firstLineChars="196"/>
        <w:rPr>
          <w:rFonts w:ascii="宋体" w:hAnsi="宋体" w:hint="eastAsia"/>
        </w:rPr>
      </w:pPr>
      <w:r>
        <w:rPr>
          <w:rFonts w:ascii="宋体" w:hAnsi="宋体" w:hint="eastAsia"/>
        </w:rPr>
        <w:t>32.1投标文件初审包括资格性审查和符合性审查。</w:t>
      </w:r>
    </w:p>
    <w:p>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hint="eastAsia"/>
          <w:bCs/>
        </w:rPr>
      </w:pPr>
      <w:r>
        <w:rPr>
          <w:rFonts w:ascii="宋体" w:hAnsi="宋体" w:hint="eastAsia"/>
          <w:bCs/>
        </w:rPr>
        <w:t>32.3 投标文件初审中关于供应商家数的计算:</w:t>
      </w:r>
    </w:p>
    <w:p>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nt="eastAsia"/>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hint="eastAsia"/>
        </w:rPr>
      </w:pPr>
      <w:r>
        <w:rPr>
          <w:rFonts w:ascii="宋体" w:hAnsi="宋体" w:hint="eastAsia"/>
        </w:rPr>
        <w:t>32.4.3不同投标人的投标文件载明的项目管理成员或者联系人员为同一人；</w:t>
      </w:r>
    </w:p>
    <w:p>
      <w:pPr>
        <w:ind w:firstLine="412" w:firstLineChars="196"/>
        <w:rPr>
          <w:rFonts w:ascii="宋体" w:hAnsi="宋体" w:hint="eastAsia"/>
        </w:rPr>
      </w:pPr>
      <w:r>
        <w:rPr>
          <w:rFonts w:ascii="宋体" w:hAnsi="宋体" w:hint="eastAsia"/>
        </w:rPr>
        <w:t>32.4.4不同投标人的投标文件异常一致或者投标报价呈规律性差异；</w:t>
      </w:r>
    </w:p>
    <w:p>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hint="eastAsia"/>
        </w:rPr>
      </w:pPr>
      <w:r>
        <w:rPr>
          <w:rFonts w:ascii="宋体" w:hAnsi="宋体" w:hint="eastAsia"/>
        </w:rPr>
        <w:t>32.4.6投标供应商之间相互约定给予未中标的供应商利益补偿；</w:t>
      </w:r>
    </w:p>
    <w:p>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nt="eastAsia"/>
        </w:rPr>
      </w:pPr>
      <w:r>
        <w:rPr>
          <w:rFonts w:ascii="宋体" w:hAnsi="宋体" w:hint="eastAsia"/>
        </w:rPr>
        <w:t>32.4.8不同投标供应商的投标文件内容存在非正常一致；</w:t>
      </w:r>
    </w:p>
    <w:p>
      <w:pPr>
        <w:ind w:firstLine="412" w:firstLineChars="196"/>
        <w:rPr>
          <w:rFonts w:ascii="宋体" w:hAnsi="宋体" w:hint="eastAsia"/>
        </w:rPr>
      </w:pPr>
      <w:r>
        <w:rPr>
          <w:rFonts w:ascii="宋体" w:hAnsi="宋体" w:hint="eastAsia"/>
        </w:rPr>
        <w:t>32.4.9在同一单位工作人员为两家以上（含两家）供应商进行同一项投标活动；</w:t>
      </w:r>
    </w:p>
    <w:p>
      <w:pPr>
        <w:ind w:firstLine="412" w:firstLineChars="196"/>
        <w:rPr>
          <w:rFonts w:ascii="宋体" w:hAnsi="宋体" w:hint="eastAsia"/>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hint="eastAsia"/>
          <w:sz w:val="24"/>
        </w:rPr>
      </w:pPr>
      <w:r>
        <w:rPr>
          <w:rFonts w:ascii="黑体" w:eastAsia="黑体" w:hAnsi="宋体" w:hint="eastAsia"/>
          <w:sz w:val="24"/>
        </w:rPr>
        <w:t>33．澄清有关问题</w:t>
      </w:r>
    </w:p>
    <w:p>
      <w:pPr>
        <w:ind w:firstLine="412" w:firstLineChars="196"/>
        <w:rPr>
          <w:rFonts w:ascii="宋体" w:hAnsi="宋体" w:hint="eastAsia"/>
        </w:rPr>
      </w:pPr>
      <w:bookmarkStart w:id="10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4"/>
    </w:p>
    <w:p>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hint="eastAsia"/>
          <w:sz w:val="24"/>
        </w:rPr>
      </w:pPr>
      <w:bookmarkStart w:id="105" w:name="_Toc100052400"/>
      <w:bookmarkStart w:id="106" w:name="_Toc73521669"/>
      <w:bookmarkStart w:id="107" w:name="_Toc73517673"/>
      <w:bookmarkStart w:id="108" w:name="_Toc73518151"/>
      <w:bookmarkStart w:id="109" w:name="_Toc73521581"/>
      <w:r>
        <w:rPr>
          <w:rFonts w:ascii="黑体" w:eastAsia="黑体" w:hAnsi="宋体" w:hint="eastAsia"/>
          <w:sz w:val="24"/>
        </w:rPr>
        <w:t>34．错误的修正</w:t>
      </w:r>
      <w:bookmarkEnd w:id="105"/>
      <w:bookmarkEnd w:id="106"/>
      <w:bookmarkEnd w:id="107"/>
      <w:bookmarkEnd w:id="108"/>
      <w:bookmarkEnd w:id="109"/>
    </w:p>
    <w:p>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hint="eastAsia"/>
          <w:szCs w:val="21"/>
        </w:rPr>
      </w:pPr>
      <w:r>
        <w:rPr>
          <w:rFonts w:ascii="宋体" w:hAnsi="宋体" w:hint="eastAsia"/>
          <w:szCs w:val="21"/>
        </w:rPr>
        <w:t>34.2大写金额和小写金额不一致的，以大写金额为准；</w:t>
      </w:r>
    </w:p>
    <w:p>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hint="eastAsia"/>
          <w:sz w:val="24"/>
        </w:rPr>
      </w:pPr>
      <w:r>
        <w:rPr>
          <w:rFonts w:ascii="黑体" w:eastAsia="黑体" w:hAnsi="宋体" w:hint="eastAsia"/>
          <w:sz w:val="24"/>
        </w:rPr>
        <w:t>35．投标文件的比较与评价</w:t>
      </w:r>
    </w:p>
    <w:p>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hint="eastAsia"/>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hint="eastAsia"/>
          <w:sz w:val="24"/>
        </w:rPr>
      </w:pPr>
      <w:r>
        <w:rPr>
          <w:rFonts w:ascii="黑体" w:eastAsia="黑体" w:hAnsi="宋体" w:hint="eastAsia"/>
          <w:sz w:val="24"/>
        </w:rPr>
        <w:t>36. 实地考察</w:t>
      </w:r>
    </w:p>
    <w:p>
      <w:pPr>
        <w:ind w:firstLine="412" w:firstLineChars="196"/>
        <w:rPr>
          <w:rFonts w:ascii="宋体" w:hAnsi="宋体" w:hint="eastAsia"/>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hint="eastAsia"/>
          <w:sz w:val="24"/>
        </w:rPr>
      </w:pPr>
      <w:r>
        <w:rPr>
          <w:rFonts w:ascii="黑体" w:eastAsia="黑体" w:hAnsi="宋体" w:hint="eastAsia"/>
          <w:sz w:val="24"/>
        </w:rPr>
        <w:t>37．评审方法</w:t>
      </w:r>
    </w:p>
    <w:p>
      <w:pPr>
        <w:ind w:firstLine="412" w:firstLineChars="196"/>
        <w:rPr>
          <w:rFonts w:ascii="宋体" w:hAnsi="宋体" w:hint="eastAsia"/>
          <w:b/>
          <w:bCs/>
          <w:szCs w:val="21"/>
        </w:rPr>
      </w:pPr>
      <w:r>
        <w:rPr>
          <w:rFonts w:ascii="宋体" w:hAnsi="宋体" w:hint="eastAsia"/>
          <w:b/>
          <w:bCs/>
          <w:szCs w:val="21"/>
        </w:rPr>
        <w:t>37.1.1最低价法</w:t>
      </w:r>
    </w:p>
    <w:p>
      <w:pPr>
        <w:ind w:firstLine="412" w:firstLineChars="196"/>
        <w:rPr>
          <w:rFonts w:ascii="ˎ̥" w:hAnsi="ˎ̥" w:hint="eastAsia"/>
        </w:rPr>
      </w:pPr>
      <w:bookmarkStart w:id="110" w:name="_Hlk72438142"/>
      <w:r>
        <w:rPr>
          <w:rFonts w:ascii="ˎ̥" w:hAnsi="ˎ̥"/>
        </w:rPr>
        <w:t>最低价法，</w:t>
      </w:r>
      <w:r>
        <w:rPr>
          <w:rFonts w:ascii="ˎ̥" w:hAnsi="ˎ̥" w:hint="eastAsia"/>
        </w:rPr>
        <w:t>是指投标文件满足招标文件全部实质性要求，且投标报价最低的投标人为中标候选人的评标方法。</w:t>
      </w:r>
    </w:p>
    <w:p>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0"/>
      <w:r>
        <w:rPr>
          <w:rFonts w:ascii="ˎ̥" w:hAnsi="ˎ̥" w:hint="eastAsia"/>
        </w:rPr>
        <w:t>。</w:t>
      </w:r>
    </w:p>
    <w:p>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hint="eastAsia"/>
          <w:b/>
          <w:bCs/>
          <w:szCs w:val="21"/>
        </w:rPr>
      </w:pPr>
      <w:r>
        <w:rPr>
          <w:rFonts w:ascii="宋体" w:hAnsi="宋体" w:hint="eastAsia"/>
          <w:b/>
          <w:bCs/>
          <w:szCs w:val="21"/>
        </w:rPr>
        <w:t>37.3重新评审的情形</w:t>
      </w:r>
    </w:p>
    <w:p>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hint="eastAsia"/>
          <w:b/>
          <w:bCs/>
          <w:szCs w:val="21"/>
        </w:rPr>
      </w:pPr>
      <w:r>
        <w:rPr>
          <w:rFonts w:ascii="宋体" w:hAnsi="宋体" w:hint="eastAsia"/>
          <w:b/>
          <w:bCs/>
          <w:szCs w:val="21"/>
        </w:rPr>
        <w:t>37.4重新组建评审委员会的情形</w:t>
      </w:r>
    </w:p>
    <w:p>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hint="eastAsia"/>
          <w:szCs w:val="21"/>
        </w:rPr>
      </w:pPr>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定标及公示</w:t>
      </w:r>
    </w:p>
    <w:p>
      <w:pPr>
        <w:rPr>
          <w:rFonts w:ascii="黑体" w:eastAsia="黑体" w:hAnsi="宋体" w:hint="eastAsia"/>
          <w:sz w:val="24"/>
        </w:rPr>
      </w:pPr>
      <w:r>
        <w:rPr>
          <w:rFonts w:ascii="黑体" w:eastAsia="黑体" w:hAnsi="宋体" w:hint="eastAsia"/>
          <w:sz w:val="24"/>
        </w:rPr>
        <w:t>38．定标方法</w:t>
      </w:r>
    </w:p>
    <w:p>
      <w:pPr>
        <w:ind w:firstLine="412" w:firstLineChars="196"/>
        <w:rPr>
          <w:rFonts w:ascii="宋体" w:hAnsi="宋体" w:hint="eastAsia"/>
          <w:szCs w:val="21"/>
        </w:rPr>
      </w:pPr>
      <w:bookmarkStart w:id="111" w:name="_Hlk73782795"/>
      <w:r>
        <w:rPr>
          <w:rFonts w:ascii="宋体" w:hAnsi="宋体" w:hint="eastAsia"/>
          <w:szCs w:val="21"/>
        </w:rPr>
        <w:t>38.1非评定分离项目定标方法</w:t>
      </w:r>
    </w:p>
    <w:p>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2"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2"/>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hint="eastAsia"/>
          <w:szCs w:val="21"/>
        </w:rPr>
      </w:pPr>
      <w:r>
        <w:rPr>
          <w:rFonts w:ascii="宋体" w:hAnsi="宋体" w:hint="eastAsia"/>
          <w:szCs w:val="21"/>
        </w:rPr>
        <w:t>38.2评定分离项目定标方法</w:t>
      </w:r>
    </w:p>
    <w:p>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hint="eastAsia"/>
          <w:szCs w:val="21"/>
        </w:rPr>
      </w:pPr>
      <w:r>
        <w:rPr>
          <w:rFonts w:ascii="宋体" w:hAnsi="宋体" w:hint="eastAsia"/>
          <w:szCs w:val="21"/>
        </w:rPr>
        <w:t>38.2.3</w:t>
      </w:r>
      <w:bookmarkStart w:id="11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3"/>
      <w:bookmarkEnd w:id="114"/>
    </w:p>
    <w:p>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pPr>
        <w:ind w:firstLine="412" w:firstLineChars="196"/>
        <w:rPr>
          <w:rFonts w:ascii="宋体" w:hAnsi="宋体" w:hint="eastAsia"/>
          <w:szCs w:val="21"/>
        </w:rPr>
      </w:pPr>
      <w:r>
        <w:rPr>
          <w:rFonts w:ascii="宋体" w:hAnsi="宋体" w:hint="eastAsia"/>
          <w:szCs w:val="21"/>
        </w:rPr>
        <w:t>38.3专用条款另有规定的，按专用条款相关要求定标。</w:t>
      </w:r>
      <w:bookmarkEnd w:id="111"/>
    </w:p>
    <w:p>
      <w:pPr>
        <w:rPr>
          <w:rFonts w:ascii="黑体" w:eastAsia="黑体" w:hAnsi="宋体" w:hint="eastAsia"/>
          <w:sz w:val="24"/>
        </w:rPr>
      </w:pPr>
      <w:r>
        <w:rPr>
          <w:rFonts w:ascii="黑体" w:eastAsia="黑体" w:hAnsi="宋体" w:hint="eastAsia"/>
          <w:sz w:val="24"/>
        </w:rPr>
        <w:t>39．编写评审报告</w:t>
      </w:r>
    </w:p>
    <w:p>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hint="eastAsia"/>
          <w:sz w:val="24"/>
        </w:rPr>
      </w:pPr>
      <w:r>
        <w:rPr>
          <w:rFonts w:ascii="黑体" w:eastAsia="黑体" w:hAnsi="宋体" w:hint="eastAsia"/>
          <w:sz w:val="24"/>
        </w:rPr>
        <w:t>40．中标公告</w:t>
      </w:r>
    </w:p>
    <w:p>
      <w:pPr>
        <w:ind w:firstLine="412" w:firstLineChars="196"/>
        <w:rPr>
          <w:rFonts w:ascii="宋体" w:hAnsi="宋体" w:hint="eastAsia"/>
          <w:szCs w:val="21"/>
        </w:rPr>
      </w:pPr>
      <w:r>
        <w:rPr>
          <w:rFonts w:ascii="宋体" w:hAnsi="宋体" w:hint="eastAsia"/>
          <w:szCs w:val="21"/>
        </w:rPr>
        <w:t>40.1</w:t>
      </w:r>
      <w:bookmarkStart w:id="11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5"/>
      <w:bookmarkStart w:id="11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hint="eastAsia"/>
          <w:szCs w:val="21"/>
        </w:rPr>
      </w:pPr>
      <w:bookmarkEnd w:id="116"/>
      <w:r>
        <w:rPr>
          <w:rFonts w:ascii="宋体" w:hAnsi="宋体" w:hint="eastAsia"/>
          <w:szCs w:val="21"/>
        </w:rPr>
        <w:t>40.2质疑、投诉供应商应保证质疑、投诉内容的真实性和可靠性，并承担相应的法律责任。</w:t>
      </w:r>
    </w:p>
    <w:p>
      <w:pPr>
        <w:rPr>
          <w:rFonts w:ascii="黑体" w:eastAsia="黑体" w:hAnsi="宋体" w:hint="eastAsia"/>
          <w:sz w:val="24"/>
        </w:rPr>
      </w:pPr>
      <w:r>
        <w:rPr>
          <w:rFonts w:ascii="黑体" w:eastAsia="黑体" w:hAnsi="宋体" w:hint="eastAsia"/>
          <w:sz w:val="24"/>
        </w:rPr>
        <w:t>41．中标通知书</w:t>
      </w:r>
    </w:p>
    <w:p>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1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7"/>
    </w:p>
    <w:p>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hint="eastAsia"/>
          <w:szCs w:val="21"/>
        </w:rPr>
      </w:pPr>
      <w:bookmarkStart w:id="118"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hint="eastAsia"/>
          <w:szCs w:val="21"/>
        </w:rPr>
      </w:pPr>
      <w:bookmarkEnd w:id="118"/>
    </w:p>
    <w:p>
      <w:pPr>
        <w:pStyle w:val="Heading2"/>
        <w:numPr>
          <w:ilvl w:val="0"/>
          <w:numId w:val="19"/>
        </w:numPr>
        <w:spacing w:before="120" w:beforeLines="50" w:after="120" w:afterLines="50"/>
        <w:ind w:left="562" w:hanging="562"/>
        <w:rPr>
          <w:rFonts w:hint="eastAsia"/>
          <w:sz w:val="28"/>
          <w:szCs w:val="28"/>
        </w:rPr>
      </w:pPr>
      <w:r>
        <w:rPr>
          <w:rFonts w:hint="eastAsia"/>
          <w:sz w:val="28"/>
          <w:szCs w:val="28"/>
        </w:rPr>
        <w:t>公开招标失败的后续处理</w:t>
      </w:r>
    </w:p>
    <w:p>
      <w:pPr>
        <w:rPr>
          <w:rFonts w:ascii="黑体" w:eastAsia="黑体" w:hAnsi="宋体" w:hint="eastAsia"/>
          <w:sz w:val="24"/>
        </w:rPr>
      </w:pPr>
      <w:r>
        <w:rPr>
          <w:rFonts w:ascii="黑体" w:eastAsia="黑体" w:hAnsi="宋体" w:hint="eastAsia"/>
          <w:sz w:val="24"/>
        </w:rPr>
        <w:t>42．公开招标失败的处理</w:t>
      </w:r>
    </w:p>
    <w:p>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hint="eastAsia"/>
          <w:szCs w:val="21"/>
        </w:rPr>
      </w:pPr>
      <w:r>
        <w:rPr>
          <w:rFonts w:ascii="宋体" w:hAnsi="宋体" w:hint="eastAsia"/>
          <w:szCs w:val="21"/>
        </w:rPr>
        <w:t>42.3重新组织采购有以下两种组织形式：</w:t>
      </w:r>
    </w:p>
    <w:p>
      <w:pPr>
        <w:ind w:firstLine="412" w:firstLineChars="196"/>
        <w:rPr>
          <w:rFonts w:ascii="宋体" w:hAnsi="宋体" w:hint="eastAsia"/>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hint="eastAsia"/>
          <w:sz w:val="24"/>
        </w:rPr>
      </w:pPr>
    </w:p>
    <w:p>
      <w:pPr>
        <w:pStyle w:val="Heading2"/>
        <w:numPr>
          <w:ilvl w:val="0"/>
          <w:numId w:val="19"/>
        </w:numPr>
        <w:spacing w:before="120" w:beforeLines="50" w:after="120" w:afterLines="50"/>
        <w:ind w:left="562" w:hanging="562"/>
        <w:rPr>
          <w:rFonts w:hint="eastAsia"/>
          <w:sz w:val="28"/>
          <w:szCs w:val="28"/>
        </w:rPr>
      </w:pPr>
      <w:bookmarkStart w:id="119" w:name="_Hlk72439043"/>
      <w:r>
        <w:rPr>
          <w:rFonts w:hint="eastAsia"/>
          <w:sz w:val="28"/>
          <w:szCs w:val="28"/>
        </w:rPr>
        <w:t>合同的授予与备案</w:t>
      </w:r>
      <w:bookmarkEnd w:id="119"/>
    </w:p>
    <w:p>
      <w:pPr>
        <w:rPr>
          <w:rFonts w:ascii="黑体" w:eastAsia="黑体" w:hAnsi="宋体" w:hint="eastAsia"/>
          <w:sz w:val="24"/>
        </w:rPr>
      </w:pPr>
      <w:bookmarkStart w:id="120" w:name="_Toc73517679"/>
      <w:bookmarkStart w:id="121" w:name="_Toc100052408"/>
      <w:bookmarkStart w:id="122" w:name="_Toc73521674"/>
      <w:bookmarkStart w:id="123" w:name="_Toc73518157"/>
      <w:bookmarkStart w:id="124" w:name="_Toc73521586"/>
      <w:bookmarkStart w:id="125" w:name="_Hlk72439088"/>
      <w:r>
        <w:rPr>
          <w:rFonts w:ascii="黑体" w:eastAsia="黑体" w:hAnsi="宋体" w:hint="eastAsia"/>
          <w:sz w:val="24"/>
        </w:rPr>
        <w:t>43．合同授予标准</w:t>
      </w:r>
      <w:bookmarkEnd w:id="120"/>
      <w:bookmarkEnd w:id="121"/>
      <w:bookmarkEnd w:id="122"/>
      <w:bookmarkEnd w:id="123"/>
      <w:bookmarkEnd w:id="124"/>
    </w:p>
    <w:p>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pPr>
        <w:rPr>
          <w:rFonts w:ascii="黑体" w:eastAsia="黑体" w:hAnsi="宋体" w:hint="eastAsia"/>
          <w:sz w:val="24"/>
        </w:rPr>
      </w:pPr>
      <w:bookmarkStart w:id="126" w:name="_Toc73521587"/>
      <w:bookmarkStart w:id="127" w:name="_Toc100052409"/>
      <w:bookmarkStart w:id="128" w:name="_Toc73518158"/>
      <w:bookmarkStart w:id="129" w:name="_Toc73521675"/>
      <w:bookmarkStart w:id="130" w:name="_Toc73517680"/>
      <w:r>
        <w:rPr>
          <w:rFonts w:ascii="黑体" w:eastAsia="黑体" w:hAnsi="宋体" w:hint="eastAsia"/>
          <w:sz w:val="24"/>
        </w:rPr>
        <w:t>44．</w:t>
      </w:r>
      <w:bookmarkEnd w:id="126"/>
      <w:bookmarkEnd w:id="127"/>
      <w:bookmarkEnd w:id="128"/>
      <w:bookmarkEnd w:id="129"/>
      <w:bookmarkEnd w:id="130"/>
      <w:r>
        <w:rPr>
          <w:rFonts w:ascii="黑体" w:eastAsia="黑体" w:hAnsi="宋体" w:hint="eastAsia"/>
          <w:sz w:val="24"/>
        </w:rPr>
        <w:t>接受和拒绝任何或所有投标的权力</w:t>
      </w:r>
    </w:p>
    <w:p>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hint="eastAsia"/>
          <w:sz w:val="24"/>
        </w:rPr>
      </w:pPr>
      <w:bookmarkStart w:id="131" w:name="_Toc73521589"/>
      <w:bookmarkStart w:id="132" w:name="_Toc73521677"/>
      <w:bookmarkStart w:id="133" w:name="_Toc73518160"/>
      <w:bookmarkStart w:id="134" w:name="_Toc73517682"/>
      <w:bookmarkStart w:id="135" w:name="_Toc100052410"/>
      <w:r>
        <w:rPr>
          <w:rFonts w:ascii="黑体" w:eastAsia="黑体" w:hAnsi="宋体" w:hint="eastAsia"/>
          <w:sz w:val="24"/>
        </w:rPr>
        <w:t>45．合同的签订</w:t>
      </w:r>
      <w:bookmarkEnd w:id="131"/>
      <w:bookmarkEnd w:id="132"/>
      <w:bookmarkEnd w:id="133"/>
      <w:bookmarkEnd w:id="134"/>
      <w:bookmarkEnd w:id="135"/>
    </w:p>
    <w:p>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hint="eastAsia"/>
          <w:sz w:val="24"/>
        </w:rPr>
      </w:pPr>
      <w:bookmarkStart w:id="136" w:name="_Toc100052411"/>
      <w:bookmarkStart w:id="137" w:name="_Toc73518161"/>
      <w:bookmarkStart w:id="138" w:name="_Toc73521590"/>
      <w:bookmarkStart w:id="139" w:name="_Toc73521678"/>
      <w:bookmarkStart w:id="140" w:name="_Toc73517683"/>
      <w:r>
        <w:rPr>
          <w:rFonts w:ascii="黑体" w:eastAsia="黑体" w:hAnsi="宋体" w:hint="eastAsia"/>
          <w:sz w:val="24"/>
        </w:rPr>
        <w:t>46．履约担保</w:t>
      </w:r>
      <w:bookmarkEnd w:id="136"/>
      <w:bookmarkEnd w:id="137"/>
      <w:bookmarkEnd w:id="138"/>
      <w:bookmarkEnd w:id="139"/>
      <w:bookmarkEnd w:id="140"/>
    </w:p>
    <w:p>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hint="eastAsia"/>
          <w:sz w:val="24"/>
        </w:rPr>
      </w:pPr>
      <w:r>
        <w:rPr>
          <w:rFonts w:ascii="黑体" w:eastAsia="黑体" w:hAnsi="宋体" w:hint="eastAsia"/>
          <w:sz w:val="24"/>
        </w:rPr>
        <w:t>47. 合同备案</w:t>
      </w:r>
    </w:p>
    <w:p>
      <w:pPr>
        <w:ind w:firstLine="420" w:firstLineChars="200"/>
        <w:rPr>
          <w:rFonts w:ascii="宋体" w:hAnsi="宋体" w:hint="eastAsia"/>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hint="eastAsia"/>
          <w:sz w:val="24"/>
        </w:rPr>
      </w:pPr>
      <w:r>
        <w:rPr>
          <w:rFonts w:ascii="黑体" w:eastAsia="黑体" w:hAnsi="宋体" w:hint="eastAsia"/>
          <w:sz w:val="24"/>
        </w:rPr>
        <w:t>48. 合同变更</w:t>
      </w:r>
    </w:p>
    <w:p>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hint="eastAsia"/>
          <w:sz w:val="24"/>
        </w:rPr>
      </w:pPr>
      <w:r>
        <w:rPr>
          <w:rFonts w:ascii="黑体" w:eastAsia="黑体" w:hAnsi="宋体" w:hint="eastAsia"/>
          <w:sz w:val="24"/>
        </w:rPr>
        <w:t>49. 项目验收</w:t>
      </w:r>
    </w:p>
    <w:p>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hint="eastAsia"/>
          <w:sz w:val="24"/>
        </w:rPr>
      </w:pPr>
      <w:r>
        <w:rPr>
          <w:rFonts w:ascii="黑体" w:eastAsia="黑体" w:hAnsi="宋体" w:hint="eastAsia"/>
          <w:sz w:val="24"/>
        </w:rPr>
        <w:t>50. 宣传</w:t>
      </w:r>
    </w:p>
    <w:p>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hint="eastAsia"/>
        </w:rPr>
      </w:pPr>
      <w:r>
        <w:rPr>
          <w:rFonts w:ascii="宋体" w:hAnsi="宋体"/>
        </w:rPr>
        <w:t>a.名片、宣传册、广告标语等；</w:t>
      </w:r>
    </w:p>
    <w:p>
      <w:pPr>
        <w:ind w:left="210" w:firstLine="412" w:leftChars="100" w:firstLineChars="196"/>
        <w:rPr>
          <w:rFonts w:ascii="宋体" w:hAnsi="宋体" w:hint="eastAsia"/>
        </w:rPr>
      </w:pPr>
      <w:r>
        <w:rPr>
          <w:rFonts w:ascii="宋体" w:hAnsi="宋体"/>
        </w:rPr>
        <w:t>b.案例介绍、推广等；</w:t>
      </w:r>
    </w:p>
    <w:p>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pPr>
        <w:rPr>
          <w:rFonts w:ascii="黑体" w:eastAsia="黑体" w:hAnsi="宋体" w:hint="eastAsia"/>
          <w:sz w:val="24"/>
        </w:rPr>
      </w:pPr>
      <w:r>
        <w:rPr>
          <w:rFonts w:ascii="黑体" w:eastAsia="黑体" w:hAnsi="宋体" w:hint="eastAsia"/>
          <w:sz w:val="24"/>
        </w:rPr>
        <w:t>51. 供应商违法责任</w:t>
      </w:r>
    </w:p>
    <w:p>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hint="eastAsia"/>
          <w:szCs w:val="21"/>
        </w:rPr>
      </w:pPr>
      <w:r>
        <w:rPr>
          <w:rFonts w:ascii="宋体" w:hAnsi="宋体" w:hint="eastAsia"/>
          <w:szCs w:val="21"/>
        </w:rPr>
        <w:t>（1）在采购活动中应当回避而未回避的；</w:t>
      </w:r>
    </w:p>
    <w:p>
      <w:pPr>
        <w:ind w:firstLine="412" w:firstLineChars="196"/>
        <w:rPr>
          <w:rFonts w:ascii="宋体" w:hAnsi="宋体" w:hint="eastAsia"/>
          <w:szCs w:val="21"/>
        </w:rPr>
      </w:pPr>
      <w:r>
        <w:rPr>
          <w:rFonts w:ascii="宋体" w:hAnsi="宋体" w:hint="eastAsia"/>
          <w:szCs w:val="21"/>
        </w:rPr>
        <w:t>（2）未按本条例规定签订、履行采购合同，造成严重后果的；</w:t>
      </w:r>
    </w:p>
    <w:p>
      <w:pPr>
        <w:ind w:firstLine="412" w:firstLineChars="196"/>
        <w:rPr>
          <w:rFonts w:ascii="宋体" w:hAnsi="宋体" w:hint="eastAsia"/>
          <w:szCs w:val="21"/>
        </w:rPr>
      </w:pPr>
      <w:r>
        <w:rPr>
          <w:rFonts w:ascii="宋体" w:hAnsi="宋体" w:hint="eastAsia"/>
          <w:szCs w:val="21"/>
        </w:rPr>
        <w:t>（3）隐瞒真实情况，提供虚假资料的；</w:t>
      </w:r>
    </w:p>
    <w:p>
      <w:pPr>
        <w:ind w:firstLine="412" w:firstLineChars="196"/>
        <w:rPr>
          <w:rFonts w:ascii="宋体" w:hAnsi="宋体" w:hint="eastAsia"/>
          <w:szCs w:val="21"/>
        </w:rPr>
      </w:pPr>
      <w:r>
        <w:rPr>
          <w:rFonts w:ascii="宋体" w:hAnsi="宋体" w:hint="eastAsia"/>
          <w:szCs w:val="21"/>
        </w:rPr>
        <w:t>（4）以非法手段排斥其他供应商参与竞争的；</w:t>
      </w:r>
    </w:p>
    <w:p>
      <w:pPr>
        <w:ind w:firstLine="412" w:firstLineChars="196"/>
        <w:rPr>
          <w:rFonts w:ascii="宋体" w:hAnsi="宋体" w:hint="eastAsia"/>
          <w:szCs w:val="21"/>
        </w:rPr>
      </w:pPr>
      <w:r>
        <w:rPr>
          <w:rFonts w:ascii="宋体" w:hAnsi="宋体" w:hint="eastAsia"/>
          <w:szCs w:val="21"/>
        </w:rPr>
        <w:t>（5）与其他采购参加人串通投标的；</w:t>
      </w:r>
    </w:p>
    <w:p>
      <w:pPr>
        <w:ind w:firstLine="412" w:firstLineChars="196"/>
        <w:rPr>
          <w:rFonts w:ascii="宋体" w:hAnsi="宋体" w:hint="eastAsia"/>
          <w:szCs w:val="21"/>
        </w:rPr>
      </w:pPr>
      <w:r>
        <w:rPr>
          <w:rFonts w:ascii="宋体" w:hAnsi="宋体" w:hint="eastAsia"/>
          <w:szCs w:val="21"/>
        </w:rPr>
        <w:t>（6）恶意投诉的；</w:t>
      </w:r>
    </w:p>
    <w:p>
      <w:pPr>
        <w:ind w:firstLine="412" w:firstLineChars="196"/>
        <w:rPr>
          <w:rFonts w:ascii="宋体" w:hAnsi="宋体" w:hint="eastAsia"/>
          <w:szCs w:val="21"/>
        </w:rPr>
      </w:pPr>
      <w:r>
        <w:rPr>
          <w:rFonts w:ascii="宋体" w:hAnsi="宋体" w:hint="eastAsia"/>
          <w:szCs w:val="21"/>
        </w:rPr>
        <w:t>（7）向采购项目相关人行贿或者提供其他不当利益的；</w:t>
      </w:r>
    </w:p>
    <w:p>
      <w:pPr>
        <w:ind w:firstLine="412" w:firstLineChars="196"/>
        <w:rPr>
          <w:rFonts w:ascii="宋体" w:hAnsi="宋体" w:hint="eastAsia"/>
          <w:szCs w:val="21"/>
        </w:rPr>
      </w:pPr>
      <w:r>
        <w:rPr>
          <w:rFonts w:ascii="宋体" w:hAnsi="宋体" w:hint="eastAsia"/>
          <w:szCs w:val="21"/>
        </w:rPr>
        <w:t>（8）阻碍、抗拒主管部门监督检查的；</w:t>
      </w:r>
    </w:p>
    <w:p>
      <w:pPr>
        <w:ind w:firstLine="412" w:firstLineChars="196"/>
        <w:rPr>
          <w:rFonts w:ascii="宋体" w:hAnsi="宋体" w:hint="eastAsia"/>
          <w:szCs w:val="21"/>
        </w:rPr>
      </w:pPr>
      <w:r>
        <w:rPr>
          <w:rFonts w:ascii="宋体" w:hAnsi="宋体" w:hint="eastAsia"/>
          <w:szCs w:val="21"/>
        </w:rPr>
        <w:t>（9）其他违反本条例规定的行为。</w:t>
      </w:r>
    </w:p>
    <w:p>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1" w:name="_Hlk72440769"/>
      <w:r>
        <w:rPr>
          <w:rFonts w:ascii="宋体" w:hAnsi="宋体" w:hint="eastAsia"/>
          <w:szCs w:val="21"/>
        </w:rPr>
        <w:t>政府集中采购机构或采购人不予退还其交纳的谈判保证金，情节严重的，并由主管部门</w:t>
      </w:r>
      <w:bookmarkEnd w:id="141"/>
      <w:r>
        <w:rPr>
          <w:rFonts w:ascii="宋体" w:hAnsi="宋体" w:hint="eastAsia"/>
          <w:szCs w:val="21"/>
        </w:rPr>
        <w:t>记入供应商诚信档案，予以通报：</w:t>
      </w:r>
    </w:p>
    <w:p>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9"/>
        </w:numPr>
        <w:spacing w:before="120" w:beforeLines="50" w:after="120" w:afterLines="50"/>
        <w:ind w:left="562" w:hanging="562"/>
        <w:rPr>
          <w:rFonts w:hint="eastAsia"/>
          <w:sz w:val="28"/>
          <w:szCs w:val="28"/>
        </w:rPr>
      </w:pPr>
      <w:bookmarkEnd w:id="125"/>
      <w:r>
        <w:rPr>
          <w:rFonts w:hint="eastAsia"/>
          <w:sz w:val="28"/>
          <w:szCs w:val="28"/>
        </w:rPr>
        <w:t>质疑处理</w:t>
      </w:r>
    </w:p>
    <w:p>
      <w:pPr>
        <w:rPr>
          <w:rFonts w:ascii="黑体" w:eastAsia="黑体" w:hAnsi="宋体" w:hint="eastAsia"/>
          <w:sz w:val="24"/>
        </w:rPr>
      </w:pPr>
      <w:bookmarkStart w:id="142" w:name="_Hlk72439706"/>
      <w:r>
        <w:rPr>
          <w:rFonts w:ascii="黑体" w:eastAsia="黑体" w:hAnsi="宋体" w:hint="eastAsia"/>
          <w:sz w:val="24"/>
        </w:rPr>
        <w:t>52.质疑提出与答复</w:t>
      </w:r>
    </w:p>
    <w:p>
      <w:pPr>
        <w:rPr>
          <w:rFonts w:ascii="宋体" w:hAnsi="宋体" w:hint="eastAsia"/>
          <w:szCs w:val="21"/>
        </w:rPr>
      </w:pPr>
      <w:r>
        <w:rPr>
          <w:rFonts w:ascii="宋体" w:hAnsi="宋体" w:hint="eastAsia"/>
          <w:szCs w:val="21"/>
        </w:rPr>
        <w:t xml:space="preserve">    52.1提出质疑</w:t>
      </w:r>
    </w:p>
    <w:p>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hint="eastAsia"/>
          <w:szCs w:val="21"/>
        </w:rPr>
      </w:pPr>
      <w:r>
        <w:rPr>
          <w:rFonts w:ascii="宋体" w:hAnsi="宋体" w:hint="eastAsia"/>
          <w:szCs w:val="21"/>
        </w:rPr>
        <w:t xml:space="preserve">    52.2</w:t>
      </w:r>
      <w:r>
        <w:rPr>
          <w:rFonts w:ascii="宋体" w:hAnsi="宋体"/>
          <w:szCs w:val="21"/>
        </w:rPr>
        <w:t>法律依据</w:t>
      </w:r>
    </w:p>
    <w:p>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3" w:name="_Hlk75374941"/>
      <w:r>
        <w:rPr>
          <w:rFonts w:ascii="宋体" w:hAnsi="宋体" w:hint="eastAsia"/>
          <w:szCs w:val="21"/>
        </w:rPr>
        <w:t>以联合体形式参与的，质疑应当由组成联合体的所有成员共同提出</w:t>
      </w:r>
      <w:bookmarkEnd w:id="143"/>
      <w:r>
        <w:rPr>
          <w:rFonts w:ascii="宋体" w:hAnsi="宋体" w:hint="eastAsia"/>
          <w:szCs w:val="21"/>
        </w:rPr>
        <w:t>；</w:t>
      </w:r>
    </w:p>
    <w:p>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hint="eastAsia"/>
          <w:szCs w:val="21"/>
        </w:rPr>
      </w:pPr>
      <w:r>
        <w:rPr>
          <w:rFonts w:ascii="宋体" w:hAnsi="宋体" w:hint="eastAsia"/>
          <w:szCs w:val="21"/>
        </w:rPr>
        <w:t>（1）供应商的名称（或者姓名）、地址、邮编、邮箱、联系人及联系电话；</w:t>
      </w:r>
    </w:p>
    <w:p>
      <w:pPr>
        <w:ind w:firstLine="420" w:firstLineChars="200"/>
        <w:rPr>
          <w:rFonts w:ascii="宋体" w:hAnsi="宋体" w:hint="eastAsia"/>
          <w:szCs w:val="21"/>
        </w:rPr>
      </w:pPr>
      <w:r>
        <w:rPr>
          <w:rFonts w:ascii="宋体" w:hAnsi="宋体" w:hint="eastAsia"/>
          <w:szCs w:val="21"/>
        </w:rPr>
        <w:t>（2）质疑项目的名称、编号；</w:t>
      </w:r>
    </w:p>
    <w:p>
      <w:pPr>
        <w:ind w:firstLine="420" w:firstLineChars="200"/>
        <w:rPr>
          <w:rFonts w:ascii="宋体" w:hAnsi="宋体" w:hint="eastAsia"/>
          <w:szCs w:val="21"/>
        </w:rPr>
      </w:pPr>
      <w:r>
        <w:rPr>
          <w:rFonts w:ascii="宋体" w:hAnsi="宋体" w:hint="eastAsia"/>
          <w:szCs w:val="21"/>
        </w:rPr>
        <w:t>（3）具体、明确的质疑对象、质疑事项和质疑请求；</w:t>
      </w:r>
    </w:p>
    <w:p>
      <w:pPr>
        <w:ind w:firstLine="420" w:firstLineChars="200"/>
        <w:rPr>
          <w:rFonts w:ascii="宋体" w:hAnsi="宋体" w:hint="eastAsia"/>
          <w:szCs w:val="21"/>
        </w:rPr>
      </w:pPr>
      <w:r>
        <w:rPr>
          <w:rFonts w:ascii="宋体" w:hAnsi="宋体" w:hint="eastAsia"/>
          <w:szCs w:val="21"/>
        </w:rPr>
        <w:t>（4）因质疑事项而受损害的权益；</w:t>
      </w:r>
    </w:p>
    <w:p>
      <w:pPr>
        <w:ind w:firstLine="420" w:firstLineChars="200"/>
        <w:rPr>
          <w:rFonts w:ascii="宋体" w:hAnsi="宋体" w:hint="eastAsia"/>
          <w:szCs w:val="21"/>
        </w:rPr>
      </w:pPr>
      <w:r>
        <w:rPr>
          <w:rFonts w:ascii="宋体" w:hAnsi="宋体" w:hint="eastAsia"/>
          <w:szCs w:val="21"/>
        </w:rPr>
        <w:t>（5）事实依据；</w:t>
      </w:r>
    </w:p>
    <w:p>
      <w:pPr>
        <w:ind w:firstLine="420" w:firstLineChars="200"/>
        <w:rPr>
          <w:rFonts w:ascii="宋体" w:hAnsi="宋体" w:hint="eastAsia"/>
          <w:szCs w:val="21"/>
        </w:rPr>
      </w:pPr>
      <w:r>
        <w:rPr>
          <w:rFonts w:ascii="宋体" w:hAnsi="宋体" w:hint="eastAsia"/>
          <w:szCs w:val="21"/>
        </w:rPr>
        <w:t>（6）必要的法律依据；</w:t>
      </w:r>
    </w:p>
    <w:p>
      <w:pPr>
        <w:ind w:firstLine="420" w:firstLineChars="200"/>
        <w:rPr>
          <w:rFonts w:ascii="宋体" w:hAnsi="宋体" w:hint="eastAsia"/>
          <w:szCs w:val="21"/>
        </w:rPr>
      </w:pPr>
      <w:r>
        <w:rPr>
          <w:rFonts w:ascii="宋体" w:hAnsi="宋体" w:hint="eastAsia"/>
          <w:szCs w:val="21"/>
        </w:rPr>
        <w:t>（7）提出质疑的日期。</w:t>
      </w:r>
    </w:p>
    <w:p>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hint="eastAsia"/>
          <w:szCs w:val="21"/>
        </w:rPr>
      </w:pPr>
      <w:r>
        <w:rPr>
          <w:rFonts w:ascii="宋体" w:hAnsi="宋体" w:hint="eastAsia"/>
          <w:szCs w:val="21"/>
        </w:rPr>
        <w:t>52.5收文地点</w:t>
      </w:r>
    </w:p>
    <w:p>
      <w:pPr>
        <w:ind w:firstLine="420" w:firstLineChars="200"/>
        <w:rPr>
          <w:rFonts w:ascii="宋体" w:hAnsi="宋体" w:hint="eastAsia"/>
          <w:b/>
          <w:bCs/>
          <w:szCs w:val="21"/>
        </w:rPr>
      </w:pPr>
      <w:r>
        <w:rPr>
          <w:rFonts w:ascii="宋体" w:hAnsi="宋体" w:hint="eastAsia"/>
          <w:b/>
          <w:bCs/>
          <w:szCs w:val="21"/>
        </w:rPr>
        <w:t>地址：深圳公共资源交易中心（深圳交易集团有限公司龙岗分公司）1楼，质疑咨询电话：0755-89552611。</w:t>
      </w:r>
    </w:p>
    <w:p>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hint="eastAsia"/>
          <w:szCs w:val="21"/>
        </w:rPr>
      </w:pPr>
      <w:r>
        <w:rPr>
          <w:rFonts w:ascii="宋体" w:hAnsi="宋体" w:hint="eastAsia"/>
          <w:szCs w:val="21"/>
        </w:rPr>
        <w:t>供应商提交的质疑存在下列情形之一的，不予受理：</w:t>
      </w:r>
    </w:p>
    <w:p>
      <w:pPr>
        <w:ind w:firstLine="420" w:firstLineChars="200"/>
        <w:rPr>
          <w:rFonts w:ascii="宋体" w:hAnsi="宋体" w:hint="eastAsia"/>
          <w:szCs w:val="21"/>
        </w:rPr>
      </w:pPr>
      <w:r>
        <w:rPr>
          <w:rFonts w:ascii="宋体" w:hAnsi="宋体" w:hint="eastAsia"/>
          <w:szCs w:val="21"/>
        </w:rPr>
        <w:t>（1）质疑主体不满足要求的；</w:t>
      </w:r>
    </w:p>
    <w:p>
      <w:pPr>
        <w:ind w:firstLine="420" w:firstLineChars="200"/>
        <w:rPr>
          <w:rFonts w:ascii="宋体" w:hAnsi="宋体" w:hint="eastAsia"/>
          <w:szCs w:val="21"/>
        </w:rPr>
      </w:pPr>
      <w:r>
        <w:rPr>
          <w:rFonts w:ascii="宋体" w:hAnsi="宋体" w:hint="eastAsia"/>
          <w:szCs w:val="21"/>
        </w:rPr>
        <w:t>（2）供应商自身权益未受到损害的；</w:t>
      </w:r>
    </w:p>
    <w:p>
      <w:pPr>
        <w:ind w:firstLine="420" w:firstLineChars="200"/>
        <w:rPr>
          <w:rFonts w:ascii="宋体" w:hAnsi="宋体" w:hint="eastAsia"/>
          <w:szCs w:val="21"/>
        </w:rPr>
      </w:pPr>
      <w:r>
        <w:rPr>
          <w:rFonts w:ascii="宋体" w:hAnsi="宋体" w:hint="eastAsia"/>
          <w:szCs w:val="21"/>
        </w:rPr>
        <w:t>（3）供应商未在法定质疑期限内提出质疑的；</w:t>
      </w:r>
    </w:p>
    <w:p>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hint="eastAsia"/>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hint="eastAsia"/>
          <w:szCs w:val="21"/>
        </w:rPr>
      </w:pPr>
      <w:r>
        <w:rPr>
          <w:rFonts w:ascii="宋体" w:hAnsi="宋体" w:hint="eastAsia"/>
          <w:szCs w:val="21"/>
        </w:rPr>
        <w:t xml:space="preserve">    自收文之日起七个工作日内。</w:t>
      </w:r>
    </w:p>
    <w:p>
      <w:pPr>
        <w:rPr>
          <w:rFonts w:ascii="宋体" w:hAnsi="宋体" w:hint="eastAsia"/>
          <w:szCs w:val="21"/>
        </w:rPr>
      </w:pPr>
      <w:r>
        <w:rPr>
          <w:rFonts w:ascii="宋体" w:hAnsi="宋体" w:hint="eastAsia"/>
          <w:szCs w:val="21"/>
        </w:rPr>
        <w:t xml:space="preserve">    52.8投诉</w:t>
      </w:r>
    </w:p>
    <w:p>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hint="eastAsia"/>
          <w:sz w:val="24"/>
        </w:rPr>
      </w:pPr>
      <w:r>
        <w:rPr>
          <w:rFonts w:ascii="黑体" w:eastAsia="黑体" w:hAnsi="宋体" w:hint="eastAsia"/>
          <w:sz w:val="24"/>
        </w:rPr>
        <w:t>53. 质疑后续处理</w:t>
      </w:r>
    </w:p>
    <w:p>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
        <w:t>---- END ----</w:t>
      </w:r>
      <w:bookmarkEnd w:id="142"/>
    </w:p>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宋?">
    <w:altName w:val="宋体"/>
    <w:panose1 w:val="00000000000000000000"/>
    <w:charset w:val="81"/>
    <w:family w:val="roman"/>
    <w:pitch w:val="default"/>
    <w:sig w:usb0="00000000" w:usb1="00000000" w:usb2="00000000" w:usb3="00000000" w:csb0="0008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瀹嬩綋">
    <w:altName w:val="Segoe Print"/>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42</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lvl w:ilvl="0">
      <w:start w:val="2"/>
      <w:numFmt w:val="decimal"/>
      <w:suff w:val="nothing"/>
      <w:lvlText w:val="%1、"/>
      <w:lvlJc w:val="left"/>
    </w:lvl>
  </w:abstractNum>
  <w:abstractNum w:abstractNumId="1">
    <w:nsid w:val="00000002"/>
    <w:multiLevelType w:val="singleLevel"/>
    <w:tmpl w:val="00000002"/>
    <w:lvl w:ilvl="0">
      <w:start w:val="16"/>
      <w:numFmt w:val="decimal"/>
      <w:suff w:val="space"/>
      <w:lvlText w:val="%1."/>
      <w:lvlJc w:val="left"/>
    </w:lvl>
  </w:abstractNum>
  <w:abstractNum w:abstractNumId="2">
    <w:nsid w:val="00000003"/>
    <w:multiLevelType w:val="singleLevel"/>
    <w:tmpl w:val="00000003"/>
    <w:lvl w:ilvl="0">
      <w:start w:val="1"/>
      <w:numFmt w:val="decimal"/>
      <w:suff w:val="nothing"/>
      <w:lvlText w:val="（%1）"/>
      <w:lvlJc w:val="left"/>
    </w:lvl>
  </w:abstractNum>
  <w:abstractNum w:abstractNumId="3">
    <w:nsid w:val="00000004"/>
    <w:multiLevelType w:val="singleLevel"/>
    <w:tmpl w:val="00000004"/>
    <w:lvl w:ilvl="0">
      <w:start w:val="6"/>
      <w:numFmt w:val="decimal"/>
      <w:suff w:val="space"/>
      <w:lvlText w:val="%1."/>
      <w:lvlJc w:val="left"/>
    </w:lvl>
  </w:abstractNum>
  <w:abstractNum w:abstractNumId="4">
    <w:nsid w:val="00000005"/>
    <w:multiLevelType w:val="singleLevel"/>
    <w:tmpl w:val="00000005"/>
    <w:lvl w:ilvl="0">
      <w:start w:val="2"/>
      <w:numFmt w:val="decimal"/>
      <w:suff w:val="space"/>
      <w:lvlText w:val="%1."/>
      <w:lvlJc w:val="left"/>
    </w:lvl>
  </w:abstractNum>
  <w:abstractNum w:abstractNumId="5">
    <w:nsid w:val="00000006"/>
    <w:multiLevelType w:val="singleLevel"/>
    <w:tmpl w:val="00000006"/>
    <w:lvl w:ilvl="0">
      <w:start w:val="23"/>
      <w:numFmt w:val="decimal"/>
      <w:suff w:val="space"/>
      <w:lvlText w:val="%1."/>
      <w:lvlJc w:val="left"/>
    </w:lvl>
  </w:abstractNum>
  <w:abstractNum w:abstractNumId="6">
    <w:nsid w:val="00000007"/>
    <w:multiLevelType w:val="singleLevel"/>
    <w:tmpl w:val="00000007"/>
    <w:lvl w:ilvl="0">
      <w:start w:val="1"/>
      <w:numFmt w:val="chineseCounting"/>
      <w:suff w:val="nothing"/>
      <w:lvlText w:val="（%1）"/>
      <w:lvlJc w:val="left"/>
      <w:rPr>
        <w:rFonts w:hint="eastAsia"/>
      </w:rPr>
    </w:lvl>
  </w:abstractNum>
  <w:abstractNum w:abstractNumId="7">
    <w:nsid w:val="00000008"/>
    <w:multiLevelType w:val="singleLevel"/>
    <w:tmpl w:val="00000008"/>
    <w:lvl w:ilvl="0">
      <w:start w:val="1"/>
      <w:numFmt w:val="decimal"/>
      <w:suff w:val="nothing"/>
      <w:lvlText w:val="（%1）"/>
      <w:lvlJc w:val="left"/>
    </w:lvl>
  </w:abstractNum>
  <w:abstractNum w:abstractNumId="8">
    <w:nsid w:val="00000009"/>
    <w:multiLevelType w:val="singleLevel"/>
    <w:tmpl w:val="00000009"/>
    <w:lvl w:ilvl="0">
      <w:start w:val="1"/>
      <w:numFmt w:val="decimal"/>
      <w:pStyle w:val="41"/>
      <w:lvlText w:val="%1."/>
      <w:lvlJc w:val="left"/>
      <w:pPr>
        <w:tabs>
          <w:tab w:val="left" w:pos="7994"/>
        </w:tabs>
        <w:ind w:left="7994" w:hanging="360" w:leftChars="800" w:hangingChars="200"/>
      </w:pPr>
    </w:lvl>
  </w:abstractNum>
  <w:abstractNum w:abstractNumId="9">
    <w:nsid w:val="0000000A"/>
    <w:multiLevelType w:val="singleLevel"/>
    <w:tmpl w:val="0000000A"/>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000000B"/>
    <w:multiLevelType w:val="singleLevel"/>
    <w:tmpl w:val="0000000B"/>
    <w:lvl w:ilvl="0">
      <w:start w:val="16"/>
      <w:numFmt w:val="decimal"/>
      <w:lvlText w:val="%1."/>
      <w:lvlJc w:val="left"/>
      <w:pPr>
        <w:tabs>
          <w:tab w:val="left" w:pos="312"/>
        </w:tabs>
      </w:pPr>
    </w:lvl>
  </w:abstractNum>
  <w:abstractNum w:abstractNumId="11">
    <w:nsid w:val="0000000C"/>
    <w:multiLevelType w:val="multilevel"/>
    <w:tmpl w:val="0000000C"/>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0000000D"/>
    <w:multiLevelType w:val="multilevel"/>
    <w:tmpl w:val="0000000D"/>
    <w:lvl w:ilvl="0">
      <w:start w:val="1"/>
      <w:numFmt w:val="bullet"/>
      <w:pStyle w:val="a15"/>
      <w:lvlText w:val=""/>
      <w:lvlJc w:val="left"/>
      <w:pPr>
        <w:tabs>
          <w:tab w:val="left" w:pos="420"/>
        </w:tabs>
        <w:ind w:left="420" w:hanging="420"/>
      </w:pPr>
      <w:rPr>
        <w:rFonts w:ascii="Wingdings" w:hAnsi="Wingdings" w:hint="default"/>
      </w:rPr>
    </w:lvl>
    <w:lvl w:ilvl="1">
      <w:start w:val="1"/>
      <w:numFmt w:val="bullet"/>
      <w:pStyle w:val="a1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nsid w:val="0000000E"/>
    <w:multiLevelType w:val="multilevel"/>
    <w:tmpl w:val="0000000E"/>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5"/>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4">
    <w:nsid w:val="0000000F"/>
    <w:multiLevelType w:val="multilevel"/>
    <w:tmpl w:val="0000000F"/>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5">
    <w:nsid w:val="00000010"/>
    <w:multiLevelType w:val="singleLevel"/>
    <w:tmpl w:val="00000010"/>
    <w:lvl w:ilvl="0">
      <w:start w:val="2"/>
      <w:numFmt w:val="chineseCounting"/>
      <w:suff w:val="nothing"/>
      <w:lvlText w:val="%1、"/>
      <w:lvlJc w:val="left"/>
      <w:rPr>
        <w:rFonts w:hint="eastAsia"/>
      </w:rPr>
    </w:lvl>
  </w:abstractNum>
  <w:abstractNum w:abstractNumId="16">
    <w:nsid w:val="00000011"/>
    <w:multiLevelType w:val="singleLevel"/>
    <w:tmpl w:val="00000011"/>
    <w:lvl w:ilvl="0">
      <w:start w:val="1"/>
      <w:numFmt w:val="decimal"/>
      <w:suff w:val="space"/>
      <w:lvlText w:val="%1."/>
      <w:lvlJc w:val="left"/>
    </w:lvl>
  </w:abstractNum>
  <w:abstractNum w:abstractNumId="17">
    <w:nsid w:val="00000012"/>
    <w:multiLevelType w:val="multilevel"/>
    <w:tmpl w:val="00000012"/>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nsid w:val="05D2724C"/>
    <w:multiLevelType w:val="singleLevel"/>
    <w:tmpl w:val="05D2724C"/>
    <w:lvl w:ilvl="0">
      <w:start w:val="1"/>
      <w:numFmt w:val="decimal"/>
      <w:suff w:val="nothing"/>
      <w:lvlText w:val="%1、"/>
      <w:lvlJc w:val="left"/>
    </w:lvl>
  </w:abstractNum>
  <w:num w:numId="1">
    <w:abstractNumId w:val="9"/>
  </w:num>
  <w:num w:numId="2">
    <w:abstractNumId w:val="8"/>
  </w:num>
  <w:num w:numId="3">
    <w:abstractNumId w:val="13"/>
  </w:num>
  <w:num w:numId="4">
    <w:abstractNumId w:val="12"/>
  </w:num>
  <w:num w:numId="5">
    <w:abstractNumId w:val="17"/>
  </w:num>
  <w:num w:numId="6">
    <w:abstractNumId w:val="14"/>
  </w:num>
  <w:num w:numId="7">
    <w:abstractNumId w:val="6"/>
  </w:num>
  <w:num w:numId="8">
    <w:abstractNumId w:val="15"/>
  </w:num>
  <w:num w:numId="9">
    <w:abstractNumId w:val="10"/>
  </w:num>
  <w:num w:numId="10">
    <w:abstractNumId w:val="18"/>
  </w:num>
  <w:num w:numId="11">
    <w:abstractNumId w:val="0"/>
  </w:num>
  <w:num w:numId="12">
    <w:abstractNumId w:val="16"/>
  </w:num>
  <w:num w:numId="13">
    <w:abstractNumId w:val="2"/>
  </w:num>
  <w:num w:numId="14">
    <w:abstractNumId w:val="7"/>
  </w:num>
  <w:num w:numId="15">
    <w:abstractNumId w:val="4"/>
  </w:num>
  <w:num w:numId="16">
    <w:abstractNumId w:val="3"/>
  </w:num>
  <w:num w:numId="17">
    <w:abstractNumId w:val="1"/>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90"/>
  <w:trackRevisions/>
  <w:defaultTabStop w:val="42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yMjQyYWZiM2QxZDA4NjVmNjY5ZWFjYjA3NmY3Mj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qFormat="1"/>
    <w:lsdException w:name="index 2"/>
    <w:lsdException w:name="index 3"/>
    <w:lsdException w:name="index 4"/>
    <w:lsdException w:name="index 5"/>
    <w:lsdException w:name="index 6"/>
    <w:lsdException w:name="index 7"/>
    <w:lsdException w:name="index 8"/>
    <w:lsdException w:name="index 9"/>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qFormat="1"/>
    <w:lsdException w:name="footnote text"/>
    <w:lsdException w:name="annotation text" w:semiHidden="0" w:unhideWhenUsed="0" w:qFormat="1"/>
    <w:lsdException w:name="header" w:semiHidden="0" w:unhideWhenUsed="0" w:qFormat="1"/>
    <w:lsdException w:name="footer" w:semiHidden="0" w:uiPriority="0" w:unhideWhenUsed="0" w:qFormat="1"/>
    <w:lsdException w:name="index heading"/>
    <w:lsdException w:name="caption" w:semiHidden="0" w:uiPriority="0" w:unhideWhenUsed="0" w:qFormat="1"/>
    <w:lsdException w:name="table of figures"/>
    <w:lsdException w:name="envelope address"/>
    <w:lsdException w:name="envelope return"/>
    <w:lsdException w:name="footnote reference"/>
    <w:lsdException w:name="annotation reference" w:semiHidden="0" w:unhideWhenUsed="0" w:qFormat="1"/>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uiPriority="0" w:unhideWhenUsed="0" w:qFormat="1"/>
    <w:lsdException w:name="Body Text First Indent" w:semiHidden="0" w:uiPriority="0" w:unhideWhenUsed="0" w:qFormat="1"/>
    <w:lsdException w:name="Body Text First Indent 2" w:semiHidden="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iPriority="0" w:unhideWhenUsed="0" w:qFormat="1"/>
    <w:lsdException w:name="E-mail Signature"/>
    <w:lsdException w:name="Normal (Web)" w:semiHidden="0" w:unhideWhenUsed="0" w:qFormat="1"/>
    <w:lsdException w:name="HTML Acronym" w:semiHidden="0" w:uiPriority="0" w:unhideWhenUsed="0" w:qFormat="1"/>
    <w:lsdException w:name="HTML Address"/>
    <w:lsdException w:name="HTML Cite" w:semiHidden="0" w:uiPriority="0" w:unhideWhenUsed="0" w:qFormat="1"/>
    <w:lsdException w:name="HTML Code" w:semiHidden="0" w:uiPriority="0" w:unhideWhenUsed="0" w:qFormat="1"/>
    <w:lsdException w:name="HTML Definition" w:semiHidden="0" w:uiPriority="0" w:unhideWhenUsed="0" w:qFormat="1"/>
    <w:lsdException w:name="HTML Keyboard" w:semiHidden="0" w:uiPriority="0" w:unhideWhenUsed="0" w:qFormat="1"/>
    <w:lsdException w:name="HTML Preformatted" w:semiHidden="0" w:uiPriority="0" w:unhideWhenUsed="0" w:qFormat="1"/>
    <w:lsdException w:name="HTML Sample" w:semiHidden="0" w:uiPriority="0" w:unhideWhenUsed="0" w:qFormat="1"/>
    <w:lsdException w:name="HTML Typewriter" w:semiHidden="0" w:uiPriority="0" w:unhideWhenUsed="0" w:qFormat="1"/>
    <w:lsdException w:name="HTML Variable" w:semiHidden="0" w:uiPriority="0" w:unhideWhenUsed="0" w:qFormat="1"/>
    <w:lsdException w:name="Normal Table" w:qFormat="1"/>
    <w:lsdException w:name="annotation subject" w:semiHidden="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semiHidden="0" w:uiPriority="0" w:unhideWhenUsed="0" w:qFormat="1"/>
    <w:lsdException w:name="Table Professional"/>
    <w:lsdException w:name="Table Subtle 1"/>
    <w:lsdException w:name="Table Subtle 2"/>
    <w:lsdException w:name="Table Web 1"/>
    <w:lsdException w:name="Table Web 2"/>
    <w:lsdException w:name="Table Web 3"/>
    <w:lsdException w:name="Balloon Text" w:semiHidden="0" w:unhideWhenUsed="0" w:qFormat="1"/>
    <w:lsdException w:name="Table Grid" w:semiHidden="0" w:uiPriority="0"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uiPriority w:val="9"/>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uiPriority w:val="9"/>
    <w:unhideWhenUsed/>
    <w:qFormat/>
    <w:pPr>
      <w:adjustRightInd w:val="0"/>
      <w:jc w:val="center"/>
      <w:textAlignment w:val="baseline"/>
      <w:outlineLvl w:val="1"/>
    </w:pPr>
    <w:rPr>
      <w:kern w:val="0"/>
      <w:sz w:val="24"/>
      <w:szCs w:val="20"/>
    </w:rPr>
  </w:style>
  <w:style w:type="paragraph" w:styleId="Heading3">
    <w:name w:val="heading 3"/>
    <w:basedOn w:val="Normal"/>
    <w:next w:val="Normal"/>
    <w:link w:val="3"/>
    <w:uiPriority w:val="9"/>
    <w:unhideWhenUsed/>
    <w:qFormat/>
    <w:pPr>
      <w:spacing w:before="260" w:after="260"/>
      <w:outlineLvl w:val="2"/>
    </w:pPr>
    <w:rPr>
      <w:rFonts w:ascii="宋体" w:hAnsi="宋体"/>
      <w:szCs w:val="32"/>
    </w:rPr>
  </w:style>
  <w:style w:type="paragraph" w:styleId="Heading4">
    <w:name w:val="heading 4"/>
    <w:basedOn w:val="Normal"/>
    <w:next w:val="Normal"/>
    <w:link w:val="4"/>
    <w:uiPriority w:val="9"/>
    <w:semiHidden/>
    <w:unhideWhenUsed/>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uiPriority w:val="9"/>
    <w:semiHidden/>
    <w:unhideWhenUsed/>
    <w:qFormat/>
    <w:pPr>
      <w:keepNext/>
      <w:keepLines/>
      <w:spacing w:before="280" w:after="290" w:line="376" w:lineRule="auto"/>
      <w:outlineLvl w:val="4"/>
    </w:pPr>
    <w:rPr>
      <w:b/>
      <w:sz w:val="28"/>
      <w:szCs w:val="20"/>
    </w:rPr>
  </w:style>
  <w:style w:type="paragraph" w:styleId="Heading6">
    <w:name w:val="heading 6"/>
    <w:basedOn w:val="Normal"/>
    <w:next w:val="NormalIndent"/>
    <w:link w:val="6"/>
    <w:uiPriority w:val="9"/>
    <w:semiHidden/>
    <w:unhideWhenUsed/>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a10"/>
    <w:qFormat/>
    <w:pPr>
      <w:spacing w:line="360" w:lineRule="auto"/>
    </w:pPr>
    <w:rPr>
      <w:b/>
      <w:bCs/>
      <w:sz w:val="24"/>
    </w:rPr>
  </w:style>
  <w:style w:type="paragraph" w:styleId="NormalIndent">
    <w:name w:val="Normal Indent"/>
    <w:basedOn w:val="Normal"/>
    <w:next w:val="BodyText"/>
    <w:link w:val="a0"/>
    <w:qFormat/>
    <w:pPr>
      <w:ind w:firstLine="420"/>
    </w:pPr>
    <w:rPr>
      <w:szCs w:val="20"/>
    </w:rPr>
  </w:style>
  <w:style w:type="paragraph" w:styleId="TOC7">
    <w:name w:val="toc 7"/>
    <w:basedOn w:val="Normal"/>
    <w:next w:val="Normal"/>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qFormat/>
    <w:pPr>
      <w:shd w:val="clear" w:color="auto" w:fill="000080"/>
    </w:pPr>
  </w:style>
  <w:style w:type="paragraph" w:styleId="CommentText">
    <w:name w:val="annotation text"/>
    <w:basedOn w:val="Normal"/>
    <w:link w:val="a29"/>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Indent">
    <w:name w:val="Body Text Indent"/>
    <w:basedOn w:val="Normal"/>
    <w:link w:val="a6"/>
    <w:qFormat/>
    <w:pPr>
      <w:spacing w:line="360" w:lineRule="auto"/>
      <w:ind w:firstLine="420" w:firstLineChars="200"/>
    </w:pPr>
  </w:style>
  <w:style w:type="paragraph" w:styleId="TOC5">
    <w:name w:val="toc 5"/>
    <w:basedOn w:val="Normal"/>
    <w:next w:val="Normal"/>
    <w:qFormat/>
    <w:pPr>
      <w:ind w:left="840"/>
      <w:jc w:val="left"/>
    </w:pPr>
    <w:rPr>
      <w:szCs w:val="21"/>
    </w:rPr>
  </w:style>
  <w:style w:type="paragraph" w:styleId="TOC3">
    <w:name w:val="toc 3"/>
    <w:basedOn w:val="Normal"/>
    <w:next w:val="Normal"/>
    <w:qFormat/>
    <w:pPr>
      <w:ind w:left="420"/>
      <w:jc w:val="left"/>
    </w:pPr>
    <w:rPr>
      <w:i/>
      <w:iCs/>
    </w:rPr>
  </w:style>
  <w:style w:type="paragraph" w:styleId="PlainText">
    <w:name w:val="Plain Text"/>
    <w:basedOn w:val="Normal"/>
    <w:link w:val="a9"/>
    <w:qFormat/>
    <w:rPr>
      <w:rFonts w:ascii="宋体" w:hAnsi="Courier New"/>
      <w:szCs w:val="20"/>
    </w:rPr>
  </w:style>
  <w:style w:type="paragraph" w:styleId="TOC8">
    <w:name w:val="toc 8"/>
    <w:basedOn w:val="Normal"/>
    <w:next w:val="Normal"/>
    <w:qFormat/>
    <w:pPr>
      <w:ind w:left="1470"/>
      <w:jc w:val="left"/>
    </w:pPr>
    <w:rPr>
      <w:szCs w:val="21"/>
    </w:rPr>
  </w:style>
  <w:style w:type="paragraph" w:styleId="Date">
    <w:name w:val="Date"/>
    <w:basedOn w:val="Normal"/>
    <w:next w:val="Normal"/>
    <w:link w:val="a8"/>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3"/>
    <w:uiPriority w:val="99"/>
    <w:qFormat/>
    <w:rPr>
      <w:sz w:val="18"/>
      <w:szCs w:val="18"/>
    </w:rPr>
  </w:style>
  <w:style w:type="paragraph" w:styleId="Footer">
    <w:name w:val="footer"/>
    <w:basedOn w:val="Normal"/>
    <w:link w:val="a12"/>
    <w:qFormat/>
    <w:pPr>
      <w:tabs>
        <w:tab w:val="center" w:pos="4153"/>
        <w:tab w:val="right" w:pos="8306"/>
      </w:tabs>
      <w:snapToGrid w:val="0"/>
      <w:jc w:val="left"/>
    </w:pPr>
    <w:rPr>
      <w:sz w:val="18"/>
      <w:szCs w:val="18"/>
    </w:rPr>
  </w:style>
  <w:style w:type="paragraph" w:styleId="Header">
    <w:name w:val="header"/>
    <w:basedOn w:val="Normal"/>
    <w:link w:val="a1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qFormat/>
    <w:pPr>
      <w:ind w:left="630"/>
      <w:jc w:val="left"/>
    </w:pPr>
    <w:rPr>
      <w:szCs w:val="21"/>
    </w:rPr>
  </w:style>
  <w:style w:type="paragraph" w:styleId="Subtitle">
    <w:name w:val="Subtitle"/>
    <w:next w:val="Normal"/>
    <w:link w:val="a32"/>
    <w:uiPriority w:val="1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qFormat/>
    <w:pPr>
      <w:tabs>
        <w:tab w:val="right" w:leader="dot" w:pos="8296"/>
      </w:tabs>
      <w:ind w:left="210"/>
      <w:jc w:val="left"/>
    </w:pPr>
    <w:rPr>
      <w:smallCaps/>
    </w:rPr>
  </w:style>
  <w:style w:type="paragraph" w:styleId="TOC9">
    <w:name w:val="toc 9"/>
    <w:basedOn w:val="Normal"/>
    <w:next w:val="Normal"/>
    <w:qFormat/>
    <w:pPr>
      <w:ind w:left="1680"/>
      <w:jc w:val="left"/>
    </w:pPr>
    <w:rPr>
      <w:szCs w:val="21"/>
    </w:rPr>
  </w:style>
  <w:style w:type="paragraph" w:styleId="BodyText2">
    <w:name w:val="Body Text 2"/>
    <w:basedOn w:val="Normal"/>
    <w:link w:val="21"/>
    <w:qFormat/>
    <w:pPr>
      <w:spacing w:line="360" w:lineRule="auto"/>
    </w:pPr>
    <w:rPr>
      <w:sz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a7"/>
    <w:uiPriority w:val="10"/>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30"/>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1"/>
    <w:qFormat/>
    <w:pPr>
      <w:spacing w:after="120" w:line="240" w:lineRule="auto"/>
      <w:ind w:firstLine="420" w:firstLineChars="100"/>
    </w:pPr>
    <w:rPr>
      <w:sz w:val="21"/>
    </w:rPr>
  </w:style>
  <w:style w:type="paragraph" w:styleId="BodyTextFirstIndent2">
    <w:name w:val="Body Text First Indent 2"/>
    <w:basedOn w:val="BodyTextIndent"/>
    <w:uiPriority w:val="99"/>
    <w:qFormat/>
    <w:pPr>
      <w:spacing w:after="120"/>
      <w:ind w:left="420" w:leftChars="200"/>
    </w:pPr>
    <w:rPr>
      <w:rFonts w:eastAsia="宋?"/>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qFormat/>
  </w:style>
  <w:style w:type="character" w:styleId="HTMLTypewriter">
    <w:name w:val="HTML Typewriter"/>
    <w:basedOn w:val="DefaultParagraphFont"/>
    <w:qFormat/>
    <w:rPr>
      <w:rFonts w:ascii="monospace" w:eastAsia="monospace" w:hAnsi="monospace" w:cs="monospace" w:hint="default"/>
      <w:sz w:val="20"/>
    </w:rPr>
  </w:style>
  <w:style w:type="character" w:styleId="HTMLAcronym">
    <w:name w:val="HTML Acronym"/>
    <w:basedOn w:val="DefaultParagraphFont"/>
    <w:qFormat/>
    <w:rPr>
      <w:bdr w:val="nil"/>
    </w:rPr>
  </w:style>
  <w:style w:type="character" w:styleId="HTMLVariable">
    <w:name w:val="HTML Variable"/>
    <w:basedOn w:val="DefaultParagraphFont"/>
    <w:qFormat/>
  </w:style>
  <w:style w:type="character" w:styleId="Hyperlink">
    <w:name w:val="Hyperlink"/>
    <w:qFormat/>
    <w:rPr>
      <w:color w:val="0000FF"/>
      <w:u w:val="single"/>
    </w:rPr>
  </w:style>
  <w:style w:type="character" w:styleId="HTMLCode">
    <w:name w:val="HTML Code"/>
    <w:basedOn w:val="DefaultParagraphFont"/>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qFormat/>
  </w:style>
  <w:style w:type="character" w:styleId="HTMLKeyboard">
    <w:name w:val="HTML Keyboard"/>
    <w:basedOn w:val="DefaultParagraphFont"/>
    <w:qFormat/>
    <w:rPr>
      <w:rFonts w:ascii="monospace" w:eastAsia="monospace" w:hAnsi="monospace" w:cs="monospace"/>
      <w:sz w:val="20"/>
    </w:rPr>
  </w:style>
  <w:style w:type="character" w:styleId="HTMLSample">
    <w:name w:val="HTML Sample"/>
    <w:basedOn w:val="DefaultParagraphFont"/>
    <w:qFormat/>
    <w:rPr>
      <w:rFonts w:ascii="monospace" w:eastAsia="monospace" w:hAnsi="monospace" w:cs="monospace" w:hint="default"/>
    </w:rPr>
  </w:style>
  <w:style w:type="paragraph" w:customStyle="1" w:styleId="a">
    <w:name w:val="表格文字"/>
    <w:basedOn w:val="Normal"/>
    <w:qFormat/>
    <w:pPr>
      <w:spacing w:before="25" w:after="25"/>
      <w:jc w:val="left"/>
    </w:pPr>
    <w:rPr>
      <w:bCs/>
      <w:spacing w:val="10"/>
      <w:kern w:val="0"/>
      <w:sz w:val="24"/>
    </w:rPr>
  </w:style>
  <w:style w:type="character" w:customStyle="1" w:styleId="2">
    <w:name w:val="标题 2 字符"/>
    <w:link w:val="Heading2"/>
    <w:qFormat/>
    <w:rPr>
      <w:rFonts w:ascii="宋体" w:eastAsia="宋体" w:hAnsi="宋体"/>
      <w:b/>
      <w:bCs/>
      <w:sz w:val="24"/>
      <w:lang w:val="en-US" w:eastAsia="zh-CN" w:bidi="ar-SA"/>
    </w:rPr>
  </w:style>
  <w:style w:type="character" w:customStyle="1" w:styleId="3Char">
    <w:name w:val="标题 3 Char"/>
    <w:qFormat/>
    <w:rPr>
      <w:rFonts w:ascii="黑体" w:eastAsia="黑体"/>
      <w:bCs/>
      <w:sz w:val="30"/>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0">
    <w:name w:val="正文缩进 字符"/>
    <w:link w:val="NormalIndent"/>
    <w:qFormat/>
    <w:rPr>
      <w:rFonts w:eastAsia="宋体"/>
      <w:kern w:val="2"/>
      <w:sz w:val="21"/>
      <w:lang w:val="en-US" w:eastAsia="zh-CN" w:bidi="ar-SA"/>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1">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2">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3">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4">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s>
      <w:spacing w:beforeLines="50" w:line="360" w:lineRule="auto"/>
      <w:ind w:left="0" w:firstLine="0"/>
    </w:pPr>
    <w:rPr>
      <w:rFonts w:ascii="Arial (W1)" w:hAnsi="Arial (W1)"/>
      <w:bCs/>
      <w:kern w:val="0"/>
      <w:sz w:val="24"/>
      <w:lang w:val="en-GB"/>
    </w:rPr>
  </w:style>
  <w:style w:type="paragraph" w:customStyle="1" w:styleId="a5">
    <w:name w:val="正文文字缩进项目"/>
    <w:basedOn w:val="BodyTextIndent"/>
    <w:qFormat/>
    <w:pPr>
      <w:numPr>
        <w:ilvl w:val="1"/>
        <w:numId w:val="3"/>
      </w:numPr>
      <w:tabs>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6">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7">
    <w:name w:val="标题 字符"/>
    <w:link w:val="Title"/>
    <w:qFormat/>
    <w:rPr>
      <w:rFonts w:ascii="Arial" w:eastAsia="隶书" w:hAnsi="Arial" w:cs="Arial"/>
      <w:b/>
      <w:bCs/>
      <w:kern w:val="2"/>
      <w:sz w:val="32"/>
      <w:szCs w:val="32"/>
      <w:lang w:val="en-US" w:eastAsia="zh-CN" w:bidi="ar-SA"/>
    </w:rPr>
  </w:style>
  <w:style w:type="character" w:customStyle="1" w:styleId="a8">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9">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10">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1">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2">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3">
    <w:name w:val="批注框文本 字符"/>
    <w:link w:val="BalloonText"/>
    <w:uiPriority w:val="99"/>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4">
    <w:name w:val="设计依据"/>
    <w:basedOn w:val="BodyText"/>
    <w:qFormat/>
    <w:pPr>
      <w:numPr>
        <w:ilvl w:val="1"/>
        <w:numId w:val="4"/>
      </w:numPr>
      <w:tabs>
        <w:tab w:val="clear" w:pos="840"/>
      </w:tabs>
      <w:adjustRightInd w:val="0"/>
      <w:ind w:left="1440"/>
      <w:textAlignment w:val="baseline"/>
    </w:pPr>
    <w:rPr>
      <w:rFonts w:ascii="宋体" w:hAnsi="宋体"/>
      <w:b w:val="0"/>
      <w:kern w:val="0"/>
      <w:sz w:val="28"/>
      <w:szCs w:val="18"/>
    </w:rPr>
  </w:style>
  <w:style w:type="paragraph" w:customStyle="1" w:styleId="a1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7">
    <w:name w:val="缺省文本"/>
    <w:basedOn w:val="Normal"/>
    <w:qFormat/>
    <w:pPr>
      <w:autoSpaceDE w:val="0"/>
      <w:autoSpaceDN w:val="0"/>
      <w:adjustRightInd w:val="0"/>
      <w:jc w:val="left"/>
    </w:pPr>
    <w:rPr>
      <w:kern w:val="0"/>
    </w:rPr>
  </w:style>
  <w:style w:type="paragraph" w:customStyle="1" w:styleId="a1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2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1">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3">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24">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6">
    <w:name w:val="表格字"/>
    <w:basedOn w:val="Normal"/>
    <w:qFormat/>
    <w:pPr>
      <w:adjustRightInd w:val="0"/>
      <w:jc w:val="center"/>
    </w:pPr>
    <w:rPr>
      <w:rFonts w:ascii="宋体"/>
      <w:sz w:val="24"/>
      <w:szCs w:val="20"/>
    </w:rPr>
  </w:style>
  <w:style w:type="character" w:customStyle="1" w:styleId="a2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8">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8"/>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9">
    <w:name w:val="批注文字 字符"/>
    <w:basedOn w:val="DefaultParagraphFont"/>
    <w:link w:val="CommentText"/>
    <w:uiPriority w:val="99"/>
    <w:qFormat/>
    <w:rPr>
      <w:rFonts w:ascii="宋体"/>
      <w:sz w:val="34"/>
    </w:rPr>
  </w:style>
  <w:style w:type="character" w:customStyle="1" w:styleId="a30">
    <w:name w:val="批注主题 字符"/>
    <w:basedOn w:val="a29"/>
    <w:link w:val="CommentSubject"/>
    <w:uiPriority w:val="99"/>
    <w:qFormat/>
    <w:rPr>
      <w:rFonts w:ascii="宋体"/>
      <w:sz w:val="34"/>
    </w:rPr>
  </w:style>
  <w:style w:type="paragraph" w:customStyle="1" w:styleId="a31">
    <w:name w:val="评价"/>
    <w:basedOn w:val="Normal"/>
    <w:qFormat/>
    <w:pPr>
      <w:spacing w:afterLines="20"/>
      <w:ind w:firstLine="1446" w:firstLineChars="200"/>
    </w:pPr>
    <w:rPr>
      <w:rFonts w:ascii="Calibri" w:hAnsi="Calibri"/>
      <w:sz w:val="24"/>
    </w:rPr>
  </w:style>
  <w:style w:type="paragraph" w:customStyle="1" w:styleId="14">
    <w:name w:val="修订1"/>
    <w:uiPriority w:val="99"/>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2">
    <w:name w:val="文档结构图 Char1"/>
    <w:qFormat/>
    <w:rPr>
      <w:sz w:val="20"/>
    </w:rPr>
  </w:style>
  <w:style w:type="character" w:customStyle="1" w:styleId="Char4">
    <w:name w:val="文档结构图 Char"/>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qFormat/>
    <w:rPr>
      <w:sz w:val="20"/>
    </w:rPr>
  </w:style>
  <w:style w:type="character" w:customStyle="1" w:styleId="2Char1">
    <w:name w:val="正文文本缩进 2 Char1"/>
    <w:qFormat/>
    <w:rPr>
      <w:sz w:val="20"/>
    </w:rPr>
  </w:style>
  <w:style w:type="character" w:customStyle="1" w:styleId="font61">
    <w:name w:val="font61"/>
    <w:qFormat/>
    <w:rPr>
      <w:sz w:val="20"/>
      <w:u w:val="none"/>
    </w:rPr>
  </w:style>
  <w:style w:type="character" w:customStyle="1" w:styleId="Char15">
    <w:name w:val="纯文本 Char1"/>
    <w:qFormat/>
    <w:rPr>
      <w:sz w:val="20"/>
    </w:rPr>
  </w:style>
  <w:style w:type="character" w:customStyle="1" w:styleId="3Char10">
    <w:name w:val="正文文本 3 Char1"/>
    <w:qFormat/>
    <w:rPr>
      <w:sz w:val="20"/>
    </w:rPr>
  </w:style>
  <w:style w:type="character" w:customStyle="1" w:styleId="Char16">
    <w:name w:val="正文文本缩进 Char1"/>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qFormat/>
    <w:rPr>
      <w:sz w:val="20"/>
    </w:rPr>
  </w:style>
  <w:style w:type="character" w:customStyle="1" w:styleId="Char18">
    <w:name w:val="批注文字 Char1"/>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9">
    <w:name w:val="批注主题 Char1"/>
    <w:qFormat/>
    <w:rPr>
      <w:b/>
      <w:sz w:val="20"/>
    </w:rPr>
  </w:style>
  <w:style w:type="character" w:customStyle="1" w:styleId="2Char10">
    <w:name w:val="正文文本 2 Char1"/>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qFormat/>
    <w:rPr>
      <w:sz w:val="20"/>
    </w:rPr>
  </w:style>
  <w:style w:type="character" w:customStyle="1" w:styleId="Char111">
    <w:name w:val="批注框文本 Char1"/>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0">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3">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a32">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11">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0">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0">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33">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34">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a35"/>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a35">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0">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a36"/>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a36">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0">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uiPriority w:val="99"/>
    <w:qFormat/>
    <w:rPr>
      <w:rFonts w:ascii="Times New Roman" w:eastAsia="宋体" w:hAnsi="Times New Roman" w:cs="Times New Roman"/>
      <w:kern w:val="2"/>
      <w:sz w:val="21"/>
      <w:szCs w:val="24"/>
      <w:lang w:val="en-US" w:eastAsia="zh-CN" w:bidi="ar-SA"/>
    </w:rPr>
  </w:style>
  <w:style w:type="paragraph" w:customStyle="1" w:styleId="26">
    <w:name w:val="样式 首行缩进:  2 字符"/>
    <w:basedOn w:val="Normal"/>
    <w:qFormat/>
    <w:pPr>
      <w:ind w:firstLine="560"/>
    </w:pPr>
    <w:rPr>
      <w:rFonts w:eastAsia="仿宋_GB2312" w:cs="宋体"/>
      <w:sz w:val="24"/>
      <w:szCs w:val="20"/>
    </w:rPr>
  </w:style>
  <w:style w:type="character" w:customStyle="1" w:styleId="font51">
    <w:name w:val="font51"/>
    <w:basedOn w:val="DefaultParagraphFont"/>
    <w:qFormat/>
    <w:rPr>
      <w:rFonts w:ascii="宋体" w:eastAsia="宋体" w:hAnsi="宋体" w:cs="宋体"/>
      <w:color w:val="000000"/>
      <w:sz w:val="22"/>
      <w:szCs w:val="22"/>
      <w:u w:val="none"/>
    </w:rPr>
  </w:style>
  <w:style w:type="character" w:customStyle="1" w:styleId="font112">
    <w:name w:val="font112"/>
    <w:basedOn w:val="DefaultParagraphFont"/>
    <w:qFormat/>
    <w:rPr>
      <w:rFonts w:ascii="宋体" w:eastAsia="宋体" w:hAnsi="宋体" w:cs="宋体"/>
      <w:color w:val="000000"/>
      <w:sz w:val="10"/>
      <w:szCs w:val="10"/>
      <w:u w:val="none"/>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paragraph" w:customStyle="1" w:styleId="34">
    <w:name w:val="修订3"/>
    <w:hidden/>
    <w:uiPriority w:val="99"/>
    <w:semiHidden/>
    <w:qFormat/>
    <w:rPr>
      <w:rFonts w:ascii="Times New Roman" w:eastAsia="宋体" w:hAnsi="Times New Roman" w:cs="Times New Roman"/>
      <w:kern w:val="2"/>
      <w:sz w:val="21"/>
      <w:szCs w:val="24"/>
      <w:lang w:val="en-US" w:eastAsia="zh-CN" w:bidi="ar-SA"/>
    </w:rPr>
  </w:style>
  <w:style w:type="character" w:customStyle="1" w:styleId="hover4">
    <w:name w:val="hover4"/>
    <w:basedOn w:val="DefaultParagraphFon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B377A809-9055-489A-98E5-56C11F3BD7A5}">
  <ds:schemaRefs/>
</ds:datastoreItem>
</file>

<file path=customXml/itemProps2.xml><?xml version="1.0" encoding="utf-8"?>
<ds:datastoreItem xmlns:ds="http://schemas.openxmlformats.org/officeDocument/2006/customXml" ds:itemID="{0DCF2A7C-7D83-499D-8A09-25E27C565855}">
  <ds:schemaRefs/>
</ds:datastoreItem>
</file>

<file path=customXml/itemProps3.xml><?xml version="1.0" encoding="utf-8"?>
<ds:datastoreItem xmlns:ds="http://schemas.openxmlformats.org/officeDocument/2006/customXml" ds:itemID="{3ACC0A7C-5EFD-49A4-B17D-BC4217061F3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62198</Words>
  <Characters>64820</Characters>
  <Application>Microsoft Office Word</Application>
  <DocSecurity>0</DocSecurity>
  <Lines>442</Lines>
  <Paragraphs>124</Paragraphs>
  <ScaleCrop>false</ScaleCrop>
  <Company/>
  <LinksUpToDate>false</LinksUpToDate>
  <CharactersWithSpaces>70310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ZHANGH</dc:creator>
  <cp:lastModifiedBy>张泓</cp:lastModifiedBy>
  <cp:revision>0</cp:revision>
  <cp:lastPrinted>2021-05-16T11:04:00Z</cp:lastPrinted>
  <dcterms:created xsi:type="dcterms:W3CDTF">2025-07-04T17:39:00Z</dcterms:created>
  <dcterms:modified xsi:type="dcterms:W3CDTF">2025-07-11T08:33:28Z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BCB8BF4238A54BAB95A9AEB7E624AF2B</vt:lpwstr>
  </property>
  <property fmtid="{D5CDD505-2E9C-101B-9397-08002B2CF9AE}" pid="3" name="KSOProductBuildVer">
    <vt:lpwstr>2052-11.1.0.12165</vt:lpwstr>
  </property>
  <property fmtid="{D5CDD505-2E9C-101B-9397-08002B2CF9AE}" pid="4" name="KSOTemplateDocerSaveRecord">
    <vt:lpwstr>eyJoZGlkIjoiMDM0NGY0NDBmODc1YThhYTg4NzJhY2VhYWI1NTQwZTUiLCJ1c2VySWQiOiI1MTYzMzQ1MjUifQ==</vt:lpwstr>
  </property>
</Properties>
</file>