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eastAsia="宋体" w:hint="eastAsia"/>
          <w:b/>
          <w:bCs/>
          <w:sz w:val="40"/>
          <w:szCs w:val="40"/>
          <w:lang w:eastAsia="zh-CN"/>
        </w:rPr>
      </w:pPr>
      <w:bookmarkStart w:id="0" w:name="_Hlk71456902"/>
      <w:r>
        <w:rPr>
          <w:rFonts w:hint="eastAsia"/>
          <w:b/>
          <w:bCs/>
          <w:sz w:val="40"/>
          <w:szCs w:val="40"/>
          <w:lang w:eastAsia="zh-CN"/>
        </w:rPr>
        <w:t>坪山区中心医院2023年医疗设备购置项目第一批04包</w:t>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CellMar>
          <w:top w:w="45" w:type="dxa"/>
          <w:left w:w="45" w:type="dxa"/>
          <w:bottom w:w="45" w:type="dxa"/>
          <w:right w:w="45" w:type="dxa"/>
        </w:tblCellMar>
      </w:tblPr>
      <w:tblGrid>
        <w:gridCol w:w="2723"/>
        <w:gridCol w:w="5220"/>
      </w:tblGrid>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0" w:type="auto"/>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val="en-US" w:eastAsia="zh-CN"/>
              </w:rPr>
              <w:t xml:space="preserve">     PSCG2023000327</w:t>
            </w:r>
            <w:bookmarkStart w:id="1" w:name="_GoBack"/>
            <w:bookmarkEnd w:id="1"/>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项目名称：</w:t>
            </w:r>
          </w:p>
        </w:tc>
        <w:tc>
          <w:tcPr>
            <w:tcW w:w="0" w:type="auto"/>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eastAsia="zh-CN"/>
              </w:rPr>
              <w:t>坪山区中心医院2023年医疗设备购置项目第一批04包</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宋体" w:cs="黑体" w:hint="eastAsia"/>
          <w:sz w:val="40"/>
          <w:szCs w:val="40"/>
        </w:rPr>
      </w:pPr>
      <w:bookmarkEnd w:id="0"/>
      <w:r>
        <w:rPr>
          <w:rFonts w:ascii="黑体" w:eastAsia="黑体" w:hAnsi="宋体" w:cs="黑体" w:hint="eastAsia"/>
          <w:sz w:val="40"/>
          <w:szCs w:val="40"/>
        </w:rP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3"/>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3"/>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eastAsia="宋体" w:hAnsi="宋体" w:cs="宋体" w:hint="eastAsia"/>
                <w:sz w:val="28"/>
                <w:szCs w:val="28"/>
              </w:rPr>
            </w:pPr>
            <w:r>
              <w:rPr>
                <w:rFonts w:ascii="宋体" w:eastAsia="宋体" w:hAnsi="宋体" w:cs="宋体" w:hint="eastAsia"/>
                <w:kern w:val="0"/>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eastAsia="宋体" w:hAnsi="宋体" w:cs="宋体" w:hint="eastAsia"/>
                <w:sz w:val="28"/>
                <w:szCs w:val="28"/>
              </w:rPr>
            </w:pPr>
            <w:r>
              <w:rPr>
                <w:rFonts w:ascii="宋体" w:eastAsia="宋体" w:hAnsi="宋体" w:cs="宋体" w:hint="eastAsia"/>
                <w:kern w:val="0"/>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1</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lang w:val="en-US" w:eastAsia="zh-CN"/>
              </w:rPr>
              <w:t>不得</w:t>
            </w:r>
            <w:r>
              <w:rPr>
                <w:rFonts w:ascii="宋体" w:eastAsia="宋体" w:hAnsi="宋体" w:cs="宋体" w:hint="eastAsia"/>
              </w:rPr>
              <w:t>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2</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对同一项目投标时，</w:t>
            </w:r>
            <w:r>
              <w:rPr>
                <w:rFonts w:ascii="宋体" w:eastAsia="宋体" w:hAnsi="宋体" w:cs="宋体" w:hint="eastAsia"/>
                <w:lang w:val="en-US" w:eastAsia="zh-CN"/>
              </w:rPr>
              <w:t>不得</w:t>
            </w:r>
            <w:r>
              <w:rPr>
                <w:rFonts w:ascii="宋体" w:eastAsia="宋体" w:hAnsi="宋体" w:cs="宋体" w:hint="eastAsia"/>
              </w:rPr>
              <w:t>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3</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分项报价或投标总价</w:t>
            </w:r>
            <w:r>
              <w:rPr>
                <w:rFonts w:ascii="宋体" w:eastAsia="宋体" w:hAnsi="宋体" w:cs="宋体" w:hint="eastAsia"/>
                <w:lang w:val="en-US" w:eastAsia="zh-CN"/>
              </w:rPr>
              <w:t>不得</w:t>
            </w:r>
            <w:r>
              <w:rPr>
                <w:rFonts w:ascii="宋体" w:eastAsia="宋体" w:hAnsi="宋体" w:cs="宋体" w:hint="eastAsia"/>
              </w:rPr>
              <w:t>高于</w:t>
            </w:r>
            <w:bookmarkStart w:id="2" w:name="_Hlk71832186"/>
            <w:r>
              <w:rPr>
                <w:rFonts w:ascii="宋体" w:eastAsia="宋体" w:hAnsi="宋体" w:cs="宋体" w:hint="eastAsia"/>
              </w:rPr>
              <w:t>相应预算金额（或设定的预算金额下的最高限价）</w:t>
            </w:r>
            <w:bookmarkEnd w:id="2"/>
            <w:r>
              <w:rPr>
                <w:rFonts w:ascii="宋体" w:eastAsia="宋体" w:hAnsi="宋体" w:cs="宋体" w:hint="eastAsia"/>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4</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5</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6</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7</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投标报价有缺漏项目,或者对招标文件规定的项目需求内容或者需求数量进行修改</w:t>
            </w:r>
            <w:r>
              <w:rPr>
                <w:rFonts w:ascii="宋体" w:eastAsia="宋体" w:hAnsi="宋体" w:cs="宋体" w:hint="eastAsia"/>
                <w:szCs w:val="21"/>
              </w:rPr>
              <w:t>，评审委员会判定投标响应不满足采购需求</w:t>
            </w:r>
            <w:r>
              <w:rPr>
                <w:rFonts w:ascii="宋体" w:eastAsia="宋体" w:hAnsi="宋体" w:cs="宋体" w:hint="eastAsia"/>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8</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9</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10</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trHeight w:val="280"/>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4"/>
                <w:lang w:eastAsia="zh-CN"/>
              </w:rPr>
            </w:pPr>
            <w:r>
              <w:rPr>
                <w:rFonts w:ascii="宋体" w:eastAsia="宋体" w:hAnsi="宋体" w:cs="宋体" w:hint="eastAsia"/>
                <w:sz w:val="21"/>
                <w:szCs w:val="24"/>
              </w:rPr>
              <w:t>不同投标供应商投标文件“文件制作机器码”一致</w:t>
            </w:r>
            <w:r>
              <w:rPr>
                <w:rFonts w:ascii="宋体" w:eastAsia="宋体" w:hAnsi="宋体" w:cs="宋体"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4"/>
                <w:lang w:eastAsia="zh-CN"/>
              </w:rPr>
            </w:pPr>
            <w:r>
              <w:rPr>
                <w:rFonts w:ascii="宋体" w:eastAsia="宋体" w:hAnsi="宋体" w:cs="宋体" w:hint="eastAsia"/>
                <w:sz w:val="21"/>
                <w:szCs w:val="24"/>
              </w:rPr>
              <w:t>不同投标供应商投标文件“文件创建标识码”一致</w:t>
            </w:r>
            <w:r>
              <w:rPr>
                <w:rFonts w:ascii="宋体" w:eastAsia="宋体" w:hAnsi="宋体" w:cs="宋体"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lang w:val="en-US" w:eastAsia="zh-CN"/>
              </w:rPr>
            </w:pPr>
            <w:r>
              <w:rPr>
                <w:rFonts w:ascii="宋体" w:eastAsia="宋体" w:hAnsi="宋体" w:cs="宋体" w:hint="eastAsia"/>
                <w:kern w:val="0"/>
                <w:szCs w:val="21"/>
                <w:lang w:val="en-US" w:eastAsia="zh-CN"/>
              </w:rPr>
              <w:t>13</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法律、法规、规章、规范性文件规定的其他情形。</w:t>
            </w:r>
          </w:p>
        </w:tc>
      </w:tr>
    </w:tbl>
    <w:p>
      <w:pPr>
        <w:rPr>
          <w:rFonts w:ascii="黑体" w:eastAsia="黑体" w:hAnsi="宋体" w:cs="黑体" w:hint="eastAsia"/>
          <w:sz w:val="40"/>
          <w:szCs w:val="40"/>
        </w:rPr>
      </w:pPr>
      <w:r>
        <w:rPr>
          <w:rFonts w:ascii="黑体" w:eastAsia="黑体" w:hAnsi="宋体" w:cs="黑体" w:hint="eastAsia"/>
          <w:sz w:val="40"/>
          <w:szCs w:val="40"/>
        </w:rP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078" w:type="dxa"/>
        <w:jc w:val="center"/>
        <w:tblCellSpacing w:w="0" w:type="dxa"/>
        <w:tblBorders>
          <w:top w:val="nil"/>
          <w:left w:val="nil"/>
          <w:bottom w:val="nil"/>
          <w:right w:val="nil"/>
          <w:insideH w:val="nil"/>
          <w:insideV w:val="nil"/>
        </w:tblBorders>
        <w:tblCellMar>
          <w:top w:w="45" w:type="dxa"/>
          <w:left w:w="45" w:type="dxa"/>
          <w:bottom w:w="45" w:type="dxa"/>
          <w:right w:w="45" w:type="dxa"/>
        </w:tblCellMar>
      </w:tblPr>
      <w:tblGrid>
        <w:gridCol w:w="8835"/>
        <w:gridCol w:w="243"/>
      </w:tblGrid>
      <w:tr>
        <w:tblPrEx>
          <w:tblW w:w="9078" w:type="dxa"/>
          <w:jc w:val="center"/>
          <w:tblCellSpacing w:w="0" w:type="dxa"/>
          <w:tblBorders>
            <w:top w:val="nil"/>
            <w:left w:val="nil"/>
            <w:bottom w:val="nil"/>
            <w:right w:val="nil"/>
            <w:insideH w:val="nil"/>
            <w:insideV w:val="nil"/>
          </w:tblBorders>
          <w:tblCellMar>
            <w:top w:w="45" w:type="dxa"/>
            <w:left w:w="45" w:type="dxa"/>
            <w:bottom w:w="45" w:type="dxa"/>
            <w:right w:w="45" w:type="dxa"/>
          </w:tblCellMar>
        </w:tblPrEx>
        <w:trPr>
          <w:tblCellSpacing w:w="0" w:type="dxa"/>
          <w:jc w:val="center"/>
        </w:trPr>
        <w:tc>
          <w:tcPr>
            <w:tcW w:w="0" w:type="auto"/>
            <w:shd w:val="clear" w:color="auto" w:fill="auto"/>
            <w:vAlign w:val="center"/>
          </w:tcPr>
          <w:p>
            <w:pPr>
              <w:widowControl/>
              <w:jc w:val="left"/>
              <w:rPr>
                <w:b/>
                <w:bCs/>
                <w:sz w:val="24"/>
              </w:rPr>
            </w:pPr>
            <w:r>
              <w:rPr>
                <w:b/>
                <w:bCs/>
              </w:rPr>
              <w:t>评标方法</w:t>
            </w:r>
            <w:r>
              <w:rPr>
                <w:rFonts w:hint="eastAsia"/>
                <w:b/>
                <w:bCs/>
                <w:lang w:eastAsia="zh-CN"/>
              </w:rPr>
              <w:t>：</w:t>
            </w:r>
            <w:r>
              <w:rPr>
                <w:b/>
                <w:bCs/>
              </w:rPr>
              <w:t>综合评分法（新价格分算法）</w:t>
            </w:r>
          </w:p>
        </w:tc>
        <w:tc>
          <w:tcPr>
            <w:tcW w:w="0" w:type="auto"/>
            <w:shd w:val="clear" w:color="auto" w:fill="auto"/>
            <w:vAlign w:val="center"/>
          </w:tcPr>
          <w:p>
            <w:pPr>
              <w:jc w:val="right"/>
              <w:rPr>
                <w:rFonts w:ascii="宋体"/>
                <w:b/>
                <w:bCs/>
                <w:sz w:val="24"/>
              </w:rPr>
            </w:pPr>
          </w:p>
        </w:tc>
      </w:tr>
      <w:tr>
        <w:tblPrEx>
          <w:tblW w:w="9078" w:type="dxa"/>
          <w:jc w:val="center"/>
          <w:tblCellSpacing w:w="0" w:type="dxa"/>
          <w:tblCellMar>
            <w:top w:w="45" w:type="dxa"/>
            <w:left w:w="45" w:type="dxa"/>
            <w:bottom w:w="45" w:type="dxa"/>
            <w:right w:w="45" w:type="dxa"/>
          </w:tblCellMar>
        </w:tblPrEx>
        <w:trPr>
          <w:tblCellSpacing w:w="0" w:type="dxa"/>
          <w:jc w:val="center"/>
        </w:trPr>
        <w:tc>
          <w:tcPr>
            <w:tcW w:w="0" w:type="auto"/>
            <w:gridSpan w:val="2"/>
            <w:shd w:val="clear" w:color="auto" w:fill="auto"/>
            <w:vAlign w:val="center"/>
          </w:tcPr>
          <w:p>
            <w:pPr>
              <w:spacing w:line="324" w:lineRule="auto"/>
              <w:ind w:firstLine="420"/>
              <w:rPr>
                <w:szCs w:val="21"/>
              </w:rPr>
            </w:pPr>
            <w:r>
              <w:rPr>
                <w:szCs w:val="21"/>
              </w:rPr>
              <w:t xml:space="preserve">综合评分法，是指投标文件满足招标文件全部实质性要求，且按照评审因素的量化指标评审得分最高的投标人为中标候选人的评标方法。 </w:t>
            </w:r>
          </w:p>
          <w:p>
            <w:pPr>
              <w:ind w:firstLine="420"/>
              <w:rPr>
                <w:szCs w:val="21"/>
              </w:rPr>
            </w:pPr>
            <w:r>
              <w:rPr>
                <w:szCs w:val="21"/>
              </w:rPr>
              <w:t>价格分计算方法：</w:t>
            </w:r>
          </w:p>
          <w:p>
            <w:pPr>
              <w:pStyle w:val="NormalWeb"/>
              <w:widowControl/>
              <w:spacing w:line="324" w:lineRule="auto"/>
              <w:ind w:left="420"/>
              <w:rPr>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r>
            <w:r>
              <w:rPr>
                <w:kern w:val="2"/>
                <w:sz w:val="21"/>
                <w:szCs w:val="21"/>
              </w:rPr>
              <w:t xml:space="preserve">投标报价得分=(评标基准价／投标报价)×100 </w:t>
            </w:r>
            <w:r>
              <w:rPr>
                <w:kern w:val="2"/>
                <w:sz w:val="21"/>
                <w:szCs w:val="21"/>
              </w:rPr>
              <w:br/>
            </w:r>
            <w:r>
              <w:rPr>
                <w:kern w:val="2"/>
                <w:sz w:val="21"/>
                <w:szCs w:val="21"/>
              </w:rPr>
              <w:t xml:space="preserve">评标总得分＝F1×A1＋F2×A2＋……＋Fn×An </w:t>
            </w:r>
            <w:r>
              <w:rPr>
                <w:kern w:val="2"/>
                <w:sz w:val="21"/>
                <w:szCs w:val="21"/>
              </w:rPr>
              <w:br/>
            </w:r>
            <w:r>
              <w:rPr>
                <w:kern w:val="2"/>
                <w:sz w:val="21"/>
                <w:szCs w:val="21"/>
              </w:rPr>
              <w:t xml:space="preserve">F1、F2……Fn分别为各项评审因素的得分； </w:t>
            </w:r>
            <w:r>
              <w:rPr>
                <w:kern w:val="2"/>
                <w:sz w:val="21"/>
                <w:szCs w:val="21"/>
              </w:rPr>
              <w:br/>
            </w:r>
            <w:r>
              <w:rPr>
                <w:kern w:val="2"/>
                <w:sz w:val="21"/>
                <w:szCs w:val="21"/>
              </w:rPr>
              <w:t xml:space="preserve">A1、A2、……An 分别为各项评审因素所占的权重(A1＋A2＋……＋An＝1)。 </w:t>
            </w:r>
            <w:r>
              <w:rPr>
                <w:kern w:val="2"/>
                <w:sz w:val="21"/>
                <w:szCs w:val="21"/>
              </w:rPr>
              <w:br/>
            </w:r>
            <w:r>
              <w:rPr>
                <w:kern w:val="2"/>
                <w:sz w:val="21"/>
                <w:szCs w:val="21"/>
              </w:rPr>
              <w:t xml:space="preserve">评标过程中，不得去掉报价中的最高报价和最低报价。 </w:t>
            </w:r>
            <w:r>
              <w:rPr>
                <w:kern w:val="2"/>
                <w:sz w:val="21"/>
                <w:szCs w:val="21"/>
              </w:rPr>
              <w:br/>
            </w:r>
            <w:r>
              <w:rPr>
                <w:kern w:val="2"/>
                <w:sz w:val="21"/>
                <w:szCs w:val="21"/>
              </w:rPr>
              <w:t>此方法适用于货物类、服务类、工程类项目。</w:t>
            </w:r>
          </w:p>
        </w:tc>
      </w:tr>
    </w:tbl>
    <w:p>
      <w:pPr>
        <w:rPr>
          <w:vanish/>
          <w:sz w:val="24"/>
        </w:rPr>
      </w:pP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81"/>
        <w:gridCol w:w="681"/>
        <w:gridCol w:w="2837"/>
        <w:gridCol w:w="681"/>
        <w:gridCol w:w="4198"/>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681"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3"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078" w:type="dxa"/>
          <w:jc w:val="center"/>
          <w:tblCellMar>
            <w:top w:w="20" w:type="dxa"/>
            <w:left w:w="108" w:type="dxa"/>
            <w:bottom w:w="20" w:type="dxa"/>
            <w:right w:w="108" w:type="dxa"/>
          </w:tblCellMar>
        </w:tblPrEx>
        <w:trPr>
          <w:jc w:val="center"/>
        </w:trPr>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ascii="宋体" w:hAnsi="宋体" w:cs="宋体" w:hint="eastAsia"/>
                <w:b/>
                <w:bCs/>
                <w:color w:val="0000FF"/>
                <w:kern w:val="0"/>
                <w:sz w:val="24"/>
                <w:lang w:val="en-US" w:eastAsia="zh-CN"/>
              </w:rPr>
              <w:t>30</w:t>
            </w:r>
          </w:p>
        </w:tc>
      </w:tr>
      <w:tr>
        <w:tblPrEx>
          <w:tblW w:w="9078" w:type="dxa"/>
          <w:jc w:val="center"/>
          <w:tblCellMar>
            <w:top w:w="20" w:type="dxa"/>
            <w:left w:w="108" w:type="dxa"/>
            <w:bottom w:w="20" w:type="dxa"/>
            <w:right w:w="108" w:type="dxa"/>
          </w:tblCellMar>
        </w:tblPrEx>
        <w:trPr>
          <w:jc w:val="center"/>
        </w:trPr>
        <w:tc>
          <w:tcPr>
            <w:tcW w:w="681" w:type="dxa"/>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50</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eastAsia"/>
                <w:kern w:val="2"/>
                <w:sz w:val="21"/>
                <w:szCs w:val="21"/>
                <w:lang w:val="en-US" w:eastAsia="zh-CN" w:bidi="ar-SA"/>
              </w:rPr>
            </w:pPr>
            <w:r>
              <w:rPr>
                <w:rFonts w:ascii="Times New Roman" w:hAnsi="Times New Roman" w:cs="Times New Roman" w:hint="eastAsia"/>
                <w:szCs w:val="21"/>
              </w:rPr>
              <w:t>所投产品▲参数响应情况评价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30</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lang w:val="en-US" w:eastAsia="zh-CN"/>
              </w:rPr>
              <w:t>（一）</w:t>
            </w:r>
            <w:r>
              <w:rPr>
                <w:rFonts w:ascii="宋体" w:eastAsia="宋体" w:hAnsi="宋体" w:cs="宋体" w:hint="eastAsia"/>
                <w:b/>
                <w:bCs/>
                <w:sz w:val="21"/>
                <w:szCs w:val="21"/>
              </w:rPr>
              <w:t>评审内容：</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投标人应如实填写《技术</w:t>
            </w:r>
            <w:r>
              <w:rPr>
                <w:rFonts w:ascii="宋体" w:eastAsia="宋体" w:hAnsi="宋体" w:cs="宋体" w:hint="eastAsia"/>
                <w:sz w:val="21"/>
                <w:szCs w:val="21"/>
                <w:lang w:val="en-US" w:eastAsia="zh-CN"/>
              </w:rPr>
              <w:t>要求</w:t>
            </w:r>
            <w:r>
              <w:rPr>
                <w:rFonts w:ascii="宋体" w:eastAsia="宋体" w:hAnsi="宋体" w:cs="宋体" w:hint="eastAsia"/>
                <w:sz w:val="21"/>
                <w:szCs w:val="21"/>
              </w:rPr>
              <w:t>偏离表》，评审委员会根据技术需求参数响应情况进行打分，</w:t>
            </w:r>
            <w:r>
              <w:rPr>
                <w:rFonts w:ascii="宋体" w:eastAsia="宋体" w:hAnsi="宋体" w:cs="宋体" w:hint="eastAsia"/>
                <w:sz w:val="21"/>
                <w:szCs w:val="21"/>
                <w:lang w:val="en-US" w:eastAsia="zh-CN"/>
              </w:rPr>
              <w:t>总分100分，</w:t>
            </w:r>
            <w:r>
              <w:rPr>
                <w:rFonts w:ascii="宋体" w:eastAsia="宋体" w:hAnsi="宋体" w:cs="宋体" w:hint="eastAsia"/>
                <w:sz w:val="21"/>
                <w:szCs w:val="21"/>
              </w:rPr>
              <w:t>每负偏离一项扣</w:t>
            </w:r>
            <w:r>
              <w:rPr>
                <w:rFonts w:ascii="宋体" w:hAnsi="宋体" w:cs="宋体" w:hint="eastAsia"/>
                <w:sz w:val="21"/>
                <w:szCs w:val="21"/>
                <w:lang w:val="en-US" w:eastAsia="zh-CN"/>
              </w:rPr>
              <w:t>50</w:t>
            </w:r>
            <w:r>
              <w:rPr>
                <w:rFonts w:ascii="宋体" w:eastAsia="宋体" w:hAnsi="宋体" w:cs="宋体" w:hint="eastAsia"/>
                <w:sz w:val="21"/>
                <w:szCs w:val="21"/>
              </w:rPr>
              <w:t>分，扣完为止。</w:t>
            </w:r>
          </w:p>
          <w:p>
            <w:pPr>
              <w:keepNext w:val="0"/>
              <w:keepLines w:val="0"/>
              <w:suppressLineNumbers w:val="0"/>
              <w:spacing w:before="0" w:beforeAutospacing="0" w:after="0" w:afterAutospacing="0"/>
              <w:ind w:left="0" w:right="0"/>
              <w:rPr>
                <w:rFonts w:ascii="宋体" w:eastAsia="宋体" w:hAnsi="宋体" w:cs="宋体" w:hint="eastAsia"/>
                <w:b/>
                <w:bCs/>
                <w:sz w:val="21"/>
                <w:szCs w:val="21"/>
                <w:lang w:val="en-US" w:eastAsia="zh-CN"/>
              </w:rPr>
            </w:pPr>
            <w:r>
              <w:rPr>
                <w:rFonts w:ascii="宋体" w:eastAsia="宋体" w:hAnsi="宋体" w:cs="宋体" w:hint="eastAsia"/>
                <w:b/>
                <w:bCs/>
                <w:sz w:val="21"/>
                <w:szCs w:val="21"/>
                <w:lang w:eastAsia="zh-CN"/>
              </w:rPr>
              <w:t>（</w:t>
            </w:r>
            <w:r>
              <w:rPr>
                <w:rFonts w:ascii="宋体" w:eastAsia="宋体" w:hAnsi="宋体" w:cs="宋体" w:hint="eastAsia"/>
                <w:b/>
                <w:bCs/>
                <w:sz w:val="21"/>
                <w:szCs w:val="21"/>
                <w:lang w:val="en-US" w:eastAsia="zh-CN"/>
              </w:rPr>
              <w:t>二</w:t>
            </w:r>
            <w:r>
              <w:rPr>
                <w:rFonts w:ascii="宋体" w:eastAsia="宋体" w:hAnsi="宋体" w:cs="宋体" w:hint="eastAsia"/>
                <w:b/>
                <w:bCs/>
                <w:sz w:val="21"/>
                <w:szCs w:val="21"/>
                <w:lang w:eastAsia="zh-CN"/>
              </w:rPr>
              <w:t>）</w:t>
            </w:r>
            <w:r>
              <w:rPr>
                <w:rFonts w:ascii="宋体" w:eastAsia="宋体" w:hAnsi="宋体" w:cs="宋体" w:hint="eastAsia"/>
                <w:b/>
                <w:bCs/>
                <w:kern w:val="2"/>
                <w:sz w:val="21"/>
                <w:szCs w:val="21"/>
                <w:lang w:val="zh-CN" w:eastAsia="zh-CN" w:bidi="ar-SA"/>
              </w:rPr>
              <w:t>评分依据</w:t>
            </w:r>
            <w:r>
              <w:rPr>
                <w:rFonts w:ascii="宋体" w:eastAsia="宋体" w:hAnsi="宋体" w:cs="宋体" w:hint="eastAsia"/>
                <w:b/>
                <w:bCs/>
                <w:sz w:val="21"/>
                <w:szCs w:val="21"/>
                <w:lang w:val="en-US" w:eastAsia="zh-CN"/>
              </w:rPr>
              <w:t>：</w:t>
            </w:r>
          </w:p>
          <w:p>
            <w:pPr>
              <w:keepNext w:val="0"/>
              <w:keepLines w:val="0"/>
              <w:suppressLineNumbers w:val="0"/>
              <w:spacing w:before="0" w:beforeAutospacing="0" w:after="0" w:afterAutospacing="0"/>
              <w:ind w:left="0" w:right="0"/>
              <w:rPr>
                <w:rFonts w:ascii="Times New Roman" w:eastAsia="宋体" w:hAnsi="Times New Roman" w:cs="Times New Roman" w:hint="eastAsia"/>
                <w:kern w:val="2"/>
                <w:sz w:val="21"/>
                <w:szCs w:val="21"/>
                <w:lang w:val="en-US" w:eastAsia="zh-CN" w:bidi="ar-SA"/>
              </w:rPr>
            </w:pPr>
            <w:r>
              <w:rPr>
                <w:rFonts w:ascii="宋体" w:eastAsia="宋体" w:hAnsi="宋体" w:cs="宋体" w:hint="eastAsia"/>
                <w:sz w:val="21"/>
                <w:szCs w:val="21"/>
              </w:rPr>
              <w:t>《技术</w:t>
            </w:r>
            <w:r>
              <w:rPr>
                <w:rFonts w:ascii="宋体" w:hAnsi="宋体" w:cs="宋体" w:hint="eastAsia"/>
                <w:sz w:val="21"/>
                <w:szCs w:val="21"/>
                <w:lang w:val="en-US" w:eastAsia="zh-CN"/>
              </w:rPr>
              <w:t>要求</w:t>
            </w:r>
            <w:r>
              <w:rPr>
                <w:rFonts w:ascii="宋体" w:eastAsia="宋体" w:hAnsi="宋体" w:cs="宋体" w:hint="eastAsia"/>
                <w:sz w:val="21"/>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kern w:val="0"/>
                <w:szCs w:val="21"/>
                <w:lang w:val="en-US" w:eastAsia="zh-CN"/>
              </w:rPr>
            </w:pPr>
            <w:r>
              <w:rPr>
                <w:rFonts w:ascii="宋体" w:hAnsi="宋体" w:cs="宋体" w:hint="eastAsia"/>
                <w:kern w:val="0"/>
                <w:szCs w:val="21"/>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eastAsia"/>
                <w:kern w:val="2"/>
                <w:sz w:val="21"/>
                <w:szCs w:val="21"/>
                <w:lang w:val="en-US" w:eastAsia="zh-CN" w:bidi="ar-SA"/>
              </w:rPr>
            </w:pPr>
            <w:r>
              <w:rPr>
                <w:rFonts w:ascii="Times New Roman" w:hAnsi="Times New Roman" w:cs="Times New Roman" w:hint="eastAsia"/>
                <w:szCs w:val="21"/>
              </w:rPr>
              <w:t>所投产品一般技术参数（非▲参数）响应情况评价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15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lang w:val="en-US" w:eastAsia="zh-CN"/>
              </w:rPr>
              <w:t>（一）</w:t>
            </w:r>
            <w:r>
              <w:rPr>
                <w:rFonts w:ascii="宋体" w:eastAsia="宋体" w:hAnsi="宋体" w:cs="宋体" w:hint="eastAsia"/>
                <w:b/>
                <w:bCs/>
                <w:sz w:val="21"/>
                <w:szCs w:val="21"/>
              </w:rPr>
              <w:t>评审内容：</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投标人应如实填写《技术</w:t>
            </w:r>
            <w:r>
              <w:rPr>
                <w:rFonts w:ascii="宋体" w:eastAsia="宋体" w:hAnsi="宋体" w:cs="宋体" w:hint="eastAsia"/>
                <w:sz w:val="21"/>
                <w:szCs w:val="21"/>
                <w:lang w:val="en-US" w:eastAsia="zh-CN"/>
              </w:rPr>
              <w:t>要求</w:t>
            </w:r>
            <w:r>
              <w:rPr>
                <w:rFonts w:ascii="宋体" w:eastAsia="宋体" w:hAnsi="宋体" w:cs="宋体" w:hint="eastAsia"/>
                <w:sz w:val="21"/>
                <w:szCs w:val="21"/>
              </w:rPr>
              <w:t>偏离表》，评审委员会根据技术需求参数响应情况进行打分，</w:t>
            </w:r>
            <w:r>
              <w:rPr>
                <w:rFonts w:ascii="宋体" w:eastAsia="宋体" w:hAnsi="宋体" w:cs="宋体" w:hint="eastAsia"/>
                <w:sz w:val="21"/>
                <w:szCs w:val="21"/>
                <w:lang w:val="en-US" w:eastAsia="zh-CN"/>
              </w:rPr>
              <w:t>总分100分，</w:t>
            </w:r>
            <w:r>
              <w:rPr>
                <w:rFonts w:ascii="宋体" w:eastAsia="宋体" w:hAnsi="宋体" w:cs="宋体" w:hint="eastAsia"/>
                <w:sz w:val="21"/>
                <w:szCs w:val="21"/>
              </w:rPr>
              <w:t>每负偏离一项扣</w:t>
            </w:r>
            <w:r>
              <w:rPr>
                <w:rFonts w:ascii="宋体" w:hAnsi="宋体" w:cs="宋体" w:hint="eastAsia"/>
                <w:sz w:val="21"/>
                <w:szCs w:val="21"/>
                <w:lang w:val="en-US" w:eastAsia="zh-CN"/>
              </w:rPr>
              <w:t>5.6</w:t>
            </w:r>
            <w:r>
              <w:rPr>
                <w:rFonts w:ascii="宋体" w:eastAsia="宋体" w:hAnsi="宋体" w:cs="宋体" w:hint="eastAsia"/>
                <w:sz w:val="21"/>
                <w:szCs w:val="21"/>
              </w:rPr>
              <w:t>分，扣完为止。</w:t>
            </w:r>
          </w:p>
          <w:p>
            <w:pPr>
              <w:keepNext w:val="0"/>
              <w:keepLines w:val="0"/>
              <w:suppressLineNumbers w:val="0"/>
              <w:spacing w:before="0" w:beforeAutospacing="0" w:after="0" w:afterAutospacing="0"/>
              <w:ind w:left="0" w:right="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（二）</w:t>
            </w:r>
            <w:r>
              <w:rPr>
                <w:rFonts w:ascii="宋体" w:eastAsia="宋体" w:hAnsi="宋体" w:cs="宋体" w:hint="eastAsia"/>
                <w:b/>
                <w:bCs/>
                <w:kern w:val="2"/>
                <w:sz w:val="21"/>
                <w:szCs w:val="21"/>
                <w:lang w:val="zh-CN" w:eastAsia="zh-CN" w:bidi="ar-SA"/>
              </w:rPr>
              <w:t>评分依据</w:t>
            </w:r>
            <w:r>
              <w:rPr>
                <w:rFonts w:ascii="宋体" w:eastAsia="宋体" w:hAnsi="宋体" w:cs="宋体" w:hint="eastAsia"/>
                <w:b/>
                <w:bCs/>
                <w:sz w:val="21"/>
                <w:szCs w:val="21"/>
                <w:lang w:val="en-US" w:eastAsia="zh-CN"/>
              </w:rPr>
              <w:t>：</w:t>
            </w:r>
          </w:p>
          <w:p>
            <w:pPr>
              <w:widowControl/>
              <w:wordWrap w:val="0"/>
              <w:jc w:val="left"/>
              <w:textAlignment w:val="top"/>
              <w:rPr>
                <w:rFonts w:ascii="Times New Roman" w:eastAsia="宋体" w:hAnsi="Times New Roman" w:cs="Times New Roman" w:hint="eastAsia"/>
                <w:kern w:val="2"/>
                <w:sz w:val="21"/>
                <w:szCs w:val="21"/>
                <w:lang w:val="en-US" w:eastAsia="zh-CN" w:bidi="ar-SA"/>
              </w:rPr>
            </w:pPr>
            <w:r>
              <w:rPr>
                <w:rFonts w:ascii="宋体" w:eastAsia="宋体" w:hAnsi="宋体" w:cs="宋体" w:hint="eastAsia"/>
                <w:sz w:val="21"/>
                <w:szCs w:val="21"/>
              </w:rPr>
              <w:t>《技术</w:t>
            </w:r>
            <w:r>
              <w:rPr>
                <w:rFonts w:ascii="宋体" w:hAnsi="宋体" w:cs="宋体" w:hint="eastAsia"/>
                <w:sz w:val="21"/>
                <w:szCs w:val="21"/>
                <w:lang w:val="en-US" w:eastAsia="zh-CN"/>
              </w:rPr>
              <w:t>要求</w:t>
            </w:r>
            <w:r>
              <w:rPr>
                <w:rFonts w:ascii="宋体" w:eastAsia="宋体" w:hAnsi="宋体" w:cs="宋体" w:hint="eastAsia"/>
                <w:sz w:val="21"/>
                <w:szCs w:val="21"/>
              </w:rPr>
              <w:t>偏离表》</w:t>
            </w:r>
            <w:r>
              <w:rPr>
                <w:rFonts w:ascii="宋体" w:eastAsia="宋体" w:hAnsi="宋体" w:cs="宋体" w:hint="eastAsia"/>
                <w:sz w:val="21"/>
                <w:szCs w:val="21"/>
                <w:lang w:eastAsia="zh-CN"/>
              </w:rPr>
              <w:t>。</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rPr>
                <w:rFonts w:ascii="宋体" w:eastAsia="宋体" w:hAnsi="宋体" w:cs="宋体" w:hint="eastAsia"/>
                <w:kern w:val="2"/>
                <w:sz w:val="21"/>
                <w:szCs w:val="21"/>
                <w:lang w:val="en-US" w:eastAsia="zh-CN" w:bidi="ar-SA"/>
              </w:rPr>
            </w:pPr>
            <w:r>
              <w:rPr>
                <w:rFonts w:ascii="宋体" w:hAnsi="宋体" w:cs="宋体" w:hint="eastAsia"/>
                <w:szCs w:val="21"/>
              </w:rPr>
              <w:t>系统业务需求理解与分析</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hAnsi="宋体" w:cs="宋体" w:hint="eastAsia"/>
                <w:sz w:val="21"/>
                <w:szCs w:val="21"/>
                <w:lang w:val="en-US" w:eastAsia="zh-CN"/>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hint="eastAsia"/>
                <w:b/>
                <w:bCs/>
                <w:szCs w:val="21"/>
              </w:rPr>
            </w:pPr>
            <w:r>
              <w:rPr>
                <w:rFonts w:ascii="宋体" w:hAnsi="宋体" w:cs="宋体" w:hint="eastAsia"/>
                <w:b/>
                <w:bCs/>
                <w:szCs w:val="21"/>
              </w:rPr>
              <w:t>（一）评</w:t>
            </w:r>
            <w:r>
              <w:rPr>
                <w:rFonts w:ascii="宋体" w:hAnsi="宋体" w:cs="宋体" w:hint="eastAsia"/>
                <w:b/>
                <w:bCs/>
                <w:szCs w:val="21"/>
                <w:lang w:val="en-US" w:eastAsia="zh-CN"/>
              </w:rPr>
              <w:t>审</w:t>
            </w:r>
            <w:r>
              <w:rPr>
                <w:rFonts w:ascii="宋体" w:hAnsi="宋体" w:cs="宋体" w:hint="eastAsia"/>
                <w:b/>
                <w:bCs/>
                <w:szCs w:val="21"/>
              </w:rPr>
              <w:t>内容：</w:t>
            </w:r>
          </w:p>
          <w:p>
            <w:pPr>
              <w:widowControl/>
              <w:jc w:val="left"/>
              <w:rPr>
                <w:rFonts w:ascii="宋体" w:hAnsi="宋体" w:cs="宋体" w:hint="eastAsia"/>
                <w:szCs w:val="21"/>
              </w:rPr>
            </w:pPr>
            <w:r>
              <w:rPr>
                <w:rFonts w:ascii="宋体" w:hAnsi="宋体" w:cs="宋体" w:hint="eastAsia"/>
                <w:szCs w:val="21"/>
              </w:rPr>
              <w:t>投标人提供的方案内容包括：</w:t>
            </w:r>
          </w:p>
          <w:p>
            <w:pPr>
              <w:widowControl/>
              <w:jc w:val="left"/>
              <w:rPr>
                <w:rFonts w:ascii="宋体" w:hAnsi="宋体" w:cs="宋体" w:hint="eastAsia"/>
                <w:szCs w:val="21"/>
              </w:rPr>
            </w:pPr>
            <w:r>
              <w:rPr>
                <w:rFonts w:ascii="宋体" w:hAnsi="宋体" w:cs="宋体" w:hint="eastAsia"/>
                <w:szCs w:val="21"/>
              </w:rPr>
              <w:t>1.设备维护保养计划表；</w:t>
            </w:r>
          </w:p>
          <w:p>
            <w:pPr>
              <w:rPr>
                <w:rFonts w:ascii="宋体" w:hAnsi="宋体" w:cs="宋体" w:hint="eastAsia"/>
                <w:szCs w:val="21"/>
              </w:rPr>
            </w:pPr>
            <w:r>
              <w:rPr>
                <w:rFonts w:ascii="宋体" w:hAnsi="宋体" w:cs="宋体" w:hint="eastAsia"/>
                <w:szCs w:val="21"/>
              </w:rPr>
              <w:t>2.设备的培训方案；</w:t>
            </w:r>
          </w:p>
          <w:p>
            <w:pPr>
              <w:rPr>
                <w:rFonts w:ascii="宋体" w:hAnsi="宋体" w:cs="宋体" w:hint="eastAsia"/>
                <w:szCs w:val="21"/>
              </w:rPr>
            </w:pPr>
            <w:r>
              <w:rPr>
                <w:rFonts w:ascii="宋体" w:hAnsi="宋体" w:cs="宋体" w:hint="eastAsia"/>
                <w:szCs w:val="21"/>
              </w:rPr>
              <w:t>3.核心设备出现重大故障的解决方案。</w:t>
            </w:r>
          </w:p>
          <w:p>
            <w:pPr>
              <w:rPr>
                <w:rFonts w:ascii="宋体" w:hAnsi="宋体" w:cs="宋体" w:hint="eastAsia"/>
                <w:b/>
                <w:bCs/>
                <w:szCs w:val="21"/>
              </w:rPr>
            </w:pPr>
            <w:r>
              <w:rPr>
                <w:rFonts w:ascii="宋体" w:hAnsi="宋体" w:cs="宋体" w:hint="eastAsia"/>
                <w:b/>
                <w:bCs/>
                <w:szCs w:val="21"/>
              </w:rPr>
              <w:t>（二）</w:t>
            </w:r>
            <w:r>
              <w:rPr>
                <w:rFonts w:ascii="宋体" w:eastAsia="宋体" w:hAnsi="宋体" w:cs="宋体" w:hint="eastAsia"/>
                <w:b/>
                <w:bCs/>
                <w:kern w:val="2"/>
                <w:sz w:val="21"/>
                <w:szCs w:val="21"/>
                <w:lang w:val="zh-CN" w:eastAsia="zh-CN" w:bidi="ar-SA"/>
              </w:rPr>
              <w:t>评分依据</w:t>
            </w:r>
            <w:r>
              <w:rPr>
                <w:rFonts w:ascii="宋体" w:hAnsi="宋体" w:cs="宋体" w:hint="eastAsia"/>
                <w:b/>
                <w:bCs/>
                <w:szCs w:val="21"/>
              </w:rPr>
              <w:t>：</w:t>
            </w:r>
          </w:p>
          <w:p>
            <w:pPr>
              <w:rPr>
                <w:rFonts w:ascii="宋体" w:hAnsi="宋体" w:cs="宋体" w:hint="eastAsia"/>
                <w:szCs w:val="21"/>
              </w:rPr>
            </w:pPr>
            <w:r>
              <w:rPr>
                <w:rFonts w:ascii="宋体" w:hAnsi="宋体" w:cs="宋体" w:hint="eastAsia"/>
                <w:szCs w:val="21"/>
              </w:rPr>
              <w:t>方案内容每满足以上一条得20分，最高得60分；</w:t>
            </w:r>
          </w:p>
          <w:p>
            <w:pPr>
              <w:rPr>
                <w:rFonts w:ascii="宋体" w:hAnsi="宋体" w:cs="宋体" w:hint="eastAsia"/>
                <w:szCs w:val="21"/>
              </w:rPr>
            </w:pPr>
            <w:r>
              <w:rPr>
                <w:rFonts w:ascii="宋体" w:hAnsi="宋体" w:cs="宋体" w:hint="eastAsia"/>
                <w:szCs w:val="21"/>
              </w:rPr>
              <w:t>在此基础上，由评审委员进行评价：</w:t>
            </w:r>
          </w:p>
          <w:p>
            <w:pPr>
              <w:rPr>
                <w:rFonts w:ascii="宋体" w:hAnsi="宋体" w:cs="宋体" w:hint="eastAsia"/>
                <w:szCs w:val="21"/>
              </w:rPr>
            </w:pPr>
            <w:r>
              <w:rPr>
                <w:rFonts w:ascii="宋体" w:hAnsi="宋体" w:cs="宋体" w:hint="eastAsia"/>
                <w:szCs w:val="21"/>
              </w:rPr>
              <w:t>1.内容完整详细，符合项目实际，可行性强，评价为优，得40分；</w:t>
            </w:r>
          </w:p>
          <w:p>
            <w:pPr>
              <w:rPr>
                <w:rFonts w:ascii="宋体" w:hAnsi="宋体" w:cs="宋体" w:hint="eastAsia"/>
                <w:szCs w:val="21"/>
              </w:rPr>
            </w:pPr>
            <w:r>
              <w:rPr>
                <w:rFonts w:ascii="宋体" w:hAnsi="宋体" w:cs="宋体" w:hint="eastAsia"/>
                <w:szCs w:val="21"/>
              </w:rPr>
              <w:t>2.内容完整，较贴近项目实际，可行性较好，评价为良，得20分；</w:t>
            </w:r>
          </w:p>
          <w:p>
            <w:pPr>
              <w:rPr>
                <w:rFonts w:ascii="宋体" w:hAnsi="宋体" w:cs="宋体" w:hint="eastAsia"/>
                <w:szCs w:val="21"/>
              </w:rPr>
            </w:pPr>
            <w:r>
              <w:rPr>
                <w:rFonts w:ascii="宋体" w:hAnsi="宋体" w:cs="宋体" w:hint="eastAsia"/>
                <w:szCs w:val="21"/>
              </w:rPr>
              <w:t>3.内容较为完整，可行性一般，评价为中，得10分；</w:t>
            </w:r>
          </w:p>
          <w:p>
            <w:pPr>
              <w:keepNext w:val="0"/>
              <w:keepLines w:val="0"/>
              <w:suppressLineNumbers w:val="0"/>
              <w:spacing w:before="0" w:beforeAutospacing="0" w:after="0" w:afterAutospacing="0"/>
              <w:ind w:left="0" w:right="0" w:leftChars="0" w:rightChars="0"/>
              <w:rPr>
                <w:rFonts w:ascii="宋体" w:hAnsi="宋体" w:cs="宋体" w:hint="eastAsia"/>
                <w:szCs w:val="21"/>
              </w:rPr>
            </w:pPr>
            <w:r>
              <w:rPr>
                <w:rFonts w:ascii="宋体" w:hAnsi="宋体" w:cs="宋体" w:hint="eastAsia"/>
                <w:szCs w:val="21"/>
              </w:rPr>
              <w:t>4.内容不完整，或与项目实际不符，评价为差，得0分；</w:t>
            </w:r>
          </w:p>
          <w:p>
            <w:pPr>
              <w:keepNext w:val="0"/>
              <w:keepLines w:val="0"/>
              <w:suppressLineNumbers w:val="0"/>
              <w:spacing w:before="0" w:beforeAutospacing="0" w:after="0" w:afterAutospacing="0"/>
              <w:ind w:left="0" w:right="0" w:leftChars="0" w:rightChars="0"/>
              <w:rPr>
                <w:rFonts w:ascii="宋体" w:eastAsia="宋体" w:hAnsi="宋体" w:cs="宋体" w:hint="eastAsia"/>
                <w:sz w:val="21"/>
                <w:szCs w:val="21"/>
                <w:lang w:val="en-US" w:eastAsia="zh-CN"/>
              </w:rPr>
            </w:pPr>
            <w:r>
              <w:rPr>
                <w:rFonts w:ascii="宋体" w:hAnsi="宋体" w:cs="宋体" w:hint="eastAsia"/>
                <w:sz w:val="24"/>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rPr>
              <w:t>未按要求提供方案或提供方案不清晰导致专家无法判断的不得分。</w:t>
            </w:r>
          </w:p>
        </w:tc>
      </w:tr>
      <w:tr>
        <w:tblPrEx>
          <w:tblW w:w="9078" w:type="dxa"/>
          <w:jc w:val="center"/>
          <w:tblCellMar>
            <w:top w:w="20" w:type="dxa"/>
            <w:left w:w="108" w:type="dxa"/>
            <w:bottom w:w="20" w:type="dxa"/>
            <w:right w:w="108" w:type="dxa"/>
          </w:tblCellMar>
        </w:tblPrEx>
        <w:trPr>
          <w:jc w:val="center"/>
        </w:trPr>
        <w:tc>
          <w:tcPr>
            <w:tcW w:w="681" w:type="dxa"/>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15</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hAnsi="宋体" w:cs="宋体" w:hint="eastAsia"/>
                <w:szCs w:val="21"/>
                <w:lang w:val="zh-CN"/>
              </w:rPr>
            </w:pPr>
          </w:p>
          <w:p>
            <w:pPr>
              <w:jc w:val="center"/>
              <w:rPr>
                <w:rFonts w:ascii="宋体" w:hAnsi="宋体" w:cs="宋体" w:hint="eastAsia"/>
                <w:szCs w:val="21"/>
                <w:lang w:val="zh-CN"/>
              </w:rPr>
            </w:pPr>
            <w:r>
              <w:rPr>
                <w:rFonts w:ascii="宋体" w:hAnsi="宋体" w:cs="宋体" w:hint="eastAsia"/>
                <w:szCs w:val="21"/>
                <w:lang w:val="zh-CN"/>
              </w:rPr>
              <w:t>1</w:t>
            </w:r>
          </w:p>
          <w:p>
            <w:pPr>
              <w:jc w:val="center"/>
              <w:rPr>
                <w:rFonts w:ascii="宋体" w:eastAsia="宋体" w:hAnsi="宋体" w:cs="宋体" w:hint="eastAsia"/>
                <w:kern w:val="2"/>
                <w:sz w:val="21"/>
                <w:szCs w:val="21"/>
                <w:lang w:val="en-US" w:eastAsia="zh-CN" w:bidi="ar-SA"/>
              </w:rPr>
            </w:pP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eastAsia="宋体" w:hAnsi="宋体" w:cs="宋体" w:hint="eastAsia"/>
                <w:kern w:val="2"/>
                <w:sz w:val="21"/>
                <w:szCs w:val="21"/>
                <w:lang w:val="en-US" w:eastAsia="zh-CN" w:bidi="ar-SA"/>
              </w:rPr>
            </w:pPr>
            <w:r>
              <w:rPr>
                <w:rFonts w:ascii="宋体" w:hAnsi="宋体" w:cs="宋体" w:hint="eastAsia"/>
                <w:szCs w:val="21"/>
                <w:lang w:val="zh-CN"/>
              </w:rPr>
              <w:t>免费保修期内售后服务条款偏离情况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default"/>
                <w:kern w:val="2"/>
                <w:sz w:val="21"/>
                <w:szCs w:val="21"/>
                <w:lang w:val="en-US" w:eastAsia="zh-CN" w:bidi="ar-SA"/>
              </w:rPr>
            </w:pPr>
            <w:r>
              <w:rPr>
                <w:rFonts w:ascii="宋体" w:hAnsi="宋体" w:cs="宋体" w:hint="eastAsia"/>
                <w:szCs w:val="21"/>
              </w:rPr>
              <w:t>6</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hint="eastAsia"/>
                <w:b/>
                <w:bCs/>
                <w:szCs w:val="21"/>
              </w:rPr>
            </w:pPr>
            <w:r>
              <w:rPr>
                <w:rFonts w:ascii="宋体" w:hAnsi="宋体" w:cs="宋体" w:hint="eastAsia"/>
                <w:b/>
                <w:bCs/>
                <w:szCs w:val="21"/>
              </w:rPr>
              <w:t>（一）评分内容：</w:t>
            </w:r>
          </w:p>
          <w:p>
            <w:pPr>
              <w:rPr>
                <w:rFonts w:ascii="宋体" w:eastAsia="宋体" w:hAnsi="宋体" w:cs="宋体" w:hint="eastAsia"/>
                <w:szCs w:val="21"/>
                <w:lang w:eastAsia="zh-CN"/>
              </w:rPr>
            </w:pPr>
            <w:r>
              <w:rPr>
                <w:rFonts w:ascii="宋体" w:hAnsi="宋体" w:cs="宋体" w:hint="eastAsia"/>
                <w:szCs w:val="21"/>
              </w:rPr>
              <w:t>投标人应如实填写《商务</w:t>
            </w:r>
            <w:r>
              <w:rPr>
                <w:rFonts w:ascii="宋体" w:hAnsi="宋体" w:cs="宋体" w:hint="eastAsia"/>
                <w:szCs w:val="21"/>
                <w:lang w:val="en-US" w:eastAsia="zh-CN"/>
              </w:rPr>
              <w:t>要求</w:t>
            </w:r>
            <w:r>
              <w:rPr>
                <w:rFonts w:ascii="宋体" w:hAnsi="宋体" w:cs="宋体" w:hint="eastAsia"/>
                <w:szCs w:val="21"/>
              </w:rPr>
              <w:t>偏离表》中免费保修期内售后服务要求部分，评审委员会根据响应情况进行打分</w:t>
            </w:r>
            <w:r>
              <w:rPr>
                <w:rFonts w:ascii="宋体" w:hAnsi="宋体" w:cs="宋体" w:hint="eastAsia"/>
                <w:szCs w:val="21"/>
                <w:lang w:eastAsia="zh-CN"/>
              </w:rPr>
              <w:t>，</w:t>
            </w:r>
            <w:r>
              <w:rPr>
                <w:rFonts w:ascii="宋体" w:eastAsia="宋体" w:hAnsi="宋体" w:cs="宋体" w:hint="eastAsia"/>
                <w:sz w:val="21"/>
                <w:szCs w:val="21"/>
                <w:lang w:val="en-US" w:eastAsia="zh-CN"/>
              </w:rPr>
              <w:t>总分100分</w:t>
            </w:r>
            <w:r>
              <w:rPr>
                <w:rFonts w:ascii="宋体" w:hAnsi="宋体" w:cs="宋体" w:hint="eastAsia"/>
                <w:szCs w:val="21"/>
              </w:rPr>
              <w:t>，每负偏离一项扣</w:t>
            </w:r>
            <w:r>
              <w:rPr>
                <w:rFonts w:ascii="宋体" w:hAnsi="宋体" w:cs="宋体" w:hint="eastAsia"/>
                <w:szCs w:val="21"/>
                <w:lang w:val="en-US" w:eastAsia="zh-CN"/>
              </w:rPr>
              <w:t>20</w:t>
            </w:r>
            <w:r>
              <w:rPr>
                <w:rFonts w:ascii="宋体" w:hAnsi="宋体" w:cs="宋体" w:hint="eastAsia"/>
                <w:szCs w:val="21"/>
              </w:rPr>
              <w:t>分，扣完为止。</w:t>
            </w:r>
          </w:p>
          <w:p>
            <w:pPr>
              <w:rPr>
                <w:rFonts w:ascii="宋体" w:hAnsi="宋体" w:cs="宋体" w:hint="eastAsia"/>
                <w:b/>
                <w:bCs/>
                <w:szCs w:val="21"/>
              </w:rPr>
            </w:pPr>
            <w:r>
              <w:rPr>
                <w:rFonts w:ascii="宋体" w:hAnsi="宋体" w:cs="宋体" w:hint="eastAsia"/>
                <w:b/>
                <w:bCs/>
                <w:szCs w:val="21"/>
              </w:rPr>
              <w:t>（二）评分依据：</w:t>
            </w:r>
          </w:p>
          <w:p>
            <w:pPr>
              <w:rPr>
                <w:rFonts w:ascii="宋体" w:eastAsia="宋体" w:hAnsi="宋体" w:cs="宋体" w:hint="eastAsia"/>
                <w:kern w:val="2"/>
                <w:sz w:val="21"/>
                <w:szCs w:val="21"/>
                <w:lang w:val="en-US" w:eastAsia="zh-CN" w:bidi="ar-SA"/>
              </w:rPr>
            </w:pPr>
            <w:r>
              <w:rPr>
                <w:rFonts w:ascii="宋体" w:hAnsi="宋体" w:cs="宋体" w:hint="eastAsia"/>
                <w:szCs w:val="21"/>
              </w:rPr>
              <w:t>《商务</w:t>
            </w:r>
            <w:r>
              <w:rPr>
                <w:rFonts w:ascii="宋体" w:hAnsi="宋体" w:cs="宋体" w:hint="eastAsia"/>
                <w:szCs w:val="21"/>
                <w:lang w:val="en-US" w:eastAsia="zh-CN"/>
              </w:rPr>
              <w:t>要求</w:t>
            </w:r>
            <w:r>
              <w:rPr>
                <w:rFonts w:ascii="宋体" w:hAnsi="宋体" w:cs="宋体" w:hint="eastAsia"/>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adjustRightInd w:val="0"/>
              <w:jc w:val="center"/>
              <w:rPr>
                <w:rFonts w:ascii="宋体" w:eastAsia="宋体" w:hAnsi="宋体" w:cs="宋体" w:hint="eastAsia"/>
                <w:kern w:val="2"/>
                <w:sz w:val="21"/>
                <w:szCs w:val="21"/>
                <w:lang w:val="en-US" w:eastAsia="zh-CN" w:bidi="ar-SA"/>
              </w:rPr>
            </w:pPr>
            <w:r>
              <w:rPr>
                <w:rFonts w:ascii="宋体" w:hAnsi="宋体" w:cs="宋体" w:hint="eastAsia"/>
                <w:color w:val="00000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kern w:val="2"/>
                <w:sz w:val="21"/>
                <w:szCs w:val="21"/>
                <w:lang w:val="en-US" w:eastAsia="zh-CN" w:bidi="ar-SA"/>
              </w:rPr>
            </w:pPr>
            <w:r>
              <w:rPr>
                <w:rFonts w:hint="eastAsia"/>
              </w:rPr>
              <w:t>免费保修期外售后服务条款偏离情况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jc w:val="center"/>
              <w:rPr>
                <w:rFonts w:ascii="宋体" w:eastAsia="宋体" w:hAnsi="宋体" w:cs="宋体" w:hint="eastAsia"/>
                <w:kern w:val="2"/>
                <w:sz w:val="21"/>
                <w:szCs w:val="21"/>
                <w:lang w:val="en-US" w:eastAsia="zh-CN" w:bidi="ar-SA"/>
              </w:rPr>
            </w:pPr>
            <w:r>
              <w:rPr>
                <w:rFonts w:ascii="宋体" w:hAnsi="宋体" w:cs="宋体" w:hint="eastAsia"/>
                <w:szCs w:val="21"/>
              </w:rPr>
              <w:t>6</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b/>
                <w:bCs/>
                <w:szCs w:val="21"/>
              </w:rPr>
            </w:pPr>
            <w:r>
              <w:rPr>
                <w:rFonts w:ascii="宋体" w:hAnsi="宋体" w:cs="宋体" w:hint="eastAsia"/>
                <w:b/>
                <w:bCs/>
                <w:szCs w:val="21"/>
              </w:rPr>
              <w:t>（一）评分内容：</w:t>
            </w:r>
          </w:p>
          <w:p>
            <w:pPr>
              <w:jc w:val="left"/>
              <w:rPr>
                <w:rFonts w:ascii="宋体" w:hAnsi="宋体" w:cs="宋体" w:hint="eastAsia"/>
                <w:b/>
                <w:color w:val="000000"/>
                <w:szCs w:val="21"/>
              </w:rPr>
            </w:pPr>
            <w:r>
              <w:rPr>
                <w:rFonts w:hint="eastAsia"/>
              </w:rPr>
              <w:t>投标人应如实填写</w:t>
            </w:r>
            <w:r>
              <w:rPr>
                <w:rFonts w:hint="eastAsia"/>
                <w:lang w:val="zh-CN"/>
              </w:rPr>
              <w:t>《商务</w:t>
            </w:r>
            <w:r>
              <w:rPr>
                <w:rFonts w:hint="eastAsia"/>
              </w:rPr>
              <w:t>要求</w:t>
            </w:r>
            <w:r>
              <w:rPr>
                <w:rFonts w:hint="eastAsia"/>
                <w:lang w:val="zh-CN"/>
              </w:rPr>
              <w:t>偏离表》中免费保修期外售后服务要求</w:t>
            </w:r>
            <w:r>
              <w:rPr>
                <w:rFonts w:hint="eastAsia"/>
              </w:rPr>
              <w:t>部分，评标委员会根据响应情况进行打分，</w:t>
            </w:r>
            <w:r>
              <w:rPr>
                <w:rFonts w:ascii="宋体" w:eastAsia="宋体" w:hAnsi="宋体" w:cs="宋体" w:hint="eastAsia"/>
                <w:sz w:val="21"/>
                <w:szCs w:val="21"/>
                <w:lang w:val="en-US" w:eastAsia="zh-CN"/>
              </w:rPr>
              <w:t>总分100分</w:t>
            </w:r>
            <w:r>
              <w:rPr>
                <w:rFonts w:ascii="宋体" w:hAnsi="宋体" w:cs="宋体" w:hint="eastAsia"/>
                <w:szCs w:val="21"/>
              </w:rPr>
              <w:t>，</w:t>
            </w:r>
            <w:r>
              <w:rPr>
                <w:rFonts w:hint="eastAsia"/>
              </w:rPr>
              <w:t>每负偏离一项扣</w:t>
            </w:r>
            <w:r>
              <w:rPr>
                <w:rFonts w:hint="eastAsia"/>
                <w:lang w:val="en-US" w:eastAsia="zh-CN"/>
              </w:rPr>
              <w:t>20</w:t>
            </w:r>
            <w:r>
              <w:rPr>
                <w:rFonts w:hint="eastAsia"/>
                <w:lang w:val="zh-CN"/>
              </w:rPr>
              <w:t>分，扣完为止</w:t>
            </w:r>
            <w:r>
              <w:rPr>
                <w:rFonts w:hint="eastAsia"/>
              </w:rPr>
              <w:t>。</w:t>
            </w:r>
          </w:p>
          <w:p>
            <w:pPr>
              <w:rPr>
                <w:rFonts w:ascii="宋体" w:hAnsi="宋体" w:cs="宋体"/>
                <w:b/>
                <w:bCs/>
                <w:szCs w:val="21"/>
              </w:rPr>
            </w:pPr>
            <w:r>
              <w:rPr>
                <w:rFonts w:ascii="宋体" w:hAnsi="宋体" w:cs="宋体" w:hint="eastAsia"/>
                <w:b/>
                <w:bCs/>
                <w:szCs w:val="21"/>
              </w:rPr>
              <w:t>（二）评分依据：</w:t>
            </w:r>
          </w:p>
          <w:p>
            <w:pPr>
              <w:jc w:val="left"/>
              <w:rPr>
                <w:rFonts w:ascii="宋体" w:eastAsia="宋体" w:hAnsi="宋体" w:cs="宋体" w:hint="eastAsia"/>
                <w:kern w:val="2"/>
                <w:sz w:val="21"/>
                <w:szCs w:val="21"/>
                <w:lang w:val="zh-CN" w:eastAsia="zh-CN" w:bidi="ar-SA"/>
              </w:rPr>
            </w:pPr>
            <w:r>
              <w:rPr>
                <w:rFonts w:ascii="宋体" w:hAnsi="宋体" w:cs="宋体" w:hint="eastAsia"/>
                <w:szCs w:val="21"/>
              </w:rPr>
              <w:t>《商务</w:t>
            </w:r>
            <w:r>
              <w:rPr>
                <w:rFonts w:ascii="宋体" w:hAnsi="宋体" w:cs="宋体" w:hint="eastAsia"/>
                <w:szCs w:val="21"/>
                <w:lang w:val="en-US" w:eastAsia="zh-CN"/>
              </w:rPr>
              <w:t>要求</w:t>
            </w:r>
            <w:r>
              <w:rPr>
                <w:rFonts w:ascii="宋体" w:hAnsi="宋体" w:cs="宋体" w:hint="eastAsia"/>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adjustRightInd w:val="0"/>
              <w:jc w:val="center"/>
              <w:rPr>
                <w:rFonts w:ascii="宋体" w:eastAsia="宋体" w:hAnsi="宋体" w:cs="宋体" w:hint="eastAsia"/>
                <w:color w:val="000000"/>
                <w:kern w:val="2"/>
                <w:sz w:val="21"/>
                <w:szCs w:val="21"/>
                <w:lang w:val="en-US" w:eastAsia="zh-CN"/>
              </w:rPr>
            </w:pPr>
            <w:r>
              <w:rPr>
                <w:rFonts w:ascii="宋体" w:hAnsi="宋体" w:cs="宋体" w:hint="eastAsia"/>
                <w:color w:val="00000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Times New Roman" w:eastAsia="宋体" w:hAnsi="Times New Roman" w:cs="Times New Roman" w:hint="eastAsia"/>
                <w:kern w:val="2"/>
                <w:sz w:val="21"/>
                <w:szCs w:val="24"/>
                <w:lang w:val="en-US" w:eastAsia="zh-CN" w:bidi="ar-SA"/>
              </w:rPr>
            </w:pPr>
            <w:r>
              <w:rPr>
                <w:rFonts w:hint="eastAsia"/>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jc w:val="center"/>
              <w:rPr>
                <w:rFonts w:ascii="宋体" w:eastAsia="宋体" w:hAnsi="宋体" w:cs="宋体" w:hint="eastAsia"/>
                <w:kern w:val="2"/>
                <w:sz w:val="21"/>
                <w:szCs w:val="21"/>
                <w:lang w:val="en-US" w:eastAsia="zh-CN" w:bidi="ar-SA"/>
              </w:rPr>
            </w:pPr>
            <w:r>
              <w:rPr>
                <w:rFonts w:ascii="宋体" w:hAnsi="宋体" w:cs="宋体"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b/>
                <w:bCs/>
                <w:szCs w:val="21"/>
              </w:rPr>
            </w:pPr>
            <w:r>
              <w:rPr>
                <w:rFonts w:ascii="宋体" w:hAnsi="宋体" w:cs="宋体" w:hint="eastAsia"/>
                <w:b/>
                <w:bCs/>
                <w:szCs w:val="21"/>
              </w:rPr>
              <w:t>（一）评分内容：</w:t>
            </w:r>
          </w:p>
          <w:p>
            <w:r>
              <w:rPr>
                <w:rFonts w:hint="eastAsia"/>
              </w:rPr>
              <w:t>投标人应如实填写《商务要求偏离表》中其他商务要求部分，评标委员会根据响应情况进行打分</w:t>
            </w:r>
            <w:r>
              <w:rPr>
                <w:rFonts w:hint="eastAsia"/>
                <w:lang w:eastAsia="zh-CN"/>
              </w:rPr>
              <w:t>，</w:t>
            </w:r>
            <w:r>
              <w:rPr>
                <w:rFonts w:ascii="宋体" w:eastAsia="宋体" w:hAnsi="宋体" w:cs="宋体" w:hint="eastAsia"/>
                <w:sz w:val="21"/>
                <w:szCs w:val="21"/>
                <w:lang w:val="en-US" w:eastAsia="zh-CN"/>
              </w:rPr>
              <w:t>总分100分</w:t>
            </w:r>
            <w:r>
              <w:rPr>
                <w:rFonts w:ascii="宋体" w:hAnsi="宋体" w:cs="宋体" w:hint="eastAsia"/>
                <w:szCs w:val="21"/>
              </w:rPr>
              <w:t>，</w:t>
            </w:r>
            <w:r>
              <w:rPr>
                <w:rFonts w:hint="eastAsia"/>
              </w:rPr>
              <w:t>每负偏离一项扣</w:t>
            </w:r>
            <w:r>
              <w:rPr>
                <w:rFonts w:hint="eastAsia"/>
                <w:lang w:val="en-US" w:eastAsia="zh-CN"/>
              </w:rPr>
              <w:t>8.4</w:t>
            </w:r>
            <w:r>
              <w:rPr>
                <w:rFonts w:hint="eastAsia"/>
                <w:lang w:val="zh-CN"/>
              </w:rPr>
              <w:t>分，扣完为止</w:t>
            </w:r>
            <w:r>
              <w:rPr>
                <w:rFonts w:hint="eastAsia"/>
              </w:rPr>
              <w:t>。</w:t>
            </w:r>
          </w:p>
          <w:p>
            <w:pPr>
              <w:rPr>
                <w:rFonts w:ascii="宋体" w:hAnsi="宋体" w:cs="宋体"/>
                <w:b/>
                <w:bCs/>
                <w:szCs w:val="21"/>
              </w:rPr>
            </w:pPr>
            <w:r>
              <w:rPr>
                <w:rFonts w:ascii="宋体" w:hAnsi="宋体" w:cs="宋体" w:hint="eastAsia"/>
                <w:b/>
                <w:bCs/>
                <w:szCs w:val="21"/>
              </w:rPr>
              <w:t>（二）评分依据：</w:t>
            </w:r>
          </w:p>
          <w:p>
            <w:pPr>
              <w:rPr>
                <w:rFonts w:ascii="宋体" w:eastAsia="宋体" w:hAnsi="宋体" w:cs="宋体" w:hint="eastAsia"/>
                <w:b/>
                <w:bCs/>
                <w:kern w:val="2"/>
                <w:sz w:val="21"/>
                <w:szCs w:val="21"/>
                <w:lang w:val="en-US" w:eastAsia="zh-CN" w:bidi="ar-SA"/>
              </w:rPr>
            </w:pPr>
            <w:r>
              <w:rPr>
                <w:rFonts w:ascii="宋体" w:hAnsi="宋体" w:cs="宋体" w:hint="eastAsia"/>
                <w:szCs w:val="21"/>
              </w:rPr>
              <w:t>《商务</w:t>
            </w:r>
            <w:r>
              <w:rPr>
                <w:rFonts w:ascii="宋体" w:hAnsi="宋体" w:cs="宋体" w:hint="eastAsia"/>
                <w:szCs w:val="21"/>
                <w:lang w:val="en-US" w:eastAsia="zh-CN"/>
              </w:rPr>
              <w:t>要求</w:t>
            </w:r>
            <w:r>
              <w:rPr>
                <w:rFonts w:ascii="宋体" w:hAnsi="宋体" w:cs="宋体" w:hint="eastAsia"/>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eastAsia="zh-CN"/>
              </w:rPr>
            </w:pPr>
            <w:r>
              <w:rPr>
                <w:rFonts w:ascii="宋体" w:hAnsi="宋体" w:cs="宋体" w:hint="eastAsia"/>
                <w:b/>
                <w:bCs/>
                <w:color w:val="0000FF"/>
                <w:kern w:val="0"/>
                <w:sz w:val="24"/>
                <w:lang w:val="en-US" w:eastAsia="zh-CN"/>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val="en-US" w:eastAsia="zh-CN"/>
              </w:rPr>
            </w:pPr>
            <w:r>
              <w:rPr>
                <w:rFonts w:hint="eastAsia"/>
                <w:b/>
                <w:bCs/>
                <w:color w:val="0000FF"/>
                <w:sz w:val="24"/>
                <w:lang w:val="en-US" w:eastAsia="zh-CN"/>
              </w:rPr>
              <w:t>5</w:t>
            </w:r>
          </w:p>
        </w:tc>
      </w:tr>
      <w:tr>
        <w:tblPrEx>
          <w:tblW w:w="9078" w:type="dxa"/>
          <w:jc w:val="center"/>
          <w:tblCellMar>
            <w:top w:w="20" w:type="dxa"/>
            <w:left w:w="108" w:type="dxa"/>
            <w:bottom w:w="20" w:type="dxa"/>
            <w:right w:w="108" w:type="dxa"/>
          </w:tblCellMar>
        </w:tblPrEx>
        <w:trPr>
          <w:jc w:val="center"/>
        </w:trPr>
        <w:tc>
          <w:tcPr>
            <w:tcW w:w="681"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jc w:val="center"/>
          <w:tblCellMar>
            <w:top w:w="20" w:type="dxa"/>
            <w:left w:w="108" w:type="dxa"/>
            <w:bottom w:w="20" w:type="dxa"/>
            <w:right w:w="108" w:type="dxa"/>
          </w:tblCellMar>
        </w:tblPrEx>
        <w:trPr>
          <w:jc w:val="center"/>
        </w:trPr>
        <w:tc>
          <w:tcPr>
            <w:tcW w:w="6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left"/>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b/>
                <w:bCs/>
                <w:kern w:val="2"/>
                <w:sz w:val="21"/>
                <w:szCs w:val="21"/>
                <w:lang w:val="zh-CN" w:eastAsia="zh-CN" w:bidi="ar-SA"/>
              </w:rPr>
            </w:pPr>
            <w:r>
              <w:rPr>
                <w:rFonts w:ascii="宋体" w:eastAsia="宋体" w:hAnsi="宋体" w:cs="宋体" w:hint="eastAsia"/>
                <w:b/>
                <w:bCs/>
                <w:kern w:val="2"/>
                <w:sz w:val="21"/>
                <w:szCs w:val="21"/>
                <w:lang w:val="zh-CN" w:eastAsia="zh-CN" w:bidi="ar-SA"/>
              </w:rPr>
              <w:t>（一）评分内容：</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kern w:val="2"/>
                <w:sz w:val="21"/>
                <w:szCs w:val="21"/>
                <w:lang w:val="zh-CN" w:eastAsia="zh-CN" w:bidi="ar-SA"/>
              </w:rPr>
            </w:pPr>
            <w:r>
              <w:rPr>
                <w:rFonts w:ascii="宋体" w:eastAsia="宋体" w:hAnsi="宋体" w:cs="宋体" w:hint="eastAsia"/>
                <w:kern w:val="2"/>
                <w:sz w:val="21"/>
                <w:szCs w:val="21"/>
                <w:lang w:val="zh-CN" w:eastAsia="zh-CN" w:bidi="ar-SA"/>
              </w:rPr>
              <w:t>投标人在参与政府采购活动中存在诚信相关问题且在主管部门相关处理措施实施期限内的，本项不得分，否则得100分。</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b/>
                <w:bCs/>
                <w:kern w:val="2"/>
                <w:sz w:val="21"/>
                <w:szCs w:val="21"/>
                <w:lang w:val="zh-CN" w:eastAsia="zh-CN" w:bidi="ar-SA"/>
              </w:rPr>
            </w:pPr>
            <w:r>
              <w:rPr>
                <w:rFonts w:ascii="宋体" w:eastAsia="宋体" w:hAnsi="宋体" w:cs="宋体" w:hint="eastAsia"/>
                <w:b/>
                <w:bCs/>
                <w:kern w:val="2"/>
                <w:sz w:val="21"/>
                <w:szCs w:val="21"/>
                <w:lang w:val="zh-CN" w:eastAsia="zh-CN" w:bidi="ar-SA"/>
              </w:rPr>
              <w:t>（二）评分依据：</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szCs w:val="21"/>
              </w:rPr>
            </w:pPr>
            <w:r>
              <w:rPr>
                <w:rFonts w:ascii="宋体" w:eastAsia="宋体" w:hAnsi="宋体" w:cs="宋体" w:hint="eastAsia"/>
                <w:kern w:val="2"/>
                <w:sz w:val="21"/>
                <w:szCs w:val="21"/>
                <w:lang w:val="zh-CN" w:eastAsia="zh-CN" w:bidi="ar-SA"/>
              </w:rPr>
              <w:t>投标人无需提供任何证明材料，由工作人员向评审委员会提供相关信息。</w:t>
            </w:r>
          </w:p>
        </w:tc>
      </w:tr>
    </w:tbl>
    <w:p>
      <w:pPr>
        <w:sectPr>
          <w:footerReference w:type="even" r:id="rId6"/>
          <w:footerReference w:type="default" r:id="rId7"/>
          <w:headerReference w:type="first" r:id="rId8"/>
          <w:pgSz w:w="11907" w:h="16840"/>
          <w:pgMar w:top="1440" w:right="1418" w:bottom="1440" w:left="1418" w:header="851" w:footer="992" w:gutter="0"/>
          <w:cols w:num="1" w:space="425"/>
          <w:titlePg/>
          <w:docGrid w:linePitch="462" w:charSpace="0"/>
        </w:sectPr>
      </w:pPr>
      <w:bookmarkEnd w:id="3"/>
    </w:p>
    <w:p/>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4"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3</w:t>
      </w:r>
      <w:r>
        <w:rPr>
          <w:rFonts w:hint="eastAsia"/>
          <w:b/>
          <w:sz w:val="44"/>
          <w:szCs w:val="44"/>
        </w:rPr>
        <w:t>）</w:t>
      </w:r>
    </w:p>
    <w:p>
      <w:pPr>
        <w:ind w:firstLine="435"/>
        <w:jc w:val="left"/>
      </w:pPr>
      <w:bookmarkEnd w:id="4"/>
    </w:p>
    <w:p>
      <w:pPr>
        <w:widowControl/>
        <w:jc w:val="left"/>
      </w:pPr>
      <w:r>
        <w:br w:type="page"/>
      </w:r>
    </w:p>
    <w:p>
      <w:pPr>
        <w:ind w:firstLine="2730" w:firstLineChars="1300"/>
        <w:rPr>
          <w:rFonts w:ascii="宋体" w:hAnsi="宋体"/>
          <w:color w:val="FF0000"/>
          <w:szCs w:val="21"/>
        </w:rPr>
      </w:pPr>
      <w:bookmarkStart w:id="5"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5"/>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hint="eastAsia"/>
          <w:b w:val="0"/>
          <w:bCs/>
          <w:color w:val="FF0000"/>
          <w:lang w:val="en-US" w:eastAsia="zh-CN"/>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ind w:firstLine="420" w:firstLineChars="200"/>
        <w:rPr>
          <w:rFonts w:ascii="宋体" w:hAnsi="宋体"/>
          <w:color w:val="FF0000"/>
          <w:sz w:val="20"/>
          <w:szCs w:val="20"/>
        </w:rPr>
      </w:pPr>
    </w:p>
    <w:p/>
    <w:p>
      <w:pPr>
        <w:pStyle w:val="Heading1"/>
      </w:pPr>
      <w:bookmarkStart w:id="6" w:name="_Hlk72218009"/>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7" w:name="_Hlk71994379"/>
      <w:r>
        <w:rPr>
          <w:rFonts w:ascii="宋体" w:hAnsi="宋体" w:hint="eastAsia"/>
          <w:szCs w:val="21"/>
        </w:rPr>
        <w:t>对通用条款的补充内容及其他关键信息</w:t>
      </w:r>
      <w:bookmarkEnd w:id="7"/>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b/>
          <w:sz w:val="24"/>
        </w:rPr>
      </w:pPr>
      <w:r>
        <w:rPr>
          <w:rFonts w:hint="eastAsia"/>
        </w:rPr>
        <w:t>第十一章  质疑处理</w:t>
      </w:r>
    </w:p>
    <w:p>
      <w:pPr>
        <w:rPr>
          <w:rFonts w:hint="eastAsia"/>
        </w:rPr>
      </w:pPr>
      <w:bookmarkEnd w:id="6"/>
      <w:bookmarkStart w:id="8" w:name="bt本工程承诺书"/>
      <w:bookmarkEnd w:id="8"/>
      <w:bookmarkStart w:id="9" w:name="bt合同格式"/>
      <w:bookmarkEnd w:id="9"/>
      <w:bookmarkStart w:id="10" w:name="bt投标文件签署授权委托书"/>
      <w:bookmarkEnd w:id="10"/>
      <w:bookmarkStart w:id="11" w:name="bt投标人情况介绍"/>
      <w:bookmarkEnd w:id="11"/>
      <w:bookmarkStart w:id="12" w:name="bt商务标投标文件格式"/>
      <w:bookmarkEnd w:id="12"/>
      <w:bookmarkStart w:id="13" w:name="bt开标一览表"/>
      <w:bookmarkEnd w:id="13"/>
      <w:bookmarkStart w:id="14" w:name="bt其他资料由投标人自定"/>
      <w:bookmarkEnd w:id="14"/>
      <w:bookmarkStart w:id="15" w:name="合同格式"/>
      <w:bookmarkEnd w:id="15"/>
      <w:bookmarkStart w:id="16" w:name="bt合同条款"/>
      <w:bookmarkEnd w:id="16"/>
      <w:bookmarkStart w:id="17" w:name="bt投标人须知"/>
      <w:bookmarkEnd w:id="17"/>
      <w:bookmarkStart w:id="18" w:name="bt其他资料2"/>
      <w:bookmarkEnd w:id="18"/>
      <w:bookmarkStart w:id="19" w:name="bt项目管理班子配备情况"/>
      <w:bookmarkEnd w:id="19"/>
      <w:bookmarkStart w:id="20" w:name="bt合同条款及格式"/>
      <w:bookmarkEnd w:id="20"/>
      <w:bookmarkStart w:id="21" w:name="bt技术标投标文件格式"/>
      <w:bookmarkEnd w:id="21"/>
      <w:bookmarkStart w:id="22" w:name="bt投标报价汇总表"/>
      <w:bookmarkEnd w:id="22"/>
      <w:bookmarkStart w:id="23" w:name="bt投标函"/>
      <w:bookmarkEnd w:id="23"/>
      <w:bookmarkStart w:id="24" w:name="bt说明"/>
      <w:bookmarkEnd w:id="24"/>
      <w:r>
        <w:rPr>
          <w:rFonts w:hint="eastAsia"/>
        </w:rPr>
        <w:br w:type="page"/>
      </w:r>
    </w:p>
    <w:p>
      <w:pPr>
        <w:pStyle w:val="Heading1"/>
        <w:rPr>
          <w:color w:val="FF0000"/>
          <w:sz w:val="24"/>
        </w:rPr>
      </w:pPr>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5"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25"/>
    </w:p>
    <w:p>
      <w:pPr>
        <w:ind w:firstLine="630" w:firstLineChars="300"/>
        <w:rPr>
          <w:rFonts w:ascii="宋体" w:hAnsi="宋体" w:cs="宋体" w:hint="eastAsia"/>
          <w:color w:val="FF0000"/>
          <w:kern w:val="0"/>
          <w:szCs w:val="21"/>
          <w:lang w:val="en-US" w:eastAsia="zh-CN"/>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w:t>
      </w:r>
      <w:r>
        <w:rPr>
          <w:rFonts w:ascii="宋体" w:hAnsi="宋体" w:cs="宋体" w:hint="eastAsia"/>
          <w:color w:val="FF0000"/>
          <w:kern w:val="0"/>
          <w:szCs w:val="21"/>
          <w:lang w:val="en-US" w:eastAsia="zh-CN"/>
        </w:rPr>
        <w:t>不允许分包，不</w:t>
      </w:r>
      <w:r>
        <w:rPr>
          <w:rFonts w:ascii="宋体" w:hAnsi="宋体" w:cs="宋体" w:hint="eastAsia"/>
          <w:color w:val="FF0000"/>
          <w:kern w:val="0"/>
          <w:szCs w:val="21"/>
        </w:rPr>
        <w:t>接受投标人选用进口产</w:t>
      </w:r>
      <w:r>
        <w:rPr>
          <w:rFonts w:ascii="宋体" w:hAnsi="宋体" w:cs="宋体" w:hint="eastAsia"/>
          <w:color w:val="FF0000"/>
          <w:kern w:val="0"/>
          <w:szCs w:val="21"/>
          <w:lang w:val="en-US" w:eastAsia="zh-CN"/>
        </w:rPr>
        <w:t>品参与投标；</w:t>
      </w:r>
    </w:p>
    <w:p>
      <w:pPr>
        <w:ind w:firstLine="630" w:firstLineChars="300"/>
        <w:rPr>
          <w:rFonts w:ascii="宋体" w:hAnsi="宋体" w:cs="宋体"/>
          <w:kern w:val="0"/>
          <w:szCs w:val="21"/>
        </w:rPr>
      </w:pPr>
      <w:r>
        <w:rPr>
          <w:rFonts w:ascii="宋体" w:hAnsi="宋体" w:cs="宋体" w:hint="eastAsia"/>
          <w:kern w:val="0"/>
          <w:szCs w:val="21"/>
          <w:lang w:val="en-US" w:eastAsia="zh-CN"/>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6</w:t>
      </w:r>
      <w:r>
        <w:rPr>
          <w:rFonts w:ascii="宋体" w:hAnsi="宋体" w:cs="宋体" w:hint="eastAsia"/>
          <w:kern w:val="0"/>
          <w:szCs w:val="21"/>
        </w:rPr>
        <w:t>.</w:t>
      </w:r>
      <w:r>
        <w:rPr>
          <w:rFonts w:hint="eastAsia"/>
        </w:rPr>
        <w:t xml:space="preserve"> </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kern w:val="0"/>
          <w:szCs w:val="21"/>
        </w:rPr>
      </w:pPr>
      <w:r>
        <w:rPr>
          <w:rFonts w:ascii="宋体" w:hAnsi="宋体" w:cs="宋体" w:hint="eastAsia"/>
          <w:kern w:val="0"/>
          <w:szCs w:val="21"/>
          <w:lang w:val="en-US" w:eastAsia="zh-CN"/>
        </w:rPr>
        <w:t>7</w:t>
      </w:r>
      <w:r>
        <w:rPr>
          <w:rFonts w:ascii="宋体" w:hAnsi="宋体" w:cs="宋体" w:hint="eastAsia"/>
          <w:kern w:val="0"/>
          <w:szCs w:val="21"/>
        </w:rPr>
        <w:t>.</w:t>
      </w:r>
      <w:r>
        <w:rPr>
          <w:rFonts w:ascii="宋体" w:eastAsia="宋体" w:hAnsi="宋体" w:cs="宋体" w:hint="eastAsia"/>
          <w:kern w:val="0"/>
          <w:szCs w:val="21"/>
        </w:rPr>
        <w:t>本</w:t>
      </w:r>
      <w:r>
        <w:rPr>
          <w:rFonts w:ascii="宋体" w:hAnsi="宋体" w:cs="宋体" w:hint="eastAsia"/>
          <w:kern w:val="0"/>
          <w:szCs w:val="21"/>
        </w:rPr>
        <w:t>项目是（否）专门面向中小企业采购：</w:t>
      </w:r>
      <w:r>
        <w:rPr>
          <w:rFonts w:ascii="宋体" w:hAnsi="宋体" w:cs="宋体" w:hint="eastAsia"/>
          <w:kern w:val="0"/>
          <w:szCs w:val="21"/>
          <w:lang w:val="en-US" w:eastAsia="zh-CN"/>
        </w:rPr>
        <w:t>否</w:t>
      </w:r>
      <w:r>
        <w:rPr>
          <w:rFonts w:ascii="宋体" w:hAnsi="宋体" w:cs="宋体" w:hint="eastAsia"/>
          <w:kern w:val="0"/>
          <w:szCs w:val="21"/>
        </w:rPr>
        <w:t>。</w:t>
      </w:r>
    </w:p>
    <w:p>
      <w:pPr>
        <w:ind w:firstLine="630" w:firstLineChars="300"/>
        <w:rPr>
          <w:rFonts w:ascii="宋体" w:eastAsia="宋体" w:hAnsi="宋体" w:cs="宋体" w:hint="default"/>
          <w:kern w:val="0"/>
          <w:szCs w:val="21"/>
          <w:highlight w:val="yellow"/>
          <w:lang w:val="en-US" w:eastAsia="zh-CN"/>
        </w:rPr>
      </w:pPr>
    </w:p>
    <w:p>
      <w:pPr>
        <w:ind w:firstLine="420" w:firstLineChars="200"/>
        <w:rPr>
          <w:rFonts w:ascii="宋体" w:hAnsi="宋体" w:cs="宋体" w:hint="eastAsia"/>
          <w:kern w:val="0"/>
          <w:szCs w:val="21"/>
        </w:rPr>
      </w:pPr>
      <w:r>
        <w:rPr>
          <w:rFonts w:ascii="宋体" w:hAnsi="宋体" w:cs="宋体" w:hint="eastAsia"/>
          <w:kern w:val="0"/>
          <w:szCs w:val="21"/>
        </w:rPr>
        <w:t>注：</w:t>
      </w:r>
      <w:r>
        <w:rPr>
          <w:rFonts w:ascii="宋体" w:hAnsi="宋体" w:cs="宋体" w:hint="eastAsia"/>
          <w:kern w:val="0"/>
          <w:szCs w:val="21"/>
          <w:lang w:val="en-US" w:eastAsia="zh-CN"/>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pPr>
        <w:ind w:firstLine="420" w:firstLineChars="200"/>
        <w:rPr>
          <w:rFonts w:ascii="宋体" w:hAnsi="宋体" w:cs="宋体" w:hint="eastAsia"/>
          <w:kern w:val="0"/>
          <w:szCs w:val="21"/>
        </w:rPr>
      </w:pPr>
      <w:r>
        <w:rPr>
          <w:rFonts w:ascii="宋体" w:hAnsi="宋体" w:cs="宋体" w:hint="eastAsia"/>
          <w:kern w:val="0"/>
          <w:szCs w:val="21"/>
          <w:lang w:val="en-US" w:eastAsia="zh-CN"/>
        </w:rPr>
        <w:t>   （2）供应商投标（上传投标文件）必须先行办理注册手续，具体请按照本公告“六、其他补充事宜”相关内容指引办理。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pPr>
    </w:p>
    <w:p>
      <w:pPr>
        <w:rPr>
          <w:rFonts w:hint="eastAsia"/>
          <w:sz w:val="28"/>
          <w:szCs w:val="28"/>
        </w:rPr>
      </w:pPr>
      <w:r>
        <w:rPr>
          <w:rFonts w:hint="eastAsia"/>
          <w:sz w:val="28"/>
          <w:szCs w:val="28"/>
        </w:rPr>
        <w:br w:type="page"/>
      </w:r>
    </w:p>
    <w:p>
      <w:pPr>
        <w:pStyle w:val="Heading2"/>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pPr>
        <w:pStyle w:val="Heading2"/>
        <w:spacing w:before="120" w:beforeLines="50" w:after="120" w:afterLines="50"/>
        <w:rPr>
          <w:szCs w:val="24"/>
        </w:rPr>
      </w:pPr>
      <w:bookmarkStart w:id="27" w:name="_Toc73518117"/>
      <w:bookmarkStart w:id="28" w:name="_Toc60631620"/>
      <w:bookmarkStart w:id="29" w:name="_Toc60560625"/>
      <w:bookmarkStart w:id="30" w:name="_Toc101074876"/>
      <w:bookmarkStart w:id="31" w:name="_Toc100052364"/>
      <w:bookmarkStart w:id="32" w:name="_Toc73521547"/>
      <w:bookmarkStart w:id="33" w:name="_Toc73521635"/>
      <w:bookmarkStart w:id="34"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7"/>
            <w:bookmarkEnd w:id="28"/>
            <w:bookmarkEnd w:id="29"/>
            <w:bookmarkEnd w:id="30"/>
            <w:bookmarkEnd w:id="31"/>
            <w:bookmarkEnd w:id="32"/>
            <w:bookmarkEnd w:id="33"/>
            <w:bookmarkEnd w:id="34"/>
            <w:bookmarkStart w:id="35"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eastAsia="宋体" w:hAnsi="宋体" w:hint="default"/>
                <w:lang w:val="en-US" w:eastAsia="zh-CN"/>
              </w:rPr>
            </w:pPr>
            <w:r>
              <w:rPr>
                <w:rFonts w:ascii="宋体" w:hAnsi="宋体" w:hint="eastAsia"/>
              </w:rPr>
              <w:t>深圳市坪山区</w:t>
            </w:r>
            <w:r>
              <w:rPr>
                <w:rFonts w:ascii="宋体" w:hAnsi="宋体" w:hint="eastAsia"/>
                <w:lang w:val="en-US" w:eastAsia="zh-CN"/>
              </w:rPr>
              <w:t>中心医院</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深圳公共资源交易中心（深圳交易集团有限公司</w:t>
            </w:r>
            <w:r>
              <w:rPr>
                <w:rFonts w:ascii="宋体" w:hAnsi="宋体" w:hint="eastAsia"/>
                <w:lang w:val="en-US" w:eastAsia="zh-CN"/>
              </w:rPr>
              <w:t>坪山</w:t>
            </w:r>
            <w:r>
              <w:rPr>
                <w:rFonts w:ascii="宋体" w:hAnsi="宋体" w:hint="eastAsia"/>
              </w:rPr>
              <w:t>分公司）</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hint="eastAsia"/>
              </w:rPr>
            </w:pPr>
            <w:r>
              <w:rPr>
                <w:rFonts w:ascii="宋体" w:hAnsi="宋体" w:hint="eastAsia"/>
              </w:rPr>
              <w:t>不接受</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hint="eastAsia"/>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hint="eastAsia"/>
              </w:rPr>
            </w:pPr>
            <w:r>
              <w:rPr>
                <w:rFonts w:ascii="宋体" w:hAnsi="宋体" w:hint="eastAsia"/>
              </w:rPr>
              <w:t>120个日历日</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hint="eastAsia"/>
              </w:rPr>
            </w:pPr>
            <w:r>
              <w:rPr>
                <w:rFonts w:ascii="宋体" w:hAnsi="宋体" w:hint="eastAsia"/>
              </w:rPr>
              <w:t>不接受</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hint="eastAsia"/>
              </w:rPr>
            </w:pPr>
            <w:r>
              <w:rPr>
                <w:rFonts w:ascii="宋体" w:hAnsi="宋体" w:hint="eastAsia"/>
              </w:rPr>
              <w:t>投标文件大小不得超过100MB</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6" w:name="_Hlk71664860"/>
            <w:r>
              <w:rPr>
                <w:rFonts w:ascii="宋体" w:hAnsi="宋体" w:hint="eastAsia"/>
              </w:rPr>
              <w:t>样品、现场演示、方案讲解</w:t>
            </w:r>
            <w:bookmarkEnd w:id="36"/>
          </w:p>
        </w:tc>
        <w:tc>
          <w:tcPr>
            <w:tcW w:w="4980" w:type="dxa"/>
            <w:vAlign w:val="center"/>
          </w:tcPr>
          <w:p>
            <w:pPr>
              <w:jc w:val="center"/>
              <w:rPr>
                <w:rFonts w:ascii="宋体" w:hAnsi="宋体" w:hint="eastAsia"/>
              </w:rPr>
            </w:pPr>
            <w:r>
              <w:rPr>
                <w:rFonts w:ascii="宋体" w:hAnsi="宋体" w:hint="eastAsia"/>
              </w:rPr>
              <w:t>无</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hint="eastAsia"/>
              </w:rPr>
            </w:pPr>
            <w:r>
              <w:rPr>
                <w:rFonts w:ascii="宋体" w:hAnsi="宋体" w:hint="eastAsia"/>
              </w:rPr>
              <w:t>综合评分法</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hint="eastAsia"/>
              </w:rPr>
            </w:pPr>
            <w:r>
              <w:rPr>
                <w:rFonts w:ascii="宋体" w:hAnsi="宋体" w:hint="eastAsia"/>
              </w:rPr>
              <w:t>非评定分离</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5"/>
      <w:bookmarkStart w:id="37" w:name="_Hlk72218117"/>
      <w:r>
        <w:rPr>
          <w:rFonts w:hint="eastAsia"/>
          <w:szCs w:val="24"/>
        </w:rPr>
        <w:t>二、其他关键信息</w:t>
      </w:r>
    </w:p>
    <w:p>
      <w:pPr>
        <w:ind w:firstLine="420" w:firstLineChars="200"/>
        <w:rPr>
          <w:b/>
          <w:bCs/>
        </w:rPr>
      </w:pPr>
      <w:bookmarkStart w:id="38" w:name="_Hlk72579427"/>
      <w:r>
        <w:rPr>
          <w:rFonts w:hint="eastAsia"/>
          <w:b/>
          <w:bCs/>
        </w:rPr>
        <w:t>（一）与“对通用条款的补充内容”章节相关的事项</w:t>
      </w:r>
    </w:p>
    <w:p>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bookmarkStart w:id="39" w:name="_Hlk74239733"/>
            <w:r>
              <w:rPr>
                <w:rFonts w:hint="eastAsia"/>
              </w:rPr>
              <w:t>评标方法</w:t>
            </w:r>
          </w:p>
        </w:tc>
        <w:tc>
          <w:tcPr>
            <w:tcW w:w="4265" w:type="dxa"/>
          </w:tcPr>
          <w:p>
            <w:pPr>
              <w:jc w:val="center"/>
            </w:pPr>
            <w:r>
              <w:rPr>
                <w:rFonts w:hint="eastAsia"/>
              </w:rPr>
              <w:t>综合评分法</w:t>
            </w:r>
          </w:p>
        </w:tc>
      </w:tr>
      <w:tr>
        <w:tblPrEx>
          <w:tblW w:w="0" w:type="auto"/>
          <w:tblInd w:w="0" w:type="dxa"/>
          <w:tblLayout w:type="fixed"/>
          <w:tblCellMar>
            <w:top w:w="0" w:type="dxa"/>
            <w:left w:w="108" w:type="dxa"/>
            <w:bottom w:w="0" w:type="dxa"/>
            <w:right w:w="108" w:type="dxa"/>
          </w:tblCellMar>
        </w:tblPrEx>
        <w:tc>
          <w:tcPr>
            <w:tcW w:w="4264" w:type="dxa"/>
          </w:tcPr>
          <w:p>
            <w:pPr>
              <w:jc w:val="center"/>
            </w:pPr>
            <w:r>
              <w:rPr>
                <w:rFonts w:hint="eastAsia"/>
              </w:rPr>
              <w:t>候选中标供应商家数</w:t>
            </w:r>
          </w:p>
        </w:tc>
        <w:tc>
          <w:tcPr>
            <w:tcW w:w="4265" w:type="dxa"/>
          </w:tcPr>
          <w:p>
            <w:pPr>
              <w:jc w:val="center"/>
            </w:pPr>
            <w:r>
              <w:rPr>
                <w:rFonts w:hint="eastAsia"/>
              </w:rPr>
              <w:t>3</w:t>
            </w:r>
          </w:p>
        </w:tc>
      </w:tr>
      <w:tr>
        <w:tblPrEx>
          <w:tblW w:w="0" w:type="auto"/>
          <w:tblInd w:w="0" w:type="dxa"/>
          <w:tblLayout w:type="fixed"/>
          <w:tblCellMar>
            <w:top w:w="0" w:type="dxa"/>
            <w:left w:w="108" w:type="dxa"/>
            <w:bottom w:w="0" w:type="dxa"/>
            <w:right w:w="108" w:type="dxa"/>
          </w:tblCellMar>
        </w:tblPrEx>
        <w:tc>
          <w:tcPr>
            <w:tcW w:w="4264" w:type="dxa"/>
          </w:tcPr>
          <w:p>
            <w:pPr>
              <w:jc w:val="center"/>
            </w:pPr>
            <w:r>
              <w:rPr>
                <w:rFonts w:hint="eastAsia"/>
              </w:rPr>
              <w:t>中标供应商家数</w:t>
            </w:r>
          </w:p>
        </w:tc>
        <w:tc>
          <w:tcPr>
            <w:tcW w:w="4265" w:type="dxa"/>
          </w:tcPr>
          <w:p>
            <w:pPr>
              <w:jc w:val="center"/>
            </w:pPr>
            <w:r>
              <w:rPr>
                <w:rFonts w:hint="eastAsia"/>
              </w:rPr>
              <w:t>1</w:t>
            </w:r>
          </w:p>
        </w:tc>
      </w:tr>
    </w:tbl>
    <w:p>
      <w:pPr>
        <w:ind w:left="3240"/>
        <w:rPr>
          <w:b/>
        </w:rPr>
      </w:pPr>
      <w:bookmarkEnd w:id="39"/>
    </w:p>
    <w:p>
      <w:pPr>
        <w:ind w:firstLine="420" w:firstLineChars="200"/>
        <w:rPr>
          <w:b/>
          <w:bCs/>
        </w:rPr>
      </w:pPr>
      <w:bookmarkEnd w:id="38"/>
      <w:r>
        <w:rPr>
          <w:b/>
          <w:bCs/>
        </w:rPr>
        <w:t>1</w:t>
      </w:r>
      <w:r>
        <w:rPr>
          <w:rFonts w:hint="eastAsia"/>
          <w:b/>
          <w:bCs/>
        </w:rPr>
        <w:t>、关于享受优惠政策的主体及价格扣除比例</w:t>
      </w:r>
    </w:p>
    <w:p>
      <w:pPr>
        <w:ind w:firstLine="420" w:firstLineChars="200"/>
      </w:pPr>
      <w:r>
        <w:rPr>
          <w:rFonts w:hint="eastAsia"/>
        </w:rPr>
        <w:t>（1）投标人提供的货物（以招标文件用户需求书“货物清单明细”的“货物名称”一栏为准）全部均由优惠主体制造，则对其投标总价给予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10</w:t>
      </w:r>
      <w:r>
        <w:rPr>
          <w:color w:val="FF0000"/>
          <w:u w:val="single"/>
        </w:rPr>
        <w:t xml:space="preserve">  %</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pPr>
      <w:r>
        <w:rPr>
          <w:rFonts w:hint="eastAsia"/>
        </w:rPr>
        <w:t>（2）根据</w:t>
      </w:r>
      <w:r>
        <w:rPr>
          <w:rFonts w:hint="eastAsia"/>
          <w:szCs w:val="22"/>
        </w:rPr>
        <w:t>《工业和信息化部、国家统计局、国家发展和改革委员会、财政部关于印发中小企业划型标准规定的通知》（工信部联企业〔</w:t>
      </w:r>
      <w:r>
        <w:rPr>
          <w:rFonts w:ascii="Times New Roman" w:hAnsi="Times New Roman" w:cs="Times New Roman" w:hint="eastAsia"/>
        </w:rPr>
        <w:t>2011〕300 号）</w:t>
      </w:r>
      <w:r>
        <w:rPr>
          <w:rFonts w:ascii="Times New Roman" w:hAnsi="Times New Roman" w:cs="Times New Roman" w:hint="eastAsia"/>
          <w:lang w:eastAsia="zh-CN"/>
        </w:rPr>
        <w:t>、</w:t>
      </w:r>
      <w:r>
        <w:rPr>
          <w:rFonts w:ascii="Times New Roman" w:hAnsi="Times New Roman" w:cs="Times New Roman" w:hint="eastAsia"/>
        </w:rPr>
        <w:t>《统计上大中小微型企业划分办法（2017）》（国统字〔2017〕213 号）</w:t>
      </w:r>
      <w:r>
        <w:rPr>
          <w:rFonts w:ascii="Times New Roman" w:hAnsi="Times New Roman" w:cs="Times New Roman" w:hint="eastAsia"/>
          <w:lang w:eastAsia="zh-CN"/>
        </w:rPr>
        <w:t>、</w:t>
      </w:r>
      <w:r>
        <w:rPr>
          <w:rFonts w:ascii="Times New Roman" w:hAnsi="Times New Roman" w:cs="Times New Roman" w:hint="eastAsia"/>
        </w:rPr>
        <w:t>《金融业企业划型标准规定》</w:t>
      </w:r>
      <w:r>
        <w:rPr>
          <w:rFonts w:ascii="Times New Roman" w:hAnsi="Times New Roman" w:cs="Times New Roman" w:hint="eastAsia"/>
          <w:lang w:eastAsia="zh-CN"/>
        </w:rPr>
        <w:t>（</w:t>
      </w:r>
      <w:r>
        <w:rPr>
          <w:rFonts w:ascii="Times New Roman" w:hAnsi="Times New Roman" w:cs="Times New Roman" w:hint="eastAsia"/>
        </w:rPr>
        <w:t>银发〔2015〕309号</w:t>
      </w:r>
      <w:r>
        <w:rPr>
          <w:rFonts w:ascii="Times New Roman" w:hAnsi="Times New Roman" w:cs="Times New Roman" w:hint="eastAsia"/>
          <w:lang w:eastAsia="zh-CN"/>
        </w:rPr>
        <w:t>）</w:t>
      </w:r>
      <w:r>
        <w:rPr>
          <w:rFonts w:ascii="Times New Roman" w:hAnsi="Times New Roman" w:cs="Times New Roman" w:hint="eastAsia"/>
        </w:rPr>
        <w:t>或国务院批准的其他中小企业划分标准文件，</w:t>
      </w:r>
      <w:bookmarkStart w:id="40" w:name="_Hlk71970739"/>
      <w:r>
        <w:rPr>
          <w:rFonts w:ascii="Times New Roman" w:hAnsi="Times New Roman" w:cs="Times New Roman" w:hint="eastAsia"/>
        </w:rPr>
        <w:t>本</w:t>
      </w:r>
      <w:r>
        <w:rPr>
          <w:rFonts w:hint="eastAsia"/>
        </w:rPr>
        <w:t>项目</w:t>
      </w:r>
      <w:bookmarkStart w:id="41" w:name="_Hlk71924718"/>
      <w:r>
        <w:rPr>
          <w:rFonts w:hint="eastAsia"/>
        </w:rPr>
        <w:t>采购标的（货物）对应的中小企业划分标准所属行业</w:t>
      </w:r>
      <w:bookmarkEnd w:id="41"/>
      <w:r>
        <w:rPr>
          <w:rFonts w:hint="eastAsia"/>
        </w:rPr>
        <w:t>为</w:t>
      </w:r>
      <w:r>
        <w:rPr>
          <w:rFonts w:hint="eastAsia"/>
          <w:u w:val="single"/>
          <w:lang w:val="en-US" w:eastAsia="zh-CN"/>
        </w:rPr>
        <w:t xml:space="preserve">  </w:t>
      </w:r>
      <w:r>
        <w:rPr>
          <w:color w:val="FF0000"/>
          <w:u w:val="single"/>
        </w:rPr>
        <w:t xml:space="preserve"> </w:t>
      </w:r>
      <w:r>
        <w:rPr>
          <w:rFonts w:hint="eastAsia"/>
          <w:color w:val="FF0000"/>
          <w:u w:val="single"/>
          <w:lang w:val="en-US" w:eastAsia="zh-CN"/>
        </w:rPr>
        <w:t xml:space="preserve">工 </w:t>
      </w:r>
      <w:r>
        <w:rPr>
          <w:color w:val="FF0000"/>
          <w:u w:val="single"/>
        </w:rPr>
        <w:t xml:space="preserve">   </w:t>
      </w:r>
      <w:r>
        <w:rPr>
          <w:rFonts w:hint="eastAsia"/>
        </w:rPr>
        <w:t>业。</w:t>
      </w:r>
      <w:bookmarkEnd w:id="40"/>
    </w:p>
    <w:p>
      <w:pPr>
        <w:ind w:firstLine="420" w:firstLineChars="200"/>
      </w:pPr>
      <w:r>
        <w:rPr>
          <w:rFonts w:hint="eastAsia"/>
        </w:rPr>
        <w:t>（3）小型企业、微型企业、残疾人福利性单位作 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投标文件组成要求及格式中“投标人情况及资格证明文件”章节提供的格式）。</w:t>
      </w:r>
    </w:p>
    <w:p>
      <w:pPr>
        <w:ind w:firstLine="420" w:firstLineChars="200"/>
        <w:rPr>
          <w:rFonts w:ascii="仿宋" w:eastAsia="仿宋" w:hAnsi="仿宋"/>
          <w:sz w:val="28"/>
          <w:szCs w:val="28"/>
        </w:rPr>
      </w:pPr>
      <w:r>
        <w:rPr>
          <w:rFonts w:hint="eastAsia"/>
        </w:rPr>
        <w:t>（4）享受价格扣除获得政府采购合同的，小微企业不得将合同分包给大中型企业。</w:t>
      </w:r>
    </w:p>
    <w:p>
      <w:pPr>
        <w:ind w:firstLine="420" w:firstLineChars="200"/>
        <w:rPr>
          <w:b/>
        </w:rPr>
      </w:pPr>
    </w:p>
    <w:p>
      <w:pPr>
        <w:ind w:firstLine="420" w:firstLineChars="200"/>
        <w:rPr>
          <w:b/>
        </w:rPr>
      </w:pPr>
      <w:r>
        <w:rPr>
          <w:rFonts w:hint="eastAsia"/>
          <w:b/>
        </w:rPr>
        <w:t>2、关于政府采购订单融资政策</w:t>
      </w:r>
    </w:p>
    <w:p>
      <w:pPr>
        <w:ind w:firstLine="420" w:firstLineChars="200"/>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hint="eastAsia"/>
          <w:color w:val="FF0000"/>
          <w:lang w:eastAsia="zh-CN"/>
        </w:rPr>
        <w:t>。</w:t>
      </w:r>
      <w:r>
        <w:rPr>
          <w:rFonts w:hint="eastAsia"/>
          <w:color w:val="FF0000"/>
        </w:rPr>
        <w:t>订单融资具体流程可登录深圳交易集团金融服务平台（http://zfcg.szggzy.com:8081/financeplatform/），相关政策法规参阅深圳市政府采购监管网（http://zfcg.sz.gov.cn/）信息公开栏目。</w:t>
      </w:r>
    </w:p>
    <w:p>
      <w:pPr>
        <w:ind w:firstLine="420" w:firstLineChars="200"/>
        <w:rPr>
          <w:color w:val="FF0000"/>
        </w:rPr>
      </w:pPr>
    </w:p>
    <w:p>
      <w:pPr>
        <w:ind w:firstLine="420" w:firstLineChars="200"/>
        <w:rPr>
          <w:rFonts w:ascii="仿宋_GB2312" w:hAnsi="仿宋_GB2312" w:cs="仿宋_GB2312"/>
          <w:b/>
          <w:bCs/>
          <w:color w:val="FF0000"/>
          <w:sz w:val="32"/>
          <w:szCs w:val="32"/>
        </w:rPr>
      </w:pPr>
      <w:r>
        <w:rPr>
          <w:rFonts w:hint="eastAsia"/>
          <w:b/>
          <w:bCs/>
          <w:color w:val="FF0000"/>
        </w:rPr>
        <w:t>3、</w:t>
      </w:r>
      <w:bookmarkEnd w:id="37"/>
      <w:bookmarkStart w:id="42" w:name="_Hlk76855768"/>
      <w:bookmarkStart w:id="43" w:name="_Hlk72594729"/>
      <w:r>
        <w:rPr>
          <w:rFonts w:ascii="宋体" w:hAnsi="宋体"/>
          <w:b/>
          <w:bCs/>
          <w:color w:val="FF0000"/>
        </w:rPr>
        <w:t>本项目为代理服务项目，将向中标供应商收取代理服务费</w:t>
      </w:r>
      <w:r>
        <w:rPr>
          <w:rFonts w:ascii="宋体" w:hAnsi="宋体" w:hint="eastAsia"/>
          <w:b/>
          <w:bCs/>
          <w:color w:val="FF0000"/>
        </w:rPr>
        <w:t>。</w:t>
      </w:r>
    </w:p>
    <w:p>
      <w:pPr>
        <w:ind w:firstLine="420" w:firstLineChars="200"/>
      </w:pPr>
      <w:bookmarkEnd w:id="42"/>
      <w:bookmarkEnd w:id="43"/>
      <w:r>
        <w:rPr>
          <w:rFonts w:hint="eastAsia"/>
        </w:rPr>
        <w:t>中标供应商在领取《中标通知书》之前须向深圳公共资源交易中心（深圳交易集团有限公司</w:t>
      </w:r>
      <w:r>
        <w:rPr>
          <w:rFonts w:hint="eastAsia"/>
          <w:lang w:val="en-US" w:eastAsia="zh-CN"/>
        </w:rPr>
        <w:t>坪山</w:t>
      </w:r>
      <w:r>
        <w:rPr>
          <w:rFonts w:hint="eastAsia"/>
        </w:rPr>
        <w:t>分公司）交纳代理服务费。若因中标供应商交纳代理服务费所产生的时间影响到合同签订的，由中标供应商自行承担责任。代理服务费标准参照</w:t>
      </w:r>
      <w:r>
        <w:rPr>
          <w:rFonts w:hint="eastAsia"/>
          <w:lang w:val="en-US" w:eastAsia="zh-CN"/>
        </w:rPr>
        <w:t>下列</w:t>
      </w:r>
      <w:r>
        <w:rPr>
          <w:rFonts w:hint="eastAsia"/>
        </w:rPr>
        <w:t>标准收取。本项目类型为</w:t>
      </w:r>
      <w:r>
        <w:rPr>
          <w:rFonts w:hint="eastAsia"/>
          <w:b/>
        </w:rPr>
        <w:t>货物采购</w:t>
      </w:r>
      <w:r>
        <w:rPr>
          <w:rFonts w:hint="eastAsia"/>
        </w:rPr>
        <w:t>：</w:t>
      </w:r>
    </w:p>
    <w:p>
      <w:pPr>
        <w:ind w:firstLine="420" w:firstLineChars="200"/>
      </w:pPr>
      <w:r>
        <w:rPr>
          <w:rFonts w:hint="eastAsia"/>
        </w:rPr>
        <w:t>（一）代理服务费以《中标通知书》确定的成交金额作为计算基数，按差额定率累进法计算。</w:t>
      </w:r>
    </w:p>
    <w:p>
      <w:pPr>
        <w:ind w:firstLine="420" w:firstLineChars="200"/>
      </w:pPr>
      <w:r>
        <w:rPr>
          <w:rFonts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备注：1.每宗交易代理服务费不低于</w:t>
      </w:r>
      <w:r>
        <w:rPr>
          <w:rFonts w:hint="eastAsia"/>
          <w:lang w:val="en-US" w:eastAsia="zh-CN"/>
        </w:rPr>
        <w:t>8</w:t>
      </w:r>
      <w:r>
        <w:rPr>
          <w:rFonts w:hint="eastAsia"/>
        </w:rPr>
        <w:t>000 元；</w:t>
      </w:r>
    </w:p>
    <w:p>
      <w:pPr>
        <w:ind w:firstLine="420" w:firstLineChars="200"/>
      </w:pPr>
      <w:r>
        <w:rPr>
          <w:rFonts w:hint="eastAsia"/>
        </w:rPr>
        <w:t>2.对于报总价的采购类项目，成交价为成交金额；对于报单价或折扣或费</w:t>
      </w:r>
    </w:p>
    <w:p>
      <w:pPr>
        <w:ind w:firstLine="420" w:firstLineChars="200"/>
        <w:rPr>
          <w:rFonts w:eastAsia="宋体" w:hint="eastAsia"/>
          <w:lang w:eastAsia="zh-CN"/>
        </w:rPr>
      </w:pPr>
      <w:r>
        <w:rPr>
          <w:rFonts w:hint="eastAsia"/>
        </w:rPr>
        <w:t>率的采购类项目，成交价为预算上限金额或经委托方与代理方确定的支付上限金额</w:t>
      </w:r>
      <w:r>
        <w:rPr>
          <w:rFonts w:hint="eastAsia"/>
          <w:lang w:eastAsia="zh-CN"/>
        </w:rPr>
        <w:t>。</w:t>
      </w:r>
    </w:p>
    <w:p>
      <w:pPr>
        <w:ind w:firstLine="420" w:firstLineChars="200"/>
      </w:pPr>
    </w:p>
    <w:p>
      <w:pPr>
        <w:ind w:firstLine="420" w:firstLineChars="200"/>
      </w:pPr>
      <w:r>
        <w:rPr>
          <w:rFonts w:hint="eastAsia"/>
        </w:rPr>
        <w:t>如某货物采购项目，成交金额为600万元，总共交纳的代理服务费的具体计算过程如下：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（三）中标供应商成交后，必须按规定采用银行对公转账方式向深圳交易集团有限公司直接交纳代理服务费，交纳信息及要求按以下规定执行：</w:t>
      </w:r>
    </w:p>
    <w:p>
      <w:pPr>
        <w:ind w:firstLine="420" w:firstLineChars="200"/>
      </w:pPr>
      <w:r>
        <w:rPr>
          <w:rFonts w:hint="eastAsia"/>
        </w:rPr>
        <w:t>经营性账户信息如下：</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账户名称：深圳交易集团有限公司</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银行名称：中国民生银行</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开户行：民生银行深圳五洲支行</w:t>
      </w:r>
    </w:p>
    <w:p>
      <w:pPr>
        <w:ind w:firstLine="420" w:firstLineChars="200"/>
        <w:rPr>
          <w:rFonts w:hint="eastAsia"/>
        </w:rPr>
      </w:pPr>
      <w:r>
        <w:rPr>
          <w:rFonts w:ascii="宋体" w:eastAsia="宋体" w:hAnsi="宋体" w:cs="Times New Roman" w:hint="eastAsia"/>
          <w:b/>
          <w:bCs/>
          <w:kern w:val="2"/>
          <w:sz w:val="21"/>
          <w:szCs w:val="21"/>
          <w:lang w:val="en-US" w:eastAsia="zh-CN" w:bidi="ar-SA"/>
        </w:rPr>
        <w:t>银行账号：632766208</w:t>
      </w:r>
    </w:p>
    <w:p>
      <w:pPr>
        <w:ind w:firstLine="420" w:firstLineChars="200"/>
        <w:rPr>
          <w:rFonts w:hint="eastAsia"/>
        </w:rPr>
      </w:pPr>
      <w:r>
        <w:rPr>
          <w:rFonts w:hint="eastAsia"/>
        </w:rPr>
        <w:t>转账备注：项目编号</w:t>
      </w:r>
    </w:p>
    <w:p>
      <w:pPr>
        <w:widowControl w:val="0"/>
        <w:spacing w:line="240" w:lineRule="auto"/>
        <w:ind w:firstLine="420"/>
        <w:jc w:val="both"/>
        <w:rPr>
          <w:rFonts w:ascii="宋体" w:eastAsia="宋体" w:hAnsi="宋体" w:cs="宋体" w:hint="eastAsia"/>
          <w:b/>
          <w:bCs/>
          <w:kern w:val="2"/>
          <w:sz w:val="21"/>
          <w:szCs w:val="21"/>
          <w:lang w:val="en-US" w:eastAsia="zh-CN" w:bidi="ar-SA"/>
        </w:rPr>
      </w:pPr>
    </w:p>
    <w:p>
      <w:pPr>
        <w:pStyle w:val="BodyText"/>
        <w:rPr>
          <w:lang w:val="en-US" w:eastAsia="zh-CN"/>
        </w:rPr>
      </w:pPr>
    </w:p>
    <w:p>
      <w:pPr>
        <w:rPr>
          <w:rFonts w:hint="eastAsia"/>
          <w:sz w:val="28"/>
          <w:szCs w:val="28"/>
        </w:rPr>
      </w:pPr>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2594"/>
        <w:gridCol w:w="3157"/>
        <w:gridCol w:w="2349"/>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jc w:val="center"/>
              <w:rPr>
                <w:bCs/>
                <w:szCs w:val="21"/>
              </w:rPr>
            </w:pPr>
            <w:r>
              <w:rPr>
                <w:rFonts w:hint="eastAsia"/>
                <w:bCs/>
                <w:szCs w:val="21"/>
              </w:rPr>
              <w:t>序号</w:t>
            </w:r>
          </w:p>
        </w:tc>
        <w:tc>
          <w:tcPr>
            <w:tcW w:w="1521" w:type="pct"/>
            <w:vAlign w:val="center"/>
          </w:tcPr>
          <w:p>
            <w:pPr>
              <w:jc w:val="center"/>
              <w:rPr>
                <w:bCs/>
                <w:szCs w:val="21"/>
              </w:rPr>
            </w:pPr>
            <w:r>
              <w:rPr>
                <w:rFonts w:hint="eastAsia"/>
                <w:szCs w:val="21"/>
              </w:rPr>
              <w:t>采购计划编号</w:t>
            </w:r>
          </w:p>
        </w:tc>
        <w:tc>
          <w:tcPr>
            <w:tcW w:w="1851" w:type="pct"/>
            <w:vAlign w:val="center"/>
          </w:tcPr>
          <w:p>
            <w:pPr>
              <w:jc w:val="center"/>
              <w:rPr>
                <w:bCs/>
                <w:szCs w:val="21"/>
              </w:rPr>
            </w:pPr>
            <w:r>
              <w:rPr>
                <w:rFonts w:hint="eastAsia"/>
                <w:bCs/>
                <w:szCs w:val="21"/>
              </w:rPr>
              <w:t>采购项目名称</w:t>
            </w:r>
          </w:p>
        </w:tc>
        <w:tc>
          <w:tcPr>
            <w:tcW w:w="1377" w:type="pct"/>
            <w:vAlign w:val="center"/>
          </w:tcPr>
          <w:p>
            <w:pPr>
              <w:jc w:val="center"/>
              <w:rPr>
                <w:b/>
                <w:bCs/>
                <w:color w:val="FF0000"/>
                <w:szCs w:val="21"/>
              </w:rPr>
            </w:pPr>
            <w:r>
              <w:rPr>
                <w:rFonts w:hint="eastAsia"/>
                <w:b/>
                <w:bCs/>
                <w:color w:val="FF0000"/>
                <w:szCs w:val="21"/>
              </w:rPr>
              <w:t>财政预算限额（元）</w:t>
            </w:r>
          </w:p>
        </w:tc>
      </w:tr>
      <w:tr>
        <w:tblPrEx>
          <w:tblW w:w="4998" w:type="pct"/>
          <w:tblInd w:w="0" w:type="dxa"/>
          <w:tblCellMar>
            <w:top w:w="0" w:type="dxa"/>
            <w:left w:w="108" w:type="dxa"/>
            <w:bottom w:w="0" w:type="dxa"/>
            <w:right w:w="108" w:type="dxa"/>
          </w:tblCellMar>
        </w:tblPrEx>
        <w:trPr>
          <w:trHeight w:val="213"/>
        </w:trPr>
        <w:tc>
          <w:tcPr>
            <w:tcW w:w="249" w:type="pct"/>
            <w:vAlign w:val="center"/>
          </w:tcPr>
          <w:p>
            <w:pPr>
              <w:jc w:val="center"/>
              <w:rPr>
                <w:bCs/>
                <w:color w:val="FF0000"/>
                <w:szCs w:val="21"/>
              </w:rPr>
            </w:pPr>
            <w:r>
              <w:rPr>
                <w:rFonts w:hint="eastAsia"/>
                <w:bCs/>
                <w:color w:val="FF0000"/>
                <w:szCs w:val="21"/>
              </w:rPr>
              <w:t>1</w:t>
            </w:r>
          </w:p>
        </w:tc>
        <w:tc>
          <w:tcPr>
            <w:tcW w:w="1521" w:type="pct"/>
            <w:vAlign w:val="center"/>
          </w:tcPr>
          <w:p>
            <w:pPr>
              <w:jc w:val="center"/>
              <w:rPr>
                <w:rFonts w:eastAsia="宋体" w:hint="eastAsia"/>
                <w:bCs/>
                <w:color w:val="FF0000"/>
                <w:szCs w:val="21"/>
                <w:lang w:eastAsia="zh-CN"/>
              </w:rPr>
            </w:pPr>
            <w:r>
              <w:rPr>
                <w:rFonts w:hint="eastAsia"/>
                <w:bCs/>
                <w:color w:val="FF0000"/>
                <w:szCs w:val="21"/>
                <w:lang w:val="en-US" w:eastAsia="zh-CN"/>
              </w:rPr>
              <w:t xml:space="preserve"> PLAN-2023-440310000-112009-04821</w:t>
            </w:r>
          </w:p>
        </w:tc>
        <w:tc>
          <w:tcPr>
            <w:tcW w:w="1851" w:type="pct"/>
            <w:vAlign w:val="center"/>
          </w:tcPr>
          <w:p>
            <w:pPr>
              <w:jc w:val="center"/>
              <w:rPr>
                <w:rFonts w:eastAsia="宋体" w:hint="eastAsia"/>
                <w:b/>
                <w:bCs/>
                <w:color w:val="FF0000"/>
                <w:szCs w:val="21"/>
                <w:lang w:eastAsia="zh-CN"/>
              </w:rPr>
            </w:pPr>
            <w:r>
              <w:rPr>
                <w:rFonts w:hint="eastAsia"/>
                <w:b/>
                <w:bCs/>
                <w:color w:val="FF0000"/>
                <w:szCs w:val="21"/>
                <w:lang w:eastAsia="zh-CN"/>
              </w:rPr>
              <w:t>坪山区中心医院2023年医疗设备购置项目第一批04包</w:t>
            </w:r>
          </w:p>
        </w:tc>
        <w:tc>
          <w:tcPr>
            <w:tcW w:w="1377" w:type="pct"/>
            <w:vAlign w:val="center"/>
          </w:tcPr>
          <w:p>
            <w:pPr>
              <w:jc w:val="center"/>
              <w:rPr>
                <w:rFonts w:eastAsia="宋体" w:hint="default"/>
                <w:bCs/>
                <w:color w:val="FF0000"/>
                <w:szCs w:val="21"/>
                <w:lang w:val="en-US" w:eastAsia="zh-CN"/>
              </w:rPr>
            </w:pPr>
            <w:r>
              <w:rPr>
                <w:rFonts w:hint="eastAsia"/>
                <w:lang w:val="en-US" w:eastAsia="zh-CN"/>
              </w:rPr>
              <w:t>200000</w:t>
            </w:r>
          </w:p>
        </w:tc>
      </w:tr>
    </w:tbl>
    <w:p>
      <w:pPr>
        <w:rPr>
          <w:rFonts w:ascii="宋体" w:hAnsi="宋体"/>
          <w:b/>
          <w:color w:val="FF0000"/>
          <w:szCs w:val="21"/>
        </w:rPr>
      </w:pPr>
    </w:p>
    <w:p>
      <w:pPr>
        <w:pStyle w:val="Heading2"/>
        <w:numPr>
          <w:ilvl w:val="0"/>
          <w:numId w:val="7"/>
        </w:numPr>
        <w:spacing w:before="120" w:beforeLines="50" w:after="120" w:afterLines="50"/>
        <w:rPr>
          <w:rFonts w:hint="eastAsia"/>
          <w:szCs w:val="24"/>
        </w:rPr>
      </w:pPr>
      <w:bookmarkStart w:id="44" w:name="_Hlk72073432"/>
      <w:bookmarkStart w:id="45" w:name="_Hlk72258617"/>
      <w:r>
        <w:rPr>
          <w:rFonts w:hint="eastAsia"/>
          <w:szCs w:val="24"/>
        </w:rPr>
        <w:t>货物</w:t>
      </w:r>
      <w:r>
        <w:rPr>
          <w:rFonts w:hint="eastAsia"/>
          <w:szCs w:val="24"/>
          <w:lang w:val="en-US" w:eastAsia="zh-CN"/>
        </w:rPr>
        <w:t>清单</w:t>
      </w:r>
      <w:r>
        <w:rPr>
          <w:rFonts w:hint="eastAsia"/>
          <w:szCs w:val="24"/>
        </w:rPr>
        <w:t>明细</w:t>
      </w:r>
      <w:bookmarkEnd w:id="44"/>
    </w:p>
    <w:tbl>
      <w:tblPr>
        <w:tblStyle w:val="TableNormal"/>
        <w:tblpPr w:leftFromText="180" w:rightFromText="180" w:vertAnchor="text" w:horzAnchor="page" w:tblpX="2078" w:tblpY="86"/>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48"/>
        <w:gridCol w:w="1266"/>
        <w:gridCol w:w="1201"/>
        <w:gridCol w:w="735"/>
        <w:gridCol w:w="571"/>
        <w:gridCol w:w="1470"/>
        <w:gridCol w:w="1332"/>
        <w:gridCol w:w="1301"/>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415" w:type="pct"/>
            <w:vAlign w:val="center"/>
          </w:tcPr>
          <w:p>
            <w:pPr>
              <w:jc w:val="center"/>
              <w:rPr>
                <w:rFonts w:ascii="宋体" w:hAnsi="宋体" w:cs="宋体"/>
                <w:bCs/>
                <w:sz w:val="21"/>
                <w:szCs w:val="21"/>
              </w:rPr>
            </w:pPr>
            <w:r>
              <w:rPr>
                <w:rFonts w:ascii="宋体" w:hAnsi="宋体" w:cs="宋体" w:hint="eastAsia"/>
                <w:bCs/>
                <w:sz w:val="21"/>
                <w:szCs w:val="21"/>
              </w:rPr>
              <w:t>序号</w:t>
            </w:r>
          </w:p>
        </w:tc>
        <w:tc>
          <w:tcPr>
            <w:tcW w:w="496" w:type="pct"/>
            <w:vAlign w:val="center"/>
          </w:tcPr>
          <w:p>
            <w:pPr>
              <w:jc w:val="center"/>
              <w:rPr>
                <w:rFonts w:ascii="宋体" w:hAnsi="宋体" w:cs="宋体"/>
                <w:bCs/>
                <w:sz w:val="21"/>
                <w:szCs w:val="21"/>
              </w:rPr>
            </w:pPr>
            <w:r>
              <w:rPr>
                <w:rFonts w:ascii="宋体" w:hAnsi="宋体" w:cs="宋体" w:hint="eastAsia"/>
                <w:sz w:val="21"/>
                <w:szCs w:val="21"/>
              </w:rPr>
              <w:t>采购计划编号</w:t>
            </w:r>
          </w:p>
        </w:tc>
        <w:tc>
          <w:tcPr>
            <w:tcW w:w="739" w:type="pct"/>
            <w:vAlign w:val="center"/>
          </w:tcPr>
          <w:p>
            <w:pPr>
              <w:widowControl/>
              <w:spacing w:before="60" w:beforeLines="25" w:after="60" w:afterLines="25"/>
              <w:jc w:val="center"/>
              <w:rPr>
                <w:rFonts w:ascii="宋体" w:eastAsia="宋体" w:hAnsi="宋体" w:cs="宋体" w:hint="eastAsia"/>
                <w:bCs/>
                <w:sz w:val="21"/>
                <w:szCs w:val="21"/>
                <w:lang w:eastAsia="zh-CN"/>
              </w:rPr>
            </w:pPr>
            <w:r>
              <w:rPr>
                <w:kern w:val="0"/>
                <w:sz w:val="21"/>
                <w:szCs w:val="21"/>
              </w:rPr>
              <w:t>设备名称</w:t>
            </w:r>
            <w:r>
              <w:rPr>
                <w:rFonts w:hint="eastAsia"/>
                <w:bCs/>
                <w:szCs w:val="21"/>
              </w:rPr>
              <w:t>（标的名称）</w:t>
            </w:r>
          </w:p>
        </w:tc>
        <w:tc>
          <w:tcPr>
            <w:tcW w:w="466" w:type="pct"/>
            <w:vAlign w:val="center"/>
          </w:tcPr>
          <w:p>
            <w:pPr>
              <w:widowControl/>
              <w:spacing w:before="60" w:beforeLines="25" w:after="60" w:afterLines="25"/>
              <w:jc w:val="center"/>
              <w:rPr>
                <w:rFonts w:ascii="宋体" w:hAnsi="宋体" w:cs="宋体"/>
                <w:bCs/>
                <w:sz w:val="21"/>
                <w:szCs w:val="21"/>
              </w:rPr>
            </w:pPr>
            <w:r>
              <w:rPr>
                <w:kern w:val="0"/>
                <w:sz w:val="21"/>
                <w:szCs w:val="21"/>
              </w:rPr>
              <w:t>数量</w:t>
            </w:r>
          </w:p>
        </w:tc>
        <w:tc>
          <w:tcPr>
            <w:tcW w:w="370" w:type="pct"/>
            <w:vAlign w:val="center"/>
          </w:tcPr>
          <w:p>
            <w:pPr>
              <w:widowControl/>
              <w:spacing w:before="60" w:beforeLines="25" w:after="60" w:afterLines="25"/>
              <w:jc w:val="center"/>
              <w:rPr>
                <w:rFonts w:ascii="宋体" w:hAnsi="宋体" w:cs="宋体"/>
                <w:bCs/>
                <w:sz w:val="21"/>
                <w:szCs w:val="21"/>
              </w:rPr>
            </w:pPr>
            <w:r>
              <w:rPr>
                <w:kern w:val="0"/>
                <w:sz w:val="21"/>
                <w:szCs w:val="21"/>
              </w:rPr>
              <w:t>单位</w:t>
            </w:r>
          </w:p>
        </w:tc>
        <w:tc>
          <w:tcPr>
            <w:tcW w:w="897" w:type="pct"/>
            <w:vAlign w:val="center"/>
          </w:tcPr>
          <w:p>
            <w:pPr>
              <w:widowControl/>
              <w:spacing w:before="60" w:beforeLines="25" w:after="25"/>
              <w:jc w:val="center"/>
              <w:rPr>
                <w:kern w:val="0"/>
                <w:sz w:val="21"/>
                <w:szCs w:val="21"/>
                <w:highlight w:val="yellow"/>
              </w:rPr>
            </w:pPr>
            <w:r>
              <w:rPr>
                <w:sz w:val="21"/>
                <w:szCs w:val="21"/>
                <w:highlight w:val="yellow"/>
              </w:rPr>
              <w:t>预算金额</w:t>
            </w:r>
            <w:r>
              <w:rPr>
                <w:kern w:val="0"/>
                <w:sz w:val="21"/>
                <w:szCs w:val="21"/>
                <w:highlight w:val="yellow"/>
              </w:rPr>
              <w:t>单价（</w:t>
            </w:r>
            <w:r>
              <w:rPr>
                <w:rFonts w:hint="eastAsia"/>
                <w:kern w:val="0"/>
                <w:sz w:val="21"/>
                <w:szCs w:val="21"/>
                <w:highlight w:val="yellow"/>
                <w:lang w:val="en-US" w:eastAsia="zh-CN"/>
              </w:rPr>
              <w:t>万</w:t>
            </w:r>
            <w:r>
              <w:rPr>
                <w:kern w:val="0"/>
                <w:sz w:val="21"/>
                <w:szCs w:val="21"/>
                <w:highlight w:val="yellow"/>
              </w:rPr>
              <w:t>元）</w:t>
            </w:r>
          </w:p>
        </w:tc>
        <w:tc>
          <w:tcPr>
            <w:tcW w:w="816" w:type="pct"/>
            <w:vAlign w:val="center"/>
          </w:tcPr>
          <w:p>
            <w:pPr>
              <w:widowControl/>
              <w:tabs>
                <w:tab w:val="left" w:pos="415"/>
              </w:tabs>
              <w:spacing w:before="60" w:beforeLines="25" w:after="25"/>
              <w:jc w:val="center"/>
              <w:rPr>
                <w:kern w:val="0"/>
                <w:sz w:val="21"/>
                <w:szCs w:val="21"/>
                <w:highlight w:val="yellow"/>
              </w:rPr>
            </w:pPr>
            <w:r>
              <w:rPr>
                <w:sz w:val="21"/>
                <w:szCs w:val="21"/>
                <w:highlight w:val="yellow"/>
              </w:rPr>
              <w:t>预算金额</w:t>
            </w:r>
            <w:r>
              <w:rPr>
                <w:kern w:val="0"/>
                <w:sz w:val="21"/>
                <w:szCs w:val="21"/>
                <w:highlight w:val="yellow"/>
              </w:rPr>
              <w:t>合计（</w:t>
            </w:r>
            <w:r>
              <w:rPr>
                <w:rFonts w:hint="eastAsia"/>
                <w:kern w:val="0"/>
                <w:sz w:val="21"/>
                <w:szCs w:val="21"/>
                <w:highlight w:val="yellow"/>
                <w:lang w:val="en-US" w:eastAsia="zh-CN"/>
              </w:rPr>
              <w:t>万</w:t>
            </w:r>
            <w:r>
              <w:rPr>
                <w:kern w:val="0"/>
                <w:sz w:val="21"/>
                <w:szCs w:val="21"/>
                <w:highlight w:val="yellow"/>
              </w:rPr>
              <w:t>元）</w:t>
            </w:r>
          </w:p>
        </w:tc>
        <w:tc>
          <w:tcPr>
            <w:tcW w:w="798" w:type="pct"/>
            <w:vAlign w:val="center"/>
          </w:tcPr>
          <w:p>
            <w:pPr>
              <w:widowControl/>
              <w:spacing w:before="60" w:beforeLines="25" w:after="25"/>
              <w:jc w:val="center"/>
              <w:rPr>
                <w:kern w:val="0"/>
                <w:sz w:val="21"/>
                <w:szCs w:val="21"/>
              </w:rPr>
            </w:pPr>
            <w:r>
              <w:rPr>
                <w:kern w:val="0"/>
                <w:sz w:val="21"/>
                <w:szCs w:val="21"/>
              </w:rPr>
              <w:t>备注</w:t>
            </w:r>
          </w:p>
        </w:tc>
      </w:tr>
      <w:tr>
        <w:tblPrEx>
          <w:tblW w:w="4997" w:type="pct"/>
          <w:tblInd w:w="0" w:type="dxa"/>
          <w:tblCellMar>
            <w:top w:w="0" w:type="dxa"/>
            <w:left w:w="108" w:type="dxa"/>
            <w:bottom w:w="0" w:type="dxa"/>
            <w:right w:w="108" w:type="dxa"/>
          </w:tblCellMar>
        </w:tblPrEx>
        <w:trPr>
          <w:trHeight w:val="782"/>
        </w:trPr>
        <w:tc>
          <w:tcPr>
            <w:tcW w:w="415" w:type="pct"/>
            <w:vAlign w:val="center"/>
          </w:tcPr>
          <w:p>
            <w:pPr>
              <w:widowControl/>
              <w:jc w:val="center"/>
              <w:textAlignment w:val="center"/>
              <w:rPr>
                <w:rFonts w:ascii="宋体" w:eastAsia="宋体" w:hAnsi="宋体" w:cs="宋体" w:hint="eastAsia"/>
                <w:color w:val="000000"/>
                <w:kern w:val="0"/>
                <w:sz w:val="22"/>
                <w:szCs w:val="22"/>
                <w:lang w:val="en-US" w:eastAsia="zh-CN"/>
              </w:rPr>
            </w:pPr>
            <w:r>
              <w:rPr>
                <w:rFonts w:ascii="宋体" w:hAnsi="宋体" w:cs="宋体" w:hint="eastAsia"/>
                <w:color w:val="000000"/>
                <w:kern w:val="0"/>
                <w:sz w:val="22"/>
                <w:szCs w:val="22"/>
                <w:lang w:val="en-US" w:eastAsia="zh-CN"/>
              </w:rPr>
              <w:t>1</w:t>
            </w:r>
          </w:p>
        </w:tc>
        <w:tc>
          <w:tcPr>
            <w:tcW w:w="496" w:type="pct"/>
            <w:vAlign w:val="center"/>
          </w:tcPr>
          <w:p>
            <w:pPr>
              <w:jc w:val="center"/>
              <w:rPr>
                <w:rFonts w:ascii="宋体" w:eastAsia="宋体" w:hAnsi="宋体" w:cs="宋体" w:hint="eastAsia"/>
                <w:bCs/>
                <w:sz w:val="21"/>
                <w:szCs w:val="21"/>
                <w:lang w:eastAsia="zh-CN"/>
              </w:rPr>
            </w:pPr>
            <w:r>
              <w:rPr>
                <w:rFonts w:ascii="宋体" w:hAnsi="宋体" w:cs="宋体" w:hint="eastAsia"/>
                <w:bCs/>
                <w:sz w:val="21"/>
                <w:szCs w:val="21"/>
                <w:lang w:val="en-US" w:eastAsia="zh-CN"/>
              </w:rPr>
              <w:t xml:space="preserve">PLAN-2023-440310000-112009-04821   </w:t>
            </w:r>
          </w:p>
        </w:tc>
        <w:tc>
          <w:tcPr>
            <w:tcW w:w="739" w:type="pct"/>
            <w:vAlign w:val="center"/>
          </w:tcPr>
          <w:p>
            <w:pPr>
              <w:widowControl/>
              <w:spacing w:line="360" w:lineRule="auto"/>
              <w:jc w:val="center"/>
              <w:rPr>
                <w:rFonts w:ascii="宋体" w:eastAsia="宋体" w:hAnsi="宋体" w:cs="宋体" w:hint="eastAsia"/>
                <w:kern w:val="0"/>
                <w:sz w:val="21"/>
                <w:szCs w:val="21"/>
                <w:lang w:val="en-US" w:eastAsia="zh-CN" w:bidi="ar-SA"/>
              </w:rPr>
            </w:pPr>
            <w:r>
              <w:rPr>
                <w:rFonts w:ascii="宋体" w:hAnsi="宋体" w:hint="eastAsia"/>
                <w:szCs w:val="21"/>
                <w:u w:val="none"/>
              </w:rPr>
              <w:t>冷库</w:t>
            </w:r>
          </w:p>
        </w:tc>
        <w:tc>
          <w:tcPr>
            <w:tcW w:w="466" w:type="pct"/>
            <w:vAlign w:val="center"/>
          </w:tcPr>
          <w:p>
            <w:pPr>
              <w:widowControl/>
              <w:spacing w:line="360" w:lineRule="auto"/>
              <w:jc w:val="center"/>
              <w:rPr>
                <w:rFonts w:ascii="宋体" w:eastAsia="宋体" w:hAnsi="宋体" w:cs="宋体" w:hint="eastAsia"/>
                <w:kern w:val="0"/>
                <w:sz w:val="21"/>
                <w:szCs w:val="21"/>
                <w:lang w:val="en-US" w:eastAsia="zh-CN" w:bidi="ar-SA"/>
              </w:rPr>
            </w:pPr>
            <w:r>
              <w:rPr>
                <w:rFonts w:ascii="宋体" w:hAnsi="宋体" w:cs="宋体" w:hint="eastAsia"/>
                <w:kern w:val="0"/>
                <w:szCs w:val="21"/>
              </w:rPr>
              <w:t>1</w:t>
            </w:r>
          </w:p>
        </w:tc>
        <w:tc>
          <w:tcPr>
            <w:tcW w:w="370" w:type="pct"/>
            <w:vAlign w:val="center"/>
          </w:tcPr>
          <w:p>
            <w:pPr>
              <w:widowControl/>
              <w:spacing w:line="360" w:lineRule="auto"/>
              <w:jc w:val="center"/>
              <w:rPr>
                <w:rFonts w:ascii="Times New Roman" w:eastAsia="宋体" w:hAnsi="Times New Roman" w:cs="Times New Roman" w:hint="default"/>
                <w:kern w:val="2"/>
                <w:sz w:val="21"/>
                <w:szCs w:val="24"/>
                <w:lang w:val="en-US" w:eastAsia="zh-CN" w:bidi="ar-SA"/>
              </w:rPr>
            </w:pPr>
            <w:r>
              <w:rPr>
                <w:rFonts w:ascii="宋体" w:hAnsi="宋体" w:cs="宋体" w:hint="eastAsia"/>
                <w:kern w:val="0"/>
                <w:szCs w:val="21"/>
              </w:rPr>
              <w:t>套</w:t>
            </w:r>
          </w:p>
        </w:tc>
        <w:tc>
          <w:tcPr>
            <w:tcW w:w="897" w:type="pct"/>
            <w:vAlign w:val="center"/>
          </w:tcPr>
          <w:p>
            <w:pPr>
              <w:widowControl/>
              <w:spacing w:line="360" w:lineRule="auto"/>
              <w:jc w:val="center"/>
              <w:rPr>
                <w:rFonts w:ascii="宋体" w:eastAsia="宋体" w:hAnsi="宋体" w:cs="宋体" w:hint="default"/>
                <w:kern w:val="0"/>
                <w:sz w:val="21"/>
                <w:szCs w:val="21"/>
                <w:lang w:val="en-US" w:eastAsia="zh-CN" w:bidi="ar-SA"/>
              </w:rPr>
            </w:pPr>
            <w:r>
              <w:rPr>
                <w:rFonts w:ascii="宋体" w:hAnsi="宋体" w:cs="宋体" w:hint="eastAsia"/>
                <w:kern w:val="0"/>
                <w:szCs w:val="21"/>
              </w:rPr>
              <w:t>20</w:t>
            </w:r>
          </w:p>
        </w:tc>
        <w:tc>
          <w:tcPr>
            <w:tcW w:w="816" w:type="pct"/>
            <w:vAlign w:val="center"/>
          </w:tcPr>
          <w:p>
            <w:pPr>
              <w:widowControl/>
              <w:jc w:val="center"/>
              <w:textAlignment w:val="center"/>
              <w:rPr>
                <w:rFonts w:ascii="宋体" w:eastAsia="宋体" w:hAnsi="宋体" w:cs="宋体" w:hint="default"/>
                <w:color w:val="000000"/>
                <w:kern w:val="0"/>
                <w:sz w:val="22"/>
                <w:szCs w:val="22"/>
                <w:lang w:val="en-US" w:eastAsia="zh-CN"/>
              </w:rPr>
            </w:pPr>
            <w:r>
              <w:rPr>
                <w:rFonts w:ascii="宋体" w:hAnsi="宋体" w:cs="宋体" w:hint="eastAsia"/>
                <w:color w:val="000000"/>
                <w:kern w:val="0"/>
                <w:sz w:val="22"/>
                <w:szCs w:val="22"/>
                <w:lang w:val="en-US" w:eastAsia="zh-CN"/>
              </w:rPr>
              <w:t>20</w:t>
            </w:r>
          </w:p>
        </w:tc>
        <w:tc>
          <w:tcPr>
            <w:tcW w:w="798" w:type="pct"/>
            <w:vAlign w:val="center"/>
          </w:tcPr>
          <w:p>
            <w:pPr>
              <w:jc w:val="center"/>
              <w:rPr>
                <w:rFonts w:ascii="宋体" w:eastAsia="宋体" w:hAnsi="宋体" w:cs="宋体" w:hint="default"/>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bl>
    <w:p>
      <w:pPr>
        <w:ind w:firstLine="420" w:firstLineChars="200"/>
        <w:rPr>
          <w:rFonts w:ascii="宋体" w:hAnsi="宋体" w:hint="eastAsia"/>
          <w:b/>
          <w:color w:val="FF0000"/>
          <w:szCs w:val="21"/>
        </w:rPr>
      </w:pPr>
    </w:p>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w:t>
      </w:r>
      <w:r>
        <w:rPr>
          <w:rFonts w:ascii="宋体" w:hAnsi="宋体" w:hint="eastAsia"/>
          <w:b/>
          <w:color w:val="FF0000"/>
          <w:szCs w:val="21"/>
          <w:u w:val="single"/>
          <w:lang w:val="en-US" w:eastAsia="zh-CN"/>
        </w:rPr>
        <w:t xml:space="preserve">冷库  </w:t>
      </w:r>
      <w:r>
        <w:rPr>
          <w:rFonts w:ascii="宋体" w:hAnsi="宋体" w:hint="eastAsia"/>
          <w:b/>
          <w:color w:val="FF0000"/>
          <w:szCs w:val="21"/>
          <w:u w:val="single"/>
        </w:rPr>
        <w:t xml:space="preserve"> </w:t>
      </w:r>
      <w:r>
        <w:rPr>
          <w:rFonts w:ascii="宋体" w:hAnsi="宋体" w:hint="eastAsia"/>
          <w:b/>
          <w:color w:val="FF0000"/>
          <w:szCs w:val="21"/>
          <w:u w:val="single"/>
          <w:lang w:val="en-US" w:eastAsia="zh-CN"/>
        </w:rPr>
        <w:t xml:space="preserve"> </w:t>
      </w:r>
      <w:r>
        <w:rPr>
          <w:rFonts w:ascii="宋体" w:hAnsi="宋体" w:hint="eastAsia"/>
          <w:b/>
          <w:color w:val="FF0000"/>
          <w:szCs w:val="21"/>
          <w:u w:val="single"/>
        </w:rPr>
        <w:t xml:space="preserve"> </w:t>
      </w:r>
      <w:r>
        <w:rPr>
          <w:rFonts w:ascii="宋体" w:hAnsi="宋体" w:hint="eastAsia"/>
          <w:b/>
          <w:color w:val="FF0000"/>
          <w:szCs w:val="21"/>
        </w:rPr>
        <w:t>。</w:t>
      </w:r>
    </w:p>
    <w:p>
      <w:pPr>
        <w:rPr>
          <w:rFonts w:ascii="宋体" w:hAnsi="宋体"/>
          <w:b/>
          <w:color w:val="FF0000"/>
          <w:szCs w:val="21"/>
        </w:rPr>
      </w:pPr>
      <w:bookmarkEnd w:id="45"/>
    </w:p>
    <w:p>
      <w:pPr>
        <w:pStyle w:val="Heading2"/>
        <w:spacing w:before="120" w:beforeLines="50" w:after="120" w:afterLines="50"/>
        <w:rPr>
          <w:sz w:val="28"/>
          <w:szCs w:val="28"/>
        </w:rPr>
      </w:pPr>
      <w:bookmarkStart w:id="46" w:name="_Toc128884461"/>
      <w:r>
        <w:rPr>
          <w:rFonts w:hint="eastAsia"/>
          <w:sz w:val="28"/>
          <w:szCs w:val="28"/>
        </w:rPr>
        <w:t>三、实质性条款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0"/>
        <w:gridCol w:w="7796"/>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4571"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4571" w:type="pct"/>
            <w:vAlign w:val="top"/>
          </w:tcPr>
          <w:p>
            <w:pPr>
              <w:spacing w:line="320" w:lineRule="exact"/>
              <w:rPr>
                <w:rFonts w:ascii="宋体" w:eastAsia="宋体" w:hAnsi="宋体" w:cs="Times New Roman"/>
                <w:b/>
                <w:bCs w:val="0"/>
                <w:kern w:val="2"/>
                <w:sz w:val="21"/>
                <w:szCs w:val="21"/>
                <w:lang w:val="en-US" w:eastAsia="zh-CN" w:bidi="ar-SA"/>
              </w:rPr>
            </w:pPr>
            <w:r>
              <w:rPr>
                <w:rFonts w:ascii="宋体" w:hAnsi="宋体" w:cs="宋体" w:hint="eastAsia"/>
                <w:b/>
                <w:bCs w:val="0"/>
                <w:szCs w:val="21"/>
              </w:rPr>
              <w:t>★</w:t>
            </w:r>
            <w:r>
              <w:rPr>
                <w:rFonts w:ascii="宋体" w:hAnsi="宋体"/>
                <w:b/>
                <w:bCs w:val="0"/>
                <w:kern w:val="0"/>
                <w:szCs w:val="21"/>
              </w:rPr>
              <w:t>1.1</w:t>
            </w:r>
            <w:r>
              <w:rPr>
                <w:rFonts w:ascii="宋体" w:hAnsi="宋体" w:hint="eastAsia"/>
                <w:b/>
                <w:bCs w:val="0"/>
                <w:kern w:val="0"/>
                <w:szCs w:val="21"/>
              </w:rPr>
              <w:t>各投标人应在投标文件中列明各主机、配件和易耗品的保修期限，并承诺提供主机及配件免费保修期≥</w:t>
            </w:r>
            <w:r>
              <w:rPr>
                <w:rFonts w:ascii="宋体" w:hAnsi="宋体" w:hint="eastAsia"/>
                <w:b/>
                <w:bCs w:val="0"/>
                <w:kern w:val="0"/>
                <w:szCs w:val="21"/>
                <w:u w:val="single"/>
              </w:rPr>
              <w:t xml:space="preserve">  1  </w:t>
            </w:r>
            <w:r>
              <w:rPr>
                <w:rFonts w:ascii="宋体" w:hAnsi="宋体" w:hint="eastAsia"/>
                <w:b/>
                <w:bCs w:val="0"/>
                <w:kern w:val="0"/>
                <w:szCs w:val="21"/>
              </w:rPr>
              <w:t>年，</w:t>
            </w:r>
            <w:r>
              <w:rPr>
                <w:rFonts w:ascii="Times New Roman" w:hAnsi="Times New Roman" w:hint="eastAsia"/>
                <w:b/>
                <w:bCs w:val="0"/>
              </w:rPr>
              <w:t>保修期以验收合格，双方代表签署“性能验收报告”之日起计算。</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4571" w:type="pct"/>
            <w:vAlign w:val="top"/>
          </w:tcPr>
          <w:p>
            <w:pPr>
              <w:rPr>
                <w:rFonts w:ascii="宋体" w:eastAsia="宋体" w:hAnsi="宋体" w:cs="宋体"/>
                <w:color w:val="auto"/>
                <w:kern w:val="0"/>
                <w:sz w:val="21"/>
                <w:szCs w:val="21"/>
                <w:lang w:val="en-US" w:eastAsia="zh-CN" w:bidi="ar-SA"/>
              </w:rPr>
            </w:pPr>
            <w:r>
              <w:rPr>
                <w:rFonts w:ascii="宋体" w:hAnsi="宋体" w:cs="宋体" w:hint="eastAsia"/>
                <w:b/>
                <w:bCs w:val="0"/>
                <w:szCs w:val="21"/>
              </w:rPr>
              <w:t>★</w:t>
            </w:r>
            <w:r>
              <w:rPr>
                <w:rFonts w:ascii="宋体" w:hAnsi="宋体"/>
                <w:b/>
                <w:bCs w:val="0"/>
                <w:szCs w:val="21"/>
              </w:rPr>
              <w:t>1.1</w:t>
            </w:r>
            <w:r>
              <w:rPr>
                <w:rFonts w:ascii="宋体" w:hAnsi="宋体" w:hint="eastAsia"/>
                <w:b/>
                <w:bCs w:val="0"/>
                <w:kern w:val="0"/>
                <w:szCs w:val="21"/>
              </w:rPr>
              <w:t>投标人在签订合同之日起</w:t>
            </w:r>
            <w:r>
              <w:rPr>
                <w:rFonts w:ascii="宋体" w:hAnsi="宋体" w:hint="eastAsia"/>
                <w:b/>
                <w:bCs w:val="0"/>
                <w:kern w:val="0"/>
                <w:szCs w:val="21"/>
                <w:u w:val="single"/>
              </w:rPr>
              <w:t xml:space="preserve">  30  </w:t>
            </w:r>
            <w:r>
              <w:rPr>
                <w:rFonts w:ascii="宋体" w:hAnsi="宋体" w:hint="eastAsia"/>
                <w:b/>
                <w:bCs w:val="0"/>
                <w:kern w:val="0"/>
                <w:szCs w:val="21"/>
              </w:rPr>
              <w:t>天（日历日）内交货。</w:t>
            </w:r>
          </w:p>
        </w:tc>
      </w:tr>
    </w:tbl>
    <w:p>
      <w:pPr>
        <w:rPr>
          <w:b/>
        </w:rPr>
      </w:pPr>
      <w:r>
        <w:rPr>
          <w:rFonts w:hint="eastAsia"/>
          <w:b/>
        </w:rPr>
        <w:t>注：上表所列内容为不可负偏离条款</w:t>
      </w:r>
      <w:bookmarkEnd w:id="46"/>
      <w:r>
        <w:rPr>
          <w:rFonts w:hint="eastAsia"/>
          <w:b/>
        </w:rPr>
        <w:t>，负偏离将视为未实质性满足招标文件要求作投标无效处理。</w:t>
      </w:r>
    </w:p>
    <w:p>
      <w:pPr>
        <w:rPr>
          <w:b/>
          <w:szCs w:val="21"/>
        </w:rPr>
      </w:pPr>
    </w:p>
    <w:p>
      <w:pPr>
        <w:pStyle w:val="Heading2"/>
        <w:spacing w:before="120" w:beforeLines="50" w:after="120" w:afterLines="50"/>
        <w:rPr>
          <w:sz w:val="28"/>
          <w:szCs w:val="28"/>
        </w:rPr>
      </w:pPr>
      <w:r>
        <w:rPr>
          <w:rFonts w:hint="eastAsia"/>
          <w:sz w:val="28"/>
          <w:szCs w:val="28"/>
        </w:rPr>
        <w:t>四、技术要求</w:t>
      </w:r>
    </w:p>
    <w:p>
      <w:pPr>
        <w:ind w:firstLine="420" w:firstLineChars="200"/>
        <w:rPr>
          <w:rFonts w:ascii="Times New Roman" w:hAnsi="Times New Roman" w:cs="Times New Roman" w:hint="eastAsia"/>
          <w:b w:val="0"/>
          <w:bCs/>
          <w:szCs w:val="21"/>
        </w:rPr>
      </w:pPr>
      <w:r>
        <w:rPr>
          <w:rFonts w:hint="eastAsia"/>
          <w:b/>
          <w:szCs w:val="21"/>
        </w:rPr>
        <w:t>说明：</w:t>
      </w:r>
      <w:bookmarkStart w:id="47" w:name="_Hlk72585069"/>
      <w:r>
        <w:rPr>
          <w:rFonts w:ascii="Times New Roman" w:hAnsi="Times New Roman" w:cs="Times New Roman" w:hint="eastAsia"/>
          <w:b w:val="0"/>
          <w:bCs/>
          <w:szCs w:val="21"/>
        </w:rPr>
        <w:t>1</w:t>
      </w:r>
      <w:r>
        <w:rPr>
          <w:rFonts w:ascii="Times New Roman" w:hAnsi="Times New Roman" w:cs="Times New Roman" w:hint="eastAsia"/>
          <w:b w:val="0"/>
          <w:bCs/>
          <w:szCs w:val="21"/>
          <w:lang w:val="en-US" w:eastAsia="zh-CN"/>
        </w:rPr>
        <w:t>.</w:t>
      </w:r>
      <w:r>
        <w:rPr>
          <w:rFonts w:ascii="Times New Roman" w:hAnsi="Times New Roman" w:cs="Times New Roman" w:hint="eastAsia"/>
          <w:b w:val="0"/>
          <w:bCs/>
          <w:szCs w:val="21"/>
        </w:rPr>
        <w:t>评分时，如对一项招标技术要求（以划分框为准）中的内容存在两处（或以上）负偏离的，在评分时只作一项负偏离扣分。</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2</w:t>
      </w:r>
      <w:r>
        <w:rPr>
          <w:rFonts w:ascii="Times New Roman" w:hAnsi="Times New Roman" w:cs="Times New Roman" w:hint="eastAsia"/>
          <w:b w:val="0"/>
          <w:bCs/>
          <w:szCs w:val="21"/>
          <w:lang w:val="en-US" w:eastAsia="zh-CN"/>
        </w:rPr>
        <w:t>.</w:t>
      </w:r>
      <w:r>
        <w:rPr>
          <w:rFonts w:ascii="Times New Roman" w:hAnsi="Times New Roman" w:cs="Times New Roman" w:hint="eastAsia"/>
          <w:b w:val="0"/>
          <w:bCs/>
          <w:szCs w:val="21"/>
        </w:rPr>
        <w:t>带“★”指标项为实质性条款，如出现负偏离，将被视为未实质性满足招标文件要求作投标无效处理；带“▲”指标项为重要参数条款，负偏离时依相关评分准则内容作重点扣分处理。</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3</w:t>
      </w:r>
      <w:r>
        <w:rPr>
          <w:rFonts w:ascii="Times New Roman" w:hAnsi="Times New Roman" w:cs="Times New Roman" w:hint="eastAsia"/>
          <w:b w:val="0"/>
          <w:bCs/>
          <w:szCs w:val="21"/>
          <w:lang w:val="en-US" w:eastAsia="zh-CN"/>
        </w:rPr>
        <w:t>.</w:t>
      </w:r>
      <w:r>
        <w:rPr>
          <w:rFonts w:ascii="Times New Roman" w:hAnsi="Times New Roman" w:cs="Times New Roman" w:hint="eastAsia"/>
          <w:b w:val="0"/>
          <w:bCs/>
          <w:szCs w:val="21"/>
        </w:rPr>
        <w:t>招标技术要求中，要求提供证明资料的，需提供相关证明资料；其余指标项未要求提供证明资料，无需提供相关证明资料。投标人提供证书、检验检测报告的同时需提供证书官网、检验检测机构官网或权威机构（如“中国社会组织公共服务平台”“中国国家认证认可监督管理委员会”等）等合法查询渠道的查询记录，原件备查。相关证书或者检验检测报告在公开渠道无法查询的，需要求提供颁发部门、检验检测机构或者监管机构的证明材料，证明证书或检验检测报告真实有效且为合法机构颁发。未提供或未按要求提供相关证明材料的，则认为对应参数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lang w:val="en-US" w:eastAsia="zh-CN"/>
        </w:rPr>
        <w:t>4</w:t>
      </w:r>
      <w:r>
        <w:rPr>
          <w:rFonts w:ascii="Times New Roman" w:hAnsi="Times New Roman" w:cs="Times New Roman" w:hint="eastAsia"/>
          <w:b w:val="0"/>
          <w:bCs/>
          <w:szCs w:val="21"/>
        </w:rPr>
        <w:t>.涉及区间的技术要求，除特别注明以外，均包含首尾两端本数，所投产品响应数值在招标文件要求的区间范围内即认定为满足该项技术要求</w:t>
      </w:r>
      <w:r>
        <w:rPr>
          <w:rFonts w:ascii="Times New Roman" w:hAnsi="Times New Roman" w:cs="Times New Roman" w:hint="eastAsia"/>
          <w:b w:val="0"/>
          <w:bCs/>
          <w:szCs w:val="21"/>
          <w:lang w:eastAsia="zh-CN"/>
        </w:rPr>
        <w:t>，</w:t>
      </w:r>
      <w:r>
        <w:rPr>
          <w:rFonts w:ascii="Times New Roman" w:hAnsi="Times New Roman" w:cs="Times New Roman" w:hint="eastAsia"/>
          <w:b w:val="0"/>
          <w:bCs/>
          <w:szCs w:val="21"/>
        </w:rPr>
        <w:t>产品参数区间与招标要求不一致的均视为负偏离。例：</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（1）“20L”（凡是响应内容与该数值不一致者，均视为负偏离）；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（2）“H≥6m”（凡是响应内容存在小于6m可能情形的均视为负偏离）；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（3）区间要求为0-20ML,只要响应的不是广于等于“0-20ML”，如投标文件响应为 0-15ML、1-12ML 、 9-20ML 、6-21ML 、9ML 等情形均视为负偏离。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lang w:val="en-US" w:eastAsia="zh-CN"/>
        </w:rPr>
        <w:t>5</w:t>
      </w:r>
      <w:r>
        <w:rPr>
          <w:rFonts w:ascii="Times New Roman" w:hAnsi="Times New Roman" w:cs="Times New Roman" w:hint="eastAsia"/>
          <w:b w:val="0"/>
          <w:bCs/>
          <w:szCs w:val="21"/>
        </w:rPr>
        <w:t>.相关证明材料的产品名称与招标技术要求的货物名称不一致的，需提供为同种产品的说明；若名称不一致又未提供说明的，由评审委员会判定是否符合文件要求。</w:t>
      </w:r>
    </w:p>
    <w:p>
      <w:pPr>
        <w:spacing w:line="360" w:lineRule="auto"/>
        <w:ind w:firstLine="420" w:firstLineChars="200"/>
        <w:jc w:val="center"/>
        <w:outlineLvl w:val="2"/>
        <w:rPr>
          <w:b/>
          <w:sz w:val="24"/>
        </w:rPr>
      </w:pPr>
      <w:r>
        <w:rPr>
          <w:b/>
          <w:sz w:val="24"/>
        </w:rPr>
        <w:t>（一）配置清单</w:t>
      </w:r>
    </w:p>
    <w:p>
      <w:pPr>
        <w:spacing w:line="360" w:lineRule="auto"/>
        <w:ind w:firstLine="420" w:firstLineChars="200"/>
        <w:outlineLvl w:val="2"/>
        <w:rPr>
          <w:rFonts w:ascii="宋体" w:eastAsia="宋体" w:hAnsi="宋体" w:cs="宋体" w:hint="eastAsia"/>
          <w:b/>
          <w:bCs/>
          <w:sz w:val="21"/>
          <w:szCs w:val="21"/>
          <w:u w:val="none"/>
        </w:rPr>
      </w:pPr>
      <w:r>
        <w:rPr>
          <w:rFonts w:ascii="宋体" w:eastAsia="宋体" w:hAnsi="宋体" w:cs="宋体" w:hint="eastAsia"/>
          <w:b/>
          <w:bCs/>
          <w:sz w:val="21"/>
          <w:szCs w:val="21"/>
          <w:u w:val="none"/>
          <w:lang w:val="en-US" w:eastAsia="zh-CN"/>
        </w:rPr>
        <w:t>1</w:t>
      </w:r>
      <w:r>
        <w:rPr>
          <w:rFonts w:ascii="宋体" w:eastAsia="宋体" w:hAnsi="宋体" w:cs="宋体" w:hint="eastAsia"/>
          <w:b/>
          <w:bCs/>
          <w:sz w:val="21"/>
          <w:szCs w:val="21"/>
          <w:u w:val="none"/>
        </w:rPr>
        <w:t>. 冷库（内容积≥45m³）</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653"/>
        <w:gridCol w:w="1610"/>
        <w:gridCol w:w="124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340"/>
          <w:jc w:val="center"/>
        </w:trPr>
        <w:tc>
          <w:tcPr>
            <w:tcW w:w="5653" w:type="dxa"/>
            <w:noWrap w:val="0"/>
            <w:vAlign w:val="center"/>
          </w:tcPr>
          <w:p>
            <w:pPr>
              <w:jc w:val="center"/>
            </w:pPr>
            <w:r>
              <w:rPr>
                <w:rFonts w:hint="eastAsia"/>
              </w:rPr>
              <w:t>名  称</w:t>
            </w:r>
          </w:p>
        </w:tc>
        <w:tc>
          <w:tcPr>
            <w:tcW w:w="1610" w:type="dxa"/>
            <w:noWrap w:val="0"/>
            <w:vAlign w:val="center"/>
          </w:tcPr>
          <w:p>
            <w:pPr>
              <w:jc w:val="center"/>
              <w:rPr>
                <w:rFonts w:hint="eastAsia"/>
              </w:rPr>
            </w:pPr>
            <w:r>
              <w:rPr>
                <w:rFonts w:hint="eastAsia"/>
              </w:rPr>
              <w:t>单位</w:t>
            </w:r>
          </w:p>
        </w:tc>
        <w:tc>
          <w:tcPr>
            <w:tcW w:w="1241" w:type="dxa"/>
            <w:noWrap w:val="0"/>
            <w:vAlign w:val="center"/>
          </w:tcPr>
          <w:p>
            <w:pPr>
              <w:jc w:val="center"/>
            </w:pPr>
            <w:r>
              <w:rPr>
                <w:rFonts w:hint="eastAsia"/>
              </w:rPr>
              <w:t>数  量</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r>
              <w:rPr>
                <w:rFonts w:hint="eastAsia"/>
              </w:rPr>
              <w:t>1. 冷库板（保障冷库的实际需求为准）</w:t>
            </w:r>
          </w:p>
        </w:tc>
        <w:tc>
          <w:tcPr>
            <w:tcW w:w="1610" w:type="dxa"/>
            <w:noWrap w:val="0"/>
            <w:vAlign w:val="center"/>
          </w:tcPr>
          <w:p>
            <w:pPr>
              <w:jc w:val="center"/>
              <w:rPr>
                <w:rFonts w:hint="eastAsia"/>
              </w:rPr>
            </w:pPr>
            <w:r>
              <w:rPr>
                <w:rFonts w:hint="eastAsia"/>
              </w:rPr>
              <w:t>平方米</w:t>
            </w:r>
          </w:p>
        </w:tc>
        <w:tc>
          <w:tcPr>
            <w:tcW w:w="1241" w:type="dxa"/>
            <w:noWrap w:val="0"/>
            <w:vAlign w:val="center"/>
          </w:tcPr>
          <w:p>
            <w:pPr>
              <w:jc w:val="center"/>
            </w:pPr>
            <w:r>
              <w:rPr>
                <w:rFonts w:hint="eastAsia"/>
              </w:rPr>
              <w:t>≥100</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r>
              <w:rPr>
                <w:rFonts w:hint="eastAsia"/>
              </w:rPr>
              <w:t>2. 冷库门</w:t>
            </w:r>
          </w:p>
        </w:tc>
        <w:tc>
          <w:tcPr>
            <w:tcW w:w="1610" w:type="dxa"/>
            <w:noWrap w:val="0"/>
            <w:vAlign w:val="center"/>
          </w:tcPr>
          <w:p>
            <w:pPr>
              <w:jc w:val="center"/>
            </w:pPr>
            <w:r>
              <w:t>套</w:t>
            </w:r>
          </w:p>
        </w:tc>
        <w:tc>
          <w:tcPr>
            <w:tcW w:w="1241" w:type="dxa"/>
            <w:noWrap w:val="0"/>
            <w:vAlign w:val="center"/>
          </w:tcPr>
          <w:p>
            <w:pPr>
              <w:jc w:val="center"/>
            </w:pPr>
            <w:r>
              <w:t>1</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pPr>
              <w:rPr>
                <w:rFonts w:hint="eastAsia"/>
              </w:rPr>
            </w:pPr>
            <w:r>
              <w:rPr>
                <w:rFonts w:hint="eastAsia"/>
              </w:rPr>
              <w:t>3.制冷机组</w:t>
            </w:r>
          </w:p>
        </w:tc>
        <w:tc>
          <w:tcPr>
            <w:tcW w:w="1610" w:type="dxa"/>
            <w:noWrap w:val="0"/>
            <w:vAlign w:val="center"/>
          </w:tcPr>
          <w:p>
            <w:pPr>
              <w:jc w:val="center"/>
              <w:rPr>
                <w:rFonts w:hint="eastAsia"/>
              </w:rPr>
            </w:pPr>
            <w:r>
              <w:rPr>
                <w:rFonts w:hint="eastAsia"/>
              </w:rPr>
              <w:t>套</w:t>
            </w:r>
          </w:p>
        </w:tc>
        <w:tc>
          <w:tcPr>
            <w:tcW w:w="1241" w:type="dxa"/>
            <w:noWrap w:val="0"/>
            <w:vAlign w:val="center"/>
          </w:tcPr>
          <w:p>
            <w:pPr>
              <w:jc w:val="center"/>
            </w:pPr>
            <w:r>
              <w:rPr>
                <w:rFonts w:hint="eastAsia"/>
              </w:rPr>
              <w:t>2</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pPr>
              <w:rPr>
                <w:rFonts w:hint="eastAsia"/>
              </w:rPr>
            </w:pPr>
            <w:r>
              <w:rPr>
                <w:rFonts w:hint="eastAsia"/>
              </w:rPr>
              <w:t>4.蒸发器</w:t>
            </w:r>
          </w:p>
        </w:tc>
        <w:tc>
          <w:tcPr>
            <w:tcW w:w="1610" w:type="dxa"/>
            <w:noWrap w:val="0"/>
            <w:vAlign w:val="center"/>
          </w:tcPr>
          <w:p>
            <w:pPr>
              <w:jc w:val="center"/>
              <w:rPr>
                <w:rFonts w:hint="eastAsia"/>
              </w:rPr>
            </w:pPr>
            <w:r>
              <w:rPr>
                <w:rFonts w:hint="eastAsia"/>
              </w:rPr>
              <w:t>套</w:t>
            </w:r>
          </w:p>
        </w:tc>
        <w:tc>
          <w:tcPr>
            <w:tcW w:w="1241" w:type="dxa"/>
            <w:noWrap w:val="0"/>
            <w:vAlign w:val="center"/>
          </w:tcPr>
          <w:p>
            <w:pPr>
              <w:jc w:val="center"/>
            </w:pPr>
            <w:r>
              <w:rPr>
                <w:rFonts w:hint="eastAsia"/>
              </w:rPr>
              <w:t>2</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pPr>
              <w:rPr>
                <w:rFonts w:hint="eastAsia"/>
              </w:rPr>
            </w:pPr>
            <w:r>
              <w:rPr>
                <w:rFonts w:hint="eastAsia"/>
              </w:rPr>
              <w:t>5.控制箱</w:t>
            </w:r>
          </w:p>
        </w:tc>
        <w:tc>
          <w:tcPr>
            <w:tcW w:w="1610" w:type="dxa"/>
            <w:noWrap w:val="0"/>
            <w:vAlign w:val="center"/>
          </w:tcPr>
          <w:p>
            <w:pPr>
              <w:jc w:val="center"/>
              <w:rPr>
                <w:rFonts w:hint="eastAsia"/>
              </w:rPr>
            </w:pPr>
            <w:r>
              <w:rPr>
                <w:rFonts w:hint="eastAsia"/>
              </w:rPr>
              <w:t>套</w:t>
            </w:r>
          </w:p>
        </w:tc>
        <w:tc>
          <w:tcPr>
            <w:tcW w:w="1241" w:type="dxa"/>
            <w:noWrap w:val="0"/>
            <w:vAlign w:val="center"/>
          </w:tcPr>
          <w:p>
            <w:pPr>
              <w:jc w:val="center"/>
            </w:pPr>
            <w:r>
              <w:rPr>
                <w:rFonts w:hint="eastAsia"/>
              </w:rPr>
              <w:t>1</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pPr>
              <w:rPr>
                <w:rFonts w:hint="eastAsia"/>
              </w:rPr>
            </w:pPr>
            <w:r>
              <w:rPr>
                <w:rFonts w:hint="eastAsia"/>
              </w:rPr>
              <w:t>6.监控</w:t>
            </w:r>
          </w:p>
        </w:tc>
        <w:tc>
          <w:tcPr>
            <w:tcW w:w="1610" w:type="dxa"/>
            <w:noWrap w:val="0"/>
            <w:vAlign w:val="center"/>
          </w:tcPr>
          <w:p>
            <w:pPr>
              <w:jc w:val="center"/>
              <w:rPr>
                <w:rFonts w:hint="eastAsia"/>
              </w:rPr>
            </w:pPr>
            <w:r>
              <w:rPr>
                <w:rFonts w:hint="eastAsia"/>
              </w:rPr>
              <w:t>套</w:t>
            </w:r>
          </w:p>
        </w:tc>
        <w:tc>
          <w:tcPr>
            <w:tcW w:w="1241" w:type="dxa"/>
            <w:noWrap w:val="0"/>
            <w:vAlign w:val="center"/>
          </w:tcPr>
          <w:p>
            <w:pPr>
              <w:jc w:val="center"/>
              <w:rPr>
                <w:rFonts w:hint="eastAsia"/>
              </w:rPr>
            </w:pPr>
            <w:r>
              <w:rPr>
                <w:rFonts w:hint="eastAsia"/>
              </w:rPr>
              <w:t>1</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pPr>
              <w:rPr>
                <w:rFonts w:hint="eastAsia"/>
              </w:rPr>
            </w:pPr>
            <w:r>
              <w:rPr>
                <w:rFonts w:hint="eastAsia"/>
              </w:rPr>
              <w:t>7.冷库灯</w:t>
            </w:r>
          </w:p>
        </w:tc>
        <w:tc>
          <w:tcPr>
            <w:tcW w:w="1610" w:type="dxa"/>
            <w:noWrap w:val="0"/>
            <w:vAlign w:val="center"/>
          </w:tcPr>
          <w:p>
            <w:pPr>
              <w:jc w:val="center"/>
              <w:rPr>
                <w:rFonts w:hint="eastAsia"/>
              </w:rPr>
            </w:pPr>
            <w:r>
              <w:rPr>
                <w:rFonts w:hint="eastAsia"/>
              </w:rPr>
              <w:t>盏</w:t>
            </w:r>
          </w:p>
        </w:tc>
        <w:tc>
          <w:tcPr>
            <w:tcW w:w="1241" w:type="dxa"/>
            <w:noWrap w:val="0"/>
            <w:vAlign w:val="center"/>
          </w:tcPr>
          <w:p>
            <w:pPr>
              <w:jc w:val="center"/>
              <w:rPr>
                <w:rFonts w:hint="eastAsia"/>
              </w:rPr>
            </w:pPr>
            <w:r>
              <w:rPr>
                <w:rFonts w:hint="eastAsia"/>
              </w:rPr>
              <w:t>4</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pPr>
              <w:rPr>
                <w:rFonts w:hint="eastAsia"/>
              </w:rPr>
            </w:pPr>
            <w:r>
              <w:rPr>
                <w:rFonts w:hint="eastAsia"/>
              </w:rPr>
              <w:t>8.制冷剂</w:t>
            </w:r>
          </w:p>
        </w:tc>
        <w:tc>
          <w:tcPr>
            <w:tcW w:w="1610" w:type="dxa"/>
            <w:noWrap w:val="0"/>
            <w:vAlign w:val="center"/>
          </w:tcPr>
          <w:p>
            <w:pPr>
              <w:jc w:val="center"/>
              <w:rPr>
                <w:rFonts w:hint="eastAsia"/>
              </w:rPr>
            </w:pPr>
            <w:r>
              <w:rPr>
                <w:rFonts w:hint="eastAsia"/>
              </w:rPr>
              <w:t>套</w:t>
            </w:r>
          </w:p>
        </w:tc>
        <w:tc>
          <w:tcPr>
            <w:tcW w:w="1241" w:type="dxa"/>
            <w:noWrap w:val="0"/>
            <w:vAlign w:val="center"/>
          </w:tcPr>
          <w:p>
            <w:pPr>
              <w:jc w:val="center"/>
              <w:rPr>
                <w:rFonts w:hint="eastAsia"/>
              </w:rPr>
            </w:pPr>
            <w:r>
              <w:rPr>
                <w:rFonts w:hint="eastAsia"/>
              </w:rPr>
              <w:t>2</w:t>
            </w:r>
          </w:p>
        </w:tc>
      </w:tr>
      <w:tr>
        <w:tblPrEx>
          <w:tblW w:w="0" w:type="auto"/>
          <w:jc w:val="center"/>
          <w:tblLayout w:type="fixed"/>
          <w:tblCellMar>
            <w:top w:w="0" w:type="dxa"/>
            <w:left w:w="108" w:type="dxa"/>
            <w:bottom w:w="0" w:type="dxa"/>
            <w:right w:w="108" w:type="dxa"/>
          </w:tblCellMar>
        </w:tblPrEx>
        <w:trPr>
          <w:trHeight w:hRule="exact" w:val="340"/>
          <w:jc w:val="center"/>
        </w:trPr>
        <w:tc>
          <w:tcPr>
            <w:tcW w:w="5653" w:type="dxa"/>
            <w:noWrap w:val="0"/>
            <w:vAlign w:val="center"/>
          </w:tcPr>
          <w:p>
            <w:pPr>
              <w:rPr>
                <w:rFonts w:hint="eastAsia"/>
              </w:rPr>
            </w:pPr>
            <w:r>
              <w:rPr>
                <w:rFonts w:hint="eastAsia"/>
              </w:rPr>
              <w:t>9.安装辅材（含不限于铜管线缆等）</w:t>
            </w:r>
          </w:p>
        </w:tc>
        <w:tc>
          <w:tcPr>
            <w:tcW w:w="1610" w:type="dxa"/>
            <w:noWrap w:val="0"/>
            <w:vAlign w:val="center"/>
          </w:tcPr>
          <w:p>
            <w:pPr>
              <w:jc w:val="center"/>
              <w:rPr>
                <w:rFonts w:hint="eastAsia"/>
              </w:rPr>
            </w:pPr>
            <w:r>
              <w:rPr>
                <w:rFonts w:hint="eastAsia"/>
              </w:rPr>
              <w:t>套</w:t>
            </w:r>
          </w:p>
        </w:tc>
        <w:tc>
          <w:tcPr>
            <w:tcW w:w="1241" w:type="dxa"/>
            <w:noWrap w:val="0"/>
            <w:vAlign w:val="center"/>
          </w:tcPr>
          <w:p>
            <w:pPr>
              <w:jc w:val="center"/>
              <w:rPr>
                <w:rFonts w:hint="eastAsia"/>
              </w:rPr>
            </w:pPr>
            <w:r>
              <w:rPr>
                <w:rFonts w:hint="eastAsia"/>
              </w:rPr>
              <w:t>2</w:t>
            </w:r>
          </w:p>
        </w:tc>
      </w:tr>
    </w:tbl>
    <w:p>
      <w:pPr>
        <w:numPr>
          <w:ilvl w:val="0"/>
          <w:numId w:val="0"/>
        </w:numPr>
        <w:jc w:val="both"/>
        <w:rPr>
          <w:b/>
          <w:bCs/>
          <w:sz w:val="24"/>
        </w:rPr>
      </w:pPr>
    </w:p>
    <w:p>
      <w:pPr>
        <w:pStyle w:val="BodyText"/>
      </w:pPr>
    </w:p>
    <w:p>
      <w:pPr>
        <w:numPr>
          <w:ilvl w:val="0"/>
          <w:numId w:val="8"/>
        </w:numPr>
        <w:jc w:val="center"/>
        <w:rPr>
          <w:b/>
          <w:bCs/>
          <w:sz w:val="24"/>
        </w:rPr>
      </w:pPr>
      <w:r>
        <w:rPr>
          <w:b/>
          <w:bCs/>
          <w:sz w:val="24"/>
        </w:rPr>
        <w:t>技术参数要求</w:t>
      </w:r>
    </w:p>
    <w:p>
      <w:pPr>
        <w:pStyle w:val="BodyText"/>
        <w:numPr>
          <w:ilvl w:val="0"/>
          <w:numId w:val="0"/>
        </w:numPr>
      </w:pPr>
    </w:p>
    <w:p>
      <w:pPr>
        <w:spacing w:after="48" w:afterLines="20" w:line="360" w:lineRule="auto"/>
        <w:ind w:left="567"/>
        <w:rPr>
          <w:rFonts w:ascii="宋体" w:hAnsi="宋体" w:cs="Arial" w:hint="eastAsia"/>
          <w:b/>
          <w:bCs w:val="0"/>
          <w:sz w:val="24"/>
        </w:rPr>
      </w:pPr>
      <w:bookmarkEnd w:id="47"/>
      <w:r>
        <w:rPr>
          <w:rFonts w:ascii="宋体" w:hAnsi="宋体" w:cs="Arial" w:hint="eastAsia"/>
          <w:b/>
          <w:bCs w:val="0"/>
          <w:sz w:val="24"/>
          <w:lang w:val="en-US" w:eastAsia="zh-CN"/>
        </w:rPr>
        <w:t>1.</w:t>
      </w:r>
      <w:r>
        <w:rPr>
          <w:rFonts w:ascii="宋体" w:hAnsi="宋体" w:cs="Arial" w:hint="eastAsia"/>
          <w:b/>
          <w:bCs w:val="0"/>
          <w:sz w:val="24"/>
        </w:rPr>
        <w:t>冷库</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90"/>
        <w:gridCol w:w="741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1090" w:type="dxa"/>
            <w:noWrap w:val="0"/>
            <w:vAlign w:val="center"/>
          </w:tcPr>
          <w:p>
            <w:pPr>
              <w:jc w:val="center"/>
              <w:rPr>
                <w:rFonts w:hint="eastAsia"/>
              </w:rPr>
            </w:pPr>
            <w:r>
              <w:rPr>
                <w:rFonts w:hint="eastAsia"/>
              </w:rPr>
              <w:t>序号</w:t>
            </w:r>
          </w:p>
        </w:tc>
        <w:tc>
          <w:tcPr>
            <w:tcW w:w="7414" w:type="dxa"/>
            <w:noWrap w:val="0"/>
            <w:vAlign w:val="center"/>
          </w:tcPr>
          <w:p>
            <w:pPr>
              <w:jc w:val="center"/>
              <w:rPr>
                <w:rFonts w:hint="eastAsia"/>
              </w:rPr>
            </w:pPr>
            <w:r>
              <w:rPr>
                <w:rFonts w:hint="eastAsia"/>
              </w:rPr>
              <w:t>技术参数指标</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b/>
                <w:bCs/>
              </w:rPr>
            </w:pPr>
            <w:r>
              <w:rPr>
                <w:rFonts w:hint="eastAsia"/>
                <w:b/>
                <w:bCs/>
              </w:rPr>
              <w:t>1</w:t>
            </w:r>
          </w:p>
        </w:tc>
        <w:tc>
          <w:tcPr>
            <w:tcW w:w="7414" w:type="dxa"/>
            <w:noWrap w:val="0"/>
            <w:vAlign w:val="top"/>
          </w:tcPr>
          <w:p>
            <w:pPr>
              <w:rPr>
                <w:rFonts w:hint="eastAsia"/>
                <w:b/>
                <w:bCs/>
              </w:rPr>
            </w:pPr>
            <w:r>
              <w:rPr>
                <w:rFonts w:hint="eastAsia"/>
                <w:b/>
                <w:bCs/>
              </w:rPr>
              <w:t>总体要求</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1.1</w:t>
            </w:r>
          </w:p>
        </w:tc>
        <w:tc>
          <w:tcPr>
            <w:tcW w:w="7414" w:type="dxa"/>
            <w:noWrap w:val="0"/>
            <w:vAlign w:val="top"/>
          </w:tcPr>
          <w:p>
            <w:pPr>
              <w:rPr>
                <w:rFonts w:hint="eastAsia"/>
              </w:rPr>
            </w:pPr>
            <w:r>
              <w:rPr>
                <w:rFonts w:hint="eastAsia"/>
              </w:rPr>
              <w:t>冷库数量：试剂冷库1座，内容积≥45m³，高度≥2.5m，温区要求：使用工作温度为2</w:t>
            </w:r>
            <w:r>
              <w:rPr>
                <w:rFonts w:ascii="宋体" w:hAnsi="宋体" w:hint="eastAsia"/>
              </w:rPr>
              <w:t>～</w:t>
            </w:r>
            <w:r>
              <w:rPr>
                <w:rFonts w:hint="eastAsia"/>
              </w:rPr>
              <w:t>8℃，温度调节精度≤0.1℃</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t>▲</w:t>
            </w:r>
            <w:r>
              <w:rPr>
                <w:rFonts w:hint="eastAsia"/>
              </w:rPr>
              <w:t>1.2</w:t>
            </w:r>
          </w:p>
        </w:tc>
        <w:tc>
          <w:tcPr>
            <w:tcW w:w="7414" w:type="dxa"/>
            <w:noWrap w:val="0"/>
            <w:vAlign w:val="top"/>
          </w:tcPr>
          <w:p>
            <w:pPr>
              <w:rPr>
                <w:rFonts w:hint="eastAsia"/>
                <w:b/>
                <w:bCs/>
                <w:color w:val="FF0000"/>
              </w:rPr>
            </w:pPr>
            <w:r>
              <w:rPr>
                <w:rFonts w:hint="eastAsia"/>
                <w:b/>
                <w:bCs/>
                <w:color w:val="FF0000"/>
              </w:rPr>
              <w:t>投标人自行踏勘现场、测量场地、并提供完整设计图纸及方案，自己安装电源线，需满足用户现场使用流程要求。</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b/>
                <w:bCs/>
              </w:rPr>
            </w:pPr>
            <w:r>
              <w:rPr>
                <w:rFonts w:hint="eastAsia"/>
                <w:b/>
                <w:bCs/>
              </w:rPr>
              <w:t>2</w:t>
            </w:r>
          </w:p>
        </w:tc>
        <w:tc>
          <w:tcPr>
            <w:tcW w:w="7414" w:type="dxa"/>
            <w:noWrap w:val="0"/>
            <w:vAlign w:val="center"/>
          </w:tcPr>
          <w:p>
            <w:pPr>
              <w:rPr>
                <w:rFonts w:hint="eastAsia"/>
                <w:b/>
                <w:bCs/>
              </w:rPr>
            </w:pPr>
            <w:r>
              <w:rPr>
                <w:rFonts w:hint="eastAsia"/>
                <w:b/>
                <w:bCs/>
              </w:rPr>
              <w:t>库体保温：</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t>▲</w:t>
            </w:r>
            <w:r>
              <w:rPr>
                <w:rFonts w:hint="eastAsia"/>
              </w:rPr>
              <w:t>2.1</w:t>
            </w:r>
          </w:p>
        </w:tc>
        <w:tc>
          <w:tcPr>
            <w:tcW w:w="7414" w:type="dxa"/>
            <w:noWrap w:val="0"/>
            <w:vAlign w:val="top"/>
          </w:tcPr>
          <w:p>
            <w:pPr>
              <w:rPr>
                <w:rFonts w:eastAsia="宋体" w:hint="eastAsia"/>
                <w:lang w:eastAsia="zh-CN"/>
              </w:rPr>
            </w:pPr>
            <w:r>
              <w:rPr>
                <w:rFonts w:hint="eastAsia"/>
                <w:b/>
                <w:bCs/>
                <w:color w:val="FF0000"/>
              </w:rPr>
              <w:t>冷库为六面体围护结构，库板采用双面彩钢板 ,偏心挂钩组合，保温板厚度≥100mm,冷库板密度要求达到≥42kg/ m³，防火等级≥B2级。</w:t>
            </w:r>
            <w:r>
              <w:rPr>
                <w:rFonts w:hint="eastAsia"/>
                <w:b/>
                <w:bCs/>
                <w:color w:val="FF0000"/>
                <w:lang w:eastAsia="zh-CN"/>
              </w:rPr>
              <w:t>（</w:t>
            </w:r>
            <w:r>
              <w:rPr>
                <w:rFonts w:hint="eastAsia"/>
                <w:b/>
                <w:bCs/>
                <w:color w:val="FF0000"/>
              </w:rPr>
              <w:t>库板提供第三方检测机构出具的带有CMA标识合格的质量检测报告和防火检测报告</w:t>
            </w:r>
            <w:r>
              <w:rPr>
                <w:rFonts w:hint="eastAsia"/>
                <w:b/>
                <w:bCs/>
                <w:color w:val="FF0000"/>
                <w:lang w:eastAsia="zh-CN"/>
              </w:rPr>
              <w:t>）</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pPr>
            <w:r>
              <w:t>2.2</w:t>
            </w:r>
          </w:p>
        </w:tc>
        <w:tc>
          <w:tcPr>
            <w:tcW w:w="7414" w:type="dxa"/>
            <w:noWrap w:val="0"/>
            <w:vAlign w:val="top"/>
          </w:tcPr>
          <w:p>
            <w:pPr>
              <w:rPr>
                <w:rFonts w:hint="eastAsia"/>
              </w:rPr>
            </w:pPr>
            <w:r>
              <w:rPr>
                <w:rFonts w:hint="eastAsia"/>
              </w:rPr>
              <w:t>冷库门：配备≥一扇聚氨酯整体发泡检修门，半埋设计，门外形尺寸（宽＊高）≥800mm*1800mm,专用冷库门锁，具有防锁死脱险装置，可从冷库内部开启，防止发生操作人员被误关在库内。冷库门加装风幕机，防止开门作业时冷气流失过快，造成库内温度不稳定，冷库门安装的风幕机风力能够达到门槛上、下缘之间，不得超过下缘。</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b/>
                <w:bCs/>
              </w:rPr>
            </w:pPr>
            <w:r>
              <w:rPr>
                <w:rFonts w:hint="eastAsia"/>
                <w:b/>
                <w:bCs/>
              </w:rPr>
              <w:t>3</w:t>
            </w:r>
          </w:p>
        </w:tc>
        <w:tc>
          <w:tcPr>
            <w:tcW w:w="7414" w:type="dxa"/>
            <w:noWrap w:val="0"/>
            <w:vAlign w:val="center"/>
          </w:tcPr>
          <w:p>
            <w:pPr>
              <w:rPr>
                <w:rFonts w:hint="eastAsia"/>
                <w:b/>
                <w:bCs/>
              </w:rPr>
            </w:pPr>
            <w:r>
              <w:rPr>
                <w:rFonts w:hint="eastAsia"/>
                <w:b/>
                <w:bCs/>
              </w:rPr>
              <w:t>制冷系统</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3.1</w:t>
            </w:r>
          </w:p>
        </w:tc>
        <w:tc>
          <w:tcPr>
            <w:tcW w:w="7414" w:type="dxa"/>
            <w:noWrap w:val="0"/>
            <w:vAlign w:val="top"/>
          </w:tcPr>
          <w:p>
            <w:pPr>
              <w:rPr>
                <w:rFonts w:hint="eastAsia"/>
              </w:rPr>
            </w:pPr>
            <w:r>
              <w:rPr>
                <w:rFonts w:hint="eastAsia"/>
              </w:rPr>
              <w:t xml:space="preserve">制冷压缩机机组：采用国际知名品牌全封闭压缩机组，分体式风冷箱式结构，其中压缩机需选用国际一线品牌涡旋压缩机，其中蒸发温度≤ </w:t>
            </w:r>
            <w:r>
              <w:rPr>
                <w:rFonts w:hint="eastAsia"/>
                <w:b/>
              </w:rPr>
              <w:t>-</w:t>
            </w:r>
            <w:r>
              <w:rPr>
                <w:rFonts w:hint="eastAsia"/>
              </w:rPr>
              <w:t>10℃，冷凝温度≤+45℃时，制冷量≥8KW，制冷机组要求“一用一备”。</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3</w:t>
            </w:r>
            <w:r>
              <w:t>.3</w:t>
            </w:r>
          </w:p>
        </w:tc>
        <w:tc>
          <w:tcPr>
            <w:tcW w:w="7414" w:type="dxa"/>
            <w:noWrap w:val="0"/>
            <w:vAlign w:val="top"/>
          </w:tcPr>
          <w:p>
            <w:pPr>
              <w:rPr>
                <w:rFonts w:hint="eastAsia"/>
              </w:rPr>
            </w:pPr>
            <w:r>
              <w:rPr>
                <w:rFonts w:hint="eastAsia"/>
              </w:rPr>
              <w:t>蒸发器：采用吊顶式侧出风后回风的工作方式，知名品牌冷风机，带热保护装置，大间距纹状铝箔翅片，内螺纹铜管，电加热化霜，需要与压缩机组制冷量相匹配；蒸发器需与制冷压缩机组为同一品牌。</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3</w:t>
            </w:r>
            <w:r>
              <w:t>.4</w:t>
            </w:r>
          </w:p>
        </w:tc>
        <w:tc>
          <w:tcPr>
            <w:tcW w:w="7414" w:type="dxa"/>
            <w:noWrap w:val="0"/>
            <w:vAlign w:val="top"/>
          </w:tcPr>
          <w:p>
            <w:pPr>
              <w:rPr>
                <w:rFonts w:hint="eastAsia"/>
              </w:rPr>
            </w:pPr>
            <w:r>
              <w:rPr>
                <w:rFonts w:hint="eastAsia"/>
              </w:rPr>
              <w:t>制冷剂：好于或者等于绿色环保型R404a制冷剂。</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3</w:t>
            </w:r>
            <w:r>
              <w:t>.5</w:t>
            </w:r>
          </w:p>
        </w:tc>
        <w:tc>
          <w:tcPr>
            <w:tcW w:w="7414" w:type="dxa"/>
            <w:noWrap w:val="0"/>
            <w:vAlign w:val="top"/>
          </w:tcPr>
          <w:p>
            <w:pPr>
              <w:rPr>
                <w:rFonts w:hint="eastAsia"/>
              </w:rPr>
            </w:pPr>
            <w:r>
              <w:rPr>
                <w:rFonts w:hint="eastAsia"/>
              </w:rPr>
              <w:t>冷库配置备用系统，≥两套完全独立的制冷系统，一用一备（≥两套系统配置一致）。包括压缩机，冷凝器，蒸发器，各类铜管，电缆，制冷配件等。≥两套机组可以实现故障切换、轮值切换、超温紧急启用备用机等功能。</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b/>
                <w:bCs/>
              </w:rPr>
            </w:pPr>
            <w:r>
              <w:rPr>
                <w:rFonts w:hint="eastAsia"/>
                <w:b/>
                <w:bCs/>
              </w:rPr>
              <w:t>4</w:t>
            </w:r>
          </w:p>
        </w:tc>
        <w:tc>
          <w:tcPr>
            <w:tcW w:w="7414" w:type="dxa"/>
            <w:noWrap w:val="0"/>
            <w:vAlign w:val="center"/>
          </w:tcPr>
          <w:p>
            <w:pPr>
              <w:rPr>
                <w:rFonts w:hint="eastAsia"/>
                <w:b/>
                <w:bCs/>
              </w:rPr>
            </w:pPr>
            <w:r>
              <w:rPr>
                <w:rFonts w:hint="eastAsia"/>
                <w:b/>
                <w:bCs/>
              </w:rPr>
              <w:t>控制系统</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4.1</w:t>
            </w:r>
          </w:p>
        </w:tc>
        <w:tc>
          <w:tcPr>
            <w:tcW w:w="7414" w:type="dxa"/>
            <w:noWrap w:val="0"/>
            <w:vAlign w:val="top"/>
          </w:tcPr>
          <w:p>
            <w:pPr>
              <w:rPr>
                <w:rFonts w:hint="eastAsia"/>
              </w:rPr>
            </w:pPr>
            <w:r>
              <w:rPr>
                <w:rFonts w:hint="eastAsia"/>
              </w:rPr>
              <w:t>配备智能温度控制系统，采用可编程控制器，≥7寸触摸屏显示和控制，实现制冷系统的开、停机，风机化霜，温度控制、显示。</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4</w:t>
            </w:r>
            <w:r>
              <w:t>.2</w:t>
            </w:r>
          </w:p>
        </w:tc>
        <w:tc>
          <w:tcPr>
            <w:tcW w:w="7414" w:type="dxa"/>
            <w:noWrap w:val="0"/>
            <w:vAlign w:val="top"/>
          </w:tcPr>
          <w:p>
            <w:pPr>
              <w:rPr>
                <w:rFonts w:hint="eastAsia"/>
              </w:rPr>
            </w:pPr>
            <w:r>
              <w:rPr>
                <w:rFonts w:hint="eastAsia"/>
              </w:rPr>
              <w:t>备用温控系统，当冷库主控温系统出现问题时，可切换到备用系统，保障存储的安全。</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4</w:t>
            </w:r>
            <w:r>
              <w:t>.4</w:t>
            </w:r>
          </w:p>
        </w:tc>
        <w:tc>
          <w:tcPr>
            <w:tcW w:w="7414" w:type="dxa"/>
            <w:noWrap w:val="0"/>
            <w:vAlign w:val="top"/>
          </w:tcPr>
          <w:p>
            <w:pPr>
              <w:rPr>
                <w:rFonts w:hint="eastAsia"/>
              </w:rPr>
            </w:pPr>
            <w:r>
              <w:rPr>
                <w:rFonts w:hint="eastAsia"/>
              </w:rPr>
              <w:t>实现≥两套制冷系统故障自动切换、智能加减载、智能轮值，提高样品的储存安全。</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4</w:t>
            </w:r>
            <w:r>
              <w:t>.5</w:t>
            </w:r>
          </w:p>
        </w:tc>
        <w:tc>
          <w:tcPr>
            <w:tcW w:w="7414" w:type="dxa"/>
            <w:noWrap w:val="0"/>
            <w:vAlign w:val="top"/>
          </w:tcPr>
          <w:p>
            <w:pPr>
              <w:rPr>
                <w:rFonts w:hint="eastAsia"/>
              </w:rPr>
            </w:pPr>
            <w:r>
              <w:rPr>
                <w:rFonts w:hint="eastAsia"/>
              </w:rPr>
              <w:t>具有库内设备异常报警：具有温度异常报警，设备故障报警，具备湿度超标报警、电源断开报警。</w:t>
            </w:r>
          </w:p>
          <w:p>
            <w:pPr>
              <w:rPr>
                <w:rFonts w:hint="eastAsia"/>
              </w:rPr>
            </w:pPr>
            <w:r>
              <w:rPr>
                <w:rFonts w:hint="eastAsia"/>
              </w:rPr>
              <w:t>报警方式：声光报警、短信报警、微信推送、电话报警。</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4</w:t>
            </w:r>
            <w:r>
              <w:t>.6</w:t>
            </w:r>
          </w:p>
        </w:tc>
        <w:tc>
          <w:tcPr>
            <w:tcW w:w="7414" w:type="dxa"/>
            <w:noWrap w:val="0"/>
            <w:vAlign w:val="top"/>
          </w:tcPr>
          <w:p>
            <w:pPr>
              <w:rPr>
                <w:rFonts w:hint="eastAsia"/>
              </w:rPr>
            </w:pPr>
            <w:r>
              <w:rPr>
                <w:rFonts w:hint="eastAsia"/>
              </w:rPr>
              <w:t>具有物联网模块，管理人员随时随地可通过手机APP实时查看冷库实时参数状态,实时掌控温度变化,保障样品的安全性。实时查看冷库参数设定值。实时掌握冷库机组的设定详情。查看冷库历史记录,对冷库运行的状态参数进行数据记录,做到运行参数可追溯。</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pPr>
            <w:r>
              <w:rPr>
                <w:rFonts w:hint="eastAsia"/>
              </w:rPr>
              <w:t>5</w:t>
            </w:r>
          </w:p>
        </w:tc>
        <w:tc>
          <w:tcPr>
            <w:tcW w:w="7414" w:type="dxa"/>
            <w:noWrap w:val="0"/>
            <w:vAlign w:val="top"/>
          </w:tcPr>
          <w:p>
            <w:pPr>
              <w:tabs>
                <w:tab w:val="left" w:pos="1540"/>
              </w:tabs>
              <w:rPr>
                <w:rFonts w:hint="eastAsia"/>
                <w:b/>
                <w:bCs/>
              </w:rPr>
            </w:pPr>
            <w:r>
              <w:rPr>
                <w:rFonts w:hint="eastAsia"/>
                <w:b/>
                <w:bCs/>
              </w:rPr>
              <w:t>监控系统</w:t>
            </w:r>
            <w:r>
              <w:rPr>
                <w:b/>
                <w:bCs/>
              </w:rPr>
              <w:tab/>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pPr>
            <w:r>
              <w:rPr>
                <w:rFonts w:hint="eastAsia"/>
              </w:rPr>
              <w:t>5.1</w:t>
            </w:r>
          </w:p>
        </w:tc>
        <w:tc>
          <w:tcPr>
            <w:tcW w:w="7414" w:type="dxa"/>
            <w:noWrap w:val="0"/>
            <w:vAlign w:val="top"/>
          </w:tcPr>
          <w:p>
            <w:pPr>
              <w:tabs>
                <w:tab w:val="left" w:pos="1540"/>
              </w:tabs>
            </w:pPr>
            <w:r>
              <w:rPr>
                <w:rFonts w:hint="eastAsia"/>
              </w:rPr>
              <w:t>测量范围：温度包括：</w:t>
            </w:r>
            <w:r>
              <w:rPr>
                <w:rFonts w:hint="eastAsia"/>
                <w:b/>
              </w:rPr>
              <w:t>-</w:t>
            </w:r>
            <w:r>
              <w:rPr>
                <w:rFonts w:hint="eastAsia"/>
              </w:rPr>
              <w:t>40℃</w:t>
            </w:r>
            <w:r>
              <w:rPr>
                <w:rFonts w:ascii="宋体" w:hAnsi="宋体" w:hint="eastAsia"/>
              </w:rPr>
              <w:t>～</w:t>
            </w:r>
            <w:r>
              <w:rPr>
                <w:rFonts w:hint="eastAsia"/>
              </w:rPr>
              <w:t>85℃、湿度包含：0℃</w:t>
            </w:r>
            <w:r>
              <w:rPr>
                <w:rFonts w:ascii="宋体" w:hAnsi="宋体" w:hint="eastAsia"/>
              </w:rPr>
              <w:t>～</w:t>
            </w:r>
            <w:r>
              <w:rPr>
                <w:rFonts w:hint="eastAsia"/>
              </w:rPr>
              <w:t>100℃%RH；测量精度：温度：≤±0.2℃、湿度：≤±2%RH，分辨率≤0.1。</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5.2</w:t>
            </w:r>
          </w:p>
        </w:tc>
        <w:tc>
          <w:tcPr>
            <w:tcW w:w="7414" w:type="dxa"/>
            <w:noWrap w:val="0"/>
            <w:vAlign w:val="top"/>
          </w:tcPr>
          <w:p>
            <w:pPr>
              <w:tabs>
                <w:tab w:val="left" w:pos="1540"/>
              </w:tabs>
            </w:pPr>
            <w:r>
              <w:rPr>
                <w:rFonts w:hint="eastAsia"/>
              </w:rPr>
              <w:t>单个设备可外接≥2路温湿度传感器用以测试冷库所在环境的温湿度，并可以实时显示。</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5.3</w:t>
            </w:r>
          </w:p>
        </w:tc>
        <w:tc>
          <w:tcPr>
            <w:tcW w:w="7414" w:type="dxa"/>
            <w:noWrap w:val="0"/>
            <w:vAlign w:val="top"/>
          </w:tcPr>
          <w:p>
            <w:pPr>
              <w:tabs>
                <w:tab w:val="left" w:pos="1540"/>
              </w:tabs>
            </w:pPr>
            <w:r>
              <w:rPr>
                <w:rFonts w:hint="eastAsia"/>
              </w:rPr>
              <w:t>LED大屏显示，能够显示实时温湿度、实时年月日时间、报警开关状态、报警标识符号等信息，正常温度湿度及超标温湿度值应用区分警示，具有独立报警模块。</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5.4</w:t>
            </w:r>
          </w:p>
        </w:tc>
        <w:tc>
          <w:tcPr>
            <w:tcW w:w="7414" w:type="dxa"/>
            <w:noWrap w:val="0"/>
            <w:vAlign w:val="top"/>
          </w:tcPr>
          <w:p>
            <w:pPr>
              <w:tabs>
                <w:tab w:val="left" w:pos="1540"/>
              </w:tabs>
            </w:pPr>
            <w:r>
              <w:rPr>
                <w:rFonts w:hint="eastAsia"/>
              </w:rPr>
              <w:t>数据传输方式:采用无线方式，设备需同时支持移动、联通和电信≥4G网络(全网通)。</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b/>
                <w:bCs/>
              </w:rPr>
            </w:pPr>
            <w:r>
              <w:rPr>
                <w:rFonts w:hint="eastAsia"/>
                <w:b/>
                <w:bCs/>
              </w:rPr>
              <w:t>6</w:t>
            </w:r>
          </w:p>
        </w:tc>
        <w:tc>
          <w:tcPr>
            <w:tcW w:w="7414" w:type="dxa"/>
            <w:noWrap w:val="0"/>
            <w:vAlign w:val="center"/>
          </w:tcPr>
          <w:p>
            <w:pPr>
              <w:rPr>
                <w:rFonts w:hint="eastAsia"/>
                <w:b/>
                <w:bCs/>
              </w:rPr>
            </w:pPr>
            <w:r>
              <w:rPr>
                <w:rFonts w:hint="eastAsia"/>
                <w:b/>
                <w:bCs/>
              </w:rPr>
              <w:t>照明系统</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6.1</w:t>
            </w:r>
          </w:p>
        </w:tc>
        <w:tc>
          <w:tcPr>
            <w:tcW w:w="7414" w:type="dxa"/>
            <w:noWrap w:val="0"/>
            <w:vAlign w:val="top"/>
          </w:tcPr>
          <w:p>
            <w:pPr>
              <w:rPr>
                <w:rFonts w:hint="eastAsia"/>
              </w:rPr>
            </w:pPr>
            <w:r>
              <w:rPr>
                <w:rFonts w:hint="eastAsia"/>
              </w:rPr>
              <w:t>光源：LED，三年光衰≤15%、色温≥3000-6000K。发光角度≥120°，无炫光。</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6.2</w:t>
            </w:r>
          </w:p>
        </w:tc>
        <w:tc>
          <w:tcPr>
            <w:tcW w:w="7414" w:type="dxa"/>
            <w:noWrap w:val="0"/>
            <w:vAlign w:val="top"/>
          </w:tcPr>
          <w:p>
            <w:pPr>
              <w:rPr>
                <w:rFonts w:hint="eastAsia"/>
              </w:rPr>
            </w:pPr>
            <w:r>
              <w:rPr>
                <w:rFonts w:hint="eastAsia"/>
              </w:rPr>
              <w:t>灯体：材质铝，导热系数高散热性能好，表面氧化处理耐腐蚀，防水设计。</w:t>
            </w:r>
          </w:p>
        </w:tc>
      </w:tr>
      <w:tr>
        <w:tblPrEx>
          <w:tblW w:w="0" w:type="auto"/>
          <w:jc w:val="center"/>
          <w:tblLayout w:type="fixed"/>
          <w:tblCellMar>
            <w:top w:w="0" w:type="dxa"/>
            <w:left w:w="108" w:type="dxa"/>
            <w:bottom w:w="0" w:type="dxa"/>
            <w:right w:w="108" w:type="dxa"/>
          </w:tblCellMar>
        </w:tblPrEx>
        <w:trPr>
          <w:trHeight w:val="340"/>
          <w:jc w:val="center"/>
        </w:trPr>
        <w:tc>
          <w:tcPr>
            <w:tcW w:w="1090" w:type="dxa"/>
            <w:noWrap w:val="0"/>
            <w:vAlign w:val="center"/>
          </w:tcPr>
          <w:p>
            <w:pPr>
              <w:jc w:val="center"/>
              <w:rPr>
                <w:rFonts w:hint="eastAsia"/>
              </w:rPr>
            </w:pPr>
            <w:r>
              <w:rPr>
                <w:rFonts w:hint="eastAsia"/>
              </w:rPr>
              <w:t>6.3</w:t>
            </w:r>
          </w:p>
        </w:tc>
        <w:tc>
          <w:tcPr>
            <w:tcW w:w="7414" w:type="dxa"/>
            <w:noWrap w:val="0"/>
            <w:vAlign w:val="top"/>
          </w:tcPr>
          <w:p>
            <w:pPr>
              <w:rPr>
                <w:rFonts w:hint="eastAsia"/>
              </w:rPr>
            </w:pPr>
            <w:r>
              <w:rPr>
                <w:rFonts w:hint="eastAsia"/>
              </w:rPr>
              <w:t>三防等级：≥IP65。</w:t>
            </w:r>
          </w:p>
        </w:tc>
      </w:tr>
    </w:tbl>
    <w:p>
      <w:pPr>
        <w:rPr>
          <w:rFonts w:ascii="宋体" w:eastAsia="宋体" w:hAnsi="宋体" w:cs="宋体" w:hint="eastAsia"/>
          <w:sz w:val="21"/>
          <w:szCs w:val="21"/>
        </w:rPr>
      </w:pPr>
      <w:r>
        <w:rPr>
          <w:rFonts w:ascii="宋体" w:eastAsia="宋体" w:hAnsi="宋体" w:cs="宋体" w:hint="eastAsia"/>
          <w:sz w:val="21"/>
          <w:szCs w:val="21"/>
        </w:rPr>
        <w:br w:type="page"/>
      </w:r>
    </w:p>
    <w:p>
      <w:pPr>
        <w:pStyle w:val="Heading2"/>
        <w:spacing w:before="120" w:beforeLines="50" w:after="120" w:afterLines="50"/>
        <w:rPr>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spacing w:line="360" w:lineRule="auto"/>
        <w:ind w:firstLine="420" w:firstLineChars="200"/>
        <w:rPr>
          <w:rFonts w:hint="eastAsia"/>
        </w:rPr>
      </w:pP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”指标项为重要参数，负偏离时依相关评分准则内容作重点扣分处理。</w:t>
      </w:r>
    </w:p>
    <w:tbl>
      <w:tblPr>
        <w:tblStyle w:val="TableNormal"/>
        <w:tblW w:w="8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6"/>
        <w:gridCol w:w="700"/>
        <w:gridCol w:w="7283"/>
      </w:tblGrid>
      <w:tr>
        <w:tblPrEx>
          <w:tblW w:w="8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9"/>
          <w:jc w:val="center"/>
        </w:trPr>
        <w:tc>
          <w:tcPr>
            <w:tcW w:w="636" w:type="dxa"/>
            <w:noWrap w:val="0"/>
            <w:vAlign w:val="center"/>
          </w:tcPr>
          <w:p>
            <w:pPr>
              <w:jc w:val="center"/>
              <w:rPr>
                <w:rFonts w:ascii="宋体" w:hAnsi="宋体" w:cs="宋体" w:hint="eastAsia"/>
                <w:color w:val="auto"/>
                <w:szCs w:val="21"/>
              </w:rPr>
            </w:pPr>
            <w:r>
              <w:rPr>
                <w:rFonts w:ascii="宋体" w:hAnsi="宋体" w:cs="宋体" w:hint="eastAsia"/>
                <w:color w:val="auto"/>
                <w:szCs w:val="21"/>
              </w:rPr>
              <w:t>序号</w:t>
            </w:r>
          </w:p>
        </w:tc>
        <w:tc>
          <w:tcPr>
            <w:tcW w:w="700" w:type="dxa"/>
            <w:noWrap w:val="0"/>
            <w:vAlign w:val="center"/>
          </w:tcPr>
          <w:p>
            <w:pPr>
              <w:jc w:val="center"/>
              <w:rPr>
                <w:rFonts w:ascii="宋体" w:hAnsi="宋体" w:cs="宋体" w:hint="eastAsia"/>
                <w:color w:val="auto"/>
                <w:szCs w:val="21"/>
              </w:rPr>
            </w:pPr>
            <w:r>
              <w:rPr>
                <w:rFonts w:ascii="宋体" w:hAnsi="宋体" w:cs="宋体" w:hint="eastAsia"/>
                <w:color w:val="auto"/>
                <w:szCs w:val="21"/>
              </w:rPr>
              <w:t>目录</w:t>
            </w:r>
          </w:p>
        </w:tc>
        <w:tc>
          <w:tcPr>
            <w:tcW w:w="7283" w:type="dxa"/>
            <w:noWrap w:val="0"/>
            <w:vAlign w:val="center"/>
          </w:tcPr>
          <w:p>
            <w:pPr>
              <w:jc w:val="center"/>
              <w:rPr>
                <w:rFonts w:ascii="宋体" w:hAnsi="宋体" w:cs="宋体" w:hint="eastAsia"/>
                <w:color w:val="auto"/>
                <w:szCs w:val="21"/>
              </w:rPr>
            </w:pPr>
            <w:r>
              <w:rPr>
                <w:rFonts w:ascii="宋体" w:hAnsi="宋体" w:cs="宋体" w:hint="eastAsia"/>
                <w:color w:val="auto"/>
                <w:szCs w:val="21"/>
              </w:rPr>
              <w:t>商务要求</w:t>
            </w:r>
          </w:p>
        </w:tc>
      </w:tr>
      <w:tr>
        <w:tblPrEx>
          <w:tblW w:w="8619" w:type="dxa"/>
          <w:jc w:val="center"/>
          <w:tblLayout w:type="fixed"/>
          <w:tblCellMar>
            <w:top w:w="0" w:type="dxa"/>
            <w:left w:w="108" w:type="dxa"/>
            <w:bottom w:w="0" w:type="dxa"/>
            <w:right w:w="108" w:type="dxa"/>
          </w:tblCellMar>
        </w:tblPrEx>
        <w:trPr>
          <w:trHeight w:val="449"/>
          <w:jc w:val="center"/>
        </w:trPr>
        <w:tc>
          <w:tcPr>
            <w:tcW w:w="8619" w:type="dxa"/>
            <w:gridSpan w:val="3"/>
            <w:noWrap w:val="0"/>
            <w:vAlign w:val="center"/>
          </w:tcPr>
          <w:p>
            <w:pPr>
              <w:rPr>
                <w:rFonts w:ascii="宋体" w:hAnsi="宋体" w:cs="宋体" w:hint="eastAsia"/>
                <w:b/>
                <w:color w:val="auto"/>
                <w:szCs w:val="21"/>
              </w:rPr>
            </w:pPr>
            <w:r>
              <w:rPr>
                <w:rFonts w:ascii="宋体" w:hAnsi="宋体" w:cs="宋体" w:hint="eastAsia"/>
                <w:b/>
                <w:color w:val="auto"/>
                <w:szCs w:val="21"/>
              </w:rPr>
              <w:t>（一）免费保修期内售后服务要求</w:t>
            </w:r>
          </w:p>
        </w:tc>
      </w:tr>
      <w:tr>
        <w:tblPrEx>
          <w:tblW w:w="8619" w:type="dxa"/>
          <w:jc w:val="center"/>
          <w:tblLayout w:type="fixed"/>
          <w:tblCellMar>
            <w:top w:w="0" w:type="dxa"/>
            <w:left w:w="108" w:type="dxa"/>
            <w:bottom w:w="0" w:type="dxa"/>
            <w:right w:w="108" w:type="dxa"/>
          </w:tblCellMar>
        </w:tblPrEx>
        <w:trPr>
          <w:trHeight w:val="1062"/>
          <w:jc w:val="center"/>
        </w:trPr>
        <w:tc>
          <w:tcPr>
            <w:tcW w:w="636" w:type="dxa"/>
            <w:vMerge w:val="restart"/>
            <w:noWrap w:val="0"/>
            <w:vAlign w:val="center"/>
          </w:tcPr>
          <w:p>
            <w:pPr>
              <w:jc w:val="center"/>
              <w:rPr>
                <w:rFonts w:ascii="宋体" w:hAnsi="宋体" w:cs="宋体" w:hint="eastAsia"/>
                <w:b/>
                <w:color w:val="auto"/>
                <w:szCs w:val="21"/>
              </w:rPr>
            </w:pPr>
            <w:r>
              <w:rPr>
                <w:rFonts w:ascii="宋体" w:hAnsi="宋体" w:cs="宋体" w:hint="eastAsia"/>
                <w:b/>
                <w:color w:val="auto"/>
                <w:szCs w:val="21"/>
              </w:rPr>
              <w:t>1</w:t>
            </w:r>
          </w:p>
        </w:tc>
        <w:tc>
          <w:tcPr>
            <w:tcW w:w="700" w:type="dxa"/>
            <w:vMerge w:val="restart"/>
            <w:noWrap w:val="0"/>
            <w:vAlign w:val="center"/>
          </w:tcPr>
          <w:p>
            <w:pPr>
              <w:jc w:val="center"/>
              <w:rPr>
                <w:rFonts w:ascii="宋体" w:hAnsi="宋体" w:cs="宋体" w:hint="eastAsia"/>
                <w:color w:val="auto"/>
                <w:szCs w:val="21"/>
              </w:rPr>
            </w:pPr>
            <w:r>
              <w:rPr>
                <w:rFonts w:ascii="宋体" w:hAnsi="宋体" w:cs="宋体" w:hint="eastAsia"/>
                <w:b/>
                <w:color w:val="auto"/>
                <w:kern w:val="0"/>
                <w:szCs w:val="21"/>
              </w:rPr>
              <w:t>维修及维护服务</w:t>
            </w:r>
          </w:p>
        </w:tc>
        <w:tc>
          <w:tcPr>
            <w:tcW w:w="7283" w:type="dxa"/>
            <w:noWrap w:val="0"/>
            <w:vAlign w:val="top"/>
          </w:tcPr>
          <w:p>
            <w:pPr>
              <w:spacing w:line="320" w:lineRule="exact"/>
              <w:rPr>
                <w:rFonts w:ascii="宋体" w:eastAsia="宋体" w:hAnsi="宋体" w:cs="Times New Roman" w:hint="eastAsia"/>
                <w:b/>
                <w:bCs w:val="0"/>
                <w:kern w:val="2"/>
                <w:sz w:val="21"/>
                <w:szCs w:val="21"/>
                <w:lang w:val="en-US" w:eastAsia="zh-CN" w:bidi="ar-SA"/>
              </w:rPr>
            </w:pPr>
            <w:r>
              <w:rPr>
                <w:rFonts w:ascii="宋体" w:hAnsi="宋体" w:cs="宋体" w:hint="eastAsia"/>
                <w:b/>
                <w:bCs w:val="0"/>
                <w:szCs w:val="21"/>
              </w:rPr>
              <w:t>★</w:t>
            </w:r>
            <w:r>
              <w:rPr>
                <w:rFonts w:ascii="宋体" w:hAnsi="宋体"/>
                <w:b/>
                <w:bCs w:val="0"/>
                <w:kern w:val="0"/>
                <w:szCs w:val="21"/>
              </w:rPr>
              <w:t>1.1</w:t>
            </w:r>
            <w:r>
              <w:rPr>
                <w:rFonts w:ascii="宋体" w:hAnsi="宋体" w:hint="eastAsia"/>
                <w:b/>
                <w:bCs w:val="0"/>
                <w:kern w:val="0"/>
                <w:szCs w:val="21"/>
              </w:rPr>
              <w:t>各投标人应在投标文件中列明各主机、配件和易耗品的保修期限，并承诺提供主机及配件免费保修期≥</w:t>
            </w:r>
            <w:r>
              <w:rPr>
                <w:rFonts w:ascii="宋体" w:hAnsi="宋体" w:hint="eastAsia"/>
                <w:b/>
                <w:bCs w:val="0"/>
                <w:kern w:val="0"/>
                <w:szCs w:val="21"/>
                <w:u w:val="single"/>
              </w:rPr>
              <w:t xml:space="preserve">  1  </w:t>
            </w:r>
            <w:r>
              <w:rPr>
                <w:rFonts w:ascii="宋体" w:hAnsi="宋体" w:hint="eastAsia"/>
                <w:b/>
                <w:bCs w:val="0"/>
                <w:kern w:val="0"/>
                <w:szCs w:val="21"/>
              </w:rPr>
              <w:t>年，</w:t>
            </w:r>
            <w:r>
              <w:rPr>
                <w:rFonts w:ascii="Times New Roman" w:hAnsi="Times New Roman" w:hint="eastAsia"/>
                <w:b/>
                <w:bCs w:val="0"/>
              </w:rPr>
              <w:t>保修期以验收合格，双方代表签署“性能验收报告”之日起计算。</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kern w:val="0"/>
                <w:szCs w:val="21"/>
              </w:rPr>
            </w:pPr>
          </w:p>
        </w:tc>
        <w:tc>
          <w:tcPr>
            <w:tcW w:w="7283" w:type="dxa"/>
            <w:noWrap w:val="0"/>
            <w:vAlign w:val="top"/>
          </w:tcPr>
          <w:p>
            <w:pPr>
              <w:spacing w:line="320" w:lineRule="exact"/>
              <w:rPr>
                <w:rFonts w:ascii="宋体" w:eastAsia="宋体" w:hAnsi="宋体" w:cs="Times New Roman" w:hint="eastAsia"/>
                <w:bCs/>
                <w:kern w:val="2"/>
                <w:sz w:val="21"/>
                <w:szCs w:val="21"/>
                <w:lang w:val="en-US" w:eastAsia="zh-CN" w:bidi="ar-SA"/>
              </w:rPr>
            </w:pPr>
            <w:r>
              <w:rPr>
                <w:rFonts w:ascii="宋体" w:hAnsi="宋体"/>
                <w:kern w:val="0"/>
                <w:szCs w:val="21"/>
              </w:rPr>
              <w:t>1.2</w:t>
            </w:r>
            <w:r>
              <w:rPr>
                <w:rFonts w:ascii="宋体" w:hAnsi="宋体" w:hint="eastAsia"/>
                <w:kern w:val="0"/>
                <w:szCs w:val="21"/>
              </w:rPr>
              <w:t>由生产厂家提供售后服务，</w:t>
            </w:r>
            <w:r>
              <w:rPr>
                <w:rFonts w:ascii="宋体" w:hAnsi="宋体" w:hint="eastAsia"/>
                <w:kern w:val="0"/>
                <w:szCs w:val="21"/>
                <w:u w:val="single"/>
              </w:rPr>
              <w:t xml:space="preserve">  2  </w:t>
            </w:r>
            <w:r>
              <w:rPr>
                <w:rFonts w:ascii="宋体" w:hAnsi="宋体" w:hint="eastAsia"/>
                <w:kern w:val="0"/>
                <w:szCs w:val="21"/>
              </w:rPr>
              <w:t>小时内响应，</w:t>
            </w:r>
            <w:r>
              <w:rPr>
                <w:rFonts w:ascii="宋体" w:hAnsi="宋体" w:hint="eastAsia"/>
                <w:kern w:val="0"/>
                <w:szCs w:val="21"/>
                <w:u w:val="single"/>
              </w:rPr>
              <w:t xml:space="preserve">  24  </w:t>
            </w:r>
            <w:r>
              <w:rPr>
                <w:rFonts w:ascii="宋体" w:hAnsi="宋体" w:hint="eastAsia"/>
                <w:kern w:val="0"/>
                <w:szCs w:val="21"/>
              </w:rPr>
              <w:t>小时维修到位。消耗品和零配件供应及时，特殊情况下可提供备用机。</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kern w:val="0"/>
                <w:szCs w:val="21"/>
              </w:rPr>
            </w:pPr>
          </w:p>
        </w:tc>
        <w:tc>
          <w:tcPr>
            <w:tcW w:w="7283" w:type="dxa"/>
            <w:noWrap w:val="0"/>
            <w:vAlign w:val="top"/>
          </w:tcPr>
          <w:p>
            <w:pPr>
              <w:spacing w:line="320" w:lineRule="exact"/>
              <w:rPr>
                <w:rFonts w:ascii="宋体" w:eastAsia="宋体" w:hAnsi="宋体" w:cs="Times New Roman" w:hint="eastAsia"/>
                <w:kern w:val="0"/>
                <w:sz w:val="21"/>
                <w:szCs w:val="21"/>
                <w:lang w:val="en-US" w:eastAsia="zh-CN" w:bidi="ar-SA"/>
              </w:rPr>
            </w:pPr>
            <w:r>
              <w:rPr>
                <w:rFonts w:ascii="宋体" w:hAnsi="宋体" w:hint="eastAsia"/>
                <w:kern w:val="0"/>
                <w:szCs w:val="21"/>
              </w:rPr>
              <w:t>1.3保修期内，生产厂家每年最少提供</w:t>
            </w:r>
            <w:r>
              <w:rPr>
                <w:rFonts w:ascii="宋体" w:hAnsi="宋体" w:hint="eastAsia"/>
                <w:bCs/>
                <w:kern w:val="0"/>
                <w:szCs w:val="21"/>
                <w:u w:val="single"/>
              </w:rPr>
              <w:t xml:space="preserve">  1  </w:t>
            </w:r>
            <w:r>
              <w:rPr>
                <w:rFonts w:ascii="宋体" w:hAnsi="宋体" w:hint="eastAsia"/>
                <w:kern w:val="0"/>
                <w:szCs w:val="21"/>
              </w:rPr>
              <w:t>次免费保养，执行QA，按照厂家标准进行调校，以及对数据库或软件等进行清理和备份，确认各项技术指标及性能，保养中需更换的损耗品由生产厂家免费提供。</w:t>
            </w:r>
          </w:p>
        </w:tc>
      </w:tr>
      <w:tr>
        <w:tblPrEx>
          <w:tblW w:w="8619" w:type="dxa"/>
          <w:jc w:val="center"/>
          <w:tblLayout w:type="fixed"/>
          <w:tblCellMar>
            <w:top w:w="0" w:type="dxa"/>
            <w:left w:w="108" w:type="dxa"/>
            <w:bottom w:w="0" w:type="dxa"/>
            <w:right w:w="108" w:type="dxa"/>
          </w:tblCellMar>
        </w:tblPrEx>
        <w:trPr>
          <w:trHeight w:val="536"/>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kern w:val="0"/>
                <w:szCs w:val="21"/>
              </w:rPr>
            </w:pPr>
          </w:p>
        </w:tc>
        <w:tc>
          <w:tcPr>
            <w:tcW w:w="7283" w:type="dxa"/>
            <w:noWrap w:val="0"/>
            <w:vAlign w:val="top"/>
          </w:tcPr>
          <w:p>
            <w:pPr>
              <w:spacing w:line="320" w:lineRule="exact"/>
              <w:rPr>
                <w:rFonts w:ascii="宋体" w:eastAsia="宋体" w:hAnsi="宋体" w:cs="Times New Roman" w:hint="eastAsia"/>
                <w:bCs/>
                <w:kern w:val="2"/>
                <w:sz w:val="21"/>
                <w:szCs w:val="21"/>
                <w:lang w:val="en-US" w:eastAsia="zh-CN" w:bidi="ar-SA"/>
              </w:rPr>
            </w:pPr>
            <w:r>
              <w:rPr>
                <w:rFonts w:ascii="宋体" w:hAnsi="宋体"/>
                <w:kern w:val="0"/>
                <w:szCs w:val="21"/>
              </w:rPr>
              <w:t>1.</w:t>
            </w:r>
            <w:r>
              <w:rPr>
                <w:rFonts w:ascii="宋体" w:hAnsi="宋体" w:hint="eastAsia"/>
                <w:kern w:val="0"/>
                <w:szCs w:val="21"/>
              </w:rPr>
              <w:t>4保修期内，设备主机及配件免费维修、免费更换、免工时费，并免费提供软件升级。</w:t>
            </w:r>
          </w:p>
        </w:tc>
      </w:tr>
      <w:tr>
        <w:tblPrEx>
          <w:tblW w:w="8619" w:type="dxa"/>
          <w:jc w:val="center"/>
          <w:tblLayout w:type="fixed"/>
          <w:tblCellMar>
            <w:top w:w="0" w:type="dxa"/>
            <w:left w:w="108" w:type="dxa"/>
            <w:bottom w:w="0" w:type="dxa"/>
            <w:right w:w="108" w:type="dxa"/>
          </w:tblCellMar>
        </w:tblPrEx>
        <w:trPr>
          <w:trHeight w:val="735"/>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kern w:val="0"/>
                <w:szCs w:val="21"/>
              </w:rPr>
            </w:pPr>
          </w:p>
        </w:tc>
        <w:tc>
          <w:tcPr>
            <w:tcW w:w="7283" w:type="dxa"/>
            <w:noWrap w:val="0"/>
            <w:vAlign w:val="top"/>
          </w:tcPr>
          <w:p>
            <w:pPr>
              <w:spacing w:line="320" w:lineRule="exact"/>
              <w:rPr>
                <w:rFonts w:ascii="宋体" w:eastAsia="宋体" w:hAnsi="宋体" w:cs="Times New Roman" w:hint="eastAsia"/>
                <w:kern w:val="0"/>
                <w:sz w:val="21"/>
                <w:szCs w:val="21"/>
                <w:lang w:val="en-US" w:eastAsia="zh-CN" w:bidi="ar-SA"/>
              </w:rPr>
            </w:pPr>
            <w:r>
              <w:rPr>
                <w:rFonts w:ascii="宋体" w:hAnsi="宋体" w:hint="eastAsia"/>
                <w:bCs/>
                <w:kern w:val="0"/>
                <w:szCs w:val="21"/>
              </w:rPr>
              <w:t>1.5保修期内，由</w:t>
            </w:r>
            <w:r>
              <w:rPr>
                <w:rFonts w:ascii="宋体" w:hAnsi="宋体" w:hint="eastAsia"/>
                <w:kern w:val="0"/>
                <w:szCs w:val="21"/>
              </w:rPr>
              <w:t>投标人</w:t>
            </w:r>
            <w:r>
              <w:rPr>
                <w:rFonts w:ascii="宋体" w:hAnsi="宋体" w:hint="eastAsia"/>
                <w:bCs/>
                <w:kern w:val="0"/>
                <w:szCs w:val="21"/>
              </w:rPr>
              <w:t>免费提供该设备与医院PACS、HIS的数据接口服务，次数不限。</w:t>
            </w:r>
          </w:p>
        </w:tc>
      </w:tr>
      <w:tr>
        <w:tblPrEx>
          <w:tblW w:w="8619" w:type="dxa"/>
          <w:jc w:val="center"/>
          <w:tblLayout w:type="fixed"/>
          <w:tblCellMar>
            <w:top w:w="0" w:type="dxa"/>
            <w:left w:w="108" w:type="dxa"/>
            <w:bottom w:w="0" w:type="dxa"/>
            <w:right w:w="108" w:type="dxa"/>
          </w:tblCellMar>
        </w:tblPrEx>
        <w:trPr>
          <w:trHeight w:val="1589"/>
          <w:jc w:val="center"/>
        </w:trPr>
        <w:tc>
          <w:tcPr>
            <w:tcW w:w="636" w:type="dxa"/>
            <w:noWrap w:val="0"/>
            <w:vAlign w:val="center"/>
          </w:tcPr>
          <w:p>
            <w:pPr>
              <w:jc w:val="center"/>
              <w:rPr>
                <w:rFonts w:ascii="宋体" w:hAnsi="宋体" w:cs="宋体" w:hint="eastAsia"/>
                <w:b/>
                <w:color w:val="auto"/>
                <w:szCs w:val="21"/>
              </w:rPr>
            </w:pPr>
            <w:r>
              <w:rPr>
                <w:rFonts w:ascii="宋体" w:hAnsi="宋体" w:cs="宋体" w:hint="eastAsia"/>
                <w:b/>
                <w:color w:val="auto"/>
                <w:szCs w:val="21"/>
              </w:rPr>
              <w:t>2</w:t>
            </w:r>
          </w:p>
        </w:tc>
        <w:tc>
          <w:tcPr>
            <w:tcW w:w="700" w:type="dxa"/>
            <w:noWrap w:val="0"/>
            <w:vAlign w:val="center"/>
          </w:tcPr>
          <w:p>
            <w:pPr>
              <w:jc w:val="center"/>
              <w:rPr>
                <w:rFonts w:ascii="宋体" w:hAnsi="宋体" w:cs="宋体" w:hint="eastAsia"/>
                <w:color w:val="auto"/>
                <w:szCs w:val="21"/>
              </w:rPr>
            </w:pPr>
            <w:r>
              <w:rPr>
                <w:rFonts w:ascii="宋体" w:hAnsi="宋体" w:cs="宋体" w:hint="eastAsia"/>
                <w:b/>
                <w:color w:val="auto"/>
                <w:kern w:val="0"/>
                <w:szCs w:val="21"/>
              </w:rPr>
              <w:t>质量保证</w:t>
            </w:r>
          </w:p>
        </w:tc>
        <w:tc>
          <w:tcPr>
            <w:tcW w:w="7283" w:type="dxa"/>
            <w:noWrap w:val="0"/>
            <w:vAlign w:val="center"/>
          </w:tcPr>
          <w:p>
            <w:pPr>
              <w:rPr>
                <w:rFonts w:ascii="宋体" w:hAnsi="宋体" w:cs="宋体" w:hint="eastAsia"/>
                <w:color w:val="auto"/>
                <w:kern w:val="0"/>
                <w:szCs w:val="21"/>
              </w:rPr>
            </w:pPr>
            <w:r>
              <w:rPr>
                <w:rFonts w:ascii="宋体" w:hAnsi="宋体" w:hint="eastAsia"/>
                <w:kern w:val="0"/>
                <w:szCs w:val="21"/>
              </w:rPr>
              <w:t>2.1在保修期内，投标人保证设备的年开机率＞95%；若不能达到此开机率，将作以下处理：</w:t>
            </w:r>
            <w:r>
              <w:rPr>
                <w:rFonts w:ascii="宋体" w:eastAsia="宋体" w:hAnsi="宋体" w:cs="宋体" w:hint="eastAsia"/>
                <w:bCs/>
                <w:color w:val="auto"/>
                <w:kern w:val="0"/>
                <w:sz w:val="21"/>
                <w:szCs w:val="21"/>
              </w:rPr>
              <w:t>（1）开机率在90%≤开机率≤95%之间按一赔二延长保修期；（2）开机率在85%≤开机率＜90%之间按一赔五延长保修期；</w:t>
            </w:r>
            <w:r>
              <w:rPr>
                <w:rFonts w:ascii="宋体" w:hAnsi="宋体" w:hint="eastAsia"/>
                <w:kern w:val="0"/>
                <w:szCs w:val="21"/>
              </w:rPr>
              <w:t>（3）开机率低于85%，供应商应无条件更换新机，并重新计算保修期，以及赔偿用户的直接经济损失和间接经济损失。注：年开机率=(365-停机天数)/365。</w:t>
            </w:r>
          </w:p>
        </w:tc>
      </w:tr>
      <w:tr>
        <w:tblPrEx>
          <w:tblW w:w="8619" w:type="dxa"/>
          <w:jc w:val="center"/>
          <w:tblLayout w:type="fixed"/>
          <w:tblCellMar>
            <w:top w:w="0" w:type="dxa"/>
            <w:left w:w="108" w:type="dxa"/>
            <w:bottom w:w="0" w:type="dxa"/>
            <w:right w:w="108" w:type="dxa"/>
          </w:tblCellMar>
        </w:tblPrEx>
        <w:trPr>
          <w:trHeight w:val="449"/>
          <w:jc w:val="center"/>
        </w:trPr>
        <w:tc>
          <w:tcPr>
            <w:tcW w:w="8619" w:type="dxa"/>
            <w:gridSpan w:val="3"/>
            <w:noWrap w:val="0"/>
            <w:vAlign w:val="center"/>
          </w:tcPr>
          <w:p>
            <w:pPr>
              <w:rPr>
                <w:rFonts w:ascii="宋体" w:hAnsi="宋体" w:cs="宋体" w:hint="eastAsia"/>
                <w:b/>
                <w:color w:val="auto"/>
                <w:szCs w:val="21"/>
              </w:rPr>
            </w:pPr>
            <w:r>
              <w:rPr>
                <w:rFonts w:ascii="宋体" w:hAnsi="宋体" w:cs="宋体" w:hint="eastAsia"/>
                <w:b/>
                <w:color w:val="auto"/>
                <w:szCs w:val="21"/>
              </w:rPr>
              <w:t>（二）免费保修期外售后服务要求</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val="restart"/>
            <w:noWrap w:val="0"/>
            <w:vAlign w:val="center"/>
          </w:tcPr>
          <w:p>
            <w:pPr>
              <w:jc w:val="center"/>
              <w:rPr>
                <w:rFonts w:ascii="宋体" w:hAnsi="宋体" w:cs="宋体" w:hint="eastAsia"/>
                <w:b/>
                <w:color w:val="auto"/>
                <w:szCs w:val="21"/>
              </w:rPr>
            </w:pPr>
            <w:r>
              <w:rPr>
                <w:rFonts w:ascii="宋体" w:hAnsi="宋体" w:cs="宋体" w:hint="eastAsia"/>
                <w:b/>
                <w:color w:val="auto"/>
                <w:szCs w:val="21"/>
              </w:rPr>
              <w:t>1</w:t>
            </w:r>
          </w:p>
        </w:tc>
        <w:tc>
          <w:tcPr>
            <w:tcW w:w="700" w:type="dxa"/>
            <w:vMerge w:val="restart"/>
            <w:noWrap w:val="0"/>
            <w:vAlign w:val="center"/>
          </w:tcPr>
          <w:p>
            <w:pPr>
              <w:jc w:val="center"/>
              <w:rPr>
                <w:rFonts w:ascii="宋体" w:hAnsi="宋体" w:cs="宋体" w:hint="eastAsia"/>
                <w:b/>
                <w:color w:val="auto"/>
                <w:szCs w:val="21"/>
              </w:rPr>
            </w:pPr>
            <w:r>
              <w:rPr>
                <w:rFonts w:ascii="宋体" w:hAnsi="宋体" w:cs="宋体" w:hint="eastAsia"/>
                <w:b/>
                <w:color w:val="auto"/>
                <w:kern w:val="0"/>
                <w:szCs w:val="21"/>
              </w:rPr>
              <w:t>维修服务和优惠价格</w:t>
            </w:r>
          </w:p>
        </w:tc>
        <w:tc>
          <w:tcPr>
            <w:tcW w:w="7283" w:type="dxa"/>
            <w:noWrap w:val="0"/>
            <w:vAlign w:val="top"/>
          </w:tcPr>
          <w:p>
            <w:pPr>
              <w:spacing w:line="320" w:lineRule="exact"/>
              <w:rPr>
                <w:rFonts w:ascii="宋体" w:eastAsia="宋体" w:hAnsi="宋体" w:cs="Times New Roman" w:hint="eastAsia"/>
                <w:kern w:val="0"/>
                <w:sz w:val="21"/>
                <w:szCs w:val="21"/>
                <w:lang w:val="en-US" w:eastAsia="zh-CN" w:bidi="ar-SA"/>
              </w:rPr>
            </w:pPr>
            <w:r>
              <w:rPr>
                <w:rFonts w:hint="eastAsia"/>
              </w:rPr>
              <w:t>1.1由生产厂家提供售后服务，</w:t>
            </w:r>
            <w:r>
              <w:rPr>
                <w:rFonts w:ascii="宋体" w:hAnsi="宋体" w:hint="eastAsia"/>
                <w:kern w:val="0"/>
                <w:szCs w:val="21"/>
                <w:u w:val="single"/>
              </w:rPr>
              <w:t xml:space="preserve">  2  </w:t>
            </w:r>
            <w:r>
              <w:rPr>
                <w:rFonts w:ascii="宋体" w:hAnsi="宋体" w:hint="eastAsia"/>
                <w:kern w:val="0"/>
                <w:szCs w:val="21"/>
              </w:rPr>
              <w:t>小时内响应，</w:t>
            </w:r>
            <w:r>
              <w:rPr>
                <w:rFonts w:ascii="宋体" w:hAnsi="宋体" w:hint="eastAsia"/>
                <w:kern w:val="0"/>
                <w:szCs w:val="21"/>
                <w:u w:val="single"/>
              </w:rPr>
              <w:t xml:space="preserve">  24  </w:t>
            </w:r>
            <w:r>
              <w:rPr>
                <w:rFonts w:ascii="宋体" w:hAnsi="宋体" w:hint="eastAsia"/>
                <w:kern w:val="0"/>
                <w:szCs w:val="21"/>
              </w:rPr>
              <w:t>小时维修到位。消耗品和零配件供应及时，特殊情况下可提供备用机。</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jc w:val="center"/>
              <w:rPr>
                <w:rFonts w:ascii="宋体" w:hAnsi="宋体" w:cs="宋体" w:hint="eastAsia"/>
                <w:b/>
                <w:color w:val="auto"/>
                <w:kern w:val="0"/>
                <w:szCs w:val="21"/>
              </w:rPr>
            </w:pPr>
          </w:p>
        </w:tc>
        <w:tc>
          <w:tcPr>
            <w:tcW w:w="7283"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1.2</w:t>
            </w:r>
            <w:r>
              <w:rPr>
                <w:rFonts w:ascii="宋体" w:hAnsi="宋体" w:hint="eastAsia"/>
                <w:color w:val="000000"/>
                <w:szCs w:val="21"/>
              </w:rPr>
              <w:t>终身维修，保修期满后，生产厂家对用户进行的售后服务只收更换部件的成本费，提供</w:t>
            </w:r>
            <w:r>
              <w:rPr>
                <w:rFonts w:ascii="宋体" w:hAnsi="宋体" w:hint="eastAsia"/>
                <w:kern w:val="0"/>
                <w:szCs w:val="21"/>
              </w:rPr>
              <w:t>维修零配件、消耗品</w:t>
            </w:r>
            <w:r>
              <w:rPr>
                <w:rFonts w:ascii="宋体" w:hAnsi="宋体" w:hint="eastAsia"/>
                <w:color w:val="000000"/>
                <w:szCs w:val="21"/>
              </w:rPr>
              <w:t>优惠价格。</w:t>
            </w:r>
          </w:p>
        </w:tc>
      </w:tr>
      <w:tr>
        <w:tblPrEx>
          <w:tblW w:w="8619" w:type="dxa"/>
          <w:jc w:val="center"/>
          <w:tblLayout w:type="fixed"/>
          <w:tblCellMar>
            <w:top w:w="0" w:type="dxa"/>
            <w:left w:w="108" w:type="dxa"/>
            <w:bottom w:w="0" w:type="dxa"/>
            <w:right w:w="108" w:type="dxa"/>
          </w:tblCellMar>
        </w:tblPrEx>
        <w:trPr>
          <w:trHeight w:val="449"/>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jc w:val="center"/>
              <w:rPr>
                <w:rFonts w:ascii="宋体" w:hAnsi="宋体" w:cs="宋体" w:hint="eastAsia"/>
                <w:b/>
                <w:color w:val="auto"/>
                <w:kern w:val="0"/>
                <w:szCs w:val="21"/>
              </w:rPr>
            </w:pPr>
          </w:p>
        </w:tc>
        <w:tc>
          <w:tcPr>
            <w:tcW w:w="7283"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1.3采购人可与投标人就优惠价进行谈判，但优惠价不得高于投标人在投标文件中承诺的</w:t>
            </w:r>
            <w:r>
              <w:rPr>
                <w:rFonts w:ascii="宋体" w:hAnsi="宋体" w:hint="eastAsia"/>
                <w:kern w:val="0"/>
                <w:szCs w:val="21"/>
              </w:rPr>
              <w:t>消耗品、零配件</w:t>
            </w:r>
            <w:r>
              <w:rPr>
                <w:rFonts w:hint="eastAsia"/>
              </w:rPr>
              <w:t>报价。</w:t>
            </w:r>
          </w:p>
        </w:tc>
      </w:tr>
      <w:tr>
        <w:tblPrEx>
          <w:tblW w:w="8619" w:type="dxa"/>
          <w:jc w:val="center"/>
          <w:tblLayout w:type="fixed"/>
          <w:tblCellMar>
            <w:top w:w="0" w:type="dxa"/>
            <w:left w:w="108" w:type="dxa"/>
            <w:bottom w:w="0" w:type="dxa"/>
            <w:right w:w="108" w:type="dxa"/>
          </w:tblCellMar>
        </w:tblPrEx>
        <w:trPr>
          <w:trHeight w:val="536"/>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jc w:val="center"/>
              <w:rPr>
                <w:rFonts w:ascii="宋体" w:hAnsi="宋体" w:cs="宋体" w:hint="eastAsia"/>
                <w:b/>
                <w:color w:val="auto"/>
                <w:kern w:val="0"/>
                <w:szCs w:val="21"/>
              </w:rPr>
            </w:pPr>
          </w:p>
        </w:tc>
        <w:tc>
          <w:tcPr>
            <w:tcW w:w="7283"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1.4生产厂家维修的货物经采购人验收合格，且厂家提供维修专用发票后，采购人支付维修费用。</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jc w:val="center"/>
              <w:rPr>
                <w:rFonts w:ascii="宋体" w:hAnsi="宋体" w:cs="宋体" w:hint="eastAsia"/>
                <w:b/>
                <w:color w:val="auto"/>
                <w:kern w:val="0"/>
                <w:szCs w:val="21"/>
              </w:rPr>
            </w:pPr>
          </w:p>
        </w:tc>
        <w:tc>
          <w:tcPr>
            <w:tcW w:w="7283"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1.5投标人及生产厂家不得以任何理由不按时进行维修，不得要求采购人购买所谓“保修服务”（即：不论设备有无故障，先买保修服务），不得在设备中嵌设任何不利于采购人使用与维修设备的障碍。</w:t>
            </w:r>
          </w:p>
        </w:tc>
      </w:tr>
      <w:tr>
        <w:tblPrEx>
          <w:tblW w:w="8619" w:type="dxa"/>
          <w:jc w:val="center"/>
          <w:tblLayout w:type="fixed"/>
          <w:tblCellMar>
            <w:top w:w="0" w:type="dxa"/>
            <w:left w:w="108" w:type="dxa"/>
            <w:bottom w:w="0" w:type="dxa"/>
            <w:right w:w="108" w:type="dxa"/>
          </w:tblCellMar>
        </w:tblPrEx>
        <w:trPr>
          <w:trHeight w:val="449"/>
          <w:jc w:val="center"/>
        </w:trPr>
        <w:tc>
          <w:tcPr>
            <w:tcW w:w="8619" w:type="dxa"/>
            <w:gridSpan w:val="3"/>
            <w:noWrap w:val="0"/>
            <w:vAlign w:val="center"/>
          </w:tcPr>
          <w:p>
            <w:pPr>
              <w:rPr>
                <w:rFonts w:ascii="宋体" w:hAnsi="宋体" w:cs="宋体" w:hint="eastAsia"/>
                <w:b/>
                <w:color w:val="auto"/>
                <w:szCs w:val="21"/>
              </w:rPr>
            </w:pPr>
            <w:r>
              <w:rPr>
                <w:rFonts w:ascii="宋体" w:hAnsi="宋体" w:cs="宋体" w:hint="eastAsia"/>
                <w:b/>
                <w:color w:val="auto"/>
                <w:szCs w:val="21"/>
              </w:rPr>
              <w:t>（三）其他商务要求</w:t>
            </w:r>
          </w:p>
        </w:tc>
      </w:tr>
      <w:tr>
        <w:tblPrEx>
          <w:tblW w:w="8619" w:type="dxa"/>
          <w:jc w:val="center"/>
          <w:tblLayout w:type="fixed"/>
          <w:tblCellMar>
            <w:top w:w="0" w:type="dxa"/>
            <w:left w:w="108" w:type="dxa"/>
            <w:bottom w:w="0" w:type="dxa"/>
            <w:right w:w="108" w:type="dxa"/>
          </w:tblCellMar>
        </w:tblPrEx>
        <w:trPr>
          <w:trHeight w:val="406"/>
          <w:jc w:val="center"/>
        </w:trPr>
        <w:tc>
          <w:tcPr>
            <w:tcW w:w="636" w:type="dxa"/>
            <w:vMerge w:val="restart"/>
            <w:noWrap w:val="0"/>
            <w:vAlign w:val="center"/>
          </w:tcPr>
          <w:p>
            <w:pPr>
              <w:jc w:val="center"/>
              <w:rPr>
                <w:rFonts w:ascii="宋体" w:hAnsi="宋体" w:cs="宋体" w:hint="eastAsia"/>
                <w:b/>
                <w:color w:val="auto"/>
                <w:szCs w:val="21"/>
              </w:rPr>
            </w:pPr>
            <w:r>
              <w:rPr>
                <w:rFonts w:ascii="宋体" w:hAnsi="宋体" w:cs="宋体" w:hint="eastAsia"/>
                <w:b/>
                <w:color w:val="auto"/>
                <w:szCs w:val="21"/>
              </w:rPr>
              <w:t>1</w:t>
            </w:r>
          </w:p>
        </w:tc>
        <w:tc>
          <w:tcPr>
            <w:tcW w:w="700" w:type="dxa"/>
            <w:vMerge w:val="restart"/>
            <w:noWrap w:val="0"/>
            <w:vAlign w:val="center"/>
          </w:tcPr>
          <w:p>
            <w:pPr>
              <w:jc w:val="center"/>
              <w:rPr>
                <w:rFonts w:ascii="宋体" w:hAnsi="宋体" w:cs="宋体" w:hint="eastAsia"/>
                <w:color w:val="auto"/>
                <w:szCs w:val="21"/>
              </w:rPr>
            </w:pPr>
            <w:r>
              <w:rPr>
                <w:rFonts w:ascii="宋体" w:hAnsi="宋体" w:cs="宋体" w:hint="eastAsia"/>
                <w:b/>
                <w:color w:val="auto"/>
                <w:szCs w:val="21"/>
              </w:rPr>
              <w:t>交货要求</w:t>
            </w:r>
          </w:p>
        </w:tc>
        <w:tc>
          <w:tcPr>
            <w:tcW w:w="7283" w:type="dxa"/>
            <w:noWrap w:val="0"/>
            <w:vAlign w:val="top"/>
          </w:tcPr>
          <w:p>
            <w:pPr>
              <w:spacing w:line="320" w:lineRule="atLeast"/>
              <w:rPr>
                <w:rFonts w:ascii="宋体" w:eastAsia="宋体" w:hAnsi="宋体" w:cs="宋体" w:hint="eastAsia"/>
                <w:b/>
                <w:kern w:val="2"/>
                <w:sz w:val="21"/>
                <w:szCs w:val="21"/>
                <w:lang w:val="en-US" w:eastAsia="zh-CN" w:bidi="ar-SA"/>
              </w:rPr>
            </w:pPr>
            <w:r>
              <w:rPr>
                <w:rFonts w:ascii="宋体" w:eastAsia="宋体" w:hAnsi="宋体" w:cs="宋体" w:hint="eastAsia"/>
                <w:b/>
                <w:bCs w:val="0"/>
                <w:szCs w:val="21"/>
              </w:rPr>
              <w:t>★1.1</w:t>
            </w:r>
            <w:r>
              <w:rPr>
                <w:rFonts w:ascii="宋体" w:eastAsia="宋体" w:hAnsi="宋体" w:cs="宋体" w:hint="eastAsia"/>
                <w:b/>
                <w:bCs w:val="0"/>
                <w:kern w:val="0"/>
                <w:szCs w:val="21"/>
              </w:rPr>
              <w:t>投标人在签订合同之日起</w:t>
            </w:r>
            <w:r>
              <w:rPr>
                <w:rFonts w:ascii="宋体" w:eastAsia="宋体" w:hAnsi="宋体" w:cs="宋体" w:hint="eastAsia"/>
                <w:b/>
                <w:bCs w:val="0"/>
                <w:kern w:val="0"/>
                <w:szCs w:val="21"/>
                <w:u w:val="single"/>
              </w:rPr>
              <w:t xml:space="preserve">  30  </w:t>
            </w:r>
            <w:r>
              <w:rPr>
                <w:rFonts w:ascii="宋体" w:eastAsia="宋体" w:hAnsi="宋体" w:cs="宋体" w:hint="eastAsia"/>
                <w:b/>
                <w:bCs w:val="0"/>
                <w:kern w:val="0"/>
                <w:szCs w:val="21"/>
              </w:rPr>
              <w:t>天（日历日）内交货。</w:t>
            </w:r>
          </w:p>
        </w:tc>
      </w:tr>
      <w:tr>
        <w:tblPrEx>
          <w:tblW w:w="8619" w:type="dxa"/>
          <w:jc w:val="center"/>
          <w:tblLayout w:type="fixed"/>
          <w:tblCellMar>
            <w:top w:w="0" w:type="dxa"/>
            <w:left w:w="108" w:type="dxa"/>
            <w:bottom w:w="0" w:type="dxa"/>
            <w:right w:w="108" w:type="dxa"/>
          </w:tblCellMar>
        </w:tblPrEx>
        <w:trPr>
          <w:trHeight w:val="1062"/>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jc w:val="center"/>
              <w:rPr>
                <w:rFonts w:ascii="宋体" w:hAnsi="宋体" w:cs="宋体" w:hint="eastAsia"/>
                <w:color w:val="auto"/>
                <w:szCs w:val="21"/>
              </w:rPr>
            </w:pP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1.2投标人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r>
      <w:tr>
        <w:tblPrEx>
          <w:tblW w:w="8619" w:type="dxa"/>
          <w:jc w:val="center"/>
          <w:tblLayout w:type="fixed"/>
          <w:tblCellMar>
            <w:top w:w="0" w:type="dxa"/>
            <w:left w:w="108" w:type="dxa"/>
            <w:bottom w:w="0" w:type="dxa"/>
            <w:right w:w="108" w:type="dxa"/>
          </w:tblCellMar>
        </w:tblPrEx>
        <w:trPr>
          <w:trHeight w:val="536"/>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jc w:val="center"/>
              <w:rPr>
                <w:rFonts w:ascii="宋体" w:hAnsi="宋体" w:cs="宋体" w:hint="eastAsia"/>
                <w:color w:val="auto"/>
                <w:szCs w:val="21"/>
              </w:rPr>
            </w:pP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1.3提供的货物必须为全新、经检验合格的产品。产品如需要计量检定的应提供相关计量检定部门出具的合法检定报告。其中，进口设备必须提供相关进口资料。</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val="restart"/>
            <w:noWrap w:val="0"/>
            <w:vAlign w:val="center"/>
          </w:tcPr>
          <w:p>
            <w:pPr>
              <w:jc w:val="center"/>
              <w:rPr>
                <w:rFonts w:ascii="宋体" w:hAnsi="宋体" w:cs="宋体" w:hint="eastAsia"/>
                <w:b/>
                <w:color w:val="auto"/>
                <w:szCs w:val="21"/>
              </w:rPr>
            </w:pPr>
            <w:r>
              <w:rPr>
                <w:rFonts w:ascii="宋体" w:hAnsi="宋体" w:cs="宋体" w:hint="eastAsia"/>
                <w:b/>
                <w:color w:val="auto"/>
                <w:szCs w:val="21"/>
              </w:rPr>
              <w:t>2</w:t>
            </w:r>
          </w:p>
        </w:tc>
        <w:tc>
          <w:tcPr>
            <w:tcW w:w="700" w:type="dxa"/>
            <w:vMerge w:val="restart"/>
            <w:noWrap w:val="0"/>
            <w:vAlign w:val="center"/>
          </w:tcPr>
          <w:p>
            <w:pPr>
              <w:jc w:val="center"/>
              <w:rPr>
                <w:rFonts w:ascii="宋体" w:hAnsi="宋体" w:cs="宋体" w:hint="eastAsia"/>
                <w:color w:val="auto"/>
                <w:szCs w:val="21"/>
              </w:rPr>
            </w:pPr>
            <w:r>
              <w:rPr>
                <w:rFonts w:ascii="宋体" w:hAnsi="宋体" w:cs="宋体" w:hint="eastAsia"/>
                <w:b/>
                <w:bCs/>
                <w:color w:val="auto"/>
                <w:kern w:val="0"/>
                <w:szCs w:val="21"/>
              </w:rPr>
              <w:t>运输、安装和验收</w:t>
            </w: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2.1投标人负责将货物安全无损运抵采购人指定地点，并承担设备的包装、运输、保险、装卸、安装调试、培训、商检及计量检测、关税、增值税和进口代理等费用。</w:t>
            </w:r>
          </w:p>
        </w:tc>
      </w:tr>
      <w:tr>
        <w:tblPrEx>
          <w:tblW w:w="8619" w:type="dxa"/>
          <w:jc w:val="center"/>
          <w:tblLayout w:type="fixed"/>
          <w:tblCellMar>
            <w:top w:w="0" w:type="dxa"/>
            <w:left w:w="108" w:type="dxa"/>
            <w:bottom w:w="0" w:type="dxa"/>
            <w:right w:w="108" w:type="dxa"/>
          </w:tblCellMar>
        </w:tblPrEx>
        <w:trPr>
          <w:trHeight w:val="1062"/>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szCs w:val="21"/>
              </w:rPr>
            </w:pP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2.2货物安装前厂家需派专业工程师到现场确认场地及安装环境是否符合该设备安装要求，在用户单位、中标人双方在场情况下开箱检验。在安装过程中若造成机器损坏，应由中标人负责修复，安装后保证产品质量。</w:t>
            </w:r>
          </w:p>
        </w:tc>
      </w:tr>
      <w:tr>
        <w:tblPrEx>
          <w:tblW w:w="8619" w:type="dxa"/>
          <w:jc w:val="center"/>
          <w:tblLayout w:type="fixed"/>
          <w:tblCellMar>
            <w:top w:w="0" w:type="dxa"/>
            <w:left w:w="108" w:type="dxa"/>
            <w:bottom w:w="0" w:type="dxa"/>
            <w:right w:w="108" w:type="dxa"/>
          </w:tblCellMar>
        </w:tblPrEx>
        <w:trPr>
          <w:trHeight w:val="1325"/>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szCs w:val="21"/>
              </w:rPr>
            </w:pP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2.3采购人有权检验或测试货物，以确认货物是否符合合同规格的要求，并且不承担额外的费用。如果发现所交货物与投标文件中所承诺的不符或存在质量、技术缺陷等，采购人可以拒绝接收该货物，投标人应在  30  天（日历日）内采取补足、更换或退货等措施，以满足规格的要求，由此发生的一切损失和费用由投标人承担。</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szCs w:val="21"/>
              </w:rPr>
            </w:pP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2.4供货时须确保产品外观清洁，标记编号以及盘面显示等字体清晰、明确，能够准确无误地表示产品的型号、规格、制造商等，并保证所提供的产品的可追溯性。</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szCs w:val="21"/>
              </w:rPr>
            </w:pP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2.5投标人负责货物的现场安装和调试，提供货物安装、调试和维修所需的专用工具和辅助材料。投标人应在货物运至指定地点后一周内开始安装调试，并在  15  天（日历日）内完成安装调试工作。</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rPr>
                <w:rFonts w:ascii="宋体" w:hAnsi="宋体" w:cs="宋体" w:hint="eastAsia"/>
                <w:b/>
                <w:color w:val="auto"/>
                <w:szCs w:val="21"/>
              </w:rPr>
            </w:pPr>
          </w:p>
        </w:tc>
        <w:tc>
          <w:tcPr>
            <w:tcW w:w="7283"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2.6由投标人代表、厂家代表和采购人组成验收小组对产品进行验收。验收标准按照产品技术参数要求和合同约定执行。经检验设备正常运作后签署性能验收报告，产品保修期自性能验收合格之日起算。</w:t>
            </w:r>
          </w:p>
        </w:tc>
      </w:tr>
      <w:tr>
        <w:tblPrEx>
          <w:tblW w:w="8619" w:type="dxa"/>
          <w:jc w:val="center"/>
          <w:tblLayout w:type="fixed"/>
          <w:tblCellMar>
            <w:top w:w="0" w:type="dxa"/>
            <w:left w:w="108" w:type="dxa"/>
            <w:bottom w:w="0" w:type="dxa"/>
            <w:right w:w="108" w:type="dxa"/>
          </w:tblCellMar>
        </w:tblPrEx>
        <w:trPr>
          <w:trHeight w:val="536"/>
          <w:jc w:val="center"/>
        </w:trPr>
        <w:tc>
          <w:tcPr>
            <w:tcW w:w="636" w:type="dxa"/>
            <w:noWrap w:val="0"/>
            <w:vAlign w:val="center"/>
          </w:tcPr>
          <w:p>
            <w:pPr>
              <w:jc w:val="center"/>
              <w:rPr>
                <w:rFonts w:ascii="宋体" w:hAnsi="宋体" w:cs="宋体" w:hint="eastAsia"/>
                <w:b/>
                <w:color w:val="auto"/>
                <w:szCs w:val="21"/>
              </w:rPr>
            </w:pPr>
            <w:r>
              <w:rPr>
                <w:rFonts w:ascii="宋体" w:hAnsi="宋体" w:cs="宋体" w:hint="eastAsia"/>
                <w:b/>
                <w:color w:val="auto"/>
                <w:szCs w:val="21"/>
              </w:rPr>
              <w:t>3</w:t>
            </w:r>
          </w:p>
        </w:tc>
        <w:tc>
          <w:tcPr>
            <w:tcW w:w="700" w:type="dxa"/>
            <w:noWrap w:val="0"/>
            <w:vAlign w:val="center"/>
          </w:tcPr>
          <w:p>
            <w:pPr>
              <w:jc w:val="center"/>
              <w:rPr>
                <w:rFonts w:ascii="宋体" w:hAnsi="宋体" w:cs="宋体" w:hint="eastAsia"/>
                <w:b/>
                <w:color w:val="auto"/>
                <w:szCs w:val="21"/>
              </w:rPr>
            </w:pPr>
            <w:r>
              <w:rPr>
                <w:rFonts w:ascii="宋体" w:hAnsi="宋体" w:cs="宋体" w:hint="eastAsia"/>
                <w:b/>
                <w:color w:val="auto"/>
                <w:kern w:val="0"/>
                <w:szCs w:val="21"/>
              </w:rPr>
              <w:t>培训</w:t>
            </w:r>
          </w:p>
        </w:tc>
        <w:tc>
          <w:tcPr>
            <w:tcW w:w="7283" w:type="dxa"/>
            <w:noWrap w:val="0"/>
            <w:vAlign w:val="top"/>
          </w:tcPr>
          <w:p>
            <w:pPr>
              <w:spacing w:line="320" w:lineRule="atLeast"/>
              <w:rPr>
                <w:rFonts w:ascii="宋体" w:eastAsia="宋体" w:hAnsi="宋体" w:cs="宋体" w:hint="eastAsia"/>
                <w:b/>
                <w:kern w:val="2"/>
                <w:sz w:val="21"/>
                <w:szCs w:val="21"/>
                <w:lang w:val="en-US" w:eastAsia="zh-CN" w:bidi="ar-SA"/>
              </w:rPr>
            </w:pPr>
            <w:r>
              <w:rPr>
                <w:rFonts w:ascii="宋体" w:eastAsia="宋体" w:hAnsi="宋体" w:cs="宋体" w:hint="eastAsia"/>
                <w:bCs/>
                <w:kern w:val="0"/>
                <w:szCs w:val="21"/>
              </w:rPr>
              <w:t>3.1中标人应派专业技术人员免费对采购单位制定人员进行定期培训及指导，直至其完全掌握设备的基本故障处理技术。</w:t>
            </w:r>
          </w:p>
        </w:tc>
      </w:tr>
      <w:tr>
        <w:tblPrEx>
          <w:tblW w:w="8619" w:type="dxa"/>
          <w:jc w:val="center"/>
          <w:tblLayout w:type="fixed"/>
          <w:tblCellMar>
            <w:top w:w="0" w:type="dxa"/>
            <w:left w:w="108" w:type="dxa"/>
            <w:bottom w:w="0" w:type="dxa"/>
            <w:right w:w="108" w:type="dxa"/>
          </w:tblCellMar>
        </w:tblPrEx>
        <w:trPr>
          <w:trHeight w:val="800"/>
          <w:jc w:val="center"/>
        </w:trPr>
        <w:tc>
          <w:tcPr>
            <w:tcW w:w="636" w:type="dxa"/>
            <w:vMerge w:val="restart"/>
            <w:noWrap w:val="0"/>
            <w:vAlign w:val="center"/>
          </w:tcPr>
          <w:p>
            <w:pPr>
              <w:jc w:val="center"/>
              <w:rPr>
                <w:rFonts w:ascii="宋体" w:hAnsi="宋体" w:cs="宋体" w:hint="eastAsia"/>
                <w:b/>
                <w:color w:val="auto"/>
                <w:szCs w:val="21"/>
              </w:rPr>
            </w:pPr>
            <w:r>
              <w:rPr>
                <w:rFonts w:ascii="宋体" w:hAnsi="宋体" w:cs="宋体" w:hint="eastAsia"/>
                <w:b/>
                <w:color w:val="auto"/>
                <w:szCs w:val="21"/>
              </w:rPr>
              <w:t>4</w:t>
            </w:r>
          </w:p>
        </w:tc>
        <w:tc>
          <w:tcPr>
            <w:tcW w:w="700" w:type="dxa"/>
            <w:vMerge w:val="restart"/>
            <w:noWrap w:val="0"/>
            <w:vAlign w:val="center"/>
          </w:tcPr>
          <w:p>
            <w:pPr>
              <w:jc w:val="center"/>
              <w:rPr>
                <w:rFonts w:ascii="宋体" w:hAnsi="宋体" w:cs="宋体" w:hint="eastAsia"/>
                <w:b/>
                <w:color w:val="auto"/>
                <w:kern w:val="0"/>
                <w:szCs w:val="21"/>
              </w:rPr>
            </w:pPr>
            <w:r>
              <w:rPr>
                <w:rFonts w:ascii="宋体" w:hAnsi="宋体" w:cs="宋体" w:hint="eastAsia"/>
                <w:b/>
                <w:color w:val="auto"/>
                <w:kern w:val="0"/>
                <w:szCs w:val="21"/>
              </w:rPr>
              <w:t>知识产权</w:t>
            </w:r>
          </w:p>
        </w:tc>
        <w:tc>
          <w:tcPr>
            <w:tcW w:w="7283" w:type="dxa"/>
            <w:noWrap w:val="0"/>
            <w:vAlign w:val="top"/>
          </w:tcPr>
          <w:p>
            <w:pPr>
              <w:spacing w:line="320" w:lineRule="atLeast"/>
              <w:rPr>
                <w:rFonts w:ascii="宋体" w:eastAsia="宋体" w:hAnsi="宋体" w:cs="宋体" w:hint="eastAsia"/>
                <w:bCs/>
                <w:kern w:val="0"/>
                <w:sz w:val="21"/>
                <w:szCs w:val="21"/>
                <w:lang w:val="en-US" w:eastAsia="zh-CN" w:bidi="ar-SA"/>
              </w:rPr>
            </w:pPr>
            <w:r>
              <w:rPr>
                <w:rFonts w:ascii="宋体" w:eastAsia="宋体" w:hAnsi="宋体" w:cs="宋体" w:hint="eastAsia"/>
                <w:bCs/>
                <w:kern w:val="0"/>
                <w:szCs w:val="21"/>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r>
      <w:tr>
        <w:tblPrEx>
          <w:tblW w:w="8619" w:type="dxa"/>
          <w:jc w:val="center"/>
          <w:tblLayout w:type="fixed"/>
          <w:tblCellMar>
            <w:top w:w="0" w:type="dxa"/>
            <w:left w:w="108" w:type="dxa"/>
            <w:bottom w:w="0" w:type="dxa"/>
            <w:right w:w="108" w:type="dxa"/>
          </w:tblCellMar>
        </w:tblPrEx>
        <w:trPr>
          <w:trHeight w:val="536"/>
          <w:jc w:val="center"/>
        </w:trPr>
        <w:tc>
          <w:tcPr>
            <w:tcW w:w="636" w:type="dxa"/>
            <w:vMerge/>
            <w:noWrap w:val="0"/>
            <w:vAlign w:val="center"/>
          </w:tcPr>
          <w:p>
            <w:pPr>
              <w:jc w:val="center"/>
              <w:rPr>
                <w:rFonts w:ascii="宋体" w:hAnsi="宋体" w:cs="宋体" w:hint="eastAsia"/>
                <w:b/>
                <w:color w:val="auto"/>
                <w:szCs w:val="21"/>
              </w:rPr>
            </w:pPr>
          </w:p>
        </w:tc>
        <w:tc>
          <w:tcPr>
            <w:tcW w:w="700" w:type="dxa"/>
            <w:vMerge/>
            <w:noWrap w:val="0"/>
            <w:vAlign w:val="center"/>
          </w:tcPr>
          <w:p>
            <w:pPr>
              <w:jc w:val="center"/>
              <w:rPr>
                <w:rFonts w:ascii="宋体" w:hAnsi="宋体" w:cs="宋体" w:hint="eastAsia"/>
                <w:b/>
                <w:color w:val="auto"/>
                <w:kern w:val="0"/>
                <w:szCs w:val="21"/>
              </w:rPr>
            </w:pPr>
          </w:p>
        </w:tc>
        <w:tc>
          <w:tcPr>
            <w:tcW w:w="7283" w:type="dxa"/>
            <w:noWrap w:val="0"/>
            <w:vAlign w:val="top"/>
          </w:tcPr>
          <w:p>
            <w:pPr>
              <w:spacing w:line="320" w:lineRule="atLeast"/>
              <w:rPr>
                <w:rFonts w:ascii="宋体" w:eastAsia="宋体" w:hAnsi="宋体" w:cs="宋体" w:hint="eastAsia"/>
                <w:bCs/>
                <w:kern w:val="0"/>
                <w:sz w:val="21"/>
                <w:szCs w:val="21"/>
                <w:lang w:val="en-US" w:eastAsia="zh-CN" w:bidi="ar-SA"/>
              </w:rPr>
            </w:pPr>
            <w:r>
              <w:rPr>
                <w:rFonts w:ascii="宋体" w:eastAsia="宋体" w:hAnsi="宋体" w:cs="宋体" w:hint="eastAsia"/>
                <w:bCs/>
                <w:kern w:val="0"/>
                <w:szCs w:val="21"/>
              </w:rPr>
              <w:t>4.2采购人购买产品后，有权对该产品与其他设备进行配套、整合或适当改进，而免受侵犯专利权的起诉。</w:t>
            </w:r>
          </w:p>
        </w:tc>
      </w:tr>
      <w:tr>
        <w:tblPrEx>
          <w:tblW w:w="8619" w:type="dxa"/>
          <w:jc w:val="center"/>
          <w:tblLayout w:type="fixed"/>
          <w:tblCellMar>
            <w:top w:w="0" w:type="dxa"/>
            <w:left w:w="108" w:type="dxa"/>
            <w:bottom w:w="0" w:type="dxa"/>
            <w:right w:w="108" w:type="dxa"/>
          </w:tblCellMar>
        </w:tblPrEx>
        <w:trPr>
          <w:trHeight w:val="339"/>
          <w:jc w:val="center"/>
        </w:trPr>
        <w:tc>
          <w:tcPr>
            <w:tcW w:w="636" w:type="dxa"/>
            <w:noWrap w:val="0"/>
            <w:vAlign w:val="center"/>
          </w:tcPr>
          <w:p>
            <w:pPr>
              <w:jc w:val="center"/>
              <w:rPr>
                <w:rFonts w:ascii="宋体" w:eastAsia="宋体" w:hAnsi="宋体" w:cs="宋体" w:hint="eastAsia"/>
                <w:b/>
                <w:color w:val="auto"/>
                <w:szCs w:val="21"/>
                <w:lang w:eastAsia="zh-CN"/>
              </w:rPr>
            </w:pPr>
            <w:r>
              <w:rPr>
                <w:rFonts w:ascii="宋体" w:hAnsi="宋体" w:cs="宋体" w:hint="eastAsia"/>
                <w:b/>
                <w:color w:val="auto"/>
                <w:szCs w:val="21"/>
                <w:lang w:val="en-US" w:eastAsia="zh-CN"/>
              </w:rPr>
              <w:t>5</w:t>
            </w:r>
          </w:p>
        </w:tc>
        <w:tc>
          <w:tcPr>
            <w:tcW w:w="700" w:type="dxa"/>
            <w:noWrap w:val="0"/>
            <w:vAlign w:val="center"/>
          </w:tcPr>
          <w:p>
            <w:pPr>
              <w:jc w:val="center"/>
              <w:rPr>
                <w:rFonts w:ascii="宋体" w:hAnsi="宋体" w:cs="宋体" w:hint="eastAsia"/>
                <w:b/>
                <w:color w:val="auto"/>
                <w:kern w:val="0"/>
                <w:szCs w:val="21"/>
              </w:rPr>
            </w:pPr>
            <w:r>
              <w:rPr>
                <w:rFonts w:ascii="宋体" w:hAnsi="宋体" w:cs="宋体" w:hint="eastAsia"/>
                <w:b/>
                <w:color w:val="auto"/>
                <w:kern w:val="0"/>
                <w:szCs w:val="21"/>
              </w:rPr>
              <w:t>其他</w:t>
            </w:r>
          </w:p>
        </w:tc>
        <w:tc>
          <w:tcPr>
            <w:tcW w:w="7283" w:type="dxa"/>
            <w:noWrap w:val="0"/>
            <w:vAlign w:val="center"/>
          </w:tcPr>
          <w:p>
            <w:pPr>
              <w:rPr>
                <w:rFonts w:ascii="宋体" w:eastAsia="宋体" w:hAnsi="宋体" w:cs="宋体" w:hint="eastAsia"/>
                <w:bCs/>
                <w:kern w:val="0"/>
                <w:sz w:val="21"/>
                <w:szCs w:val="21"/>
                <w:lang w:val="en-US" w:eastAsia="zh-CN" w:bidi="ar-SA"/>
              </w:rPr>
            </w:pPr>
            <w:r>
              <w:rPr>
                <w:rFonts w:ascii="宋体" w:eastAsia="宋体" w:hAnsi="宋体" w:cs="宋体" w:hint="eastAsia"/>
                <w:bCs/>
                <w:kern w:val="0"/>
                <w:szCs w:val="21"/>
              </w:rPr>
              <w:t>5.1投标人应按其投标文件中的承诺，进行其他售后服务工作。</w:t>
            </w:r>
          </w:p>
        </w:tc>
      </w:tr>
    </w:tbl>
    <w:p>
      <w:pPr>
        <w:numPr>
          <w:ilvl w:val="0"/>
          <w:numId w:val="0"/>
        </w:numPr>
        <w:jc w:val="left"/>
        <w:rPr>
          <w:rFonts w:hint="eastAsia"/>
          <w:b/>
          <w:szCs w:val="21"/>
        </w:rPr>
      </w:pPr>
    </w:p>
    <w:p>
      <w:pPr>
        <w:jc w:val="left"/>
        <w:rPr>
          <w:rFonts w:ascii="宋体" w:eastAsia="宋体" w:hAnsi="宋体" w:cs="宋体" w:hint="eastAsia"/>
          <w:b/>
          <w:bCs/>
          <w:kern w:val="0"/>
          <w:sz w:val="24"/>
          <w:szCs w:val="24"/>
        </w:rPr>
      </w:pPr>
      <w:r>
        <w:rPr>
          <w:rFonts w:ascii="宋体" w:eastAsia="宋体" w:hAnsi="宋体" w:cs="宋体" w:hint="eastAsia"/>
          <w:b/>
          <w:bCs/>
          <w:kern w:val="0"/>
          <w:sz w:val="24"/>
          <w:szCs w:val="24"/>
          <w:lang w:eastAsia="zh-CN"/>
        </w:rPr>
        <w:t>（</w:t>
      </w:r>
      <w:r>
        <w:rPr>
          <w:rFonts w:ascii="宋体" w:eastAsia="宋体" w:hAnsi="宋体" w:cs="宋体" w:hint="eastAsia"/>
          <w:b/>
          <w:bCs/>
          <w:kern w:val="0"/>
          <w:sz w:val="24"/>
          <w:szCs w:val="24"/>
          <w:lang w:val="en-US" w:eastAsia="zh-CN"/>
        </w:rPr>
        <w:t>二）</w:t>
      </w:r>
      <w:r>
        <w:rPr>
          <w:rFonts w:ascii="宋体" w:eastAsia="宋体" w:hAnsi="宋体" w:cs="宋体" w:hint="eastAsia"/>
          <w:b/>
          <w:bCs/>
          <w:kern w:val="0"/>
          <w:sz w:val="24"/>
          <w:szCs w:val="24"/>
        </w:rPr>
        <w:t>报价要求及付款方式</w:t>
      </w:r>
    </w:p>
    <w:p>
      <w:pPr>
        <w:ind w:firstLine="418" w:firstLineChars="199"/>
        <w:rPr>
          <w:rFonts w:ascii="仿宋" w:hAnsi="仿宋" w:cs="宋体" w:hint="eastAsia"/>
          <w:szCs w:val="21"/>
        </w:rPr>
      </w:pPr>
      <w:r>
        <w:rPr>
          <w:rFonts w:ascii="仿宋" w:hAnsi="仿宋" w:cs="宋体" w:hint="eastAsia"/>
          <w:szCs w:val="21"/>
        </w:rPr>
        <w:t>1.本项目预算金额为</w:t>
      </w:r>
      <w:r>
        <w:rPr>
          <w:rFonts w:ascii="宋体" w:hAnsi="宋体" w:cs="宋体" w:hint="eastAsia"/>
          <w:kern w:val="0"/>
          <w:szCs w:val="21"/>
          <w:u w:val="single"/>
        </w:rPr>
        <w:t xml:space="preserve"> </w:t>
      </w:r>
      <w:r>
        <w:rPr>
          <w:rFonts w:ascii="宋体" w:hAnsi="宋体" w:cs="宋体" w:hint="eastAsia"/>
          <w:kern w:val="0"/>
          <w:szCs w:val="21"/>
          <w:u w:val="single"/>
          <w:lang w:val="en-US" w:eastAsia="zh-CN"/>
        </w:rPr>
        <w:t xml:space="preserve">20  </w:t>
      </w:r>
      <w:r>
        <w:rPr>
          <w:rFonts w:ascii="宋体" w:hAnsi="宋体" w:cs="宋体" w:hint="eastAsia"/>
          <w:kern w:val="0"/>
          <w:szCs w:val="21"/>
          <w:u w:val="single"/>
        </w:rPr>
        <w:t xml:space="preserve"> </w:t>
      </w:r>
      <w:r>
        <w:rPr>
          <w:rFonts w:ascii="宋体" w:hAnsi="宋体" w:cs="宋体" w:hint="eastAsia"/>
          <w:kern w:val="0"/>
          <w:szCs w:val="21"/>
        </w:rPr>
        <w:t>万元(大写：</w:t>
      </w:r>
      <w:r>
        <w:rPr>
          <w:rFonts w:ascii="宋体" w:hAnsi="宋体" w:cs="宋体" w:hint="eastAsia"/>
          <w:kern w:val="0"/>
          <w:szCs w:val="21"/>
          <w:u w:val="single"/>
        </w:rPr>
        <w:t xml:space="preserve">    </w:t>
      </w:r>
      <w:r>
        <w:rPr>
          <w:rFonts w:ascii="宋体" w:hAnsi="宋体" w:cs="宋体" w:hint="eastAsia"/>
          <w:kern w:val="0"/>
          <w:szCs w:val="21"/>
          <w:u w:val="single"/>
          <w:lang w:val="en-US" w:eastAsia="zh-CN"/>
        </w:rPr>
        <w:t>贰拾万</w:t>
      </w:r>
      <w:r>
        <w:rPr>
          <w:rFonts w:ascii="宋体" w:hAnsi="宋体" w:cs="宋体" w:hint="eastAsia"/>
          <w:kern w:val="0"/>
          <w:szCs w:val="21"/>
          <w:u w:val="single"/>
        </w:rPr>
        <w:t xml:space="preserve">  </w:t>
      </w:r>
      <w:r>
        <w:rPr>
          <w:rFonts w:ascii="宋体" w:hAnsi="宋体" w:cs="宋体" w:hint="eastAsia"/>
          <w:kern w:val="0"/>
          <w:szCs w:val="21"/>
        </w:rPr>
        <w:t>元整)。</w:t>
      </w:r>
    </w:p>
    <w:p>
      <w:pPr>
        <w:ind w:firstLine="418" w:firstLineChars="199"/>
        <w:rPr>
          <w:rFonts w:ascii="仿宋" w:hAnsi="仿宋" w:cs="宋体" w:hint="eastAsia"/>
          <w:szCs w:val="21"/>
        </w:rPr>
      </w:pPr>
      <w:r>
        <w:rPr>
          <w:rFonts w:ascii="仿宋" w:hAnsi="仿宋" w:cs="宋体" w:hint="eastAsia"/>
          <w:szCs w:val="21"/>
        </w:rPr>
        <w:t>该金额为一次性投入金额（成本），不包含备品（件）、耗材全生命周期成本。</w:t>
      </w:r>
    </w:p>
    <w:p>
      <w:pPr>
        <w:ind w:firstLine="418" w:firstLineChars="199"/>
        <w:rPr>
          <w:rFonts w:ascii="仿宋" w:hAnsi="仿宋" w:cs="宋体" w:hint="eastAsia"/>
          <w:szCs w:val="21"/>
        </w:rPr>
      </w:pPr>
      <w:r>
        <w:rPr>
          <w:rFonts w:ascii="仿宋" w:hAnsi="仿宋" w:cs="宋体" w:hint="eastAsia"/>
          <w:szCs w:val="21"/>
        </w:rPr>
        <w:t>2.设备的备品（件）、耗材价格一览表</w:t>
      </w:r>
    </w:p>
    <w:p>
      <w:pPr>
        <w:widowControl/>
        <w:spacing w:line="360" w:lineRule="auto"/>
        <w:ind w:firstLine="420" w:firstLineChars="200"/>
        <w:rPr>
          <w:rFonts w:ascii="宋体" w:hAnsi="宋体" w:cs="宋体"/>
          <w:kern w:val="0"/>
          <w:szCs w:val="21"/>
        </w:rPr>
      </w:pPr>
      <w:r>
        <w:rPr>
          <w:rFonts w:ascii="宋体" w:hAnsi="宋体" w:cs="宋体" w:hint="eastAsia"/>
          <w:kern w:val="0"/>
          <w:szCs w:val="21"/>
        </w:rPr>
        <w:t>（1）冷库</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hRule="exact" w:val="567"/>
          <w:jc w:val="center"/>
        </w:trPr>
        <w:tc>
          <w:tcPr>
            <w:tcW w:w="950" w:type="dxa"/>
            <w:noWrap w:val="0"/>
            <w:tcMar>
              <w:top w:w="0" w:type="dxa"/>
              <w:left w:w="108" w:type="dxa"/>
              <w:bottom w:w="0" w:type="dxa"/>
              <w:right w:w="108" w:type="dxa"/>
            </w:tcMar>
            <w:vAlign w:val="center"/>
          </w:tcPr>
          <w:p>
            <w:pPr>
              <w:widowControl/>
              <w:jc w:val="center"/>
              <w:rPr>
                <w:rFonts w:ascii="宋体" w:hAnsi="宋体" w:cs="宋体"/>
                <w:kern w:val="0"/>
                <w:szCs w:val="21"/>
              </w:rPr>
            </w:pPr>
            <w:r>
              <w:rPr>
                <w:rFonts w:ascii="宋体" w:hAnsi="宋体" w:cs="宋体" w:hint="eastAsia"/>
                <w:kern w:val="0"/>
                <w:szCs w:val="21"/>
              </w:rPr>
              <w:t>序号</w:t>
            </w:r>
          </w:p>
        </w:tc>
        <w:tc>
          <w:tcPr>
            <w:tcW w:w="2551" w:type="dxa"/>
            <w:noWrap w:val="0"/>
            <w:tcMar>
              <w:top w:w="0" w:type="dxa"/>
              <w:left w:w="108" w:type="dxa"/>
              <w:bottom w:w="0" w:type="dxa"/>
              <w:right w:w="108" w:type="dxa"/>
            </w:tcMar>
            <w:vAlign w:val="center"/>
          </w:tcPr>
          <w:p>
            <w:pPr>
              <w:widowControl/>
              <w:jc w:val="center"/>
              <w:rPr>
                <w:rFonts w:ascii="宋体" w:hAnsi="宋体" w:cs="宋体"/>
                <w:kern w:val="0"/>
                <w:szCs w:val="21"/>
              </w:rPr>
            </w:pPr>
            <w:r>
              <w:rPr>
                <w:rFonts w:ascii="宋体" w:hAnsi="宋体" w:cs="宋体" w:hint="eastAsia"/>
                <w:kern w:val="0"/>
                <w:szCs w:val="21"/>
              </w:rPr>
              <w:t>备品（件）、耗材名称</w:t>
            </w:r>
          </w:p>
        </w:tc>
        <w:tc>
          <w:tcPr>
            <w:tcW w:w="1125" w:type="dxa"/>
            <w:noWrap w:val="0"/>
            <w:vAlign w:val="center"/>
          </w:tcPr>
          <w:p>
            <w:pPr>
              <w:widowControl/>
              <w:jc w:val="center"/>
              <w:rPr>
                <w:rFonts w:ascii="宋体" w:hAnsi="宋体"/>
                <w:kern w:val="0"/>
                <w:szCs w:val="21"/>
              </w:rPr>
            </w:pPr>
            <w:r>
              <w:rPr>
                <w:rFonts w:ascii="宋体" w:hAnsi="宋体" w:cs="宋体" w:hint="eastAsia"/>
                <w:kern w:val="0"/>
                <w:szCs w:val="21"/>
              </w:rPr>
              <w:t>数量</w:t>
            </w:r>
          </w:p>
        </w:tc>
        <w:tc>
          <w:tcPr>
            <w:tcW w:w="1125" w:type="dxa"/>
            <w:noWrap w:val="0"/>
            <w:vAlign w:val="center"/>
          </w:tcPr>
          <w:p>
            <w:pPr>
              <w:widowControl/>
              <w:jc w:val="center"/>
              <w:rPr>
                <w:rFonts w:ascii="宋体" w:hAnsi="宋体" w:cs="宋体" w:hint="eastAsia"/>
                <w:kern w:val="0"/>
                <w:szCs w:val="21"/>
              </w:rPr>
            </w:pPr>
            <w:r>
              <w:rPr>
                <w:rFonts w:ascii="宋体" w:hAnsi="宋体" w:cs="宋体" w:hint="eastAsia"/>
                <w:kern w:val="0"/>
                <w:szCs w:val="21"/>
              </w:rPr>
              <w:t>单位</w:t>
            </w:r>
          </w:p>
        </w:tc>
        <w:tc>
          <w:tcPr>
            <w:tcW w:w="1360" w:type="dxa"/>
            <w:noWrap w:val="0"/>
            <w:vAlign w:val="center"/>
          </w:tcPr>
          <w:p>
            <w:pPr>
              <w:widowControl/>
              <w:jc w:val="center"/>
              <w:rPr>
                <w:rFonts w:ascii="宋体" w:hAnsi="宋体"/>
                <w:kern w:val="0"/>
                <w:szCs w:val="21"/>
              </w:rPr>
            </w:pPr>
            <w:r>
              <w:rPr>
                <w:rFonts w:ascii="宋体" w:hAnsi="宋体" w:cs="宋体" w:hint="eastAsia"/>
                <w:kern w:val="0"/>
                <w:szCs w:val="21"/>
              </w:rPr>
              <w:t>单价（元）</w:t>
            </w:r>
          </w:p>
        </w:tc>
        <w:tc>
          <w:tcPr>
            <w:tcW w:w="1393" w:type="dxa"/>
            <w:noWrap w:val="0"/>
            <w:vAlign w:val="center"/>
          </w:tcPr>
          <w:p>
            <w:pPr>
              <w:widowControl/>
              <w:jc w:val="center"/>
              <w:rPr>
                <w:rFonts w:ascii="宋体" w:hAnsi="宋体"/>
                <w:kern w:val="0"/>
                <w:szCs w:val="21"/>
              </w:rPr>
            </w:pPr>
            <w:r>
              <w:rPr>
                <w:rFonts w:ascii="宋体" w:hAnsi="宋体" w:hint="eastAsia"/>
                <w:kern w:val="0"/>
                <w:szCs w:val="21"/>
              </w:rPr>
              <w:t>小计</w:t>
            </w:r>
            <w:r>
              <w:rPr>
                <w:rFonts w:ascii="宋体" w:hAnsi="宋体" w:cs="宋体" w:hint="eastAsia"/>
                <w:kern w:val="0"/>
                <w:szCs w:val="21"/>
              </w:rPr>
              <w:t>（元）</w:t>
            </w:r>
          </w:p>
        </w:tc>
      </w:tr>
      <w:tr>
        <w:tblPrEx>
          <w:tblW w:w="0" w:type="auto"/>
          <w:jc w:val="center"/>
          <w:tblLayout w:type="fixed"/>
          <w:tblCellMar>
            <w:top w:w="0" w:type="dxa"/>
            <w:left w:w="0" w:type="dxa"/>
            <w:bottom w:w="0" w:type="dxa"/>
            <w:right w:w="0" w:type="dxa"/>
          </w:tblCellMar>
        </w:tblPrEx>
        <w:trPr>
          <w:trHeight w:hRule="exact" w:val="567"/>
          <w:jc w:val="center"/>
        </w:trPr>
        <w:tc>
          <w:tcPr>
            <w:tcW w:w="950" w:type="dxa"/>
            <w:noWrap w:val="0"/>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1</w:t>
            </w:r>
          </w:p>
        </w:tc>
        <w:tc>
          <w:tcPr>
            <w:tcW w:w="2551" w:type="dxa"/>
            <w:noWrap w:val="0"/>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冷库灯</w:t>
            </w:r>
          </w:p>
        </w:tc>
        <w:tc>
          <w:tcPr>
            <w:tcW w:w="1125" w:type="dxa"/>
            <w:noWrap w:val="0"/>
            <w:vAlign w:val="center"/>
          </w:tcPr>
          <w:p>
            <w:pPr>
              <w:widowControl/>
              <w:jc w:val="center"/>
              <w:rPr>
                <w:rFonts w:ascii="宋体" w:hAnsi="宋体" w:cs="宋体" w:hint="eastAsia"/>
                <w:kern w:val="0"/>
                <w:szCs w:val="21"/>
              </w:rPr>
            </w:pPr>
            <w:r>
              <w:rPr>
                <w:rFonts w:ascii="宋体" w:hAnsi="宋体" w:cs="宋体" w:hint="eastAsia"/>
                <w:kern w:val="0"/>
                <w:szCs w:val="21"/>
              </w:rPr>
              <w:t>1</w:t>
            </w:r>
          </w:p>
        </w:tc>
        <w:tc>
          <w:tcPr>
            <w:tcW w:w="1125" w:type="dxa"/>
            <w:noWrap w:val="0"/>
            <w:vAlign w:val="center"/>
          </w:tcPr>
          <w:p>
            <w:pPr>
              <w:widowControl/>
              <w:jc w:val="center"/>
              <w:rPr>
                <w:rFonts w:ascii="宋体" w:hAnsi="宋体" w:cs="宋体" w:hint="eastAsia"/>
                <w:kern w:val="0"/>
                <w:szCs w:val="21"/>
              </w:rPr>
            </w:pPr>
            <w:r>
              <w:rPr>
                <w:rFonts w:ascii="宋体" w:hAnsi="宋体" w:cs="宋体" w:hint="eastAsia"/>
                <w:kern w:val="0"/>
                <w:szCs w:val="21"/>
              </w:rPr>
              <w:t>盏</w:t>
            </w:r>
          </w:p>
        </w:tc>
        <w:tc>
          <w:tcPr>
            <w:tcW w:w="1360" w:type="dxa"/>
            <w:noWrap w:val="0"/>
            <w:vAlign w:val="center"/>
          </w:tcPr>
          <w:p>
            <w:pPr>
              <w:widowControl/>
              <w:jc w:val="center"/>
              <w:rPr>
                <w:rFonts w:ascii="宋体" w:eastAsia="宋体" w:hAnsi="宋体" w:cs="宋体" w:hint="eastAsia"/>
                <w:kern w:val="0"/>
                <w:szCs w:val="21"/>
                <w:lang w:val="en-US" w:eastAsia="zh-CN"/>
              </w:rPr>
            </w:pPr>
            <w:r>
              <w:rPr>
                <w:rFonts w:ascii="宋体" w:hAnsi="宋体" w:cs="宋体" w:hint="eastAsia"/>
                <w:kern w:val="0"/>
                <w:szCs w:val="21"/>
                <w:lang w:val="en-US" w:eastAsia="zh-CN"/>
              </w:rPr>
              <w:t xml:space="preserve"> </w:t>
            </w:r>
          </w:p>
        </w:tc>
        <w:tc>
          <w:tcPr>
            <w:tcW w:w="1393" w:type="dxa"/>
            <w:noWrap w:val="0"/>
            <w:vAlign w:val="center"/>
          </w:tcPr>
          <w:p>
            <w:pPr>
              <w:widowControl/>
              <w:jc w:val="center"/>
              <w:rPr>
                <w:rFonts w:ascii="宋体" w:hAnsi="宋体" w:cs="宋体" w:hint="default"/>
                <w:kern w:val="0"/>
                <w:szCs w:val="21"/>
                <w:lang w:val="en-US"/>
              </w:rPr>
            </w:pPr>
          </w:p>
        </w:tc>
      </w:tr>
    </w:tbl>
    <w:p>
      <w:pPr>
        <w:spacing w:before="84" w:beforeLines="35"/>
        <w:ind w:firstLine="418" w:firstLineChars="199"/>
        <w:rPr>
          <w:rFonts w:ascii="仿宋" w:hAnsi="仿宋" w:cs="宋体"/>
          <w:szCs w:val="21"/>
        </w:rPr>
      </w:pPr>
      <w:r>
        <w:rPr>
          <w:rFonts w:ascii="仿宋" w:hAnsi="仿宋" w:cs="宋体" w:hint="eastAsia"/>
          <w:szCs w:val="21"/>
        </w:rPr>
        <w:t>备注：本表格仅为指导性范本，由供应商根据所选用的投标产品的具体情况对此表进行调整，提供更详尽的备品（件）、耗材优惠价格，另外供应商提供的单价将作为供应商合同履行的依据，即在合同履行期间，供应商所提供的备品（件）、耗材单价不高于上述表格的报价。若供应商所提供的备品（件）、耗材单价高于上述表格的报价，采购人有权自主选择是否采购。</w:t>
      </w:r>
    </w:p>
    <w:p>
      <w:pPr>
        <w:ind w:firstLine="418" w:firstLineChars="199"/>
        <w:rPr>
          <w:rFonts w:ascii="仿宋" w:hAnsi="仿宋" w:cs="宋体" w:hint="eastAsia"/>
          <w:szCs w:val="21"/>
        </w:rPr>
      </w:pPr>
      <w:r>
        <w:rPr>
          <w:rFonts w:ascii="仿宋" w:hAnsi="仿宋" w:cs="宋体" w:hint="eastAsia"/>
          <w:szCs w:val="21"/>
        </w:rPr>
        <w:t>3.报价要求</w:t>
      </w:r>
    </w:p>
    <w:p>
      <w:pPr>
        <w:ind w:left="1" w:firstLine="418" w:firstLineChars="199"/>
        <w:rPr>
          <w:rFonts w:ascii="仿宋" w:hAnsi="仿宋" w:cs="宋体" w:hint="eastAsia"/>
          <w:szCs w:val="21"/>
        </w:rPr>
      </w:pPr>
      <w:r>
        <w:rPr>
          <w:rFonts w:ascii="仿宋" w:hAnsi="仿宋" w:cs="宋体" w:hint="eastAsia"/>
          <w:szCs w:val="21"/>
        </w:rPr>
        <w:t>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若评审委员会成员对是否须由投标人作出报价合理性说明，以及书面说明是否采纳等判断不一致的，按照“少数服从多数”的原则确定评审委员会的意见。供应商可通过现场提交、电邮提交提供报价合理性说明。</w:t>
      </w:r>
    </w:p>
    <w:p>
      <w:pPr>
        <w:ind w:firstLine="418" w:firstLineChars="199"/>
        <w:rPr>
          <w:rFonts w:ascii="仿宋" w:hAnsi="仿宋" w:cs="宋体" w:hint="eastAsia"/>
          <w:szCs w:val="21"/>
        </w:rPr>
      </w:pPr>
      <w:r>
        <w:rPr>
          <w:rFonts w:ascii="仿宋" w:hAnsi="仿宋" w:cs="宋体" w:hint="eastAsia"/>
          <w:szCs w:val="21"/>
        </w:rPr>
        <w:t>4.付款方式</w:t>
      </w:r>
    </w:p>
    <w:p>
      <w:pPr>
        <w:ind w:firstLine="418" w:firstLineChars="199"/>
        <w:rPr>
          <w:rFonts w:ascii="仿宋" w:hAnsi="仿宋" w:cs="宋体" w:hint="eastAsia"/>
          <w:szCs w:val="21"/>
        </w:rPr>
      </w:pPr>
      <w:r>
        <w:rPr>
          <w:rFonts w:ascii="仿宋" w:hAnsi="仿宋" w:cs="宋体" w:hint="eastAsia"/>
          <w:szCs w:val="21"/>
        </w:rPr>
        <w:t>1.本合同分两期付款。</w:t>
      </w:r>
    </w:p>
    <w:p>
      <w:pPr>
        <w:ind w:firstLine="418" w:firstLineChars="199"/>
        <w:rPr>
          <w:rFonts w:ascii="仿宋" w:hAnsi="仿宋" w:cs="宋体" w:hint="eastAsia"/>
          <w:szCs w:val="21"/>
        </w:rPr>
      </w:pPr>
      <w:r>
        <w:rPr>
          <w:rFonts w:ascii="仿宋" w:hAnsi="仿宋" w:cs="宋体" w:hint="eastAsia"/>
          <w:szCs w:val="21"/>
        </w:rPr>
        <w:t>预付款：合同签订后，乙方提供全额发票，甲方收到发票后支付乙方70%货款。如乙方不能在约定的交货期内交货，乙方应在交货期满后15天（日历日）之内出具预付款等额银行保函。</w:t>
      </w:r>
    </w:p>
    <w:p>
      <w:pPr>
        <w:ind w:firstLine="418" w:firstLineChars="199"/>
        <w:rPr>
          <w:rFonts w:ascii="仿宋" w:hAnsi="仿宋" w:cs="宋体" w:hint="eastAsia"/>
          <w:szCs w:val="21"/>
        </w:rPr>
      </w:pPr>
      <w:r>
        <w:rPr>
          <w:rFonts w:ascii="仿宋" w:hAnsi="仿宋" w:cs="宋体" w:hint="eastAsia"/>
          <w:szCs w:val="21"/>
        </w:rPr>
        <w:t>进度款：货到指定地点、安装到位并进行设备调试、运行合格且通过使用单位性能验收后，甲方支付乙方30%货款。</w:t>
      </w:r>
    </w:p>
    <w:p>
      <w:pPr>
        <w:ind w:firstLine="418" w:firstLineChars="199"/>
        <w:rPr>
          <w:rFonts w:ascii="仿宋" w:hAnsi="仿宋" w:cs="宋体" w:hint="eastAsia"/>
          <w:szCs w:val="21"/>
        </w:rPr>
      </w:pPr>
      <w:r>
        <w:rPr>
          <w:rFonts w:ascii="仿宋" w:hAnsi="仿宋" w:cs="宋体" w:hint="eastAsia"/>
          <w:szCs w:val="21"/>
        </w:rPr>
        <w:t>2.具体付款方式按深圳市坪山区财政局有关规定执行。区财政部门出具的评审结果或备案证明作为货款结算的依据之一。</w:t>
      </w:r>
    </w:p>
    <w:p>
      <w:pPr>
        <w:pStyle w:val="NormalIndent"/>
        <w:spacing w:before="60" w:beforeLines="25" w:after="60" w:afterLines="25"/>
        <w:ind w:firstLine="393" w:firstLineChars="187"/>
        <w:rPr>
          <w:rFonts w:ascii="宋体" w:hAnsi="宋体"/>
          <w:szCs w:val="21"/>
        </w:rPr>
      </w:pPr>
    </w:p>
    <w:p>
      <w:pPr>
        <w:pStyle w:val="Heading2"/>
        <w:spacing w:before="120" w:beforeLines="50" w:after="120" w:afterLines="50"/>
        <w:rPr>
          <w:sz w:val="28"/>
          <w:szCs w:val="28"/>
        </w:rPr>
      </w:pPr>
      <w:r>
        <w:rPr>
          <w:rFonts w:hint="eastAsia"/>
          <w:sz w:val="28"/>
          <w:szCs w:val="28"/>
        </w:rPr>
        <w:t>六、其他重要条款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bCs/>
          <w:szCs w:val="21"/>
        </w:rPr>
      </w:pPr>
      <w:r>
        <w:rPr>
          <w:bCs/>
          <w:szCs w:val="21"/>
        </w:rPr>
        <w:t>6</w:t>
      </w:r>
      <w:r>
        <w:rPr>
          <w:rFonts w:hint="eastAsia"/>
          <w:bCs/>
          <w:szCs w:val="21"/>
        </w:rPr>
        <w:t>、“信用中国”</w:t>
      </w:r>
      <w:r>
        <w:rPr>
          <w:rFonts w:ascii="宋体" w:eastAsia="宋体" w:hAnsi="宋体" w:cs="宋体"/>
          <w:sz w:val="21"/>
          <w:szCs w:val="21"/>
        </w:rPr>
        <w:t>中“信用服务”栏的“重大税收违法</w:t>
      </w:r>
      <w:r>
        <w:rPr>
          <w:rFonts w:ascii="宋体" w:hAnsi="宋体" w:cs="宋体" w:hint="eastAsia"/>
          <w:sz w:val="21"/>
          <w:szCs w:val="21"/>
          <w:lang w:val="en-US" w:eastAsia="zh-CN"/>
        </w:rPr>
        <w:t>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p>
    <w:p>
      <w:pPr>
        <w:ind w:firstLine="420" w:firstLineChars="200"/>
        <w:rPr>
          <w:rFonts w:ascii="宋体" w:hAnsi="宋体"/>
        </w:rPr>
      </w:pPr>
    </w:p>
    <w:p>
      <w:pPr>
        <w:rPr>
          <w:rFonts w:hint="eastAsia"/>
          <w:kern w:val="2"/>
        </w:rPr>
      </w:pPr>
      <w:r>
        <w:rPr>
          <w:rFonts w:hint="eastAsia"/>
          <w:kern w:val="2"/>
        </w:rPr>
        <w:br w:type="page"/>
      </w: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rPr>
          <w:rFonts w:ascii="仿宋_GB2312" w:eastAsia="仿宋_GB2312"/>
          <w:highlight w:val="green"/>
        </w:rPr>
        <w:drawing>
          <wp:inline distT="0" distB="0" distL="0" distR="0">
            <wp:extent cx="5278755" cy="4126230"/>
            <wp:effectExtent l="0" t="0" r="0" b="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pPr>
        <w:rPr>
          <w:rFonts w:ascii="仿宋_GB2312" w:eastAsia="仿宋_GB2312"/>
          <w:sz w:val="24"/>
        </w:rPr>
      </w:pPr>
    </w:p>
    <w:p>
      <w:pPr>
        <w:jc w:val="center"/>
        <w:rPr>
          <w:rFonts w:ascii="仿宋_GB2312" w:eastAsia="仿宋_GB2312"/>
          <w:sz w:val="24"/>
        </w:rPr>
      </w:pPr>
    </w:p>
    <w:p>
      <w:pPr>
        <w:ind w:firstLine="420" w:firstLineChars="200"/>
        <w:rPr>
          <w:rFonts w:ascii="仿宋_GB2312" w:eastAsia="仿宋_GB2312"/>
          <w:sz w:val="24"/>
        </w:rPr>
      </w:pPr>
      <w:bookmarkStart w:id="48"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8"/>
    </w:p>
    <w:p>
      <w:pPr>
        <w:ind w:firstLine="420" w:firstLineChars="200"/>
        <w:rPr>
          <w:rFonts w:ascii="仿宋_GB2312" w:eastAsia="仿宋_GB2312"/>
          <w:sz w:val="24"/>
        </w:rPr>
      </w:pPr>
    </w:p>
    <w:p>
      <w:pPr>
        <w:rPr>
          <w:rFonts w:ascii="仿宋_GB2312" w:eastAsia="仿宋_GB2312"/>
          <w:sz w:val="24"/>
        </w:rPr>
      </w:pPr>
    </w:p>
    <w:p>
      <w:pPr>
        <w:rPr>
          <w:rStyle w:val="3Char"/>
          <w:rFonts w:hint="eastAsia"/>
          <w:sz w:val="28"/>
          <w:szCs w:val="28"/>
        </w:rPr>
      </w:pPr>
      <w:r>
        <w:rPr>
          <w:rStyle w:val="3Char"/>
          <w:rFonts w:hint="eastAsia"/>
          <w:sz w:val="28"/>
          <w:szCs w:val="28"/>
        </w:rPr>
        <w:br w:type="page"/>
      </w: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9"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 w:val="21"/>
          <w:szCs w:val="21"/>
        </w:rPr>
      </w:pPr>
      <w:r>
        <w:rPr>
          <w:rFonts w:hint="eastAsia"/>
          <w:sz w:val="21"/>
          <w:szCs w:val="21"/>
        </w:rPr>
        <w:t>（1）</w:t>
      </w:r>
      <w:bookmarkStart w:id="50" w:name="_Hlk72070784"/>
      <w:r>
        <w:rPr>
          <w:rFonts w:hint="eastAsia"/>
          <w:sz w:val="21"/>
          <w:szCs w:val="21"/>
        </w:rPr>
        <w:t>投标函</w:t>
      </w:r>
      <w:bookmarkEnd w:id="50"/>
    </w:p>
    <w:p>
      <w:pPr>
        <w:ind w:left="718" w:firstLine="1418" w:leftChars="342" w:firstLineChars="675"/>
        <w:rPr>
          <w:sz w:val="21"/>
          <w:szCs w:val="21"/>
        </w:rPr>
      </w:pPr>
      <w:r>
        <w:rPr>
          <w:rFonts w:hint="eastAsia"/>
          <w:sz w:val="21"/>
          <w:szCs w:val="21"/>
        </w:rPr>
        <w:t>（2）</w:t>
      </w:r>
      <w:bookmarkStart w:id="51" w:name="_Hlk72062521"/>
      <w:r>
        <w:rPr>
          <w:rFonts w:hint="eastAsia"/>
          <w:sz w:val="21"/>
          <w:szCs w:val="21"/>
        </w:rPr>
        <w:t>政府采购投标及履约承诺函</w:t>
      </w:r>
      <w:bookmarkEnd w:id="51"/>
    </w:p>
    <w:p>
      <w:pPr>
        <w:ind w:left="718" w:firstLine="1418" w:leftChars="342" w:firstLineChars="675"/>
        <w:rPr>
          <w:sz w:val="21"/>
          <w:szCs w:val="21"/>
        </w:rPr>
      </w:pPr>
      <w:r>
        <w:rPr>
          <w:rFonts w:hint="eastAsia"/>
          <w:sz w:val="21"/>
          <w:szCs w:val="21"/>
        </w:rPr>
        <w:t>（</w:t>
      </w:r>
      <w:r>
        <w:rPr>
          <w:sz w:val="21"/>
          <w:szCs w:val="21"/>
        </w:rPr>
        <w:t>3</w:t>
      </w:r>
      <w:r>
        <w:rPr>
          <w:rFonts w:hint="eastAsia"/>
          <w:sz w:val="21"/>
          <w:szCs w:val="21"/>
        </w:rPr>
        <w:t>）投标人情况及资格证明文件</w:t>
      </w:r>
    </w:p>
    <w:p>
      <w:pPr>
        <w:ind w:left="718" w:firstLine="1418" w:leftChars="342" w:firstLineChars="675"/>
        <w:rPr>
          <w:sz w:val="21"/>
          <w:szCs w:val="21"/>
        </w:rPr>
      </w:pPr>
      <w:r>
        <w:rPr>
          <w:rFonts w:hint="eastAsia"/>
          <w:sz w:val="21"/>
          <w:szCs w:val="21"/>
        </w:rPr>
        <w:t>（</w:t>
      </w:r>
      <w:r>
        <w:rPr>
          <w:sz w:val="21"/>
          <w:szCs w:val="21"/>
        </w:rPr>
        <w:t>4</w:t>
      </w:r>
      <w:r>
        <w:rPr>
          <w:rFonts w:hint="eastAsia"/>
          <w:sz w:val="21"/>
          <w:szCs w:val="21"/>
        </w:rPr>
        <w:t>）项目详细报价</w:t>
      </w:r>
    </w:p>
    <w:p>
      <w:pPr>
        <w:ind w:left="718" w:firstLine="1418" w:leftChars="342" w:firstLineChars="675"/>
        <w:rPr>
          <w:rFonts w:hint="eastAsia"/>
          <w:sz w:val="21"/>
          <w:szCs w:val="21"/>
          <w:lang w:val="en-US" w:eastAsia="zh-CN"/>
        </w:rPr>
      </w:pPr>
      <w:r>
        <w:rPr>
          <w:rFonts w:hint="eastAsia"/>
          <w:sz w:val="21"/>
          <w:szCs w:val="21"/>
        </w:rPr>
        <w:t>（5）</w:t>
      </w:r>
      <w:r>
        <w:rPr>
          <w:rFonts w:hint="eastAsia"/>
          <w:sz w:val="21"/>
          <w:szCs w:val="21"/>
          <w:lang w:val="en-US" w:eastAsia="zh-CN"/>
        </w:rPr>
        <w:t>主要配置情况</w:t>
      </w:r>
    </w:p>
    <w:p>
      <w:pPr>
        <w:ind w:left="718" w:firstLine="1418" w:leftChars="342" w:firstLineChars="675"/>
        <w:rPr>
          <w:rFonts w:hint="eastAsia"/>
          <w:sz w:val="21"/>
          <w:szCs w:val="21"/>
        </w:rPr>
      </w:pPr>
      <w:r>
        <w:rPr>
          <w:rFonts w:ascii="Times New Roman" w:eastAsia="宋体" w:hAnsi="Times New Roman" w:cs="Times New Roman" w:hint="eastAsia"/>
          <w:sz w:val="21"/>
          <w:szCs w:val="21"/>
          <w:lang w:val="en-US" w:eastAsia="zh-CN"/>
        </w:rPr>
        <w:t>（6）</w:t>
      </w:r>
      <w:r>
        <w:rPr>
          <w:rFonts w:hint="eastAsia"/>
          <w:sz w:val="21"/>
          <w:szCs w:val="21"/>
        </w:rPr>
        <w:t>投标人认为需要加以说明的其他内容（公开）</w:t>
      </w:r>
    </w:p>
    <w:p>
      <w:pPr>
        <w:ind w:left="718" w:firstLine="1418" w:leftChars="342" w:firstLineChars="675"/>
        <w:rPr>
          <w:rFonts w:hint="eastAsia"/>
          <w:sz w:val="21"/>
          <w:szCs w:val="21"/>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jc w:val="both"/>
        <w:rPr>
          <w:sz w:val="21"/>
          <w:szCs w:val="21"/>
        </w:rPr>
      </w:pPr>
      <w:bookmarkEnd w:id="49"/>
      <w:r>
        <w:rPr>
          <w:rFonts w:hint="eastAsia"/>
          <w:sz w:val="21"/>
          <w:szCs w:val="21"/>
        </w:rPr>
        <w:t>（1）法定代表人（负责人）证明书</w:t>
      </w:r>
    </w:p>
    <w:p>
      <w:pPr>
        <w:ind w:firstLine="2100" w:firstLineChars="1000"/>
        <w:jc w:val="both"/>
        <w:rPr>
          <w:sz w:val="21"/>
          <w:szCs w:val="21"/>
        </w:rPr>
      </w:pPr>
      <w:r>
        <w:rPr>
          <w:rFonts w:hint="eastAsia"/>
          <w:sz w:val="21"/>
          <w:szCs w:val="21"/>
        </w:rPr>
        <w:t>（2）投标文件签署授权委托书</w:t>
      </w:r>
    </w:p>
    <w:p>
      <w:pPr>
        <w:ind w:firstLine="2100" w:firstLineChars="1000"/>
        <w:jc w:val="both"/>
        <w:rPr>
          <w:sz w:val="21"/>
          <w:szCs w:val="21"/>
        </w:rPr>
      </w:pPr>
      <w:r>
        <w:rPr>
          <w:rFonts w:hint="eastAsia"/>
          <w:sz w:val="21"/>
          <w:szCs w:val="21"/>
        </w:rPr>
        <w:t>（3）</w:t>
      </w:r>
      <w:r>
        <w:rPr>
          <w:sz w:val="21"/>
          <w:szCs w:val="21"/>
        </w:rPr>
        <w:t>实质性条款响应情况表</w:t>
      </w:r>
    </w:p>
    <w:p>
      <w:pPr>
        <w:ind w:firstLine="2100" w:firstLineChars="1000"/>
        <w:jc w:val="both"/>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（4）技术要求偏离表</w:t>
      </w:r>
    </w:p>
    <w:p>
      <w:pPr>
        <w:ind w:firstLine="2100" w:firstLineChars="1000"/>
        <w:jc w:val="both"/>
        <w:rPr>
          <w:rFonts w:ascii="Times New Roman" w:eastAsia="宋体" w:hAnsi="Times New Roman" w:cs="Times New Roman" w:hint="default"/>
          <w:sz w:val="21"/>
          <w:szCs w:val="21"/>
          <w:lang w:val="en-US" w:eastAsia="zh-CN"/>
        </w:rPr>
      </w:pPr>
      <w:r>
        <w:rPr>
          <w:rFonts w:ascii="Times New Roman" w:eastAsia="宋体" w:hAnsi="Times New Roman" w:cs="Times New Roman" w:hint="eastAsia"/>
          <w:sz w:val="21"/>
          <w:szCs w:val="21"/>
          <w:lang w:val="en-US" w:eastAsia="zh-CN"/>
        </w:rPr>
        <w:t>（5）商务要求偏离表</w:t>
      </w:r>
    </w:p>
    <w:p>
      <w:pPr>
        <w:ind w:firstLine="2100" w:firstLineChars="1000"/>
        <w:jc w:val="both"/>
        <w:rPr>
          <w:sz w:val="21"/>
          <w:szCs w:val="21"/>
        </w:rPr>
      </w:pPr>
      <w:r>
        <w:rPr>
          <w:rFonts w:hint="eastAsia"/>
          <w:sz w:val="21"/>
          <w:szCs w:val="21"/>
        </w:rPr>
        <w:t>（</w:t>
      </w:r>
      <w:r>
        <w:rPr>
          <w:rFonts w:hint="eastAsia"/>
          <w:sz w:val="21"/>
          <w:szCs w:val="21"/>
          <w:lang w:val="en-US" w:eastAsia="zh-CN"/>
        </w:rPr>
        <w:t>6</w:t>
      </w:r>
      <w:r>
        <w:rPr>
          <w:rFonts w:hint="eastAsia"/>
          <w:sz w:val="21"/>
          <w:szCs w:val="21"/>
        </w:rPr>
        <w:t>）</w:t>
      </w:r>
      <w:r>
        <w:rPr>
          <w:rFonts w:ascii="宋体" w:hAnsi="宋体" w:cs="宋体" w:hint="eastAsia"/>
          <w:szCs w:val="21"/>
        </w:rPr>
        <w:t>系统业务需求理解与分析</w:t>
      </w:r>
    </w:p>
    <w:p>
      <w:pPr>
        <w:ind w:firstLine="2100" w:firstLineChars="1000"/>
        <w:jc w:val="both"/>
        <w:rPr>
          <w:sz w:val="21"/>
          <w:szCs w:val="21"/>
        </w:rPr>
      </w:pPr>
      <w:r>
        <w:rPr>
          <w:rFonts w:hint="eastAsia"/>
          <w:sz w:val="21"/>
          <w:szCs w:val="21"/>
        </w:rPr>
        <w:t>（</w:t>
      </w:r>
      <w:r>
        <w:rPr>
          <w:rFonts w:hint="eastAsia"/>
          <w:sz w:val="21"/>
          <w:szCs w:val="21"/>
          <w:lang w:val="en-US" w:eastAsia="zh-CN"/>
        </w:rPr>
        <w:t>7</w:t>
      </w:r>
      <w:r>
        <w:rPr>
          <w:rFonts w:hint="eastAsia"/>
          <w:sz w:val="21"/>
          <w:szCs w:val="21"/>
        </w:rPr>
        <w:t>）投标人认为需要加以说明的其他内容（非公开）</w:t>
      </w:r>
    </w:p>
    <w:p>
      <w:pPr>
        <w:pStyle w:val="NormalIndent"/>
        <w:ind w:left="210" w:firstLine="781" w:leftChars="100" w:firstLineChars="372"/>
        <w:rPr>
          <w:rFonts w:ascii="宋体" w:hAnsi="宋体"/>
          <w:szCs w:val="21"/>
        </w:rPr>
      </w:pPr>
    </w:p>
    <w:p>
      <w:pPr>
        <w:ind w:left="718" w:firstLine="1418" w:leftChars="342" w:firstLineChars="675"/>
        <w:rPr>
          <w:szCs w:val="21"/>
        </w:rPr>
      </w:pPr>
    </w:p>
    <w:p>
      <w:pPr>
        <w:ind w:firstLine="424" w:firstLineChars="202"/>
        <w:rPr>
          <w:rFonts w:ascii="宋体" w:hAnsi="宋体"/>
          <w:b/>
          <w:szCs w:val="21"/>
        </w:rPr>
      </w:pPr>
      <w:bookmarkStart w:id="52"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0" w:firstLineChars="200"/>
        <w:rPr>
          <w:rFonts w:ascii="宋体" w:hAnsi="宋体"/>
          <w:color w:val="FF0000"/>
          <w:sz w:val="24"/>
        </w:rPr>
      </w:pPr>
      <w:bookmarkStart w:id="53" w:name="_Hlk72263559"/>
      <w:r>
        <w:rPr>
          <w:rFonts w:ascii="宋体" w:hAnsi="宋体" w:hint="eastAsia"/>
          <w:b/>
          <w:szCs w:val="21"/>
        </w:rPr>
        <w:t>2.关于填写“开标一览表”的说明：“开标一览表”中除“投标总价”外，其他信息不作评审依据。</w:t>
      </w:r>
      <w:bookmarkEnd w:id="52"/>
      <w:bookmarkEnd w:id="53"/>
    </w:p>
    <w:p>
      <w:pPr>
        <w:rPr>
          <w:rFonts w:ascii="宋体" w:hAnsi="宋体"/>
          <w:color w:val="FF0000"/>
          <w:sz w:val="24"/>
        </w:rPr>
      </w:pPr>
    </w:p>
    <w:p>
      <w:pPr>
        <w:rPr>
          <w:rFonts w:ascii="宋体" w:hAnsi="宋体"/>
          <w:color w:val="FF0000"/>
          <w:sz w:val="24"/>
        </w:rPr>
      </w:pPr>
    </w:p>
    <w:p>
      <w:pPr>
        <w:rPr>
          <w:rFonts w:ascii="宋体" w:hAnsi="宋体" w:hint="eastAsia"/>
          <w:b/>
          <w:color w:val="FF0000"/>
          <w:sz w:val="28"/>
          <w:szCs w:val="28"/>
        </w:rPr>
      </w:pPr>
      <w:r>
        <w:rPr>
          <w:rFonts w:ascii="宋体" w:hAnsi="宋体" w:hint="eastAsia"/>
          <w:b/>
          <w:color w:val="FF0000"/>
          <w:sz w:val="28"/>
          <w:szCs w:val="28"/>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4"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5"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6" w:name="_Hlk72263588"/>
      <w:r>
        <w:rPr>
          <w:rFonts w:hint="eastAsia"/>
          <w:szCs w:val="21"/>
        </w:rPr>
        <w:t>愿意按照招标文件要求承包上述项目并修补其任何缺陷。</w:t>
      </w:r>
      <w:bookmarkEnd w:id="56"/>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7" w:name="_Hlk73819847"/>
      <w:r>
        <w:rPr>
          <w:rFonts w:ascii="宋体" w:hAnsi="宋体" w:hint="eastAsia"/>
          <w:szCs w:val="21"/>
        </w:rPr>
        <w:t>投标价格见</w:t>
      </w:r>
      <w:r>
        <w:rPr>
          <w:rFonts w:hint="eastAsia"/>
          <w:szCs w:val="21"/>
        </w:rPr>
        <w:t>投标书编制软件中《开标一览表》中填写的投标总价。</w:t>
      </w:r>
      <w:bookmarkEnd w:id="57"/>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firstLine="420" w:firstLine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55"/>
    </w:p>
    <w:p>
      <w:pPr>
        <w:ind w:firstLine="420" w:firstLine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firstLine="420" w:firstLineChars="200"/>
        <w:rPr>
          <w:rFonts w:ascii="宋体" w:hAnsi="宋体"/>
          <w:b/>
          <w:szCs w:val="21"/>
        </w:rPr>
      </w:pP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szCs w:val="21"/>
          <w:u w:val="single"/>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eastAsia="宋体" w:hint="eastAsia"/>
          <w:szCs w:val="21"/>
          <w:lang w:eastAsia="zh-CN"/>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rPr>
          <w:rFonts w:ascii="黑体" w:eastAsia="黑体" w:hint="eastAsia"/>
          <w:b w:val="0"/>
          <w:sz w:val="24"/>
        </w:rPr>
      </w:pPr>
      <w:bookmarkEnd w:id="54"/>
      <w:r>
        <w:rPr>
          <w:rFonts w:ascii="黑体" w:eastAsia="黑体" w:hint="eastAsia"/>
          <w:b w:val="0"/>
          <w:sz w:val="24"/>
        </w:rPr>
        <w:br w:type="page"/>
      </w:r>
    </w:p>
    <w:p>
      <w:pPr>
        <w:pStyle w:val="Heading3"/>
        <w:jc w:val="center"/>
        <w:rPr>
          <w:rFonts w:ascii="黑体" w:eastAsia="黑体"/>
          <w:b w:val="0"/>
          <w:sz w:val="24"/>
        </w:rPr>
      </w:pPr>
      <w:r>
        <w:rPr>
          <w:rFonts w:ascii="黑体" w:eastAsia="黑体" w:hint="eastAsia"/>
          <w:b w:val="0"/>
          <w:sz w:val="24"/>
        </w:rPr>
        <w:t>二、政府采购投标及履约承诺函</w:t>
      </w:r>
    </w:p>
    <w:p>
      <w:pPr>
        <w:rPr>
          <w:rFonts w:ascii="宋体" w:hAnsi="宋体"/>
          <w:color w:val="FF0000"/>
          <w:szCs w:val="21"/>
        </w:rPr>
      </w:pPr>
      <w:bookmarkStart w:id="58"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b w:val="0"/>
          <w:bCs/>
        </w:rPr>
      </w:pPr>
      <w:r>
        <w:rPr>
          <w:rFonts w:ascii="宋体" w:hAnsi="宋体" w:cs="宋体" w:hint="eastAsia"/>
          <w:b w:val="0"/>
          <w:bCs/>
          <w:kern w:val="0"/>
          <w:szCs w:val="21"/>
        </w:rPr>
        <w:t>11.</w:t>
      </w:r>
      <w:r>
        <w:rPr>
          <w:rFonts w:ascii="宋体" w:hAnsi="宋体" w:hint="eastAsia"/>
          <w:b w:val="0"/>
          <w:bCs/>
        </w:rPr>
        <w:t>我单位已知悉并同意中标（成交）结果信息公示（公开）的内容。</w:t>
      </w:r>
    </w:p>
    <w:p>
      <w:pPr>
        <w:ind w:firstLine="420" w:firstLineChars="200"/>
        <w:rPr>
          <w:rFonts w:ascii="宋体" w:hAnsi="宋体" w:cs="宋体"/>
          <w:b/>
          <w:kern w:val="0"/>
          <w:szCs w:val="21"/>
        </w:rPr>
      </w:pPr>
      <w:r>
        <w:rPr>
          <w:rFonts w:ascii="宋体" w:hAnsi="宋体" w:hint="eastAsia"/>
          <w:b w:val="0"/>
          <w:bCs/>
        </w:rPr>
        <w:t>12</w:t>
      </w:r>
      <w:r>
        <w:rPr>
          <w:rFonts w:ascii="宋体" w:hAnsi="宋体"/>
          <w:b w:val="0"/>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hint="default"/>
          <w:b/>
          <w:szCs w:val="21"/>
          <w:lang w:val="en-US"/>
        </w:rPr>
      </w:pPr>
      <w:r>
        <w:rPr>
          <w:rFonts w:ascii="宋体" w:hAnsi="宋体" w:hint="eastAsia"/>
          <w:b/>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ind w:firstLine="420" w:firstLineChars="200"/>
        <w:rPr>
          <w:rFonts w:ascii="宋体" w:hAnsi="宋体"/>
        </w:rPr>
      </w:pP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w:t>
      </w:r>
      <w:r>
        <w:rPr>
          <w:rFonts w:ascii="宋体" w:hAnsi="宋体" w:hint="eastAsia"/>
          <w:color w:val="FF0000"/>
          <w:szCs w:val="21"/>
          <w:lang w:val="en-US" w:eastAsia="zh-CN"/>
        </w:rPr>
        <w:t xml:space="preserve">  </w:t>
      </w:r>
      <w:r>
        <w:rPr>
          <w:rFonts w:ascii="宋体" w:hAnsi="宋体" w:hint="eastAsia"/>
          <w:color w:val="FF0000"/>
          <w:szCs w:val="21"/>
        </w:rPr>
        <w:t>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b/>
          <w:szCs w:val="21"/>
        </w:rPr>
      </w:pPr>
      <w:bookmarkEnd w:id="58"/>
    </w:p>
    <w:p>
      <w:pPr>
        <w:ind w:firstLine="420" w:firstLineChars="200"/>
        <w:jc w:val="center"/>
        <w:rPr>
          <w:rFonts w:hAnsi="宋体"/>
          <w:b/>
          <w:bCs/>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9"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rPr>
          <w:b/>
          <w:bCs/>
          <w:sz w:val="24"/>
        </w:rPr>
      </w:pPr>
    </w:p>
    <w:p>
      <w:pPr>
        <w:ind w:firstLine="420" w:firstLineChars="200"/>
        <w:outlineLvl w:val="3"/>
        <w:rPr>
          <w:rFonts w:ascii="黑体" w:eastAsia="黑体" w:hAnsi="宋体"/>
          <w:bCs/>
          <w:kern w:val="0"/>
          <w:sz w:val="24"/>
          <w:szCs w:val="32"/>
        </w:rPr>
      </w:pPr>
      <w:bookmarkStart w:id="60" w:name="_Hlk72257908"/>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bookmarkEnd w:id="59"/>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9"/>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9"/>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9"/>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w:t>
      </w:r>
    </w:p>
    <w:p>
      <w:pPr>
        <w:ind w:firstLine="420" w:firstLineChars="200"/>
        <w:outlineLvl w:val="9"/>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 号）</w:t>
      </w:r>
      <w:r>
        <w:rPr>
          <w:rFonts w:ascii="黑体" w:eastAsia="黑体" w:hAnsi="黑体" w:hint="eastAsia"/>
          <w:color w:val="FF0000"/>
          <w:szCs w:val="21"/>
          <w:lang w:eastAsia="zh-CN"/>
        </w:rPr>
        <w:t>；</w:t>
      </w:r>
    </w:p>
    <w:p>
      <w:pPr>
        <w:ind w:firstLine="420" w:firstLineChars="200"/>
        <w:outlineLvl w:val="9"/>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9"/>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outlineLvl w:val="9"/>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 xml:space="preserve">中小企业声明函（货物） </w:t>
      </w:r>
    </w:p>
    <w:p>
      <w:pPr>
        <w:ind w:firstLine="420" w:firstLineChars="200"/>
        <w:outlineLvl w:val="9"/>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9"/>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9"/>
      </w:pPr>
      <w:bookmarkStart w:id="61" w:name="_Hlk73562203"/>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61"/>
    </w:p>
    <w:p>
      <w:pPr>
        <w:ind w:firstLine="420" w:firstLineChars="200"/>
      </w:pPr>
    </w:p>
    <w:p>
      <w:pPr>
        <w:ind w:firstLine="420" w:firstLineChars="200"/>
      </w:pPr>
    </w:p>
    <w:p>
      <w:pPr>
        <w:jc w:val="center"/>
        <w:outlineLvl w:val="3"/>
        <w:rPr>
          <w:b/>
          <w:sz w:val="24"/>
        </w:rPr>
      </w:pPr>
      <w:r>
        <w:rPr>
          <w:rFonts w:hint="eastAsia"/>
          <w:b/>
          <w:sz w:val="24"/>
        </w:rPr>
        <w:t>2、残疾人福利性单位声明函（货物类）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bookmarkStart w:id="62" w:name="_Hlk73562331"/>
      <w:bookmarkStart w:id="63"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bookmarkEnd w:id="62"/>
    </w:p>
    <w:p>
      <w:pPr>
        <w:ind w:firstLine="420" w:firstLineChars="200"/>
        <w:rPr>
          <w:rFonts w:ascii="宋体" w:hAnsi="宋体"/>
          <w:szCs w:val="21"/>
        </w:rPr>
      </w:pPr>
      <w:bookmarkEnd w:id="63"/>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hint="eastAsia"/>
          <w:szCs w:val="21"/>
        </w:rPr>
      </w:pPr>
      <w:r>
        <w:rPr>
          <w:rFonts w:ascii="宋体" w:hAnsi="宋体" w:hint="eastAsia"/>
          <w:szCs w:val="21"/>
        </w:rPr>
        <w:t>附：省级以上监狱管理局、戒毒管理局（含新疆生产建设兵团）出具的监狱企业证明文件。</w:t>
      </w:r>
      <w:bookmarkEnd w:id="60"/>
    </w:p>
    <w:p>
      <w:pPr>
        <w:pStyle w:val="BodyText2"/>
      </w:pPr>
    </w:p>
    <w:p>
      <w:pPr>
        <w:rPr>
          <w:rFonts w:ascii="黑体" w:eastAsia="黑体" w:hint="eastAsia"/>
          <w:b w:val="0"/>
          <w:sz w:val="24"/>
          <w:szCs w:val="24"/>
        </w:rPr>
      </w:pPr>
      <w:bookmarkStart w:id="64" w:name="_Hlk72259976"/>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pPr w:leftFromText="180" w:rightFromText="180" w:vertAnchor="text" w:horzAnchor="margin" w:tblpY="173"/>
        <w:tblW w:w="94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81"/>
        <w:gridCol w:w="720"/>
        <w:gridCol w:w="2068"/>
        <w:gridCol w:w="785"/>
        <w:gridCol w:w="684"/>
        <w:gridCol w:w="596"/>
        <w:gridCol w:w="731"/>
        <w:gridCol w:w="415"/>
        <w:gridCol w:w="527"/>
        <w:gridCol w:w="534"/>
        <w:gridCol w:w="990"/>
        <w:gridCol w:w="785"/>
      </w:tblGrid>
      <w:tr>
        <w:tblPrEx>
          <w:tblW w:w="94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091"/>
        </w:trPr>
        <w:tc>
          <w:tcPr>
            <w:tcW w:w="581" w:type="dxa"/>
            <w:vAlign w:val="center"/>
          </w:tcPr>
          <w:p>
            <w:pPr>
              <w:jc w:val="center"/>
              <w:rPr>
                <w:bCs/>
                <w:szCs w:val="21"/>
              </w:rPr>
            </w:pPr>
            <w:r>
              <w:rPr>
                <w:rFonts w:hint="eastAsia"/>
                <w:bCs/>
                <w:szCs w:val="21"/>
              </w:rPr>
              <w:t>序号</w:t>
            </w:r>
          </w:p>
        </w:tc>
        <w:tc>
          <w:tcPr>
            <w:tcW w:w="720" w:type="dxa"/>
            <w:vAlign w:val="center"/>
          </w:tcPr>
          <w:p>
            <w:pPr>
              <w:jc w:val="center"/>
              <w:rPr>
                <w:bCs/>
                <w:szCs w:val="21"/>
              </w:rPr>
            </w:pPr>
            <w:r>
              <w:rPr>
                <w:rFonts w:hint="eastAsia"/>
                <w:szCs w:val="21"/>
              </w:rPr>
              <w:t>采购计划编号</w:t>
            </w:r>
          </w:p>
        </w:tc>
        <w:tc>
          <w:tcPr>
            <w:tcW w:w="2068" w:type="dxa"/>
            <w:vAlign w:val="center"/>
          </w:tcPr>
          <w:p>
            <w:pPr>
              <w:jc w:val="center"/>
              <w:rPr>
                <w:bCs/>
                <w:szCs w:val="21"/>
              </w:rPr>
            </w:pPr>
            <w:r>
              <w:rPr>
                <w:rFonts w:hint="eastAsia"/>
                <w:bCs/>
                <w:szCs w:val="21"/>
              </w:rPr>
              <w:t>货物名称</w:t>
            </w:r>
          </w:p>
        </w:tc>
        <w:tc>
          <w:tcPr>
            <w:tcW w:w="785" w:type="dxa"/>
            <w:vAlign w:val="center"/>
          </w:tcPr>
          <w:p>
            <w:pPr>
              <w:jc w:val="center"/>
              <w:rPr>
                <w:bCs/>
                <w:szCs w:val="21"/>
              </w:rPr>
            </w:pPr>
            <w:r>
              <w:rPr>
                <w:rFonts w:hint="eastAsia"/>
                <w:szCs w:val="21"/>
              </w:rPr>
              <w:t>规格/品牌/型号</w:t>
            </w:r>
          </w:p>
        </w:tc>
        <w:tc>
          <w:tcPr>
            <w:tcW w:w="684" w:type="dxa"/>
            <w:vAlign w:val="center"/>
          </w:tcPr>
          <w:p>
            <w:pPr>
              <w:jc w:val="center"/>
              <w:rPr>
                <w:bCs/>
                <w:szCs w:val="21"/>
              </w:rPr>
            </w:pPr>
            <w:r>
              <w:rPr>
                <w:rFonts w:hint="eastAsia"/>
                <w:b/>
                <w:color w:val="FF0000"/>
                <w:szCs w:val="21"/>
              </w:rPr>
              <w:t>原产地</w:t>
            </w:r>
          </w:p>
        </w:tc>
        <w:tc>
          <w:tcPr>
            <w:tcW w:w="596" w:type="dxa"/>
            <w:vAlign w:val="center"/>
          </w:tcPr>
          <w:p>
            <w:pPr>
              <w:jc w:val="center"/>
              <w:rPr>
                <w:bCs/>
                <w:szCs w:val="21"/>
              </w:rPr>
            </w:pPr>
            <w:r>
              <w:rPr>
                <w:rFonts w:hint="eastAsia"/>
                <w:szCs w:val="21"/>
              </w:rPr>
              <w:t>制造商名称</w:t>
            </w:r>
          </w:p>
        </w:tc>
        <w:tc>
          <w:tcPr>
            <w:tcW w:w="731" w:type="dxa"/>
            <w:vAlign w:val="center"/>
          </w:tcPr>
          <w:p>
            <w:pPr>
              <w:jc w:val="center"/>
              <w:rPr>
                <w:bCs/>
                <w:szCs w:val="21"/>
              </w:rPr>
            </w:pPr>
            <w:r>
              <w:rPr>
                <w:rFonts w:hint="eastAsia"/>
                <w:bCs/>
                <w:szCs w:val="21"/>
              </w:rPr>
              <w:t>数量</w:t>
            </w:r>
          </w:p>
        </w:tc>
        <w:tc>
          <w:tcPr>
            <w:tcW w:w="415" w:type="dxa"/>
            <w:vAlign w:val="center"/>
          </w:tcPr>
          <w:p>
            <w:pPr>
              <w:jc w:val="center"/>
              <w:rPr>
                <w:bCs/>
                <w:szCs w:val="21"/>
              </w:rPr>
            </w:pPr>
            <w:r>
              <w:rPr>
                <w:rFonts w:hint="eastAsia"/>
                <w:bCs/>
                <w:szCs w:val="21"/>
              </w:rPr>
              <w:t>单位</w:t>
            </w:r>
          </w:p>
        </w:tc>
        <w:tc>
          <w:tcPr>
            <w:tcW w:w="527" w:type="dxa"/>
            <w:vAlign w:val="center"/>
          </w:tcPr>
          <w:p>
            <w:pPr>
              <w:jc w:val="center"/>
              <w:rPr>
                <w:bCs/>
                <w:szCs w:val="21"/>
              </w:rPr>
            </w:pPr>
            <w:r>
              <w:rPr>
                <w:rFonts w:hint="eastAsia"/>
                <w:szCs w:val="21"/>
              </w:rPr>
              <w:t>单价(元)</w:t>
            </w:r>
          </w:p>
        </w:tc>
        <w:tc>
          <w:tcPr>
            <w:tcW w:w="534" w:type="dxa"/>
            <w:vAlign w:val="center"/>
          </w:tcPr>
          <w:p>
            <w:pPr>
              <w:jc w:val="center"/>
              <w:rPr>
                <w:bCs/>
                <w:szCs w:val="21"/>
              </w:rPr>
            </w:pPr>
            <w:r>
              <w:rPr>
                <w:rFonts w:hint="eastAsia"/>
                <w:szCs w:val="21"/>
              </w:rPr>
              <w:t>合价(元)</w:t>
            </w:r>
          </w:p>
        </w:tc>
        <w:tc>
          <w:tcPr>
            <w:tcW w:w="990" w:type="dxa"/>
            <w:vAlign w:val="center"/>
          </w:tcPr>
          <w:p>
            <w:pPr>
              <w:jc w:val="center"/>
              <w:rPr>
                <w:rFonts w:eastAsia="宋体" w:hint="default"/>
                <w:szCs w:val="21"/>
                <w:highlight w:val="yellow"/>
                <w:lang w:val="en-US" w:eastAsia="zh-CN"/>
              </w:rPr>
            </w:pPr>
            <w:r>
              <w:rPr>
                <w:rFonts w:hint="eastAsia"/>
                <w:szCs w:val="21"/>
                <w:highlight w:val="yellow"/>
                <w:lang w:val="en-US" w:eastAsia="zh-CN"/>
              </w:rPr>
              <w:t>单价限额（万元）</w:t>
            </w:r>
          </w:p>
        </w:tc>
        <w:tc>
          <w:tcPr>
            <w:tcW w:w="785" w:type="dxa"/>
            <w:vAlign w:val="center"/>
          </w:tcPr>
          <w:p>
            <w:pPr>
              <w:jc w:val="center"/>
              <w:rPr>
                <w:szCs w:val="21"/>
              </w:rPr>
            </w:pPr>
            <w:r>
              <w:rPr>
                <w:rFonts w:hint="eastAsia"/>
                <w:szCs w:val="21"/>
              </w:rPr>
              <w:t>财政预算限额（元）</w:t>
            </w:r>
          </w:p>
        </w:tc>
      </w:tr>
      <w:tr>
        <w:tblPrEx>
          <w:tblW w:w="9416" w:type="dxa"/>
          <w:tblInd w:w="0" w:type="dxa"/>
          <w:tblLayout w:type="fixed"/>
          <w:tblCellMar>
            <w:top w:w="0" w:type="dxa"/>
            <w:left w:w="108" w:type="dxa"/>
            <w:bottom w:w="0" w:type="dxa"/>
            <w:right w:w="108" w:type="dxa"/>
          </w:tblCellMar>
        </w:tblPrEx>
        <w:trPr>
          <w:trHeight w:val="574"/>
        </w:trPr>
        <w:tc>
          <w:tcPr>
            <w:tcW w:w="581" w:type="dxa"/>
            <w:vAlign w:val="center"/>
          </w:tcPr>
          <w:p>
            <w:pPr>
              <w:widowControl/>
              <w:jc w:val="center"/>
              <w:textAlignment w:val="center"/>
              <w:rPr>
                <w:rFonts w:ascii="宋体" w:eastAsia="宋体" w:hAnsi="宋体" w:cs="宋体" w:hint="eastAsia"/>
                <w:color w:val="000000"/>
                <w:kern w:val="0"/>
                <w:sz w:val="22"/>
                <w:szCs w:val="22"/>
                <w:lang w:val="en-US" w:eastAsia="zh-CN"/>
              </w:rPr>
            </w:pPr>
            <w:r>
              <w:rPr>
                <w:rFonts w:ascii="宋体" w:hAnsi="宋体" w:cs="宋体" w:hint="eastAsia"/>
                <w:color w:val="000000"/>
                <w:kern w:val="0"/>
                <w:sz w:val="22"/>
                <w:szCs w:val="22"/>
                <w:lang w:val="en-US" w:eastAsia="zh-CN"/>
              </w:rPr>
              <w:t>1</w:t>
            </w:r>
          </w:p>
        </w:tc>
        <w:tc>
          <w:tcPr>
            <w:tcW w:w="720" w:type="dxa"/>
            <w:vAlign w:val="center"/>
          </w:tcPr>
          <w:p>
            <w:pPr>
              <w:jc w:val="center"/>
              <w:rPr>
                <w:rFonts w:eastAsia="宋体" w:hint="default"/>
                <w:bCs/>
                <w:szCs w:val="21"/>
                <w:lang w:val="en-US" w:eastAsia="zh-CN"/>
              </w:rPr>
            </w:pPr>
            <w:r>
              <w:rPr>
                <w:rFonts w:hint="eastAsia"/>
                <w:bCs/>
                <w:szCs w:val="21"/>
                <w:lang w:val="en-US" w:eastAsia="zh-CN"/>
              </w:rPr>
              <w:t xml:space="preserve">  PLAN-2023-440310000-112009-04821</w:t>
            </w:r>
          </w:p>
        </w:tc>
        <w:tc>
          <w:tcPr>
            <w:tcW w:w="2068" w:type="dxa"/>
            <w:vAlign w:val="center"/>
          </w:tcPr>
          <w:p>
            <w:pPr>
              <w:widowControl/>
              <w:jc w:val="center"/>
              <w:textAlignment w:val="center"/>
              <w:rPr>
                <w:rFonts w:ascii="宋体" w:eastAsia="宋体" w:hAnsi="宋体" w:cs="宋体" w:hint="eastAsia"/>
                <w:color w:val="000000"/>
                <w:kern w:val="0"/>
                <w:sz w:val="22"/>
                <w:szCs w:val="22"/>
                <w:lang w:val="en-US" w:eastAsia="zh-CN"/>
              </w:rPr>
            </w:pPr>
            <w:r>
              <w:rPr>
                <w:rFonts w:ascii="宋体" w:hAnsi="宋体" w:hint="eastAsia"/>
                <w:szCs w:val="21"/>
                <w:u w:val="none"/>
              </w:rPr>
              <w:t>冷库</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textAlignment w:val="center"/>
              <w:rPr>
                <w:rFonts w:ascii="宋体" w:eastAsia="宋体" w:hAnsi="宋体" w:cs="宋体" w:hint="eastAsia"/>
                <w:color w:val="000000"/>
                <w:kern w:val="0"/>
                <w:sz w:val="22"/>
                <w:szCs w:val="22"/>
                <w:lang w:val="en-US" w:eastAsia="zh-CN"/>
              </w:rPr>
            </w:pPr>
            <w:r>
              <w:rPr>
                <w:rFonts w:ascii="宋体" w:hAnsi="宋体" w:cs="宋体" w:hint="eastAsia"/>
                <w:color w:val="000000"/>
                <w:kern w:val="0"/>
                <w:sz w:val="22"/>
                <w:szCs w:val="22"/>
              </w:rPr>
              <w:t>1</w:t>
            </w:r>
          </w:p>
        </w:tc>
        <w:tc>
          <w:tcPr>
            <w:tcW w:w="415" w:type="dxa"/>
            <w:vAlign w:val="center"/>
          </w:tcPr>
          <w:p>
            <w:pPr>
              <w:widowControl/>
              <w:jc w:val="center"/>
              <w:textAlignment w:val="center"/>
              <w:rPr>
                <w:rFonts w:ascii="宋体" w:eastAsia="宋体" w:hAnsi="宋体" w:cs="宋体" w:hint="eastAsia"/>
                <w:color w:val="000000"/>
                <w:kern w:val="0"/>
                <w:sz w:val="22"/>
                <w:szCs w:val="22"/>
                <w:lang w:val="en-US" w:eastAsia="zh-CN"/>
              </w:rPr>
            </w:pPr>
            <w:r>
              <w:rPr>
                <w:rFonts w:ascii="宋体" w:hAnsi="宋体" w:cs="宋体" w:hint="eastAsia"/>
                <w:color w:val="000000"/>
                <w:kern w:val="0"/>
                <w:sz w:val="22"/>
                <w:szCs w:val="22"/>
              </w:rPr>
              <w:t>套</w:t>
            </w:r>
          </w:p>
        </w:tc>
        <w:tc>
          <w:tcPr>
            <w:tcW w:w="527" w:type="dxa"/>
            <w:vAlign w:val="center"/>
          </w:tcPr>
          <w:p>
            <w:pPr>
              <w:jc w:val="center"/>
              <w:rPr>
                <w:bCs/>
                <w:szCs w:val="21"/>
              </w:rPr>
            </w:pPr>
          </w:p>
        </w:tc>
        <w:tc>
          <w:tcPr>
            <w:tcW w:w="534" w:type="dxa"/>
            <w:vAlign w:val="center"/>
          </w:tcPr>
          <w:p>
            <w:pPr>
              <w:jc w:val="center"/>
              <w:rPr>
                <w:bCs/>
                <w:szCs w:val="21"/>
              </w:rPr>
            </w:pPr>
          </w:p>
        </w:tc>
        <w:tc>
          <w:tcPr>
            <w:tcW w:w="990" w:type="dxa"/>
            <w:vAlign w:val="center"/>
          </w:tcPr>
          <w:p>
            <w:pPr>
              <w:widowControl/>
              <w:jc w:val="center"/>
              <w:textAlignment w:val="center"/>
              <w:rPr>
                <w:rFonts w:ascii="宋体" w:eastAsia="宋体" w:hAnsi="宋体" w:cs="宋体" w:hint="eastAsia"/>
                <w:color w:val="000000"/>
                <w:kern w:val="0"/>
                <w:sz w:val="22"/>
                <w:szCs w:val="22"/>
                <w:lang w:val="en-US" w:eastAsia="zh-CN"/>
              </w:rPr>
            </w:pPr>
            <w:r>
              <w:rPr>
                <w:rFonts w:ascii="宋体" w:hAnsi="宋体" w:cs="宋体" w:hint="eastAsia"/>
                <w:color w:val="000000"/>
                <w:kern w:val="0"/>
                <w:sz w:val="22"/>
                <w:szCs w:val="22"/>
              </w:rPr>
              <w:t>2</w:t>
            </w:r>
            <w:r>
              <w:rPr>
                <w:rFonts w:ascii="宋体" w:hAnsi="宋体" w:cs="宋体" w:hint="eastAsia"/>
                <w:color w:val="000000"/>
                <w:kern w:val="0"/>
                <w:sz w:val="22"/>
                <w:szCs w:val="22"/>
                <w:lang w:val="en-US" w:eastAsia="zh-CN"/>
              </w:rPr>
              <w:t>0</w:t>
            </w:r>
          </w:p>
        </w:tc>
        <w:tc>
          <w:tcPr>
            <w:tcW w:w="785" w:type="dxa"/>
            <w:vAlign w:val="center"/>
          </w:tcPr>
          <w:p>
            <w:pPr>
              <w:jc w:val="center"/>
              <w:rPr>
                <w:rFonts w:eastAsia="宋体" w:hint="default"/>
                <w:b/>
                <w:bCs/>
                <w:szCs w:val="21"/>
                <w:highlight w:val="yellow"/>
                <w:lang w:val="en-US" w:eastAsia="zh-CN"/>
              </w:rPr>
            </w:pPr>
            <w:r>
              <w:rPr>
                <w:rFonts w:hint="eastAsia"/>
                <w:bCs/>
                <w:color w:val="FF0000"/>
                <w:szCs w:val="21"/>
                <w:lang w:val="en-US" w:eastAsia="zh-CN"/>
              </w:rPr>
              <w:t xml:space="preserve">  200000</w:t>
            </w:r>
          </w:p>
        </w:tc>
      </w:tr>
      <w:tr>
        <w:tblPrEx>
          <w:tblW w:w="9416" w:type="dxa"/>
          <w:tblInd w:w="0" w:type="dxa"/>
          <w:tblLayout w:type="fixed"/>
          <w:tblCellMar>
            <w:top w:w="0" w:type="dxa"/>
            <w:left w:w="108" w:type="dxa"/>
            <w:bottom w:w="0" w:type="dxa"/>
            <w:right w:w="108" w:type="dxa"/>
          </w:tblCellMar>
        </w:tblPrEx>
        <w:trPr>
          <w:trHeight w:val="466"/>
        </w:trPr>
        <w:tc>
          <w:tcPr>
            <w:tcW w:w="8631" w:type="dxa"/>
            <w:gridSpan w:val="11"/>
          </w:tcPr>
          <w:p>
            <w:pPr>
              <w:rPr>
                <w:rFonts w:hint="eastAsia"/>
                <w:bCs/>
                <w:szCs w:val="21"/>
              </w:rPr>
            </w:pPr>
            <w:r>
              <w:rPr>
                <w:rFonts w:hint="eastAsia"/>
                <w:bCs/>
                <w:szCs w:val="21"/>
              </w:rPr>
              <w:t xml:space="preserve">合计（即投标总价；币种：人民币；单位：元） 小写：    </w:t>
            </w:r>
            <w:r>
              <w:rPr>
                <w:bCs/>
                <w:szCs w:val="21"/>
              </w:rPr>
              <w:t xml:space="preserve">       </w:t>
            </w:r>
            <w:r>
              <w:rPr>
                <w:rFonts w:hint="eastAsia"/>
                <w:bCs/>
                <w:szCs w:val="21"/>
              </w:rPr>
              <w:t>大写：</w:t>
            </w:r>
          </w:p>
        </w:tc>
        <w:tc>
          <w:tcPr>
            <w:tcW w:w="785" w:type="dxa"/>
          </w:tcPr>
          <w:p>
            <w:pPr>
              <w:rPr>
                <w:rFonts w:hint="eastAsia"/>
                <w:bCs/>
                <w:szCs w:val="21"/>
              </w:rPr>
            </w:pPr>
          </w:p>
        </w:tc>
      </w:tr>
    </w:tbl>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如所投货物属于定制类的非量产货物或无具体品牌、型号的货物，可以在“规格/品牌/型号”一栏仅填写规格信息而不填写品牌、型号等信息（品牌、型号信息用“定制”描述即可）；</w:t>
      </w:r>
      <w:bookmarkStart w:id="65" w:name="_Hlk73646428"/>
      <w:r>
        <w:rPr>
          <w:rFonts w:ascii="宋体" w:hAnsi="宋体" w:hint="eastAsia"/>
          <w:b/>
          <w:sz w:val="24"/>
        </w:rPr>
        <w:t>此类填写错误（所投货物为定制类的非量产货物但供应商却错误填报了品牌、型号）的不利后果由供应商承担，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65"/>
    </w:p>
    <w:p>
      <w:pPr>
        <w:ind w:firstLine="412" w:firstLineChars="196"/>
        <w:rPr>
          <w:rFonts w:ascii="宋体" w:hAnsi="宋体"/>
          <w:b/>
          <w:sz w:val="24"/>
        </w:rPr>
      </w:pPr>
      <w:r>
        <w:rPr>
          <w:rFonts w:ascii="宋体" w:hAnsi="宋体"/>
          <w:b/>
          <w:sz w:val="24"/>
        </w:rPr>
        <w:t>3</w:t>
      </w:r>
      <w:r>
        <w:rPr>
          <w:rFonts w:ascii="宋体" w:hAnsi="宋体" w:hint="eastAsia"/>
          <w:b/>
          <w:sz w:val="24"/>
        </w:rPr>
        <w:t>.</w:t>
      </w:r>
      <w:bookmarkStart w:id="66" w:name="_Hlk72074795"/>
      <w:r>
        <w:rPr>
          <w:rFonts w:ascii="宋体" w:hAnsi="宋体" w:hint="eastAsia"/>
          <w:b/>
          <w:sz w:val="24"/>
        </w:rPr>
        <w:t>“原产地”是指该货物的实际生产加工地，而非品牌总公司所在地</w:t>
      </w:r>
      <w:bookmarkEnd w:id="66"/>
      <w:r>
        <w:rPr>
          <w:rFonts w:ascii="宋体" w:hAnsi="宋体" w:hint="eastAsia"/>
          <w:b/>
          <w:sz w:val="24"/>
        </w:rPr>
        <w:t>。</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hAnsi="宋体"/>
          <w:sz w:val="24"/>
        </w:rPr>
      </w:pPr>
      <w:r>
        <w:rPr>
          <w:rFonts w:ascii="宋体" w:hAnsi="宋体" w:hint="eastAsia"/>
          <w:sz w:val="24"/>
        </w:rPr>
        <w:t>备注：招标文件未列明核心产品的，无需填写该项。</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jc w:val="center"/>
        <w:rPr>
          <w:rFonts w:hint="eastAsia"/>
          <w:b/>
          <w:sz w:val="24"/>
          <w:szCs w:val="24"/>
        </w:rPr>
      </w:pPr>
      <w:r>
        <w:rPr>
          <w:rFonts w:hint="eastAsia"/>
          <w:b/>
          <w:sz w:val="24"/>
          <w:szCs w:val="24"/>
        </w:rPr>
        <w:t>（三）设备的备品（件）、耗材价格一览表</w:t>
      </w:r>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940"/>
        <w:gridCol w:w="2540"/>
        <w:gridCol w:w="1114"/>
        <w:gridCol w:w="1119"/>
        <w:gridCol w:w="1354"/>
        <w:gridCol w:w="1354"/>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510"/>
          <w:jc w:val="center"/>
        </w:trPr>
        <w:tc>
          <w:tcPr>
            <w:tcW w:w="558"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序号</w:t>
            </w:r>
          </w:p>
        </w:tc>
        <w:tc>
          <w:tcPr>
            <w:tcW w:w="1507"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备品（件）、耗材名称</w:t>
            </w:r>
          </w:p>
        </w:tc>
        <w:tc>
          <w:tcPr>
            <w:tcW w:w="661" w:type="pct"/>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数量</w:t>
            </w:r>
          </w:p>
        </w:tc>
        <w:tc>
          <w:tcPr>
            <w:tcW w:w="664" w:type="pct"/>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单位</w:t>
            </w:r>
          </w:p>
        </w:tc>
        <w:tc>
          <w:tcPr>
            <w:tcW w:w="803" w:type="pct"/>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单价(元)</w:t>
            </w:r>
          </w:p>
        </w:tc>
        <w:tc>
          <w:tcPr>
            <w:tcW w:w="803" w:type="pct"/>
            <w:vAlign w:val="center"/>
          </w:tcPr>
          <w:p>
            <w:pPr>
              <w:widowControl/>
              <w:spacing w:line="300" w:lineRule="exact"/>
              <w:jc w:val="center"/>
              <w:rPr>
                <w:rFonts w:ascii="仿宋" w:eastAsia="仿宋" w:hAnsi="仿宋" w:cs="仿宋" w:hint="default"/>
                <w:kern w:val="0"/>
                <w:sz w:val="24"/>
                <w:szCs w:val="24"/>
                <w:highlight w:val="yellow"/>
                <w:lang w:val="en-US" w:eastAsia="zh-CN"/>
              </w:rPr>
            </w:pPr>
            <w:r>
              <w:rPr>
                <w:rFonts w:ascii="仿宋" w:eastAsia="仿宋" w:hAnsi="仿宋" w:cs="仿宋" w:hint="eastAsia"/>
                <w:kern w:val="0"/>
                <w:sz w:val="24"/>
                <w:szCs w:val="24"/>
                <w:highlight w:val="yellow"/>
                <w:lang w:val="en-US" w:eastAsia="zh-CN"/>
              </w:rPr>
              <w:t>小计（元）</w:t>
            </w:r>
          </w:p>
        </w:tc>
      </w:tr>
      <w:tr>
        <w:tblPrEx>
          <w:tblW w:w="4997" w:type="pct"/>
          <w:jc w:val="center"/>
          <w:tblCellMar>
            <w:top w:w="0" w:type="dxa"/>
            <w:left w:w="0" w:type="dxa"/>
            <w:bottom w:w="0" w:type="dxa"/>
            <w:right w:w="0" w:type="dxa"/>
          </w:tblCellMar>
        </w:tblPrEx>
        <w:trPr>
          <w:trHeight w:val="510"/>
          <w:jc w:val="center"/>
        </w:trPr>
        <w:tc>
          <w:tcPr>
            <w:tcW w:w="558"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1</w:t>
            </w:r>
          </w:p>
        </w:tc>
        <w:tc>
          <w:tcPr>
            <w:tcW w:w="1507"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p>
        </w:tc>
        <w:tc>
          <w:tcPr>
            <w:tcW w:w="661" w:type="pct"/>
            <w:vAlign w:val="center"/>
          </w:tcPr>
          <w:p>
            <w:pPr>
              <w:widowControl/>
              <w:spacing w:line="300" w:lineRule="exact"/>
              <w:jc w:val="center"/>
              <w:rPr>
                <w:rFonts w:ascii="仿宋" w:eastAsia="仿宋" w:hAnsi="仿宋" w:cs="仿宋" w:hint="eastAsia"/>
                <w:kern w:val="0"/>
                <w:sz w:val="24"/>
                <w:szCs w:val="24"/>
                <w:highlight w:val="yellow"/>
              </w:rPr>
            </w:pPr>
          </w:p>
        </w:tc>
        <w:tc>
          <w:tcPr>
            <w:tcW w:w="664" w:type="pct"/>
            <w:vAlign w:val="center"/>
          </w:tcPr>
          <w:p>
            <w:pPr>
              <w:widowControl/>
              <w:spacing w:line="300" w:lineRule="exact"/>
              <w:jc w:val="center"/>
              <w:rPr>
                <w:rFonts w:ascii="仿宋" w:eastAsia="仿宋" w:hAnsi="仿宋" w:cs="仿宋" w:hint="eastAsia"/>
                <w:kern w:val="0"/>
                <w:sz w:val="24"/>
                <w:szCs w:val="24"/>
                <w:highlight w:val="yellow"/>
              </w:rPr>
            </w:pPr>
          </w:p>
        </w:tc>
        <w:tc>
          <w:tcPr>
            <w:tcW w:w="803" w:type="pct"/>
            <w:vAlign w:val="center"/>
          </w:tcPr>
          <w:p>
            <w:pPr>
              <w:widowControl/>
              <w:spacing w:line="300" w:lineRule="exact"/>
              <w:jc w:val="center"/>
              <w:rPr>
                <w:rFonts w:ascii="仿宋" w:eastAsia="仿宋" w:hAnsi="仿宋" w:cs="仿宋" w:hint="eastAsia"/>
                <w:kern w:val="0"/>
                <w:sz w:val="24"/>
                <w:szCs w:val="24"/>
                <w:highlight w:val="yellow"/>
              </w:rPr>
            </w:pPr>
          </w:p>
        </w:tc>
        <w:tc>
          <w:tcPr>
            <w:tcW w:w="803" w:type="pct"/>
            <w:vAlign w:val="center"/>
          </w:tcPr>
          <w:p>
            <w:pPr>
              <w:widowControl/>
              <w:spacing w:line="300" w:lineRule="exact"/>
              <w:jc w:val="center"/>
              <w:rPr>
                <w:rFonts w:ascii="仿宋" w:eastAsia="仿宋" w:hAnsi="仿宋" w:cs="仿宋" w:hint="eastAsia"/>
                <w:kern w:val="0"/>
                <w:sz w:val="24"/>
                <w:szCs w:val="24"/>
                <w:highlight w:val="yellow"/>
              </w:rPr>
            </w:pPr>
          </w:p>
        </w:tc>
      </w:tr>
    </w:tbl>
    <w:p>
      <w:pPr>
        <w:ind w:firstLine="420" w:firstLineChars="200"/>
        <w:rPr>
          <w:rFonts w:hAnsi="宋体"/>
          <w:b/>
          <w:bCs/>
          <w:sz w:val="24"/>
          <w:szCs w:val="24"/>
        </w:rPr>
      </w:pPr>
      <w:r>
        <w:rPr>
          <w:rFonts w:ascii="仿宋" w:eastAsia="仿宋" w:hAnsi="仿宋" w:cs="仿宋" w:hint="eastAsia"/>
          <w:sz w:val="24"/>
          <w:szCs w:val="24"/>
          <w:highlight w:val="yellow"/>
        </w:rPr>
        <w:t>备注：本表格仅为指导性范本，由供应商根据所选用的投标产品的具体情况对此表进行调整，提供更详尽的备品（件）、耗材优惠价格，另外供应商提供的单价将作为供应商合同履行的依据，即在合同履行期间，供应商所提供的备品（件）、耗材单价不高于上述表格的报价。若供应商所提供的备品（件）、耗材单价高于上述表格的报价，采购人有权自主选择是否采购。</w:t>
      </w:r>
    </w:p>
    <w:p>
      <w:pPr>
        <w:ind w:firstLine="420" w:firstLineChars="200"/>
        <w:rPr>
          <w:rFonts w:hAnsi="宋体"/>
          <w:b/>
          <w:bCs/>
          <w:sz w:val="24"/>
        </w:rPr>
      </w:pPr>
    </w:p>
    <w:p>
      <w:pPr>
        <w:ind w:firstLine="420" w:firstLineChars="200"/>
        <w:rPr>
          <w:rFonts w:hAnsi="宋体"/>
          <w:b/>
          <w:bCs/>
          <w:sz w:val="24"/>
        </w:rPr>
      </w:pPr>
    </w:p>
    <w:p>
      <w:pPr>
        <w:numPr>
          <w:ilvl w:val="0"/>
          <w:numId w:val="9"/>
        </w:numPr>
        <w:tabs>
          <w:tab w:val="left" w:pos="720"/>
        </w:tabs>
        <w:jc w:val="center"/>
        <w:rPr>
          <w:rFonts w:hint="eastAsia"/>
          <w:b/>
          <w:sz w:val="24"/>
        </w:rPr>
      </w:pPr>
      <w:bookmarkStart w:id="67" w:name="_Hlk72073235"/>
      <w:r>
        <w:rPr>
          <w:rFonts w:hint="eastAsia"/>
          <w:b/>
          <w:sz w:val="24"/>
        </w:rPr>
        <w:t>投标人认为需要涉及的其他内容报价清单</w:t>
      </w:r>
      <w:bookmarkEnd w:id="67"/>
    </w:p>
    <w:p>
      <w:pPr>
        <w:widowControl w:val="0"/>
        <w:numPr>
          <w:ilvl w:val="0"/>
          <w:numId w:val="0"/>
        </w:numPr>
        <w:tabs>
          <w:tab w:val="left" w:pos="720"/>
        </w:tabs>
        <w:jc w:val="center"/>
        <w:rPr>
          <w:rFonts w:hint="eastAsia"/>
          <w:b/>
          <w:sz w:val="24"/>
        </w:rPr>
      </w:pPr>
    </w:p>
    <w:p>
      <w:pPr>
        <w:widowControl w:val="0"/>
        <w:numPr>
          <w:ilvl w:val="0"/>
          <w:numId w:val="0"/>
        </w:numPr>
        <w:tabs>
          <w:tab w:val="left" w:pos="720"/>
        </w:tabs>
        <w:jc w:val="center"/>
        <w:rPr>
          <w:rFonts w:hint="eastAsia"/>
          <w:b/>
          <w:sz w:val="24"/>
        </w:rPr>
      </w:pPr>
    </w:p>
    <w:p>
      <w:pPr>
        <w:ind w:left="718" w:firstLine="1418" w:leftChars="342" w:firstLineChars="675"/>
        <w:rPr>
          <w:rFonts w:ascii="黑体" w:eastAsia="黑体" w:hAnsi="宋体" w:cs="Times New Roman" w:hint="default"/>
          <w:kern w:val="0"/>
          <w:sz w:val="24"/>
          <w:szCs w:val="24"/>
          <w:lang w:val="en-US" w:eastAsia="zh-CN" w:bidi="ar-SA"/>
        </w:rPr>
      </w:pPr>
      <w:r>
        <w:rPr>
          <w:rFonts w:ascii="黑体" w:eastAsia="黑体" w:hAnsi="宋体" w:cs="Times New Roman" w:hint="eastAsia"/>
          <w:kern w:val="0"/>
          <w:sz w:val="24"/>
          <w:szCs w:val="24"/>
          <w:lang w:val="en-US" w:eastAsia="zh-CN" w:bidi="ar-SA"/>
        </w:rPr>
        <w:t>五、主要配置情况</w:t>
      </w:r>
    </w:p>
    <w:p>
      <w:pPr>
        <w:keepNext w:val="0"/>
        <w:keepLines w:val="0"/>
        <w:pageBreakBefore w:val="0"/>
        <w:kinsoku/>
        <w:wordWrap/>
        <w:overflowPunct/>
        <w:topLinePunct w:val="0"/>
        <w:autoSpaceDE/>
        <w:autoSpaceDN/>
        <w:bidi w:val="0"/>
        <w:adjustRightInd/>
        <w:snapToGrid/>
        <w:spacing w:line="240" w:lineRule="auto"/>
        <w:ind w:left="0" w:firstLine="0"/>
        <w:jc w:val="both"/>
        <w:rPr>
          <w:rFonts w:ascii="宋体" w:eastAsia="宋体" w:hAnsi="宋体" w:cs="宋体" w:hint="eastAsia"/>
          <w:b w:val="0"/>
          <w:bCs w:val="0"/>
          <w:sz w:val="21"/>
          <w:szCs w:val="21"/>
          <w:lang w:val="en-US" w:eastAsia="zh-CN"/>
        </w:rPr>
      </w:pPr>
    </w:p>
    <w:p>
      <w:pPr>
        <w:rPr>
          <w:rFonts w:ascii="宋体" w:eastAsia="宋体" w:hAnsi="宋体" w:cs="宋体" w:hint="eastAsia"/>
          <w:b/>
          <w:bCs/>
          <w:sz w:val="21"/>
          <w:szCs w:val="21"/>
        </w:rPr>
      </w:pPr>
      <w:r>
        <w:rPr>
          <w:rFonts w:ascii="宋体" w:eastAsia="宋体" w:hAnsi="宋体" w:cs="宋体" w:hint="eastAsia"/>
          <w:b/>
          <w:bCs/>
          <w:color w:val="000000"/>
          <w:kern w:val="0"/>
          <w:sz w:val="21"/>
          <w:szCs w:val="21"/>
          <w:lang w:val="en-US" w:eastAsia="zh-CN"/>
        </w:rPr>
        <w:t>1</w:t>
      </w:r>
      <w:r>
        <w:rPr>
          <w:rFonts w:ascii="宋体" w:eastAsia="宋体" w:hAnsi="宋体" w:cs="宋体" w:hint="eastAsia"/>
          <w:b/>
          <w:bCs/>
          <w:color w:val="000000"/>
          <w:kern w:val="0"/>
          <w:sz w:val="21"/>
          <w:szCs w:val="21"/>
        </w:rPr>
        <w:t>. 荧光定量PCR仪</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24"/>
        <w:gridCol w:w="1679"/>
        <w:gridCol w:w="1059"/>
        <w:gridCol w:w="1039"/>
        <w:gridCol w:w="1525"/>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hRule="exact" w:val="560"/>
          <w:jc w:val="center"/>
        </w:trPr>
        <w:tc>
          <w:tcPr>
            <w:tcW w:w="1890" w:type="pct"/>
            <w:noWrap w:val="0"/>
            <w:vAlign w:val="center"/>
          </w:tcPr>
          <w:p>
            <w:pPr>
              <w:jc w:val="center"/>
              <w:rPr>
                <w:rFonts w:ascii="宋体" w:eastAsia="宋体" w:hAnsi="宋体" w:cs="宋体" w:hint="eastAsia"/>
                <w:sz w:val="21"/>
                <w:szCs w:val="21"/>
              </w:rPr>
            </w:pPr>
            <w:r>
              <w:rPr>
                <w:rFonts w:ascii="宋体" w:eastAsia="宋体" w:hAnsi="宋体" w:cs="宋体" w:hint="eastAsia"/>
                <w:sz w:val="21"/>
                <w:szCs w:val="21"/>
              </w:rPr>
              <w:t>名  称</w:t>
            </w:r>
          </w:p>
        </w:tc>
        <w:tc>
          <w:tcPr>
            <w:tcW w:w="984" w:type="pct"/>
            <w:noWrap w:val="0"/>
            <w:vAlign w:val="center"/>
          </w:tcPr>
          <w:p>
            <w:pPr>
              <w:jc w:val="center"/>
              <w:rPr>
                <w:rFonts w:ascii="宋体" w:eastAsia="宋体" w:hAnsi="宋体" w:cs="宋体" w:hint="eastAsia"/>
                <w:sz w:val="21"/>
                <w:szCs w:val="21"/>
              </w:rPr>
            </w:pPr>
            <w:r>
              <w:rPr>
                <w:b/>
                <w:bCs/>
                <w:color w:val="000000"/>
              </w:rPr>
              <w:t>对应投标配置名称</w:t>
            </w:r>
          </w:p>
        </w:tc>
        <w:tc>
          <w:tcPr>
            <w:tcW w:w="621" w:type="pct"/>
            <w:noWrap w:val="0"/>
            <w:vAlign w:val="center"/>
          </w:tcPr>
          <w:p>
            <w:pPr>
              <w:jc w:val="center"/>
              <w:rPr>
                <w:rFonts w:ascii="宋体" w:eastAsia="宋体" w:hAnsi="宋体" w:cs="宋体" w:hint="eastAsia"/>
                <w:sz w:val="21"/>
                <w:szCs w:val="21"/>
              </w:rPr>
            </w:pPr>
            <w:r>
              <w:rPr>
                <w:rFonts w:ascii="宋体" w:eastAsia="宋体" w:hAnsi="宋体" w:cs="宋体" w:hint="eastAsia"/>
                <w:sz w:val="21"/>
                <w:szCs w:val="21"/>
              </w:rPr>
              <w:t>单位</w:t>
            </w:r>
          </w:p>
        </w:tc>
        <w:tc>
          <w:tcPr>
            <w:tcW w:w="609" w:type="pct"/>
            <w:noWrap w:val="0"/>
            <w:vAlign w:val="center"/>
          </w:tcPr>
          <w:p>
            <w:pPr>
              <w:jc w:val="center"/>
              <w:rPr>
                <w:rFonts w:ascii="宋体" w:eastAsia="宋体" w:hAnsi="宋体" w:cs="宋体" w:hint="eastAsia"/>
                <w:sz w:val="21"/>
                <w:szCs w:val="21"/>
              </w:rPr>
            </w:pPr>
            <w:r>
              <w:rPr>
                <w:rFonts w:ascii="宋体" w:eastAsia="宋体" w:hAnsi="宋体" w:cs="宋体" w:hint="eastAsia"/>
                <w:sz w:val="21"/>
                <w:szCs w:val="21"/>
              </w:rPr>
              <w:t>数  量</w:t>
            </w:r>
          </w:p>
        </w:tc>
        <w:tc>
          <w:tcPr>
            <w:tcW w:w="894" w:type="pct"/>
            <w:noWrap w:val="0"/>
            <w:vAlign w:val="center"/>
          </w:tcPr>
          <w:p>
            <w:pPr>
              <w:jc w:val="center"/>
              <w:rPr>
                <w:rFonts w:ascii="宋体" w:eastAsia="宋体" w:hAnsi="宋体" w:cs="宋体" w:hint="eastAsia"/>
                <w:sz w:val="21"/>
                <w:szCs w:val="21"/>
              </w:rPr>
            </w:pPr>
            <w:r>
              <w:rPr>
                <w:b/>
                <w:bCs/>
                <w:color w:val="000000"/>
              </w:rPr>
              <w:t>品牌及规格型号</w:t>
            </w: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1. 冷库板（保障冷库的实际需求为准）</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平方米</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≥100</w:t>
            </w:r>
          </w:p>
        </w:tc>
        <w:tc>
          <w:tcPr>
            <w:tcW w:w="894" w:type="pct"/>
            <w:noWrap w:val="0"/>
            <w:vAlign w:val="center"/>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2. 冷库门</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t>套</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t>1</w:t>
            </w:r>
          </w:p>
        </w:tc>
        <w:tc>
          <w:tcPr>
            <w:tcW w:w="894" w:type="pct"/>
            <w:noWrap w:val="0"/>
            <w:vAlign w:val="top"/>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3.制冷机组</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套</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2</w:t>
            </w:r>
          </w:p>
        </w:tc>
        <w:tc>
          <w:tcPr>
            <w:tcW w:w="894" w:type="pct"/>
            <w:noWrap w:val="0"/>
            <w:vAlign w:val="top"/>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4.蒸发器</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套</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2</w:t>
            </w:r>
          </w:p>
        </w:tc>
        <w:tc>
          <w:tcPr>
            <w:tcW w:w="894" w:type="pct"/>
            <w:noWrap w:val="0"/>
            <w:vAlign w:val="top"/>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5.控制箱</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套</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1</w:t>
            </w:r>
          </w:p>
        </w:tc>
        <w:tc>
          <w:tcPr>
            <w:tcW w:w="894" w:type="pct"/>
            <w:noWrap w:val="0"/>
            <w:vAlign w:val="top"/>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6.监控</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套</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1</w:t>
            </w:r>
          </w:p>
        </w:tc>
        <w:tc>
          <w:tcPr>
            <w:tcW w:w="894" w:type="pct"/>
            <w:noWrap w:val="0"/>
            <w:vAlign w:val="top"/>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7.冷库灯</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盏</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4</w:t>
            </w:r>
          </w:p>
        </w:tc>
        <w:tc>
          <w:tcPr>
            <w:tcW w:w="894" w:type="pct"/>
            <w:noWrap w:val="0"/>
            <w:vAlign w:val="top"/>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34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8.制冷剂</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套</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2</w:t>
            </w:r>
          </w:p>
        </w:tc>
        <w:tc>
          <w:tcPr>
            <w:tcW w:w="894" w:type="pct"/>
            <w:noWrap w:val="0"/>
            <w:vAlign w:val="top"/>
          </w:tcPr>
          <w:p>
            <w:pPr>
              <w:jc w:val="center"/>
              <w:rPr>
                <w:rFonts w:ascii="宋体" w:eastAsia="宋体" w:hAnsi="宋体" w:cs="宋体" w:hint="eastAsia"/>
                <w:sz w:val="21"/>
                <w:szCs w:val="21"/>
              </w:rPr>
            </w:pPr>
          </w:p>
        </w:tc>
      </w:tr>
      <w:tr>
        <w:tblPrEx>
          <w:tblW w:w="4998" w:type="pct"/>
          <w:jc w:val="center"/>
          <w:tblCellMar>
            <w:top w:w="0" w:type="dxa"/>
            <w:left w:w="108" w:type="dxa"/>
            <w:bottom w:w="0" w:type="dxa"/>
            <w:right w:w="108" w:type="dxa"/>
          </w:tblCellMar>
        </w:tblPrEx>
        <w:trPr>
          <w:trHeight w:hRule="exact" w:val="530"/>
          <w:jc w:val="center"/>
        </w:trPr>
        <w:tc>
          <w:tcPr>
            <w:tcW w:w="1890" w:type="pct"/>
            <w:noWrap w:val="0"/>
            <w:vAlign w:val="center"/>
          </w:tcPr>
          <w:p>
            <w:pPr>
              <w:rPr>
                <w:rFonts w:ascii="Times New Roman" w:eastAsia="宋体" w:hAnsi="Times New Roman" w:cs="Times New Roman" w:hint="eastAsia"/>
                <w:kern w:val="2"/>
                <w:sz w:val="21"/>
                <w:szCs w:val="24"/>
                <w:lang w:val="en-US" w:eastAsia="zh-CN" w:bidi="ar-SA"/>
              </w:rPr>
            </w:pPr>
            <w:r>
              <w:rPr>
                <w:rFonts w:hint="eastAsia"/>
              </w:rPr>
              <w:t>9.安装辅材（含不限于铜管线缆等）</w:t>
            </w:r>
          </w:p>
        </w:tc>
        <w:tc>
          <w:tcPr>
            <w:tcW w:w="984" w:type="pct"/>
            <w:noWrap w:val="0"/>
            <w:vAlign w:val="center"/>
          </w:tcPr>
          <w:p>
            <w:pPr>
              <w:jc w:val="center"/>
              <w:rPr>
                <w:rFonts w:ascii="宋体" w:eastAsia="宋体" w:hAnsi="宋体" w:cs="宋体" w:hint="eastAsia"/>
                <w:sz w:val="21"/>
                <w:szCs w:val="21"/>
              </w:rPr>
            </w:pPr>
          </w:p>
        </w:tc>
        <w:tc>
          <w:tcPr>
            <w:tcW w:w="621"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套</w:t>
            </w:r>
          </w:p>
        </w:tc>
        <w:tc>
          <w:tcPr>
            <w:tcW w:w="609" w:type="pct"/>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2</w:t>
            </w:r>
          </w:p>
        </w:tc>
        <w:tc>
          <w:tcPr>
            <w:tcW w:w="894" w:type="pct"/>
            <w:noWrap w:val="0"/>
            <w:vAlign w:val="top"/>
          </w:tcPr>
          <w:p>
            <w:pPr>
              <w:jc w:val="center"/>
              <w:rPr>
                <w:rFonts w:ascii="宋体" w:eastAsia="宋体" w:hAnsi="宋体" w:cs="宋体" w:hint="eastAsia"/>
                <w:sz w:val="21"/>
                <w:szCs w:val="21"/>
              </w:rPr>
            </w:pPr>
          </w:p>
        </w:tc>
      </w:tr>
    </w:tbl>
    <w:p>
      <w:pPr>
        <w:numPr>
          <w:ilvl w:val="0"/>
          <w:numId w:val="0"/>
        </w:numPr>
        <w:rPr>
          <w:rFonts w:hint="eastAsia"/>
          <w:lang w:val="en-US" w:eastAsia="zh-CN"/>
        </w:rPr>
      </w:pPr>
    </w:p>
    <w:p>
      <w:pPr>
        <w:ind w:firstLine="420" w:firstLineChars="200"/>
        <w:rPr>
          <w:b/>
          <w:sz w:val="24"/>
        </w:rPr>
      </w:pPr>
      <w:r>
        <w:rPr>
          <w:b/>
          <w:sz w:val="24"/>
        </w:rPr>
        <w:t>注：</w:t>
      </w:r>
    </w:p>
    <w:p>
      <w:pPr>
        <w:ind w:firstLine="420" w:firstLineChars="200"/>
        <w:rPr>
          <w:b/>
          <w:color w:val="FF0000"/>
          <w:sz w:val="24"/>
        </w:rPr>
      </w:pPr>
      <w:r>
        <w:rPr>
          <w:rFonts w:hint="eastAsia"/>
          <w:b/>
          <w:color w:val="FF0000"/>
          <w:sz w:val="24"/>
        </w:rPr>
        <w:t>1.配置名称应按“招标文件”中“第三章用户需求书三、配置清单”中列明的配置填写，不得漏项，否则，将被视为未实质性满足招标文件要求，作投标无效处理；</w:t>
      </w:r>
    </w:p>
    <w:p>
      <w:pPr>
        <w:ind w:firstLine="420" w:firstLineChars="200"/>
        <w:rPr>
          <w:b/>
          <w:sz w:val="24"/>
        </w:rPr>
      </w:pPr>
      <w:r>
        <w:rPr>
          <w:rFonts w:hint="eastAsia"/>
          <w:b/>
          <w:sz w:val="24"/>
        </w:rPr>
        <w:t>2.如所投货物属于定制类的非量产货物或无具体品牌、型号的货物，可以在“品牌及规格型号”栏中仅填写规格信息而不填写品牌、型号等信息（</w:t>
      </w:r>
      <w:r>
        <w:rPr>
          <w:rFonts w:hint="eastAsia"/>
          <w:b/>
          <w:color w:val="FF0000"/>
          <w:sz w:val="24"/>
        </w:rPr>
        <w:t>确实</w:t>
      </w:r>
      <w:r>
        <w:rPr>
          <w:rFonts w:hint="eastAsia"/>
          <w:b/>
          <w:sz w:val="24"/>
        </w:rPr>
        <w:t>属于定制产品，品牌、型号信息用“定制”描述，</w:t>
      </w:r>
      <w:r>
        <w:rPr>
          <w:rFonts w:hint="eastAsia"/>
          <w:b/>
          <w:color w:val="FF0000"/>
          <w:sz w:val="24"/>
        </w:rPr>
        <w:t>其余无具体品牌、型号产品，用“/”等描述即可）</w:t>
      </w:r>
      <w:r>
        <w:rPr>
          <w:rFonts w:hint="eastAsia"/>
          <w:b/>
          <w:sz w:val="24"/>
        </w:rPr>
        <w:t>；</w:t>
      </w:r>
    </w:p>
    <w:p>
      <w:pPr>
        <w:ind w:firstLine="420" w:firstLineChars="200"/>
        <w:rPr>
          <w:b/>
          <w:sz w:val="24"/>
        </w:rPr>
      </w:pPr>
      <w:r>
        <w:rPr>
          <w:rFonts w:hint="eastAsia"/>
          <w:b/>
          <w:sz w:val="24"/>
        </w:rPr>
        <w:t>3.投标人投标响应时对配置清单中的货物须按招标文件的要求标注响应的品牌、规格型号等。响应的品牌及规格型号应与产品的注册证或彩页一致（与主机配套非独立使用的零配件除外）。请提供相应的注册证或彩页等佐证材料。</w:t>
      </w:r>
    </w:p>
    <w:p>
      <w:pPr>
        <w:ind w:firstLine="420" w:firstLineChars="200"/>
        <w:rPr>
          <w:b/>
          <w:sz w:val="24"/>
        </w:rPr>
      </w:pPr>
      <w:r>
        <w:rPr>
          <w:rFonts w:hint="eastAsia"/>
          <w:b/>
          <w:sz w:val="24"/>
        </w:rPr>
        <w:t>4.主要配置情况中的配置为本项目货物所需配置，投标人在“第四章投标文件组成要求及格式”的“四、项目详细报价（一）分项报价表”填写投标报价时应考虑本项目配置价格；</w:t>
      </w:r>
    </w:p>
    <w:p>
      <w:pPr>
        <w:ind w:firstLine="420" w:firstLineChars="200"/>
        <w:rPr>
          <w:b/>
          <w:sz w:val="24"/>
        </w:rPr>
      </w:pPr>
      <w:r>
        <w:rPr>
          <w:rFonts w:hint="eastAsia"/>
          <w:b/>
          <w:sz w:val="24"/>
        </w:rPr>
        <w:t>5.“主要配置情况”无须单独填写项目配置的单价、总价。</w:t>
      </w:r>
    </w:p>
    <w:p>
      <w:pPr>
        <w:numPr>
          <w:ilvl w:val="0"/>
          <w:numId w:val="0"/>
        </w:numPr>
        <w:tabs>
          <w:tab w:val="left" w:pos="720"/>
        </w:tabs>
        <w:jc w:val="both"/>
        <w:rPr>
          <w:rFonts w:hint="eastAsia"/>
          <w:b/>
          <w:sz w:val="24"/>
        </w:rPr>
      </w:pPr>
    </w:p>
    <w:p>
      <w:pPr>
        <w:ind w:left="718" w:firstLine="1418" w:leftChars="342" w:firstLineChars="675"/>
        <w:rPr>
          <w:rFonts w:ascii="黑体" w:eastAsia="黑体" w:hAnsi="宋体" w:cs="Times New Roman" w:hint="eastAsia"/>
          <w:kern w:val="0"/>
          <w:sz w:val="24"/>
          <w:szCs w:val="24"/>
          <w:lang w:val="en-US" w:eastAsia="zh-CN" w:bidi="ar-SA"/>
        </w:rPr>
      </w:pPr>
      <w:r>
        <w:rPr>
          <w:rFonts w:ascii="黑体" w:eastAsia="黑体" w:hAnsi="宋体" w:cs="Times New Roman" w:hint="eastAsia"/>
          <w:kern w:val="0"/>
          <w:sz w:val="24"/>
          <w:szCs w:val="24"/>
          <w:lang w:val="en-US" w:eastAsia="zh-CN" w:bidi="ar-SA"/>
        </w:rPr>
        <w:t>六、投标人认为需要加以说明的其他内容（公开）</w:t>
      </w:r>
    </w:p>
    <w:p>
      <w:r>
        <w:rPr>
          <w:rFonts w:hint="eastAsia"/>
        </w:rPr>
        <w:t xml:space="preserve"> </w:t>
      </w:r>
      <w:r>
        <w:t xml:space="preserve">         </w:t>
      </w:r>
      <w:bookmarkStart w:id="68" w:name="_Hlk72260501"/>
      <w:r>
        <w:t xml:space="preserve">  </w:t>
      </w:r>
      <w:bookmarkEnd w:id="68"/>
    </w:p>
    <w:p>
      <w:pPr>
        <w:ind w:firstLine="630" w:firstLineChars="300"/>
        <w:rPr>
          <w:b/>
          <w:color w:val="FF0000"/>
          <w:sz w:val="24"/>
        </w:rPr>
      </w:pPr>
      <w:r>
        <w:rPr>
          <w:rFonts w:hint="eastAsia"/>
          <w:b/>
          <w:color w:val="FF0000"/>
          <w:sz w:val="24"/>
        </w:rPr>
        <w:t>（信息公开部分的内容到此为止！以下为信息不公开部分。）</w:t>
      </w:r>
    </w:p>
    <w:p>
      <w:bookmarkEnd w:id="64"/>
      <w:r>
        <w:br w:type="page"/>
      </w:r>
    </w:p>
    <w:p>
      <w:pPr>
        <w:outlineLvl w:val="1"/>
        <w:rPr>
          <w:rFonts w:ascii="宋体" w:hAnsi="宋体"/>
          <w:b/>
          <w:color w:val="FF0000"/>
          <w:sz w:val="28"/>
          <w:szCs w:val="28"/>
        </w:rPr>
      </w:pPr>
      <w:bookmarkStart w:id="69"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70" w:name="_Hlk72092499"/>
      <w:r>
        <w:rPr>
          <w:rFonts w:ascii="黑体" w:eastAsia="黑体" w:hint="eastAsia"/>
          <w:b w:val="0"/>
          <w:sz w:val="24"/>
        </w:rPr>
        <w:t>法定代表人（负责人）证明书</w:t>
      </w:r>
      <w:bookmarkEnd w:id="70"/>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rFonts w:eastAsia="宋体" w:hint="eastAsia"/>
          <w:szCs w:val="21"/>
          <w:lang w:eastAsia="zh-CN"/>
        </w:rPr>
      </w:pPr>
      <w:r>
        <w:rPr>
          <w:rFonts w:hint="eastAsia"/>
          <w:szCs w:val="21"/>
        </w:rPr>
        <w:t>说明：1、法定代表人为投标人（企业事业单位、国家机关、社会团体）的主要行政负责人。    2、本证明书要求投标供应商同时提供法定代表人（负责人）的身份证扫描件（正反两面）作为附件方为有效</w:t>
      </w:r>
      <w:r>
        <w:rPr>
          <w:rFonts w:hint="eastAsia"/>
          <w:szCs w:val="21"/>
          <w:lang w:eastAsia="zh-CN"/>
        </w:rPr>
        <w:t>。</w:t>
      </w:r>
    </w:p>
    <w:p>
      <w:pPr>
        <w:spacing w:line="320" w:lineRule="exact"/>
        <w:rPr>
          <w:szCs w:val="21"/>
        </w:rPr>
      </w:pPr>
      <w:r>
        <w:rPr>
          <w:rFonts w:hint="eastAsia"/>
          <w:szCs w:val="21"/>
        </w:rPr>
        <w:t xml:space="preserve">         3、</w:t>
      </w: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ind w:firstLine="420" w:firstLineChars="2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请提供代理人身份证扫描件（正反两面）；港澳台居民可提供来往通行证扫描件；非中国国籍管辖范围人员，可提供公安部门认可的身份证明材料扫描件。</w:t>
      </w:r>
    </w:p>
    <w:p>
      <w:pPr>
        <w:spacing w:line="360" w:lineRule="auto"/>
        <w:ind w:firstLine="420" w:firstLineChars="200"/>
        <w:rPr>
          <w:b/>
          <w:color w:val="FF0000"/>
          <w:szCs w:val="21"/>
        </w:rPr>
      </w:pPr>
      <w:r>
        <w:rPr>
          <w:rFonts w:hint="eastAsia"/>
          <w:b/>
          <w:color w:val="FF0000"/>
          <w:szCs w:val="21"/>
        </w:rPr>
        <w:t xml:space="preserve">        </w:t>
      </w:r>
    </w:p>
    <w:p>
      <w:pPr>
        <w:spacing w:line="360" w:lineRule="auto"/>
        <w:rPr>
          <w:b/>
          <w:szCs w:val="21"/>
        </w:rPr>
      </w:pP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71" w:name="_Hlk72092634"/>
      <w:r>
        <w:rPr>
          <w:rFonts w:ascii="黑体" w:eastAsia="黑体" w:hint="eastAsia"/>
          <w:b w:val="0"/>
          <w:kern w:val="0"/>
          <w:sz w:val="24"/>
          <w:szCs w:val="24"/>
        </w:rPr>
        <w:t>实质性条款响应情况表</w:t>
      </w:r>
      <w:bookmarkEnd w:id="71"/>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72"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bookmarkEnd w:id="72"/>
            <w:r>
              <w:rPr>
                <w:rFonts w:ascii="宋体" w:hAnsi="宋体" w:hint="eastAsia"/>
                <w:kern w:val="0"/>
                <w:szCs w:val="21"/>
              </w:rPr>
              <w:t>1</w:t>
            </w:r>
          </w:p>
        </w:tc>
        <w:tc>
          <w:tcPr>
            <w:tcW w:w="2664" w:type="dxa"/>
            <w:vAlign w:val="top"/>
          </w:tcPr>
          <w:p>
            <w:pPr>
              <w:spacing w:line="320" w:lineRule="exact"/>
              <w:rPr>
                <w:rFonts w:ascii="宋体" w:eastAsia="宋体" w:hAnsi="宋体" w:cs="Times New Roman"/>
                <w:b/>
                <w:bCs w:val="0"/>
                <w:kern w:val="2"/>
                <w:sz w:val="21"/>
                <w:szCs w:val="21"/>
                <w:lang w:val="en-US" w:eastAsia="zh-CN" w:bidi="ar-SA"/>
              </w:rPr>
            </w:pPr>
            <w:r>
              <w:rPr>
                <w:rFonts w:ascii="宋体" w:hAnsi="宋体" w:cs="宋体" w:hint="eastAsia"/>
                <w:b/>
                <w:bCs w:val="0"/>
                <w:szCs w:val="21"/>
              </w:rPr>
              <w:t>★</w:t>
            </w:r>
            <w:r>
              <w:rPr>
                <w:rFonts w:ascii="宋体" w:hAnsi="宋体"/>
                <w:b/>
                <w:bCs w:val="0"/>
                <w:kern w:val="0"/>
                <w:szCs w:val="21"/>
              </w:rPr>
              <w:t>1.1</w:t>
            </w:r>
            <w:r>
              <w:rPr>
                <w:rFonts w:ascii="宋体" w:hAnsi="宋体" w:hint="eastAsia"/>
                <w:b/>
                <w:bCs w:val="0"/>
                <w:kern w:val="0"/>
                <w:szCs w:val="21"/>
              </w:rPr>
              <w:t>各投标人应在投标文件中列明各主机、配件和易耗品的保修期限，并承诺提供主机及配件免费保修期≥</w:t>
            </w:r>
            <w:r>
              <w:rPr>
                <w:rFonts w:ascii="宋体" w:hAnsi="宋体" w:hint="eastAsia"/>
                <w:b/>
                <w:bCs w:val="0"/>
                <w:kern w:val="0"/>
                <w:szCs w:val="21"/>
                <w:u w:val="single"/>
              </w:rPr>
              <w:t xml:space="preserve">  1  </w:t>
            </w:r>
            <w:r>
              <w:rPr>
                <w:rFonts w:ascii="宋体" w:hAnsi="宋体" w:hint="eastAsia"/>
                <w:b/>
                <w:bCs w:val="0"/>
                <w:kern w:val="0"/>
                <w:szCs w:val="21"/>
              </w:rPr>
              <w:t>年，</w:t>
            </w:r>
            <w:r>
              <w:rPr>
                <w:rFonts w:ascii="Times New Roman" w:hAnsi="Times New Roman" w:hint="eastAsia"/>
                <w:b/>
                <w:bCs w:val="0"/>
              </w:rPr>
              <w:t>保修期以验收合格，双方代表签署“性能验收报告”之日起计算。</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2664" w:type="dxa"/>
            <w:vAlign w:val="top"/>
          </w:tcPr>
          <w:p>
            <w:pPr>
              <w:rPr>
                <w:rFonts w:ascii="宋体" w:eastAsia="宋体" w:hAnsi="宋体" w:cs="宋体"/>
                <w:color w:val="auto"/>
                <w:kern w:val="0"/>
                <w:sz w:val="21"/>
                <w:szCs w:val="21"/>
                <w:lang w:val="en-US" w:eastAsia="zh-CN" w:bidi="ar-SA"/>
              </w:rPr>
            </w:pPr>
            <w:r>
              <w:rPr>
                <w:rFonts w:ascii="宋体" w:hAnsi="宋体" w:cs="宋体" w:hint="eastAsia"/>
                <w:b/>
                <w:bCs w:val="0"/>
                <w:szCs w:val="21"/>
              </w:rPr>
              <w:t>★</w:t>
            </w:r>
            <w:r>
              <w:rPr>
                <w:rFonts w:ascii="宋体" w:hAnsi="宋体"/>
                <w:b/>
                <w:bCs w:val="0"/>
                <w:szCs w:val="21"/>
              </w:rPr>
              <w:t>1.1</w:t>
            </w:r>
            <w:r>
              <w:rPr>
                <w:rFonts w:ascii="宋体" w:hAnsi="宋体" w:hint="eastAsia"/>
                <w:b/>
                <w:bCs w:val="0"/>
                <w:kern w:val="0"/>
                <w:szCs w:val="21"/>
              </w:rPr>
              <w:t>投标人在签订合同之日起</w:t>
            </w:r>
            <w:r>
              <w:rPr>
                <w:rFonts w:ascii="宋体" w:hAnsi="宋体" w:hint="eastAsia"/>
                <w:b/>
                <w:bCs w:val="0"/>
                <w:kern w:val="0"/>
                <w:szCs w:val="21"/>
                <w:u w:val="single"/>
              </w:rPr>
              <w:t xml:space="preserve">  30  </w:t>
            </w:r>
            <w:r>
              <w:rPr>
                <w:rFonts w:ascii="宋体" w:hAnsi="宋体" w:hint="eastAsia"/>
                <w:b/>
                <w:bCs w:val="0"/>
                <w:kern w:val="0"/>
                <w:szCs w:val="21"/>
              </w:rPr>
              <w:t>天（日历日）内交货。</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 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9"/>
    </w:p>
    <w:p>
      <w:pPr>
        <w:ind w:firstLine="420" w:firstLineChars="200"/>
        <w:rPr>
          <w:sz w:val="24"/>
        </w:rPr>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Pr>
        <w:rPr>
          <w:sz w:val="24"/>
        </w:rPr>
      </w:pPr>
    </w:p>
    <w:p>
      <w:pPr>
        <w:rPr>
          <w:rFonts w:ascii="黑体" w:eastAsia="黑体" w:hint="eastAsia"/>
          <w:b w:val="0"/>
          <w:sz w:val="24"/>
          <w:szCs w:val="24"/>
        </w:rPr>
      </w:pPr>
      <w:r>
        <w:rPr>
          <w:rFonts w:ascii="黑体" w:eastAsia="黑体" w:hint="eastAsia"/>
          <w:b w:val="0"/>
          <w:sz w:val="24"/>
          <w:szCs w:val="24"/>
        </w:rPr>
        <w:br w:type="page"/>
      </w:r>
    </w:p>
    <w:p>
      <w:pPr>
        <w:pStyle w:val="Heading3"/>
        <w:numPr>
          <w:ilvl w:val="0"/>
          <w:numId w:val="7"/>
        </w:numPr>
        <w:ind w:left="0" w:firstLine="0" w:leftChars="0" w:firstLineChars="0"/>
        <w:jc w:val="center"/>
        <w:rPr>
          <w:rFonts w:ascii="黑体" w:eastAsia="黑体" w:hint="eastAsia"/>
          <w:b w:val="0"/>
          <w:sz w:val="24"/>
          <w:szCs w:val="24"/>
        </w:rPr>
      </w:pPr>
      <w:r>
        <w:rPr>
          <w:rFonts w:ascii="黑体" w:eastAsia="黑体" w:hint="eastAsia"/>
          <w:b w:val="0"/>
          <w:sz w:val="24"/>
          <w:szCs w:val="24"/>
        </w:rPr>
        <w:t>技术要求偏离表</w:t>
      </w:r>
    </w:p>
    <w:tbl>
      <w:tblPr>
        <w:tblStyle w:val="TableNormal"/>
        <w:tblW w:w="8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7"/>
        <w:gridCol w:w="760"/>
        <w:gridCol w:w="5220"/>
        <w:gridCol w:w="720"/>
        <w:gridCol w:w="480"/>
        <w:gridCol w:w="416"/>
      </w:tblGrid>
      <w:tr>
        <w:tblPrEx>
          <w:tblW w:w="8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52"/>
          <w:jc w:val="center"/>
        </w:trPr>
        <w:tc>
          <w:tcPr>
            <w:tcW w:w="537"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60" w:type="dxa"/>
            <w:noWrap w:val="0"/>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b/>
                <w:bCs/>
                <w:sz w:val="21"/>
                <w:szCs w:val="21"/>
              </w:rPr>
              <w:t>序号</w:t>
            </w:r>
          </w:p>
        </w:tc>
        <w:tc>
          <w:tcPr>
            <w:tcW w:w="5220" w:type="dxa"/>
            <w:noWrap w:val="0"/>
            <w:vAlign w:val="center"/>
          </w:tcPr>
          <w:p>
            <w:pPr>
              <w:jc w:val="center"/>
              <w:rPr>
                <w:rFonts w:hint="eastAsia"/>
                <w:b/>
                <w:bCs/>
                <w:sz w:val="24"/>
              </w:rPr>
            </w:pPr>
            <w:r>
              <w:rPr>
                <w:rFonts w:hint="eastAsia"/>
                <w:b/>
                <w:bCs/>
                <w:sz w:val="24"/>
              </w:rPr>
              <w:t>招标技术要求</w:t>
            </w:r>
          </w:p>
        </w:tc>
        <w:tc>
          <w:tcPr>
            <w:tcW w:w="72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48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416"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133" w:type="dxa"/>
          <w:jc w:val="center"/>
          <w:tblLayout w:type="fixed"/>
          <w:tblCellMar>
            <w:top w:w="0" w:type="dxa"/>
            <w:left w:w="108" w:type="dxa"/>
            <w:bottom w:w="0" w:type="dxa"/>
            <w:right w:w="108" w:type="dxa"/>
          </w:tblCellMar>
        </w:tblPrEx>
        <w:trPr>
          <w:trHeight w:val="377"/>
          <w:jc w:val="center"/>
        </w:trPr>
        <w:tc>
          <w:tcPr>
            <w:tcW w:w="537" w:type="dxa"/>
            <w:vMerge w:val="restart"/>
            <w:noWrap w:val="0"/>
            <w:vAlign w:val="center"/>
          </w:tcPr>
          <w:p>
            <w:pPr>
              <w:tabs>
                <w:tab w:val="left" w:pos="420"/>
              </w:tabs>
              <w:jc w:val="both"/>
              <w:rPr>
                <w:rFonts w:ascii="宋体" w:eastAsia="宋体" w:hAnsi="宋体" w:cs="Times New Roman" w:hint="eastAsia"/>
                <w:szCs w:val="21"/>
              </w:rPr>
            </w:pPr>
            <w:r>
              <w:rPr>
                <w:rFonts w:ascii="宋体" w:hAnsi="宋体" w:cs="宋体" w:hint="eastAsia"/>
                <w:b/>
                <w:bCs w:val="0"/>
                <w:sz w:val="21"/>
                <w:szCs w:val="21"/>
                <w:lang w:val="en-US" w:eastAsia="zh-CN"/>
              </w:rPr>
              <w:t>1.</w:t>
            </w:r>
            <w:r>
              <w:rPr>
                <w:rFonts w:ascii="宋体" w:eastAsia="宋体" w:hAnsi="宋体" w:cs="宋体" w:hint="eastAsia"/>
                <w:b/>
                <w:bCs w:val="0"/>
                <w:sz w:val="21"/>
                <w:szCs w:val="21"/>
              </w:rPr>
              <w:t>荧光定量PCR仪</w:t>
            </w:r>
          </w:p>
        </w:tc>
        <w:tc>
          <w:tcPr>
            <w:tcW w:w="760" w:type="dxa"/>
            <w:noWrap w:val="0"/>
            <w:vAlign w:val="center"/>
          </w:tcPr>
          <w:p>
            <w:pPr>
              <w:jc w:val="center"/>
              <w:rPr>
                <w:rFonts w:ascii="Times New Roman" w:eastAsia="宋体" w:hAnsi="Times New Roman" w:cs="Times New Roman" w:hint="eastAsia"/>
                <w:b/>
                <w:bCs/>
                <w:kern w:val="2"/>
                <w:sz w:val="21"/>
                <w:szCs w:val="24"/>
                <w:lang w:val="en-US" w:eastAsia="zh-CN" w:bidi="ar-SA"/>
              </w:rPr>
            </w:pPr>
            <w:r>
              <w:rPr>
                <w:rFonts w:hint="eastAsia"/>
                <w:b/>
                <w:bCs/>
              </w:rPr>
              <w:t>1</w:t>
            </w:r>
          </w:p>
        </w:tc>
        <w:tc>
          <w:tcPr>
            <w:tcW w:w="5220" w:type="dxa"/>
            <w:noWrap w:val="0"/>
            <w:vAlign w:val="top"/>
          </w:tcPr>
          <w:p>
            <w:pPr>
              <w:rPr>
                <w:rFonts w:ascii="Times New Roman" w:eastAsia="宋体" w:hAnsi="Times New Roman" w:cs="Times New Roman" w:hint="eastAsia"/>
                <w:b/>
                <w:bCs/>
                <w:kern w:val="2"/>
                <w:sz w:val="21"/>
                <w:szCs w:val="24"/>
                <w:lang w:val="en-US" w:eastAsia="zh-CN" w:bidi="ar-SA"/>
              </w:rPr>
            </w:pPr>
            <w:r>
              <w:rPr>
                <w:rFonts w:hint="eastAsia"/>
                <w:b/>
                <w:bCs/>
              </w:rPr>
              <w:t>总体要求</w:t>
            </w:r>
          </w:p>
        </w:tc>
        <w:tc>
          <w:tcPr>
            <w:tcW w:w="720" w:type="dxa"/>
            <w:noWrap w:val="0"/>
            <w:vAlign w:val="top"/>
          </w:tcPr>
          <w:p>
            <w:pPr>
              <w:tabs>
                <w:tab w:val="left" w:pos="420"/>
              </w:tabs>
              <w:jc w:val="both"/>
              <w:rPr>
                <w:rFonts w:ascii="宋体" w:eastAsia="宋体" w:hAnsi="宋体" w:cs="Times New Roman" w:hint="eastAsia"/>
                <w:szCs w:val="21"/>
              </w:rPr>
            </w:pPr>
          </w:p>
        </w:tc>
        <w:tc>
          <w:tcPr>
            <w:tcW w:w="480" w:type="dxa"/>
            <w:noWrap w:val="0"/>
            <w:vAlign w:val="top"/>
          </w:tcPr>
          <w:p>
            <w:pPr>
              <w:tabs>
                <w:tab w:val="left" w:pos="420"/>
              </w:tabs>
              <w:jc w:val="both"/>
              <w:rPr>
                <w:rFonts w:ascii="宋体" w:eastAsia="宋体" w:hAnsi="宋体" w:cs="Times New Roman" w:hint="eastAsia"/>
                <w:szCs w:val="21"/>
              </w:rPr>
            </w:pPr>
          </w:p>
        </w:tc>
        <w:tc>
          <w:tcPr>
            <w:tcW w:w="416" w:type="dxa"/>
            <w:noWrap w:val="0"/>
            <w:vAlign w:val="top"/>
          </w:tcPr>
          <w:p>
            <w:pPr>
              <w:tabs>
                <w:tab w:val="left" w:pos="420"/>
              </w:tabs>
              <w:jc w:val="both"/>
              <w:rPr>
                <w:rFonts w:ascii="宋体" w:eastAsia="宋体" w:hAnsi="宋体" w:cs="Times New Roman" w:hint="eastAsia"/>
                <w:szCs w:val="21"/>
              </w:rPr>
            </w:pPr>
          </w:p>
        </w:tc>
      </w:tr>
      <w:tr>
        <w:tblPrEx>
          <w:tblW w:w="8133" w:type="dxa"/>
          <w:jc w:val="center"/>
          <w:tblLayout w:type="fixed"/>
          <w:tblCellMar>
            <w:top w:w="0" w:type="dxa"/>
            <w:left w:w="108" w:type="dxa"/>
            <w:bottom w:w="0" w:type="dxa"/>
            <w:right w:w="108" w:type="dxa"/>
          </w:tblCellMar>
        </w:tblPrEx>
        <w:trPr>
          <w:trHeight w:val="828"/>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1.1</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冷库数量：试剂冷库1座，内容积≥45m³，高度≥2.5m，温区要求：使用工作温度为2</w:t>
            </w:r>
            <w:r>
              <w:rPr>
                <w:rFonts w:ascii="宋体" w:hAnsi="宋体" w:hint="eastAsia"/>
              </w:rPr>
              <w:t>～</w:t>
            </w:r>
            <w:r>
              <w:rPr>
                <w:rFonts w:hint="eastAsia"/>
              </w:rPr>
              <w:t>8℃，温度调节精度≤0.1℃</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836"/>
          <w:jc w:val="center"/>
        </w:trPr>
        <w:tc>
          <w:tcPr>
            <w:tcW w:w="537" w:type="dxa"/>
            <w:vMerge/>
            <w:noWrap w:val="0"/>
            <w:vAlign w:val="center"/>
          </w:tcPr>
          <w:p>
            <w:pPr>
              <w:jc w:val="both"/>
              <w:rPr>
                <w:rFonts w:ascii="Calibri" w:hAnsi="Calibri" w:hint="eastAsia"/>
                <w:kern w:val="2"/>
                <w:sz w:val="21"/>
                <w:szCs w:val="21"/>
                <w:lang w:val="en-US" w:eastAsia="zh-CN" w:bidi="ar-SA"/>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t>▲</w:t>
            </w:r>
            <w:r>
              <w:rPr>
                <w:rFonts w:hint="eastAsia"/>
              </w:rPr>
              <w:t>1.2</w:t>
            </w:r>
          </w:p>
        </w:tc>
        <w:tc>
          <w:tcPr>
            <w:tcW w:w="5220" w:type="dxa"/>
            <w:noWrap w:val="0"/>
            <w:vAlign w:val="top"/>
          </w:tcPr>
          <w:p>
            <w:pPr>
              <w:rPr>
                <w:rFonts w:ascii="Times New Roman" w:eastAsia="宋体" w:hAnsi="Times New Roman" w:cs="Times New Roman" w:hint="eastAsia"/>
                <w:b/>
                <w:bCs/>
                <w:color w:val="FF0000"/>
                <w:kern w:val="2"/>
                <w:sz w:val="21"/>
                <w:szCs w:val="24"/>
                <w:lang w:val="en-US" w:eastAsia="zh-CN" w:bidi="ar-SA"/>
              </w:rPr>
            </w:pPr>
            <w:r>
              <w:rPr>
                <w:rFonts w:hint="eastAsia"/>
                <w:b/>
                <w:bCs/>
                <w:color w:val="FF0000"/>
              </w:rPr>
              <w:t>投标人自行踏勘现场、测量场地、并提供完整设计图纸及方案，自己安装电源线，需满足用户现场使用流程要求。</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487"/>
          <w:jc w:val="center"/>
        </w:trPr>
        <w:tc>
          <w:tcPr>
            <w:tcW w:w="537" w:type="dxa"/>
            <w:vMerge/>
            <w:noWrap w:val="0"/>
            <w:vAlign w:val="center"/>
          </w:tcPr>
          <w:p>
            <w:pPr>
              <w:jc w:val="both"/>
              <w:rPr>
                <w:rFonts w:ascii="Calibri" w:hAnsi="Calibri" w:hint="eastAsia"/>
                <w:kern w:val="2"/>
                <w:sz w:val="21"/>
                <w:szCs w:val="21"/>
                <w:lang w:val="en-US" w:eastAsia="zh-CN" w:bidi="ar-SA"/>
              </w:rPr>
            </w:pPr>
          </w:p>
        </w:tc>
        <w:tc>
          <w:tcPr>
            <w:tcW w:w="760" w:type="dxa"/>
            <w:noWrap w:val="0"/>
            <w:vAlign w:val="center"/>
          </w:tcPr>
          <w:p>
            <w:pPr>
              <w:jc w:val="center"/>
              <w:rPr>
                <w:rFonts w:ascii="Times New Roman" w:eastAsia="宋体" w:hAnsi="Times New Roman" w:cs="Times New Roman" w:hint="eastAsia"/>
                <w:b/>
                <w:bCs/>
                <w:kern w:val="2"/>
                <w:sz w:val="21"/>
                <w:szCs w:val="24"/>
                <w:lang w:val="en-US" w:eastAsia="zh-CN" w:bidi="ar-SA"/>
              </w:rPr>
            </w:pPr>
            <w:r>
              <w:rPr>
                <w:rFonts w:hint="eastAsia"/>
                <w:b/>
                <w:bCs/>
              </w:rPr>
              <w:t>2</w:t>
            </w:r>
          </w:p>
        </w:tc>
        <w:tc>
          <w:tcPr>
            <w:tcW w:w="5220" w:type="dxa"/>
            <w:noWrap w:val="0"/>
            <w:vAlign w:val="center"/>
          </w:tcPr>
          <w:p>
            <w:pPr>
              <w:rPr>
                <w:rFonts w:ascii="Times New Roman" w:eastAsia="宋体" w:hAnsi="Times New Roman" w:cs="Times New Roman" w:hint="default"/>
                <w:b/>
                <w:bCs/>
                <w:kern w:val="2"/>
                <w:sz w:val="21"/>
                <w:szCs w:val="24"/>
                <w:lang w:val="en-US" w:eastAsia="zh-CN" w:bidi="ar-SA"/>
              </w:rPr>
            </w:pPr>
            <w:r>
              <w:rPr>
                <w:rFonts w:hint="eastAsia"/>
                <w:b/>
                <w:bCs/>
              </w:rPr>
              <w:t>库体保温：</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828"/>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t>▲</w:t>
            </w:r>
            <w:r>
              <w:rPr>
                <w:rFonts w:hint="eastAsia"/>
              </w:rPr>
              <w:t>2.1</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b/>
                <w:bCs/>
                <w:color w:val="FF0000"/>
              </w:rPr>
              <w:t>冷库为六面体围护结构，库板采用双面彩钢板 ,偏心挂钩组合，保温板厚度≥100mm,冷库板密度要求达到≥42kg/ m³，防火等级≥B2级。</w:t>
            </w:r>
            <w:r>
              <w:rPr>
                <w:rFonts w:hint="eastAsia"/>
                <w:b/>
                <w:bCs/>
                <w:color w:val="FF0000"/>
                <w:lang w:eastAsia="zh-CN"/>
              </w:rPr>
              <w:t>（</w:t>
            </w:r>
            <w:r>
              <w:rPr>
                <w:rFonts w:hint="eastAsia"/>
                <w:b/>
                <w:bCs/>
                <w:color w:val="FF0000"/>
              </w:rPr>
              <w:t>库板提供第三方检测机构出具的带有CMA标识合格的质量检测报告和防火检测报告</w:t>
            </w:r>
            <w:r>
              <w:rPr>
                <w:rFonts w:hint="eastAsia"/>
                <w:b/>
                <w:bCs/>
                <w:color w:val="FF0000"/>
                <w:lang w:eastAsia="zh-CN"/>
              </w:rPr>
              <w:t>）</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604"/>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t>2.2</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冷库门：配备≥一扇聚氨酯整体发泡检修门，半埋设计，门外形尺寸（宽＊高）≥800mm*1800mm,专用冷库门锁，具有防锁死脱险装置，可从冷库内部开启，防止发生操作人员被误关在库内。冷库门加装风幕机，防止开门作业时冷气流失过快，造成库内温度不稳定，冷库门安装的风幕机风力能够达到门槛上、下缘之间，不得超过下缘。</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607"/>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b/>
                <w:bCs/>
                <w:kern w:val="2"/>
                <w:sz w:val="21"/>
                <w:szCs w:val="24"/>
                <w:lang w:val="en-US" w:eastAsia="zh-CN" w:bidi="ar-SA"/>
              </w:rPr>
            </w:pPr>
            <w:r>
              <w:rPr>
                <w:rFonts w:hint="eastAsia"/>
                <w:b/>
                <w:bCs/>
              </w:rPr>
              <w:t>3</w:t>
            </w:r>
          </w:p>
        </w:tc>
        <w:tc>
          <w:tcPr>
            <w:tcW w:w="5220" w:type="dxa"/>
            <w:noWrap w:val="0"/>
            <w:vAlign w:val="center"/>
          </w:tcPr>
          <w:p>
            <w:pPr>
              <w:rPr>
                <w:rFonts w:ascii="Times New Roman" w:eastAsia="宋体" w:hAnsi="Times New Roman" w:cs="Times New Roman" w:hint="eastAsia"/>
                <w:b/>
                <w:bCs/>
                <w:kern w:val="2"/>
                <w:sz w:val="21"/>
                <w:szCs w:val="24"/>
                <w:lang w:val="en-US" w:eastAsia="zh-CN" w:bidi="ar-SA"/>
              </w:rPr>
            </w:pPr>
            <w:r>
              <w:rPr>
                <w:rFonts w:hint="eastAsia"/>
                <w:b/>
                <w:bCs/>
              </w:rPr>
              <w:t>制冷系统</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1097"/>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3.1</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 xml:space="preserve">制冷压缩机机组：采用国际知名品牌全封闭压缩机组，分体式风冷箱式结构，其中压缩机需选用国际一线品牌涡旋压缩机，其中蒸发温度≤ </w:t>
            </w:r>
            <w:r>
              <w:rPr>
                <w:rFonts w:hint="eastAsia"/>
                <w:b/>
              </w:rPr>
              <w:t>-</w:t>
            </w:r>
            <w:r>
              <w:rPr>
                <w:rFonts w:hint="eastAsia"/>
              </w:rPr>
              <w:t>10℃，冷凝温度≤+45℃时，制冷量≥8KW，制冷机组要求“一用一备”。</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1036"/>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3</w:t>
            </w:r>
            <w:r>
              <w:t>.</w:t>
            </w:r>
            <w:r>
              <w:rPr>
                <w:rFonts w:hint="eastAsia"/>
                <w:lang w:val="en-US" w:eastAsia="zh-CN"/>
              </w:rPr>
              <w:t>2</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蒸发器：采用吊顶式侧出风后回风的工作方式，知名品牌冷风机，带热保护装置，大间距纹状铝箔翅片，内螺纹铜管，电加热化霜，需要与压缩机组制冷量相匹配；蒸发器需与制冷压缩机组为同一品牌。</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366"/>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3</w:t>
            </w:r>
            <w:r>
              <w:t>.</w:t>
            </w:r>
            <w:r>
              <w:rPr>
                <w:rFonts w:hint="eastAsia"/>
                <w:lang w:val="en-US" w:eastAsia="zh-CN"/>
              </w:rPr>
              <w:t>3</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制冷剂：好于或者等于绿色环保型R404a制冷剂。</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1366"/>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3</w:t>
            </w:r>
            <w:r>
              <w:t>.</w:t>
            </w:r>
            <w:r>
              <w:rPr>
                <w:rFonts w:hint="eastAsia"/>
                <w:lang w:val="en-US" w:eastAsia="zh-CN"/>
              </w:rPr>
              <w:t>4</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冷库配置备用系统，≥两套完全独立的制冷系统，一用一备（≥两套系统配置一致）。包括压缩机，冷凝器，蒸发器，各类铜管，电缆，制冷配件等。≥两套机组可以实现故障切换、轮值切换、超温紧急启用备用机等功能。</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342"/>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b/>
                <w:bCs/>
                <w:kern w:val="2"/>
                <w:sz w:val="21"/>
                <w:szCs w:val="24"/>
                <w:lang w:val="en-US" w:eastAsia="zh-CN" w:bidi="ar-SA"/>
              </w:rPr>
            </w:pPr>
            <w:r>
              <w:rPr>
                <w:rFonts w:hint="eastAsia"/>
                <w:b/>
                <w:bCs/>
              </w:rPr>
              <w:t>4</w:t>
            </w:r>
          </w:p>
        </w:tc>
        <w:tc>
          <w:tcPr>
            <w:tcW w:w="5220" w:type="dxa"/>
            <w:noWrap w:val="0"/>
            <w:vAlign w:val="center"/>
          </w:tcPr>
          <w:p>
            <w:pPr>
              <w:rPr>
                <w:rFonts w:ascii="Times New Roman" w:eastAsia="宋体" w:hAnsi="Times New Roman" w:cs="Times New Roman" w:hint="eastAsia"/>
                <w:b/>
                <w:bCs/>
                <w:kern w:val="2"/>
                <w:sz w:val="21"/>
                <w:szCs w:val="24"/>
                <w:lang w:val="en-US" w:eastAsia="zh-CN" w:bidi="ar-SA"/>
              </w:rPr>
            </w:pPr>
            <w:r>
              <w:rPr>
                <w:rFonts w:hint="eastAsia"/>
                <w:b/>
                <w:bCs/>
              </w:rPr>
              <w:t>控制系统</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916"/>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4.1</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配备智能温度控制系统，采用可编程控制器，≥7寸触摸屏显示和控制，实现制冷系统的开、停机，风机化霜，温度控制、显示。</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616"/>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4</w:t>
            </w:r>
            <w:r>
              <w:t>.2</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备用温控系统，当冷库主控温系统出现问题时，可切换到备用系统，保障存储的安全。</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604"/>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4</w:t>
            </w:r>
            <w:r>
              <w:t>.4</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实现≥两套制冷系统故障自动切换、智能加减载、智能轮值，提高样品的储存安全。</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828"/>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4</w:t>
            </w:r>
            <w:r>
              <w:t>.5</w:t>
            </w:r>
          </w:p>
        </w:tc>
        <w:tc>
          <w:tcPr>
            <w:tcW w:w="5220" w:type="dxa"/>
            <w:noWrap w:val="0"/>
            <w:vAlign w:val="top"/>
          </w:tcPr>
          <w:p>
            <w:pPr>
              <w:rPr>
                <w:rFonts w:hint="eastAsia"/>
              </w:rPr>
            </w:pPr>
            <w:r>
              <w:rPr>
                <w:rFonts w:hint="eastAsia"/>
              </w:rPr>
              <w:t>具有库内设备异常报警：具有温度异常报警，设备故障报警，具备湿度超标报警、电源断开报警。</w:t>
            </w:r>
          </w:p>
          <w:p>
            <w:pPr>
              <w:rPr>
                <w:rFonts w:ascii="Times New Roman" w:eastAsia="宋体" w:hAnsi="Times New Roman" w:cs="Times New Roman" w:hint="eastAsia"/>
                <w:kern w:val="2"/>
                <w:sz w:val="21"/>
                <w:szCs w:val="24"/>
                <w:lang w:val="en-US" w:eastAsia="zh-CN" w:bidi="ar-SA"/>
              </w:rPr>
            </w:pPr>
            <w:r>
              <w:rPr>
                <w:rFonts w:hint="eastAsia"/>
              </w:rPr>
              <w:t>报警方式：声光报警、短信报警、微信推送、电话报警。</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1097"/>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4</w:t>
            </w:r>
            <w:r>
              <w:t>.6</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具有物联网模块，管理人员随时随地可通过手机APP实时查看冷库实时参数状态,实时掌控温度变化,保障样品的安全性。实时查看冷库参数设定值。实时掌握冷库机组的设定详情。查看冷库历史记录,对冷库运行的状态参数进行数据记录,做到运行参数可追溯。</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354"/>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5</w:t>
            </w:r>
          </w:p>
        </w:tc>
        <w:tc>
          <w:tcPr>
            <w:tcW w:w="5220" w:type="dxa"/>
            <w:noWrap w:val="0"/>
            <w:vAlign w:val="top"/>
          </w:tcPr>
          <w:p>
            <w:pPr>
              <w:tabs>
                <w:tab w:val="left" w:pos="1540"/>
              </w:tabs>
              <w:rPr>
                <w:rFonts w:ascii="Times New Roman" w:eastAsia="宋体" w:hAnsi="Times New Roman" w:cs="Times New Roman" w:hint="eastAsia"/>
                <w:b/>
                <w:bCs/>
                <w:kern w:val="2"/>
                <w:sz w:val="21"/>
                <w:szCs w:val="24"/>
                <w:lang w:val="en-US" w:eastAsia="zh-CN" w:bidi="ar-SA"/>
              </w:rPr>
            </w:pPr>
            <w:r>
              <w:rPr>
                <w:rFonts w:hint="eastAsia"/>
                <w:b/>
                <w:bCs/>
              </w:rPr>
              <w:t>监控系统</w:t>
            </w:r>
            <w:r>
              <w:rPr>
                <w:b/>
                <w:bCs/>
              </w:rPr>
              <w:tab/>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915"/>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5.1</w:t>
            </w:r>
          </w:p>
        </w:tc>
        <w:tc>
          <w:tcPr>
            <w:tcW w:w="5220" w:type="dxa"/>
            <w:noWrap w:val="0"/>
            <w:vAlign w:val="top"/>
          </w:tcPr>
          <w:p>
            <w:pPr>
              <w:tabs>
                <w:tab w:val="left" w:pos="1540"/>
              </w:tabs>
              <w:rPr>
                <w:rFonts w:ascii="Times New Roman" w:eastAsia="宋体" w:hAnsi="Times New Roman" w:cs="Times New Roman" w:hint="eastAsia"/>
                <w:kern w:val="2"/>
                <w:sz w:val="21"/>
                <w:szCs w:val="24"/>
                <w:lang w:val="en-US" w:eastAsia="zh-CN" w:bidi="ar-SA"/>
              </w:rPr>
            </w:pPr>
            <w:r>
              <w:rPr>
                <w:rFonts w:hint="eastAsia"/>
              </w:rPr>
              <w:t>测量范围：温度包括：</w:t>
            </w:r>
            <w:r>
              <w:rPr>
                <w:rFonts w:hint="eastAsia"/>
                <w:b/>
              </w:rPr>
              <w:t>-</w:t>
            </w:r>
            <w:r>
              <w:rPr>
                <w:rFonts w:hint="eastAsia"/>
              </w:rPr>
              <w:t>40℃</w:t>
            </w:r>
            <w:r>
              <w:rPr>
                <w:rFonts w:ascii="宋体" w:hAnsi="宋体" w:hint="eastAsia"/>
              </w:rPr>
              <w:t>～</w:t>
            </w:r>
            <w:r>
              <w:rPr>
                <w:rFonts w:hint="eastAsia"/>
              </w:rPr>
              <w:t>85℃、湿度包含：0℃</w:t>
            </w:r>
            <w:r>
              <w:rPr>
                <w:rFonts w:ascii="宋体" w:hAnsi="宋体" w:hint="eastAsia"/>
              </w:rPr>
              <w:t>～</w:t>
            </w:r>
            <w:r>
              <w:rPr>
                <w:rFonts w:hint="eastAsia"/>
              </w:rPr>
              <w:t>100℃%RH；测量精度：温度：≤±0.2℃、湿度：≤±2%RH，分辨率≤0.1。</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828"/>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5.2</w:t>
            </w:r>
          </w:p>
        </w:tc>
        <w:tc>
          <w:tcPr>
            <w:tcW w:w="5220" w:type="dxa"/>
            <w:noWrap w:val="0"/>
            <w:vAlign w:val="top"/>
          </w:tcPr>
          <w:p>
            <w:pPr>
              <w:tabs>
                <w:tab w:val="left" w:pos="1540"/>
              </w:tabs>
              <w:rPr>
                <w:rFonts w:ascii="Times New Roman" w:eastAsia="宋体" w:hAnsi="Times New Roman" w:cs="Times New Roman" w:hint="eastAsia"/>
                <w:kern w:val="2"/>
                <w:sz w:val="21"/>
                <w:szCs w:val="24"/>
                <w:lang w:val="en-US" w:eastAsia="zh-CN" w:bidi="ar-SA"/>
              </w:rPr>
            </w:pPr>
            <w:r>
              <w:rPr>
                <w:rFonts w:hint="eastAsia"/>
              </w:rPr>
              <w:t>单个设备可外接≥2路温湿度传感器用以测试冷库所在环境的温湿度，并可以实时显示。</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604"/>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5.3</w:t>
            </w:r>
          </w:p>
        </w:tc>
        <w:tc>
          <w:tcPr>
            <w:tcW w:w="5220" w:type="dxa"/>
            <w:noWrap w:val="0"/>
            <w:vAlign w:val="top"/>
          </w:tcPr>
          <w:p>
            <w:pPr>
              <w:tabs>
                <w:tab w:val="left" w:pos="1540"/>
              </w:tabs>
              <w:rPr>
                <w:rFonts w:ascii="Times New Roman" w:eastAsia="宋体" w:hAnsi="Times New Roman" w:cs="Times New Roman" w:hint="eastAsia"/>
                <w:kern w:val="2"/>
                <w:sz w:val="21"/>
                <w:szCs w:val="24"/>
                <w:lang w:val="en-US" w:eastAsia="zh-CN" w:bidi="ar-SA"/>
              </w:rPr>
            </w:pPr>
            <w:r>
              <w:rPr>
                <w:rFonts w:hint="eastAsia"/>
              </w:rPr>
              <w:t>LED大屏显示，能够显示实时温湿度、实时年月日时间、报警开关状态、报警标识符号等信息，正常温度湿度及超标温湿度值应用区分警示，具有独立报警模块。</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647"/>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5.4</w:t>
            </w:r>
          </w:p>
        </w:tc>
        <w:tc>
          <w:tcPr>
            <w:tcW w:w="5220" w:type="dxa"/>
            <w:noWrap w:val="0"/>
            <w:vAlign w:val="top"/>
          </w:tcPr>
          <w:p>
            <w:pPr>
              <w:tabs>
                <w:tab w:val="left" w:pos="1540"/>
              </w:tabs>
              <w:rPr>
                <w:rFonts w:ascii="Times New Roman" w:eastAsia="宋体" w:hAnsi="Times New Roman" w:cs="Times New Roman" w:hint="eastAsia"/>
                <w:kern w:val="2"/>
                <w:sz w:val="21"/>
                <w:szCs w:val="24"/>
                <w:lang w:val="en-US" w:eastAsia="zh-CN" w:bidi="ar-SA"/>
              </w:rPr>
            </w:pPr>
            <w:r>
              <w:rPr>
                <w:rFonts w:hint="eastAsia"/>
              </w:rPr>
              <w:t>数据传输方式:采用无线方式，设备需同时支持移动、联通和电信≥4G网络(全网通)。</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538"/>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b/>
                <w:bCs/>
                <w:kern w:val="2"/>
                <w:sz w:val="21"/>
                <w:szCs w:val="24"/>
                <w:lang w:val="en-US" w:eastAsia="zh-CN" w:bidi="ar-SA"/>
              </w:rPr>
            </w:pPr>
            <w:r>
              <w:rPr>
                <w:rFonts w:hint="eastAsia"/>
                <w:b/>
                <w:bCs/>
              </w:rPr>
              <w:t>6</w:t>
            </w:r>
          </w:p>
        </w:tc>
        <w:tc>
          <w:tcPr>
            <w:tcW w:w="5220" w:type="dxa"/>
            <w:noWrap w:val="0"/>
            <w:vAlign w:val="center"/>
          </w:tcPr>
          <w:p>
            <w:pPr>
              <w:rPr>
                <w:rFonts w:ascii="Times New Roman" w:eastAsia="宋体" w:hAnsi="Times New Roman" w:cs="Times New Roman" w:hint="eastAsia"/>
                <w:b/>
                <w:bCs/>
                <w:kern w:val="2"/>
                <w:sz w:val="21"/>
                <w:szCs w:val="24"/>
                <w:lang w:val="en-US" w:eastAsia="zh-CN" w:bidi="ar-SA"/>
              </w:rPr>
            </w:pPr>
            <w:r>
              <w:rPr>
                <w:rFonts w:hint="eastAsia"/>
                <w:b/>
                <w:bCs/>
              </w:rPr>
              <w:t>照明系统</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527"/>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6.1</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光源：LED，三年光衰≤15%、色温≥3000-6000K。发光角度≥120°，无炫光。</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607"/>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6.2</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灯体：材质铝，导热系数高散热性能好，表面氧化处理耐腐蚀，防水设计。</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r>
        <w:tblPrEx>
          <w:tblW w:w="8133" w:type="dxa"/>
          <w:jc w:val="center"/>
          <w:tblLayout w:type="fixed"/>
          <w:tblCellMar>
            <w:top w:w="0" w:type="dxa"/>
            <w:left w:w="108" w:type="dxa"/>
            <w:bottom w:w="0" w:type="dxa"/>
            <w:right w:w="108" w:type="dxa"/>
          </w:tblCellMar>
        </w:tblPrEx>
        <w:trPr>
          <w:trHeight w:val="356"/>
          <w:jc w:val="center"/>
        </w:trPr>
        <w:tc>
          <w:tcPr>
            <w:tcW w:w="537" w:type="dxa"/>
            <w:vMerge/>
            <w:noWrap w:val="0"/>
            <w:vAlign w:val="center"/>
          </w:tcPr>
          <w:p>
            <w:pPr>
              <w:jc w:val="both"/>
              <w:rPr>
                <w:rFonts w:ascii="Calibri" w:hAnsi="Calibri" w:hint="eastAsia"/>
                <w:szCs w:val="21"/>
                <w:lang w:val="en-US" w:eastAsia="zh-CN"/>
              </w:rPr>
            </w:pPr>
          </w:p>
        </w:tc>
        <w:tc>
          <w:tcPr>
            <w:tcW w:w="760" w:type="dxa"/>
            <w:noWrap w:val="0"/>
            <w:vAlign w:val="center"/>
          </w:tcPr>
          <w:p>
            <w:pPr>
              <w:jc w:val="center"/>
              <w:rPr>
                <w:rFonts w:ascii="Times New Roman" w:eastAsia="宋体" w:hAnsi="Times New Roman" w:cs="Times New Roman" w:hint="eastAsia"/>
                <w:kern w:val="2"/>
                <w:sz w:val="21"/>
                <w:szCs w:val="24"/>
                <w:lang w:val="en-US" w:eastAsia="zh-CN" w:bidi="ar-SA"/>
              </w:rPr>
            </w:pPr>
            <w:r>
              <w:rPr>
                <w:rFonts w:hint="eastAsia"/>
              </w:rPr>
              <w:t>6.3</w:t>
            </w:r>
          </w:p>
        </w:tc>
        <w:tc>
          <w:tcPr>
            <w:tcW w:w="5220" w:type="dxa"/>
            <w:noWrap w:val="0"/>
            <w:vAlign w:val="top"/>
          </w:tcPr>
          <w:p>
            <w:pPr>
              <w:rPr>
                <w:rFonts w:ascii="Times New Roman" w:eastAsia="宋体" w:hAnsi="Times New Roman" w:cs="Times New Roman" w:hint="eastAsia"/>
                <w:kern w:val="2"/>
                <w:sz w:val="21"/>
                <w:szCs w:val="24"/>
                <w:lang w:val="en-US" w:eastAsia="zh-CN" w:bidi="ar-SA"/>
              </w:rPr>
            </w:pPr>
            <w:r>
              <w:rPr>
                <w:rFonts w:hint="eastAsia"/>
              </w:rPr>
              <w:t>三防等级：≥IP65。</w:t>
            </w:r>
          </w:p>
        </w:tc>
        <w:tc>
          <w:tcPr>
            <w:tcW w:w="720"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16" w:type="dxa"/>
            <w:noWrap w:val="0"/>
            <w:vAlign w:val="top"/>
          </w:tcPr>
          <w:p>
            <w:pPr>
              <w:jc w:val="both"/>
              <w:rPr>
                <w:rFonts w:ascii="Calibri" w:hAnsi="Calibri" w:hint="eastAsia"/>
                <w:szCs w:val="21"/>
                <w:lang w:val="en-US" w:eastAsia="zh-CN"/>
              </w:rPr>
            </w:pPr>
          </w:p>
        </w:tc>
      </w:tr>
    </w:tbl>
    <w:p>
      <w:pPr>
        <w:rPr>
          <w:sz w:val="24"/>
        </w:rPr>
      </w:pPr>
    </w:p>
    <w:p>
      <w:pPr>
        <w:rPr>
          <w:b/>
          <w:sz w:val="24"/>
        </w:rPr>
      </w:pPr>
      <w:bookmarkStart w:id="73" w:name="_Hlk72095977"/>
      <w:r>
        <w:rPr>
          <w:rFonts w:hint="eastAsia"/>
          <w:sz w:val="24"/>
        </w:rPr>
        <w:t>证明资料【如有的话，提供的证明资料应统一编号（排序），格式自定】</w:t>
      </w:r>
      <w:bookmarkEnd w:id="73"/>
      <w:r>
        <w:rPr>
          <w:rFonts w:hint="eastAsia"/>
          <w:sz w:val="24"/>
        </w:rPr>
        <w:t>：</w:t>
      </w:r>
    </w:p>
    <w:p>
      <w:pPr>
        <w:ind w:firstLine="420" w:firstLineChars="200"/>
        <w:rPr>
          <w:b/>
          <w:sz w:val="24"/>
        </w:rPr>
      </w:pPr>
    </w:p>
    <w:p>
      <w:pPr>
        <w:ind w:firstLine="420" w:firstLineChars="200"/>
        <w:rPr>
          <w:b/>
          <w:sz w:val="24"/>
        </w:rPr>
      </w:pPr>
      <w:r>
        <w:rPr>
          <w:rFonts w:hint="eastAsia"/>
          <w:b/>
          <w:sz w:val="24"/>
        </w:rPr>
        <w:t>《技术要求偏离表》编制指引：</w:t>
      </w:r>
    </w:p>
    <w:p>
      <w:pPr>
        <w:ind w:firstLine="420" w:firstLineChars="200"/>
        <w:rPr>
          <w:b/>
          <w:sz w:val="24"/>
        </w:rPr>
      </w:pPr>
      <w:r>
        <w:rPr>
          <w:rFonts w:hint="eastAsia"/>
          <w:b/>
          <w:sz w:val="24"/>
        </w:rPr>
        <w:t>1、技术要求偏离表的序号、货物名称、招标技术要求等栏目</w:t>
      </w:r>
      <w:bookmarkStart w:id="74" w:name="_Hlk72094407"/>
      <w:r>
        <w:rPr>
          <w:rFonts w:hint="eastAsia"/>
          <w:b/>
          <w:sz w:val="24"/>
        </w:rPr>
        <w:t>对应“用户需求书”中的“技术要求”章节</w:t>
      </w:r>
      <w:bookmarkEnd w:id="74"/>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w:t>
      </w:r>
      <w:bookmarkStart w:id="75" w:name="_Hlk72158270"/>
      <w:r>
        <w:rPr>
          <w:rFonts w:hint="eastAsia"/>
          <w:b/>
          <w:sz w:val="24"/>
        </w:rPr>
        <w:t>“偏离情况”</w:t>
      </w:r>
      <w:bookmarkEnd w:id="75"/>
      <w:r>
        <w:rPr>
          <w:rFonts w:hint="eastAsia"/>
          <w:b/>
          <w:sz w:val="24"/>
        </w:rPr>
        <w:t>一栏填写如实填写“正偏离”、“负偏离”或“无偏离”，其中：</w:t>
      </w:r>
      <w:bookmarkStart w:id="76" w:name="_Hlk72093866"/>
      <w:r>
        <w:rPr>
          <w:rFonts w:hint="eastAsia"/>
          <w:b/>
          <w:sz w:val="24"/>
        </w:rPr>
        <w:t>“正偏离”表示“投标响应优于招标技术要求”，“负偏离”表示“投标响应不满足招标技术要求”，“无偏离”表示“投标响应与招标技术要求一致”</w:t>
      </w:r>
      <w:bookmarkEnd w:id="76"/>
      <w:r>
        <w:rPr>
          <w:rFonts w:hint="eastAsia"/>
          <w:b/>
          <w:sz w:val="24"/>
        </w:rPr>
        <w:t>。“投标技术响应”对比“招标技术要求”存在响应不全（包括未响应整项招标技术要求或者未响应一项招标技术要求的部分内容），均视为“负偏离”。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77" w:name="_Hlk72096106"/>
      <w:r>
        <w:rPr>
          <w:rFonts w:hint="eastAsia"/>
          <w:b/>
          <w:sz w:val="24"/>
        </w:rPr>
        <w:t>证明资料条款响应要求</w:t>
      </w:r>
      <w:bookmarkEnd w:id="77"/>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b/>
          <w:sz w:val="24"/>
        </w:rPr>
        <w:t>且投标人在“偏离情况”一栏响应为“正偏离”或“无偏离”的，经评审委员会认定，将判定为负偏离。</w:t>
      </w:r>
      <w:bookmarkEnd w:id="78"/>
      <w:bookmarkEnd w:id="79"/>
    </w:p>
    <w:p>
      <w:pPr>
        <w:ind w:firstLine="420" w:firstLineChars="200"/>
        <w:rPr>
          <w:b/>
          <w:sz w:val="24"/>
        </w:rPr>
      </w:pPr>
      <w:r>
        <w:rPr>
          <w:rFonts w:hint="eastAsia"/>
          <w:b/>
          <w:sz w:val="24"/>
        </w:rPr>
        <w:t>6、</w:t>
      </w:r>
      <w:bookmarkStart w:id="80" w:name="_Hlk72096137"/>
      <w:r>
        <w:rPr>
          <w:rFonts w:hint="eastAsia"/>
          <w:b/>
          <w:sz w:val="24"/>
        </w:rPr>
        <w:t>表后“证明资料”部分内容的编制</w:t>
      </w:r>
      <w:bookmarkEnd w:id="80"/>
      <w:r>
        <w:rPr>
          <w:rFonts w:hint="eastAsia"/>
          <w:b/>
          <w:sz w:val="24"/>
        </w:rPr>
        <w:t>：提供的所有证明资料应当统一编号（排序），且证明资料的编号（顺序）、数量和名称（形式）均应与“说明”一栏所填内容保持一致（一一对应），以便评审委员会查看。</w:t>
      </w:r>
      <w:bookmarkStart w:id="81" w:name="_Hlk73558180"/>
      <w:r>
        <w:rPr>
          <w:rFonts w:hint="eastAsia"/>
          <w:b/>
          <w:sz w:val="24"/>
        </w:rPr>
        <w:t>未按照招标文件要求在表后放置证明材料的供应商将承担不利后果，经评审委员会认定，相关技术要求将判定为负偏离。</w:t>
      </w:r>
      <w:bookmarkEnd w:id="81"/>
    </w:p>
    <w:p>
      <w:pPr>
        <w:ind w:firstLine="420" w:firstLineChars="200"/>
        <w:rPr>
          <w:b/>
          <w:sz w:val="24"/>
        </w:rPr>
      </w:pPr>
      <w:r>
        <w:rPr>
          <w:rFonts w:hint="eastAsia"/>
          <w:b/>
          <w:sz w:val="24"/>
        </w:rPr>
        <w:t>7、</w:t>
      </w:r>
      <w:bookmarkStart w:id="82" w:name="_Hlk72096176"/>
      <w:r>
        <w:rPr>
          <w:rFonts w:hint="eastAsia"/>
          <w:b/>
          <w:sz w:val="24"/>
        </w:rPr>
        <w:t>证明资料的形式及其它具体要求</w:t>
      </w:r>
      <w:bookmarkEnd w:id="82"/>
      <w:r>
        <w:rPr>
          <w:rFonts w:hint="eastAsia"/>
          <w:b/>
          <w:sz w:val="24"/>
        </w:rPr>
        <w:t>：</w:t>
      </w:r>
    </w:p>
    <w:p>
      <w:pPr>
        <w:ind w:firstLine="420" w:firstLineChars="200"/>
        <w:rPr>
          <w:b/>
          <w:sz w:val="24"/>
        </w:rPr>
      </w:pPr>
      <w:r>
        <w:rPr>
          <w:rFonts w:hint="eastAsia"/>
          <w:b/>
          <w:sz w:val="24"/>
        </w:rPr>
        <w:t>（1）除照片、图片（截图）及不需加盖公章的文字说明（技术说明）外，其它证明资料均要求为原件扫描件；</w:t>
      </w:r>
    </w:p>
    <w:p>
      <w:pPr>
        <w:ind w:firstLine="420" w:firstLineChars="200"/>
        <w:rPr>
          <w:b/>
          <w:sz w:val="24"/>
        </w:rPr>
      </w:pPr>
      <w:r>
        <w:rPr>
          <w:rFonts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sz w:val="24"/>
        </w:rPr>
      </w:pPr>
      <w:r>
        <w:rPr>
          <w:rFonts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sz w:val="24"/>
        </w:rPr>
      </w:pPr>
      <w:r>
        <w:rPr>
          <w:rFonts w:hint="eastAsia"/>
          <w:b/>
          <w:sz w:val="24"/>
        </w:rPr>
        <w:t>其它证明资料的形式要求参照以上要求执行；</w:t>
      </w:r>
    </w:p>
    <w:p>
      <w:pPr>
        <w:ind w:firstLine="420" w:firstLineChars="200"/>
        <w:rPr>
          <w:b/>
          <w:sz w:val="24"/>
        </w:rPr>
      </w:pPr>
      <w:r>
        <w:rPr>
          <w:rFonts w:hint="eastAsia"/>
          <w:b/>
          <w:sz w:val="24"/>
        </w:rPr>
        <w:t>（4）证明资料均要求原件备查。</w:t>
      </w:r>
    </w:p>
    <w:p>
      <w:pPr>
        <w:ind w:firstLine="420" w:firstLineChars="200"/>
        <w:rPr>
          <w:b/>
          <w:sz w:val="24"/>
        </w:rPr>
      </w:pPr>
      <w:r>
        <w:rPr>
          <w:rFonts w:hint="eastAsia"/>
          <w:b/>
          <w:sz w:val="24"/>
        </w:rPr>
        <w:t>8、其它注意事项：</w:t>
      </w:r>
    </w:p>
    <w:p>
      <w:pPr>
        <w:ind w:firstLine="420" w:firstLineChars="200"/>
        <w:rPr>
          <w:b/>
          <w:sz w:val="24"/>
        </w:rPr>
      </w:pPr>
      <w:r>
        <w:rPr>
          <w:rFonts w:hint="eastAsia"/>
          <w:b/>
          <w:sz w:val="24"/>
        </w:rPr>
        <w:t>（1）评审委员会有权对投标人的响应情况作出判断（评审结论）；</w:t>
      </w:r>
    </w:p>
    <w:p>
      <w:pPr>
        <w:ind w:firstLine="420" w:firstLineChars="200"/>
        <w:rPr>
          <w:b/>
          <w:sz w:val="24"/>
        </w:rPr>
      </w:pPr>
      <w:r>
        <w:rPr>
          <w:rFonts w:hint="eastAsia"/>
          <w:b/>
          <w:sz w:val="24"/>
        </w:rPr>
        <w:t>（2）</w:t>
      </w:r>
      <w:bookmarkStart w:id="83" w:name="_Hlk72158213"/>
      <w:r>
        <w:rPr>
          <w:rFonts w:hint="eastAsia"/>
          <w:b/>
          <w:sz w:val="24"/>
        </w:rPr>
        <w:t>评审委员会有权对以谋取中标为目的的技术规格模糊响应（如有意不合理照搬照抄招标文件的技术要求）或虚假响应予以认定，并视情况经政府集中采购机构报主管部门进行处理。</w:t>
      </w:r>
      <w:bookmarkEnd w:id="83"/>
    </w:p>
    <w:p>
      <w:pPr>
        <w:ind w:firstLine="420" w:firstLineChars="200"/>
        <w:rPr>
          <w:b/>
          <w:sz w:val="24"/>
        </w:rPr>
      </w:pPr>
    </w:p>
    <w:p>
      <w:pPr>
        <w:rPr>
          <w:sz w:val="24"/>
        </w:rPr>
      </w:pPr>
    </w:p>
    <w:p>
      <w:pPr>
        <w:pStyle w:val="Heading3"/>
        <w:jc w:val="center"/>
        <w:rPr>
          <w:sz w:val="24"/>
        </w:rPr>
      </w:pPr>
      <w:r>
        <w:rPr>
          <w:rFonts w:ascii="黑体" w:eastAsia="黑体" w:hint="eastAsia"/>
          <w:b w:val="0"/>
          <w:bCs w:val="0"/>
          <w:sz w:val="24"/>
          <w:szCs w:val="20"/>
        </w:rPr>
        <w:br w:type="page"/>
      </w:r>
      <w:r>
        <w:rPr>
          <w:rFonts w:ascii="黑体" w:eastAsia="黑体" w:hint="eastAsia"/>
          <w:b w:val="0"/>
          <w:bCs w:val="0"/>
          <w:sz w:val="24"/>
          <w:szCs w:val="20"/>
        </w:rPr>
        <w:t>五、商务要求偏离表</w:t>
      </w:r>
    </w:p>
    <w:tbl>
      <w:tblPr>
        <w:tblStyle w:val="TableNormal"/>
        <w:tblW w:w="8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82"/>
        <w:gridCol w:w="1296"/>
        <w:gridCol w:w="4315"/>
        <w:gridCol w:w="917"/>
        <w:gridCol w:w="583"/>
        <w:gridCol w:w="504"/>
      </w:tblGrid>
      <w:tr>
        <w:tblPrEx>
          <w:tblW w:w="8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882"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序号</w:t>
            </w:r>
          </w:p>
        </w:tc>
        <w:tc>
          <w:tcPr>
            <w:tcW w:w="1296"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目录</w:t>
            </w:r>
          </w:p>
        </w:tc>
        <w:tc>
          <w:tcPr>
            <w:tcW w:w="4315"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商务要求</w:t>
            </w:r>
          </w:p>
        </w:tc>
        <w:tc>
          <w:tcPr>
            <w:tcW w:w="917" w:type="dxa"/>
            <w:noWrap w:val="0"/>
            <w:vAlign w:val="center"/>
          </w:tcPr>
          <w:p>
            <w:pPr>
              <w:jc w:val="center"/>
              <w:rPr>
                <w:rFonts w:ascii="宋体" w:eastAsia="宋体" w:hAnsi="宋体" w:cs="宋体" w:hint="eastAsia"/>
                <w:b/>
                <w:color w:val="auto"/>
                <w:sz w:val="21"/>
                <w:szCs w:val="21"/>
              </w:rPr>
            </w:pPr>
            <w:r>
              <w:rPr>
                <w:rFonts w:hint="eastAsia"/>
                <w:sz w:val="21"/>
                <w:szCs w:val="21"/>
              </w:rPr>
              <w:t>投标商务响应</w:t>
            </w:r>
          </w:p>
        </w:tc>
        <w:tc>
          <w:tcPr>
            <w:tcW w:w="583" w:type="dxa"/>
            <w:noWrap w:val="0"/>
            <w:vAlign w:val="center"/>
          </w:tcPr>
          <w:p>
            <w:pPr>
              <w:jc w:val="center"/>
              <w:rPr>
                <w:rFonts w:ascii="宋体" w:eastAsia="宋体" w:hAnsi="宋体" w:cs="宋体" w:hint="eastAsia"/>
                <w:b/>
                <w:color w:val="auto"/>
                <w:sz w:val="21"/>
                <w:szCs w:val="21"/>
              </w:rPr>
            </w:pPr>
            <w:r>
              <w:rPr>
                <w:rFonts w:hint="eastAsia"/>
                <w:sz w:val="21"/>
                <w:szCs w:val="21"/>
              </w:rPr>
              <w:t>偏离情况</w:t>
            </w:r>
          </w:p>
        </w:tc>
        <w:tc>
          <w:tcPr>
            <w:tcW w:w="504" w:type="dxa"/>
            <w:noWrap w:val="0"/>
            <w:vAlign w:val="center"/>
          </w:tcPr>
          <w:p>
            <w:pPr>
              <w:jc w:val="center"/>
              <w:rPr>
                <w:rFonts w:ascii="宋体" w:eastAsia="宋体" w:hAnsi="宋体" w:cs="宋体" w:hint="eastAsia"/>
                <w:b/>
                <w:color w:val="auto"/>
                <w:sz w:val="21"/>
                <w:szCs w:val="21"/>
              </w:rPr>
            </w:pPr>
            <w:r>
              <w:rPr>
                <w:rFonts w:hint="eastAsia"/>
                <w:sz w:val="21"/>
                <w:szCs w:val="21"/>
              </w:rPr>
              <w:t>说明</w:t>
            </w:r>
          </w:p>
        </w:tc>
      </w:tr>
      <w:tr>
        <w:tblPrEx>
          <w:tblW w:w="8497" w:type="dxa"/>
          <w:jc w:val="center"/>
          <w:tblLayout w:type="fixed"/>
          <w:tblCellMar>
            <w:top w:w="0" w:type="dxa"/>
            <w:left w:w="108" w:type="dxa"/>
            <w:bottom w:w="0" w:type="dxa"/>
            <w:right w:w="108" w:type="dxa"/>
          </w:tblCellMar>
        </w:tblPrEx>
        <w:trPr>
          <w:trHeight w:val="454"/>
          <w:jc w:val="center"/>
        </w:trPr>
        <w:tc>
          <w:tcPr>
            <w:tcW w:w="8497" w:type="dxa"/>
            <w:gridSpan w:val="6"/>
            <w:noWrap w:val="0"/>
            <w:vAlign w:val="center"/>
          </w:tcPr>
          <w:p>
            <w:pPr>
              <w:rPr>
                <w:rFonts w:ascii="宋体" w:eastAsia="宋体" w:hAnsi="宋体" w:cs="宋体" w:hint="eastAsia"/>
                <w:b/>
                <w:color w:val="auto"/>
                <w:sz w:val="21"/>
                <w:szCs w:val="21"/>
              </w:rPr>
            </w:pPr>
            <w:r>
              <w:rPr>
                <w:rFonts w:ascii="宋体" w:eastAsia="宋体" w:hAnsi="宋体" w:cs="宋体" w:hint="eastAsia"/>
                <w:b/>
                <w:color w:val="auto"/>
                <w:sz w:val="21"/>
                <w:szCs w:val="21"/>
              </w:rPr>
              <w:t>（一）免费保修期内售后服务要求</w:t>
            </w:r>
          </w:p>
        </w:tc>
      </w:tr>
      <w:tr>
        <w:tblPrEx>
          <w:tblW w:w="8497" w:type="dxa"/>
          <w:jc w:val="center"/>
          <w:tblLayout w:type="fixed"/>
          <w:tblCellMar>
            <w:top w:w="0" w:type="dxa"/>
            <w:left w:w="108" w:type="dxa"/>
            <w:bottom w:w="0" w:type="dxa"/>
            <w:right w:w="108" w:type="dxa"/>
          </w:tblCellMar>
        </w:tblPrEx>
        <w:trPr>
          <w:trHeight w:val="1000"/>
          <w:jc w:val="center"/>
        </w:trPr>
        <w:tc>
          <w:tcPr>
            <w:tcW w:w="882" w:type="dxa"/>
            <w:vMerge w:val="restart"/>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spacing w:line="300" w:lineRule="exact"/>
              <w:jc w:val="center"/>
              <w:rPr>
                <w:rFonts w:ascii="宋体" w:eastAsia="宋体" w:hAnsi="宋体" w:cs="宋体" w:hint="eastAsia"/>
                <w:color w:val="auto"/>
                <w:sz w:val="21"/>
                <w:szCs w:val="21"/>
              </w:rPr>
            </w:pPr>
            <w:r>
              <w:rPr>
                <w:rFonts w:ascii="宋体" w:eastAsia="宋体" w:hAnsi="宋体" w:cs="宋体" w:hint="eastAsia"/>
                <w:b/>
                <w:color w:val="auto"/>
                <w:kern w:val="0"/>
                <w:sz w:val="21"/>
                <w:szCs w:val="21"/>
              </w:rPr>
              <w:t>维修及维护服务</w:t>
            </w:r>
          </w:p>
        </w:tc>
        <w:tc>
          <w:tcPr>
            <w:tcW w:w="4315" w:type="dxa"/>
            <w:noWrap w:val="0"/>
            <w:vAlign w:val="top"/>
          </w:tcPr>
          <w:p>
            <w:pPr>
              <w:spacing w:line="320" w:lineRule="exact"/>
              <w:rPr>
                <w:rFonts w:ascii="宋体" w:eastAsia="宋体" w:hAnsi="宋体" w:cs="Times New Roman" w:hint="eastAsia"/>
                <w:bCs/>
                <w:kern w:val="2"/>
                <w:sz w:val="21"/>
                <w:szCs w:val="21"/>
                <w:lang w:val="en-US" w:eastAsia="zh-CN" w:bidi="ar-SA"/>
              </w:rPr>
            </w:pPr>
            <w:r>
              <w:rPr>
                <w:rFonts w:ascii="宋体" w:hAnsi="宋体"/>
                <w:kern w:val="0"/>
                <w:szCs w:val="21"/>
              </w:rPr>
              <w:t>1.2</w:t>
            </w:r>
            <w:r>
              <w:rPr>
                <w:rFonts w:ascii="宋体" w:hAnsi="宋体" w:hint="eastAsia"/>
                <w:kern w:val="0"/>
                <w:szCs w:val="21"/>
              </w:rPr>
              <w:t>由生产厂家提供售后服务，</w:t>
            </w:r>
            <w:r>
              <w:rPr>
                <w:rFonts w:ascii="宋体" w:hAnsi="宋体" w:hint="eastAsia"/>
                <w:kern w:val="0"/>
                <w:szCs w:val="21"/>
                <w:u w:val="single"/>
              </w:rPr>
              <w:t xml:space="preserve">  2  </w:t>
            </w:r>
            <w:r>
              <w:rPr>
                <w:rFonts w:ascii="宋体" w:hAnsi="宋体" w:hint="eastAsia"/>
                <w:kern w:val="0"/>
                <w:szCs w:val="21"/>
              </w:rPr>
              <w:t>小时内响应，</w:t>
            </w:r>
            <w:r>
              <w:rPr>
                <w:rFonts w:ascii="宋体" w:hAnsi="宋体" w:hint="eastAsia"/>
                <w:kern w:val="0"/>
                <w:szCs w:val="21"/>
                <w:u w:val="single"/>
              </w:rPr>
              <w:t xml:space="preserve">  24  </w:t>
            </w:r>
            <w:r>
              <w:rPr>
                <w:rFonts w:ascii="宋体" w:hAnsi="宋体" w:hint="eastAsia"/>
                <w:kern w:val="0"/>
                <w:szCs w:val="21"/>
              </w:rPr>
              <w:t>小时维修到位。消耗品和零配件供应及时，特殊情况下可提供备用机。</w:t>
            </w:r>
          </w:p>
        </w:tc>
        <w:tc>
          <w:tcPr>
            <w:tcW w:w="917" w:type="dxa"/>
            <w:noWrap w:val="0"/>
            <w:vAlign w:val="top"/>
          </w:tcPr>
          <w:p>
            <w:pPr>
              <w:rPr>
                <w:rFonts w:ascii="宋体" w:eastAsia="宋体" w:hAnsi="宋体" w:cs="宋体" w:hint="eastAsia"/>
                <w:b/>
                <w:bCs w:val="0"/>
                <w:color w:val="FF0000"/>
                <w:sz w:val="21"/>
                <w:szCs w:val="21"/>
              </w:rPr>
            </w:pPr>
          </w:p>
        </w:tc>
        <w:tc>
          <w:tcPr>
            <w:tcW w:w="583" w:type="dxa"/>
            <w:noWrap w:val="0"/>
            <w:vAlign w:val="top"/>
          </w:tcPr>
          <w:p>
            <w:pPr>
              <w:rPr>
                <w:rFonts w:ascii="宋体" w:eastAsia="宋体" w:hAnsi="宋体" w:cs="宋体" w:hint="eastAsia"/>
                <w:b/>
                <w:bCs w:val="0"/>
                <w:color w:val="FF0000"/>
                <w:sz w:val="21"/>
                <w:szCs w:val="21"/>
              </w:rPr>
            </w:pPr>
          </w:p>
        </w:tc>
        <w:tc>
          <w:tcPr>
            <w:tcW w:w="504" w:type="dxa"/>
            <w:noWrap w:val="0"/>
            <w:vAlign w:val="top"/>
          </w:tcPr>
          <w:p>
            <w:pPr>
              <w:rPr>
                <w:rFonts w:ascii="宋体" w:eastAsia="宋体" w:hAnsi="宋体" w:cs="宋体" w:hint="eastAsia"/>
                <w:b/>
                <w:bCs w:val="0"/>
                <w:color w:val="FF0000"/>
                <w:sz w:val="21"/>
                <w:szCs w:val="21"/>
              </w:rPr>
            </w:pPr>
          </w:p>
        </w:tc>
      </w:tr>
      <w:tr>
        <w:tblPrEx>
          <w:tblW w:w="8497" w:type="dxa"/>
          <w:jc w:val="center"/>
          <w:tblLayout w:type="fixed"/>
          <w:tblCellMar>
            <w:top w:w="0" w:type="dxa"/>
            <w:left w:w="108" w:type="dxa"/>
            <w:bottom w:w="0" w:type="dxa"/>
            <w:right w:w="108" w:type="dxa"/>
          </w:tblCellMar>
        </w:tblPrEx>
        <w:trPr>
          <w:trHeight w:val="506"/>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4315" w:type="dxa"/>
            <w:noWrap w:val="0"/>
            <w:vAlign w:val="top"/>
          </w:tcPr>
          <w:p>
            <w:pPr>
              <w:spacing w:line="320" w:lineRule="exact"/>
              <w:rPr>
                <w:rFonts w:ascii="宋体" w:eastAsia="宋体" w:hAnsi="宋体" w:cs="Times New Roman" w:hint="eastAsia"/>
                <w:kern w:val="0"/>
                <w:sz w:val="21"/>
                <w:szCs w:val="21"/>
                <w:lang w:val="en-US" w:eastAsia="zh-CN" w:bidi="ar-SA"/>
              </w:rPr>
            </w:pPr>
            <w:r>
              <w:rPr>
                <w:rFonts w:ascii="宋体" w:hAnsi="宋体" w:hint="eastAsia"/>
                <w:kern w:val="0"/>
                <w:szCs w:val="21"/>
              </w:rPr>
              <w:t>1.3保修期内，生产厂家每年最少提供</w:t>
            </w:r>
            <w:r>
              <w:rPr>
                <w:rFonts w:ascii="宋体" w:hAnsi="宋体" w:hint="eastAsia"/>
                <w:bCs/>
                <w:kern w:val="0"/>
                <w:szCs w:val="21"/>
                <w:u w:val="single"/>
              </w:rPr>
              <w:t xml:space="preserve">  1  </w:t>
            </w:r>
            <w:r>
              <w:rPr>
                <w:rFonts w:ascii="宋体" w:hAnsi="宋体" w:hint="eastAsia"/>
                <w:kern w:val="0"/>
                <w:szCs w:val="21"/>
              </w:rPr>
              <w:t>次免费保养，执行QA，按照厂家标准进行调校，以及对数据库或软件等进行清理和备份，确认各项技术指标及性能，保养中需更换的损耗品由生产厂家免费提供。</w:t>
            </w:r>
          </w:p>
        </w:tc>
        <w:tc>
          <w:tcPr>
            <w:tcW w:w="917" w:type="dxa"/>
            <w:noWrap w:val="0"/>
            <w:vAlign w:val="top"/>
          </w:tcPr>
          <w:p>
            <w:pPr>
              <w:spacing w:line="320" w:lineRule="exact"/>
              <w:rPr>
                <w:rFonts w:ascii="宋体" w:eastAsia="宋体" w:hAnsi="宋体" w:cs="宋体" w:hint="eastAsia"/>
                <w:color w:val="auto"/>
                <w:kern w:val="0"/>
                <w:sz w:val="21"/>
                <w:szCs w:val="21"/>
              </w:rPr>
            </w:pPr>
          </w:p>
        </w:tc>
        <w:tc>
          <w:tcPr>
            <w:tcW w:w="583" w:type="dxa"/>
            <w:noWrap w:val="0"/>
            <w:vAlign w:val="top"/>
          </w:tcPr>
          <w:p>
            <w:pPr>
              <w:spacing w:line="320" w:lineRule="exact"/>
              <w:rPr>
                <w:rFonts w:ascii="宋体" w:eastAsia="宋体" w:hAnsi="宋体" w:cs="宋体" w:hint="eastAsia"/>
                <w:color w:val="auto"/>
                <w:kern w:val="0"/>
                <w:sz w:val="21"/>
                <w:szCs w:val="21"/>
              </w:rPr>
            </w:pPr>
          </w:p>
        </w:tc>
        <w:tc>
          <w:tcPr>
            <w:tcW w:w="504" w:type="dxa"/>
            <w:noWrap w:val="0"/>
            <w:vAlign w:val="top"/>
          </w:tcPr>
          <w:p>
            <w:pPr>
              <w:spacing w:line="320" w:lineRule="exact"/>
              <w:rPr>
                <w:rFonts w:ascii="宋体" w:eastAsia="宋体" w:hAnsi="宋体" w:cs="宋体" w:hint="eastAsia"/>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603"/>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4315" w:type="dxa"/>
            <w:noWrap w:val="0"/>
            <w:vAlign w:val="top"/>
          </w:tcPr>
          <w:p>
            <w:pPr>
              <w:spacing w:line="320" w:lineRule="exact"/>
              <w:rPr>
                <w:rFonts w:ascii="宋体" w:eastAsia="宋体" w:hAnsi="宋体" w:cs="Times New Roman" w:hint="eastAsia"/>
                <w:bCs/>
                <w:kern w:val="2"/>
                <w:sz w:val="21"/>
                <w:szCs w:val="21"/>
                <w:lang w:val="en-US" w:eastAsia="zh-CN" w:bidi="ar-SA"/>
              </w:rPr>
            </w:pPr>
            <w:r>
              <w:rPr>
                <w:rFonts w:ascii="宋体" w:hAnsi="宋体"/>
                <w:kern w:val="0"/>
                <w:szCs w:val="21"/>
              </w:rPr>
              <w:t>1.</w:t>
            </w:r>
            <w:r>
              <w:rPr>
                <w:rFonts w:ascii="宋体" w:hAnsi="宋体" w:hint="eastAsia"/>
                <w:kern w:val="0"/>
                <w:szCs w:val="21"/>
              </w:rPr>
              <w:t>4保修期内，设备主机及配件免费维修、免费更换、免工时费，并免费提供软件升级。</w:t>
            </w:r>
          </w:p>
        </w:tc>
        <w:tc>
          <w:tcPr>
            <w:tcW w:w="917" w:type="dxa"/>
            <w:noWrap w:val="0"/>
            <w:vAlign w:val="top"/>
          </w:tcPr>
          <w:p>
            <w:pPr>
              <w:spacing w:line="320" w:lineRule="exact"/>
              <w:rPr>
                <w:rFonts w:ascii="宋体" w:eastAsia="宋体" w:hAnsi="宋体" w:cs="宋体" w:hint="eastAsia"/>
                <w:color w:val="auto"/>
                <w:kern w:val="0"/>
                <w:sz w:val="21"/>
                <w:szCs w:val="21"/>
              </w:rPr>
            </w:pPr>
          </w:p>
        </w:tc>
        <w:tc>
          <w:tcPr>
            <w:tcW w:w="583" w:type="dxa"/>
            <w:noWrap w:val="0"/>
            <w:vAlign w:val="top"/>
          </w:tcPr>
          <w:p>
            <w:pPr>
              <w:spacing w:line="320" w:lineRule="exact"/>
              <w:rPr>
                <w:rFonts w:ascii="宋体" w:eastAsia="宋体" w:hAnsi="宋体" w:cs="宋体" w:hint="eastAsia"/>
                <w:color w:val="auto"/>
                <w:kern w:val="0"/>
                <w:sz w:val="21"/>
                <w:szCs w:val="21"/>
              </w:rPr>
            </w:pPr>
          </w:p>
        </w:tc>
        <w:tc>
          <w:tcPr>
            <w:tcW w:w="504" w:type="dxa"/>
            <w:noWrap w:val="0"/>
            <w:vAlign w:val="top"/>
          </w:tcPr>
          <w:p>
            <w:pPr>
              <w:spacing w:line="320" w:lineRule="exact"/>
              <w:rPr>
                <w:rFonts w:ascii="宋体" w:eastAsia="宋体" w:hAnsi="宋体" w:cs="宋体" w:hint="eastAsia"/>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306"/>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4315" w:type="dxa"/>
            <w:noWrap w:val="0"/>
            <w:vAlign w:val="top"/>
          </w:tcPr>
          <w:p>
            <w:pPr>
              <w:spacing w:line="320" w:lineRule="exact"/>
              <w:rPr>
                <w:rFonts w:ascii="宋体" w:eastAsia="宋体" w:hAnsi="宋体" w:cs="Times New Roman" w:hint="eastAsia"/>
                <w:kern w:val="0"/>
                <w:sz w:val="21"/>
                <w:szCs w:val="21"/>
                <w:lang w:val="en-US" w:eastAsia="zh-CN" w:bidi="ar-SA"/>
              </w:rPr>
            </w:pPr>
            <w:r>
              <w:rPr>
                <w:rFonts w:ascii="宋体" w:hAnsi="宋体" w:hint="eastAsia"/>
                <w:bCs/>
                <w:kern w:val="0"/>
                <w:szCs w:val="21"/>
              </w:rPr>
              <w:t>1.5保修期内，由</w:t>
            </w:r>
            <w:r>
              <w:rPr>
                <w:rFonts w:ascii="宋体" w:hAnsi="宋体" w:hint="eastAsia"/>
                <w:kern w:val="0"/>
                <w:szCs w:val="21"/>
              </w:rPr>
              <w:t>投标人</w:t>
            </w:r>
            <w:r>
              <w:rPr>
                <w:rFonts w:ascii="宋体" w:hAnsi="宋体" w:hint="eastAsia"/>
                <w:bCs/>
                <w:kern w:val="0"/>
                <w:szCs w:val="21"/>
              </w:rPr>
              <w:t>免费提供该设备与医院PACS、HIS的数据接口服务，次数不限。</w:t>
            </w:r>
          </w:p>
        </w:tc>
        <w:tc>
          <w:tcPr>
            <w:tcW w:w="917" w:type="dxa"/>
            <w:noWrap w:val="0"/>
            <w:vAlign w:val="top"/>
          </w:tcPr>
          <w:p>
            <w:pPr>
              <w:spacing w:line="320" w:lineRule="exact"/>
              <w:rPr>
                <w:rFonts w:ascii="宋体" w:eastAsia="宋体" w:hAnsi="宋体" w:cs="宋体" w:hint="eastAsia"/>
                <w:bCs/>
                <w:color w:val="auto"/>
                <w:kern w:val="0"/>
                <w:sz w:val="21"/>
                <w:szCs w:val="21"/>
              </w:rPr>
            </w:pPr>
          </w:p>
        </w:tc>
        <w:tc>
          <w:tcPr>
            <w:tcW w:w="583" w:type="dxa"/>
            <w:noWrap w:val="0"/>
            <w:vAlign w:val="top"/>
          </w:tcPr>
          <w:p>
            <w:pPr>
              <w:spacing w:line="320" w:lineRule="exact"/>
              <w:rPr>
                <w:rFonts w:ascii="宋体" w:eastAsia="宋体" w:hAnsi="宋体" w:cs="宋体" w:hint="eastAsia"/>
                <w:bCs/>
                <w:color w:val="auto"/>
                <w:kern w:val="0"/>
                <w:sz w:val="21"/>
                <w:szCs w:val="21"/>
              </w:rPr>
            </w:pPr>
          </w:p>
        </w:tc>
        <w:tc>
          <w:tcPr>
            <w:tcW w:w="504" w:type="dxa"/>
            <w:noWrap w:val="0"/>
            <w:vAlign w:val="top"/>
          </w:tcPr>
          <w:p>
            <w:pPr>
              <w:spacing w:line="320" w:lineRule="exac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2982"/>
          <w:jc w:val="center"/>
        </w:trPr>
        <w:tc>
          <w:tcPr>
            <w:tcW w:w="882" w:type="dxa"/>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296" w:type="dxa"/>
            <w:noWrap w:val="0"/>
            <w:vAlign w:val="center"/>
          </w:tcPr>
          <w:p>
            <w:pPr>
              <w:spacing w:line="300" w:lineRule="exact"/>
              <w:jc w:val="center"/>
              <w:rPr>
                <w:rFonts w:ascii="宋体" w:eastAsia="宋体" w:hAnsi="宋体" w:cs="宋体" w:hint="eastAsia"/>
                <w:color w:val="auto"/>
                <w:sz w:val="21"/>
                <w:szCs w:val="21"/>
              </w:rPr>
            </w:pPr>
            <w:r>
              <w:rPr>
                <w:rFonts w:ascii="宋体" w:eastAsia="宋体" w:hAnsi="宋体" w:cs="宋体" w:hint="eastAsia"/>
                <w:b/>
                <w:color w:val="auto"/>
                <w:kern w:val="0"/>
                <w:sz w:val="21"/>
                <w:szCs w:val="21"/>
              </w:rPr>
              <w:t>质量保证</w:t>
            </w:r>
          </w:p>
        </w:tc>
        <w:tc>
          <w:tcPr>
            <w:tcW w:w="4315" w:type="dxa"/>
            <w:noWrap w:val="0"/>
            <w:vAlign w:val="top"/>
          </w:tcPr>
          <w:p>
            <w:pPr>
              <w:spacing w:line="320" w:lineRule="exact"/>
              <w:rPr>
                <w:rFonts w:ascii="宋体" w:eastAsia="宋体" w:hAnsi="宋体" w:cs="宋体" w:hint="eastAsia"/>
                <w:color w:val="auto"/>
                <w:kern w:val="0"/>
                <w:sz w:val="21"/>
                <w:szCs w:val="21"/>
                <w:lang w:val="en-US" w:eastAsia="zh-CN" w:bidi="ar-SA"/>
              </w:rPr>
            </w:pPr>
            <w:r>
              <w:rPr>
                <w:rFonts w:ascii="宋体" w:hAnsi="宋体" w:hint="eastAsia"/>
                <w:kern w:val="0"/>
                <w:szCs w:val="21"/>
              </w:rPr>
              <w:t>2.1在保修期内，投标人保证设备的年开机率＞95%；若不能达到此开机率，将作以下处理：</w:t>
            </w:r>
            <w:r>
              <w:rPr>
                <w:rFonts w:ascii="宋体" w:eastAsia="宋体" w:hAnsi="宋体" w:cs="宋体" w:hint="eastAsia"/>
                <w:bCs/>
                <w:color w:val="auto"/>
                <w:kern w:val="0"/>
                <w:sz w:val="21"/>
                <w:szCs w:val="21"/>
              </w:rPr>
              <w:t>（1）开机率在90%≤开机率≤95%之间按一赔二延长保修期；（2）开机率在85%≤开机率＜90%之间按一赔五延长保修期；</w:t>
            </w:r>
            <w:r>
              <w:rPr>
                <w:rFonts w:ascii="宋体" w:hAnsi="宋体" w:hint="eastAsia"/>
                <w:kern w:val="0"/>
                <w:szCs w:val="21"/>
              </w:rPr>
              <w:t>（3）开机率低于85%，供应商应无条件更换新机，并重新计算保修期，以及赔偿用户的直接经济损失和间接经济损失。注：年开机率=(365-停机天数)/365。</w:t>
            </w:r>
          </w:p>
        </w:tc>
        <w:tc>
          <w:tcPr>
            <w:tcW w:w="917" w:type="dxa"/>
            <w:noWrap w:val="0"/>
            <w:vAlign w:val="top"/>
          </w:tcPr>
          <w:p>
            <w:pPr>
              <w:spacing w:line="320" w:lineRule="exact"/>
              <w:rPr>
                <w:rFonts w:ascii="宋体" w:eastAsia="宋体" w:hAnsi="宋体" w:cs="宋体" w:hint="eastAsia"/>
                <w:color w:val="auto"/>
                <w:kern w:val="0"/>
                <w:sz w:val="21"/>
                <w:szCs w:val="21"/>
              </w:rPr>
            </w:pPr>
          </w:p>
        </w:tc>
        <w:tc>
          <w:tcPr>
            <w:tcW w:w="583" w:type="dxa"/>
            <w:noWrap w:val="0"/>
            <w:vAlign w:val="top"/>
          </w:tcPr>
          <w:p>
            <w:pPr>
              <w:spacing w:line="320" w:lineRule="exact"/>
              <w:rPr>
                <w:rFonts w:ascii="宋体" w:eastAsia="宋体" w:hAnsi="宋体" w:cs="宋体" w:hint="eastAsia"/>
                <w:color w:val="auto"/>
                <w:kern w:val="0"/>
                <w:sz w:val="21"/>
                <w:szCs w:val="21"/>
              </w:rPr>
            </w:pPr>
          </w:p>
        </w:tc>
        <w:tc>
          <w:tcPr>
            <w:tcW w:w="504" w:type="dxa"/>
            <w:noWrap w:val="0"/>
            <w:vAlign w:val="top"/>
          </w:tcPr>
          <w:p>
            <w:pPr>
              <w:spacing w:line="320" w:lineRule="exact"/>
              <w:rPr>
                <w:rFonts w:ascii="宋体" w:eastAsia="宋体" w:hAnsi="宋体" w:cs="宋体" w:hint="eastAsia"/>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340"/>
          <w:jc w:val="center"/>
        </w:trPr>
        <w:tc>
          <w:tcPr>
            <w:tcW w:w="8497" w:type="dxa"/>
            <w:gridSpan w:val="6"/>
            <w:noWrap w:val="0"/>
            <w:vAlign w:val="center"/>
          </w:tcPr>
          <w:p>
            <w:pPr>
              <w:spacing w:line="300" w:lineRule="exact"/>
              <w:rPr>
                <w:rFonts w:ascii="宋体" w:eastAsia="宋体" w:hAnsi="宋体" w:cs="宋体" w:hint="eastAsia"/>
                <w:b/>
                <w:color w:val="auto"/>
                <w:sz w:val="21"/>
                <w:szCs w:val="21"/>
              </w:rPr>
            </w:pPr>
            <w:r>
              <w:rPr>
                <w:rFonts w:ascii="宋体" w:eastAsia="宋体" w:hAnsi="宋体" w:cs="宋体" w:hint="eastAsia"/>
                <w:b/>
                <w:color w:val="auto"/>
                <w:sz w:val="21"/>
                <w:szCs w:val="21"/>
              </w:rPr>
              <w:t>（二）免费保修期外售后服务要求</w:t>
            </w:r>
          </w:p>
        </w:tc>
      </w:tr>
      <w:tr>
        <w:tblPrEx>
          <w:tblW w:w="8497" w:type="dxa"/>
          <w:jc w:val="center"/>
          <w:tblLayout w:type="fixed"/>
          <w:tblCellMar>
            <w:top w:w="0" w:type="dxa"/>
            <w:left w:w="108" w:type="dxa"/>
            <w:bottom w:w="0" w:type="dxa"/>
            <w:right w:w="108" w:type="dxa"/>
          </w:tblCellMar>
        </w:tblPrEx>
        <w:trPr>
          <w:trHeight w:val="370"/>
          <w:jc w:val="center"/>
        </w:trPr>
        <w:tc>
          <w:tcPr>
            <w:tcW w:w="882" w:type="dxa"/>
            <w:vMerge w:val="restart"/>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spacing w:line="300" w:lineRule="exact"/>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维修服务和优惠价格</w:t>
            </w:r>
          </w:p>
        </w:tc>
        <w:tc>
          <w:tcPr>
            <w:tcW w:w="4315" w:type="dxa"/>
            <w:noWrap w:val="0"/>
            <w:vAlign w:val="top"/>
          </w:tcPr>
          <w:p>
            <w:pPr>
              <w:spacing w:line="320" w:lineRule="exact"/>
              <w:rPr>
                <w:rFonts w:ascii="宋体" w:eastAsia="宋体" w:hAnsi="宋体" w:cs="Times New Roman" w:hint="eastAsia"/>
                <w:kern w:val="0"/>
                <w:sz w:val="21"/>
                <w:szCs w:val="21"/>
                <w:lang w:val="en-US" w:eastAsia="zh-CN" w:bidi="ar-SA"/>
              </w:rPr>
            </w:pPr>
            <w:r>
              <w:rPr>
                <w:rFonts w:hint="eastAsia"/>
              </w:rPr>
              <w:t>1.1由生产厂家提供售后服务，</w:t>
            </w:r>
            <w:r>
              <w:rPr>
                <w:rFonts w:ascii="宋体" w:hAnsi="宋体" w:hint="eastAsia"/>
                <w:kern w:val="0"/>
                <w:szCs w:val="21"/>
                <w:u w:val="single"/>
              </w:rPr>
              <w:t xml:space="preserve">  2  </w:t>
            </w:r>
            <w:r>
              <w:rPr>
                <w:rFonts w:ascii="宋体" w:hAnsi="宋体" w:hint="eastAsia"/>
                <w:kern w:val="0"/>
                <w:szCs w:val="21"/>
              </w:rPr>
              <w:t>小时内响应，</w:t>
            </w:r>
            <w:r>
              <w:rPr>
                <w:rFonts w:ascii="宋体" w:hAnsi="宋体" w:hint="eastAsia"/>
                <w:kern w:val="0"/>
                <w:szCs w:val="21"/>
                <w:u w:val="single"/>
              </w:rPr>
              <w:t xml:space="preserve">  24  </w:t>
            </w:r>
            <w:r>
              <w:rPr>
                <w:rFonts w:ascii="宋体" w:hAnsi="宋体" w:hint="eastAsia"/>
                <w:kern w:val="0"/>
                <w:szCs w:val="21"/>
              </w:rPr>
              <w:t>小时维修到位。消耗品和零配件供应及时，特殊情况下可提供备用机。</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374"/>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4315"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1.2</w:t>
            </w:r>
            <w:r>
              <w:rPr>
                <w:rFonts w:ascii="宋体" w:hAnsi="宋体" w:hint="eastAsia"/>
                <w:color w:val="000000"/>
                <w:szCs w:val="21"/>
              </w:rPr>
              <w:t>终身维修，保修期满后，生产厂家对用户进行的售后服务只收更换部件的成本费，提供</w:t>
            </w:r>
            <w:r>
              <w:rPr>
                <w:rFonts w:ascii="宋体" w:hAnsi="宋体" w:hint="eastAsia"/>
                <w:kern w:val="0"/>
                <w:szCs w:val="21"/>
              </w:rPr>
              <w:t>维修零配件、消耗品</w:t>
            </w:r>
            <w:r>
              <w:rPr>
                <w:rFonts w:ascii="宋体" w:hAnsi="宋体" w:hint="eastAsia"/>
                <w:color w:val="000000"/>
                <w:szCs w:val="21"/>
              </w:rPr>
              <w:t>优惠价格。</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374"/>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4315"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1.3采购人可与投标人就优惠价进行谈判，但优惠价不得高于投标人在投标文件中承诺的</w:t>
            </w:r>
            <w:r>
              <w:rPr>
                <w:rFonts w:ascii="宋体" w:hAnsi="宋体" w:hint="eastAsia"/>
                <w:kern w:val="0"/>
                <w:szCs w:val="21"/>
              </w:rPr>
              <w:t>消耗品、零配件</w:t>
            </w:r>
            <w:r>
              <w:rPr>
                <w:rFonts w:hint="eastAsia"/>
              </w:rPr>
              <w:t>报价。</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258"/>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4315"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1.4生产厂家维修的货物经采购人验收合格，且厂家提供维修专用发票后，采购人支付维修费用。</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898"/>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4315" w:type="dxa"/>
            <w:noWrap w:val="0"/>
            <w:vAlign w:val="top"/>
          </w:tcPr>
          <w:p>
            <w:pPr>
              <w:spacing w:line="320" w:lineRule="exact"/>
              <w:rPr>
                <w:rFonts w:ascii="Times New Roman" w:eastAsia="宋体" w:hAnsi="Times New Roman" w:cs="Times New Roman" w:hint="eastAsia"/>
                <w:kern w:val="2"/>
                <w:sz w:val="21"/>
                <w:szCs w:val="24"/>
                <w:lang w:val="en-US" w:eastAsia="zh-CN" w:bidi="ar-SA"/>
              </w:rPr>
            </w:pPr>
            <w:r>
              <w:rPr>
                <w:rFonts w:hint="eastAsia"/>
              </w:rPr>
              <w:t>1.5投标人及生产厂家不得以任何理由不按时进行维修，不得要求采购人购买所谓“保修服务”（即：不论设备有无故障，先买保修服务），不得在设备中嵌设任何不利于采购人使用与维修设备的障碍。</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495"/>
          <w:jc w:val="center"/>
        </w:trPr>
        <w:tc>
          <w:tcPr>
            <w:tcW w:w="8497" w:type="dxa"/>
            <w:gridSpan w:val="6"/>
            <w:noWrap w:val="0"/>
            <w:vAlign w:val="center"/>
          </w:tcPr>
          <w:p>
            <w:pPr>
              <w:rPr>
                <w:rFonts w:ascii="宋体" w:eastAsia="宋体" w:hAnsi="宋体" w:cs="宋体" w:hint="eastAsia"/>
                <w:b/>
                <w:color w:val="auto"/>
                <w:sz w:val="21"/>
                <w:szCs w:val="21"/>
              </w:rPr>
            </w:pPr>
            <w:r>
              <w:rPr>
                <w:rFonts w:ascii="宋体" w:eastAsia="宋体" w:hAnsi="宋体" w:cs="宋体" w:hint="eastAsia"/>
                <w:b/>
                <w:color w:val="auto"/>
                <w:sz w:val="21"/>
                <w:szCs w:val="21"/>
              </w:rPr>
              <w:t>（三）其他商务要求</w:t>
            </w:r>
          </w:p>
        </w:tc>
      </w:tr>
      <w:tr>
        <w:tblPrEx>
          <w:tblW w:w="8497" w:type="dxa"/>
          <w:jc w:val="center"/>
          <w:tblLayout w:type="fixed"/>
          <w:tblCellMar>
            <w:top w:w="0" w:type="dxa"/>
            <w:left w:w="108" w:type="dxa"/>
            <w:bottom w:w="0" w:type="dxa"/>
            <w:right w:w="108" w:type="dxa"/>
          </w:tblCellMar>
        </w:tblPrEx>
        <w:trPr>
          <w:trHeight w:val="546"/>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jc w:val="center"/>
              <w:rPr>
                <w:rFonts w:ascii="宋体" w:eastAsia="宋体" w:hAnsi="宋体" w:cs="宋体" w:hint="eastAsia"/>
                <w:color w:val="auto"/>
                <w:sz w:val="21"/>
                <w:szCs w:val="21"/>
              </w:rPr>
            </w:pPr>
            <w:r>
              <w:rPr>
                <w:rFonts w:ascii="宋体" w:eastAsia="宋体" w:hAnsi="宋体" w:cs="宋体" w:hint="eastAsia"/>
                <w:b/>
                <w:color w:val="auto"/>
                <w:sz w:val="21"/>
                <w:szCs w:val="21"/>
              </w:rPr>
              <w:t>交货要求</w:t>
            </w: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1.2投标人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c>
          <w:tcPr>
            <w:tcW w:w="917" w:type="dxa"/>
            <w:noWrap w:val="0"/>
            <w:vAlign w:val="top"/>
          </w:tcPr>
          <w:p>
            <w:pPr>
              <w:spacing w:line="320" w:lineRule="atLeast"/>
              <w:rPr>
                <w:rFonts w:ascii="宋体" w:eastAsia="宋体" w:hAnsi="宋体" w:cs="宋体" w:hint="eastAsia"/>
                <w:b/>
                <w:bCs w:val="0"/>
                <w:sz w:val="21"/>
                <w:szCs w:val="21"/>
              </w:rPr>
            </w:pPr>
          </w:p>
        </w:tc>
        <w:tc>
          <w:tcPr>
            <w:tcW w:w="583" w:type="dxa"/>
            <w:noWrap w:val="0"/>
            <w:vAlign w:val="top"/>
          </w:tcPr>
          <w:p>
            <w:pPr>
              <w:spacing w:line="320" w:lineRule="atLeast"/>
              <w:rPr>
                <w:rFonts w:ascii="宋体" w:eastAsia="宋体" w:hAnsi="宋体" w:cs="宋体" w:hint="eastAsia"/>
                <w:b/>
                <w:bCs w:val="0"/>
                <w:sz w:val="21"/>
                <w:szCs w:val="21"/>
              </w:rPr>
            </w:pPr>
          </w:p>
        </w:tc>
        <w:tc>
          <w:tcPr>
            <w:tcW w:w="504" w:type="dxa"/>
            <w:noWrap w:val="0"/>
            <w:vAlign w:val="top"/>
          </w:tcPr>
          <w:p>
            <w:pPr>
              <w:spacing w:line="320" w:lineRule="atLeast"/>
              <w:rPr>
                <w:rFonts w:ascii="宋体" w:eastAsia="宋体" w:hAnsi="宋体" w:cs="宋体" w:hint="eastAsia"/>
                <w:b/>
                <w:bCs w:val="0"/>
                <w:sz w:val="21"/>
                <w:szCs w:val="21"/>
              </w:rPr>
            </w:pPr>
          </w:p>
        </w:tc>
      </w:tr>
      <w:tr>
        <w:tblPrEx>
          <w:tblW w:w="8497" w:type="dxa"/>
          <w:jc w:val="center"/>
          <w:tblLayout w:type="fixed"/>
          <w:tblCellMar>
            <w:top w:w="0" w:type="dxa"/>
            <w:left w:w="108" w:type="dxa"/>
            <w:bottom w:w="0" w:type="dxa"/>
            <w:right w:w="108" w:type="dxa"/>
          </w:tblCellMar>
        </w:tblPrEx>
        <w:trPr>
          <w:trHeight w:val="626"/>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color w:val="auto"/>
                <w:sz w:val="21"/>
                <w:szCs w:val="21"/>
              </w:rPr>
            </w:pP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1.3提供的货物必须为全新、经检验合格的产品。产品如需要计量检定的应提供相关计量检定部门出具的合法检定报告。其中，进口设备必须提供相关进口资料。</w:t>
            </w:r>
          </w:p>
        </w:tc>
        <w:tc>
          <w:tcPr>
            <w:tcW w:w="917" w:type="dxa"/>
            <w:noWrap w:val="0"/>
            <w:vAlign w:val="top"/>
          </w:tcPr>
          <w:p>
            <w:pPr>
              <w:spacing w:line="320" w:lineRule="atLeast"/>
              <w:rPr>
                <w:rFonts w:ascii="宋体" w:eastAsia="宋体" w:hAnsi="宋体" w:cs="宋体" w:hint="eastAsia"/>
                <w:color w:val="auto"/>
                <w:spacing w:val="-3"/>
                <w:sz w:val="21"/>
                <w:szCs w:val="21"/>
              </w:rPr>
            </w:pPr>
          </w:p>
        </w:tc>
        <w:tc>
          <w:tcPr>
            <w:tcW w:w="583" w:type="dxa"/>
            <w:noWrap w:val="0"/>
            <w:vAlign w:val="top"/>
          </w:tcPr>
          <w:p>
            <w:pPr>
              <w:spacing w:line="320" w:lineRule="atLeast"/>
              <w:rPr>
                <w:rFonts w:ascii="宋体" w:eastAsia="宋体" w:hAnsi="宋体" w:cs="宋体" w:hint="eastAsia"/>
                <w:color w:val="auto"/>
                <w:spacing w:val="-3"/>
                <w:sz w:val="21"/>
                <w:szCs w:val="21"/>
              </w:rPr>
            </w:pPr>
          </w:p>
        </w:tc>
        <w:tc>
          <w:tcPr>
            <w:tcW w:w="504" w:type="dxa"/>
            <w:noWrap w:val="0"/>
            <w:vAlign w:val="top"/>
          </w:tcPr>
          <w:p>
            <w:pPr>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560"/>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296"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bCs/>
                <w:color w:val="auto"/>
                <w:kern w:val="0"/>
                <w:sz w:val="21"/>
                <w:szCs w:val="21"/>
              </w:rPr>
              <w:t>运输、安装和验收</w:t>
            </w: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2.1投标人负责将货物安全无损运抵采购人指定地点，并承担设备的包装、运输、保险、装卸、安装调试、培训、商检及计量检测、关税、增值税和进口代理等费用。</w:t>
            </w:r>
          </w:p>
        </w:tc>
        <w:tc>
          <w:tcPr>
            <w:tcW w:w="917" w:type="dxa"/>
            <w:noWrap w:val="0"/>
            <w:vAlign w:val="top"/>
          </w:tcPr>
          <w:p>
            <w:pPr>
              <w:spacing w:line="320" w:lineRule="atLeast"/>
              <w:rPr>
                <w:rFonts w:ascii="宋体" w:eastAsia="宋体" w:hAnsi="宋体" w:cs="宋体" w:hint="eastAsia"/>
                <w:bCs/>
                <w:color w:val="auto"/>
                <w:sz w:val="21"/>
                <w:szCs w:val="21"/>
              </w:rPr>
            </w:pPr>
          </w:p>
        </w:tc>
        <w:tc>
          <w:tcPr>
            <w:tcW w:w="583" w:type="dxa"/>
            <w:noWrap w:val="0"/>
            <w:vAlign w:val="top"/>
          </w:tcPr>
          <w:p>
            <w:pPr>
              <w:spacing w:line="320" w:lineRule="atLeast"/>
              <w:rPr>
                <w:rFonts w:ascii="宋体" w:eastAsia="宋体" w:hAnsi="宋体" w:cs="宋体" w:hint="eastAsia"/>
                <w:bCs/>
                <w:color w:val="auto"/>
                <w:sz w:val="21"/>
                <w:szCs w:val="21"/>
              </w:rPr>
            </w:pPr>
          </w:p>
        </w:tc>
        <w:tc>
          <w:tcPr>
            <w:tcW w:w="504" w:type="dxa"/>
            <w:noWrap w:val="0"/>
            <w:vAlign w:val="top"/>
          </w:tcPr>
          <w:p>
            <w:pPr>
              <w:spacing w:line="320" w:lineRule="atLeast"/>
              <w:rPr>
                <w:rFonts w:ascii="宋体" w:eastAsia="宋体" w:hAnsi="宋体" w:cs="宋体" w:hint="eastAsia"/>
                <w:bCs/>
                <w:color w:val="auto"/>
                <w:sz w:val="21"/>
                <w:szCs w:val="21"/>
              </w:rPr>
            </w:pPr>
          </w:p>
        </w:tc>
      </w:tr>
      <w:tr>
        <w:tblPrEx>
          <w:tblW w:w="8497" w:type="dxa"/>
          <w:jc w:val="center"/>
          <w:tblLayout w:type="fixed"/>
          <w:tblCellMar>
            <w:top w:w="0" w:type="dxa"/>
            <w:left w:w="108" w:type="dxa"/>
            <w:bottom w:w="0" w:type="dxa"/>
            <w:right w:w="108" w:type="dxa"/>
          </w:tblCellMar>
        </w:tblPrEx>
        <w:trPr>
          <w:trHeight w:val="1170"/>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2.2货物安装前厂家需派专业工程师到现场确认场地及安装环境是否符合该设备安装要求，在用户单位、中标人双方在场情况下开箱检验。在安装过程中若造成机器损坏，应由中标人负责修复，安装后保证产品质量。</w:t>
            </w:r>
          </w:p>
        </w:tc>
        <w:tc>
          <w:tcPr>
            <w:tcW w:w="917" w:type="dxa"/>
            <w:noWrap w:val="0"/>
            <w:vAlign w:val="top"/>
          </w:tcPr>
          <w:p>
            <w:pPr>
              <w:tabs>
                <w:tab w:val="left" w:pos="1260"/>
              </w:tabs>
              <w:spacing w:line="320" w:lineRule="atLeast"/>
              <w:rPr>
                <w:rFonts w:ascii="宋体" w:eastAsia="宋体" w:hAnsi="宋体" w:cs="宋体" w:hint="eastAsia"/>
                <w:bCs/>
                <w:color w:val="auto"/>
                <w:sz w:val="21"/>
                <w:szCs w:val="21"/>
              </w:rPr>
            </w:pPr>
          </w:p>
        </w:tc>
        <w:tc>
          <w:tcPr>
            <w:tcW w:w="583" w:type="dxa"/>
            <w:noWrap w:val="0"/>
            <w:vAlign w:val="top"/>
          </w:tcPr>
          <w:p>
            <w:pPr>
              <w:tabs>
                <w:tab w:val="left" w:pos="1260"/>
              </w:tabs>
              <w:spacing w:line="320" w:lineRule="atLeast"/>
              <w:rPr>
                <w:rFonts w:ascii="宋体" w:eastAsia="宋体" w:hAnsi="宋体" w:cs="宋体" w:hint="eastAsia"/>
                <w:bCs/>
                <w:color w:val="auto"/>
                <w:sz w:val="21"/>
                <w:szCs w:val="21"/>
              </w:rPr>
            </w:pPr>
          </w:p>
        </w:tc>
        <w:tc>
          <w:tcPr>
            <w:tcW w:w="504" w:type="dxa"/>
            <w:noWrap w:val="0"/>
            <w:vAlign w:val="top"/>
          </w:tcPr>
          <w:p>
            <w:pPr>
              <w:tabs>
                <w:tab w:val="left" w:pos="1260"/>
              </w:tabs>
              <w:spacing w:line="320" w:lineRule="atLeast"/>
              <w:rPr>
                <w:rFonts w:ascii="宋体" w:eastAsia="宋体" w:hAnsi="宋体" w:cs="宋体" w:hint="eastAsia"/>
                <w:bCs/>
                <w:color w:val="auto"/>
                <w:sz w:val="21"/>
                <w:szCs w:val="21"/>
              </w:rPr>
            </w:pPr>
          </w:p>
        </w:tc>
      </w:tr>
      <w:tr>
        <w:tblPrEx>
          <w:tblW w:w="8497" w:type="dxa"/>
          <w:jc w:val="center"/>
          <w:tblLayout w:type="fixed"/>
          <w:tblCellMar>
            <w:top w:w="0" w:type="dxa"/>
            <w:left w:w="108" w:type="dxa"/>
            <w:bottom w:w="0" w:type="dxa"/>
            <w:right w:w="108" w:type="dxa"/>
          </w:tblCellMar>
        </w:tblPrEx>
        <w:trPr>
          <w:trHeight w:val="538"/>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2.3采购人有权检验或测试货物，以确认货物是否符合合同规格的要求，并且不承担额外的费用。如果发现所交货物与投标文件中所承诺的不符或存在质量、技术缺陷等，采购人可以拒绝接收该货物，投标人应在  30  天（日历日）内采取补足、更换或退货等措施，以满足规格的要求，由此发生的一切损失和费用由投标人承担。</w:t>
            </w:r>
          </w:p>
        </w:tc>
        <w:tc>
          <w:tcPr>
            <w:tcW w:w="917" w:type="dxa"/>
            <w:noWrap w:val="0"/>
            <w:vAlign w:val="top"/>
          </w:tcPr>
          <w:p>
            <w:pPr>
              <w:tabs>
                <w:tab w:val="left" w:pos="1260"/>
              </w:tabs>
              <w:spacing w:line="320" w:lineRule="atLeast"/>
              <w:rPr>
                <w:rFonts w:ascii="宋体" w:eastAsia="宋体" w:hAnsi="宋体" w:cs="宋体" w:hint="eastAsia"/>
                <w:bCs/>
                <w:color w:val="auto"/>
                <w:kern w:val="0"/>
                <w:sz w:val="21"/>
                <w:szCs w:val="21"/>
              </w:rPr>
            </w:pPr>
          </w:p>
        </w:tc>
        <w:tc>
          <w:tcPr>
            <w:tcW w:w="583" w:type="dxa"/>
            <w:noWrap w:val="0"/>
            <w:vAlign w:val="top"/>
          </w:tcPr>
          <w:p>
            <w:pPr>
              <w:tabs>
                <w:tab w:val="left" w:pos="1260"/>
              </w:tabs>
              <w:spacing w:line="320" w:lineRule="atLeast"/>
              <w:rPr>
                <w:rFonts w:ascii="宋体" w:eastAsia="宋体" w:hAnsi="宋体" w:cs="宋体" w:hint="eastAsia"/>
                <w:bCs/>
                <w:color w:val="auto"/>
                <w:kern w:val="0"/>
                <w:sz w:val="21"/>
                <w:szCs w:val="21"/>
              </w:rPr>
            </w:pPr>
          </w:p>
        </w:tc>
        <w:tc>
          <w:tcPr>
            <w:tcW w:w="504" w:type="dxa"/>
            <w:noWrap w:val="0"/>
            <w:vAlign w:val="top"/>
          </w:tcPr>
          <w:p>
            <w:pPr>
              <w:tabs>
                <w:tab w:val="left" w:pos="1260"/>
              </w:tabs>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466"/>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2.4供货时须确保产品外观清洁，标记编号以及盘面显示等字体清晰、明确，能够准确无误地表示产品的型号、规格、制造商等，并保证所提供的产品的可追溯性。</w:t>
            </w:r>
          </w:p>
        </w:tc>
        <w:tc>
          <w:tcPr>
            <w:tcW w:w="917"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83"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04" w:type="dxa"/>
            <w:noWrap w:val="0"/>
            <w:vAlign w:val="top"/>
          </w:tcPr>
          <w:p>
            <w:pPr>
              <w:tabs>
                <w:tab w:val="left" w:pos="1260"/>
              </w:tabs>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710"/>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2.5投标人负责货物的现场安装和调试，提供货物安装、调试和维修所需的专用工具和辅助材料。投标人应在货物运至指定地点后一周内开始安装调试，并在  15  天（日历日）内完成安装调试工作。</w:t>
            </w:r>
          </w:p>
        </w:tc>
        <w:tc>
          <w:tcPr>
            <w:tcW w:w="917"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83"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04" w:type="dxa"/>
            <w:noWrap w:val="0"/>
            <w:vAlign w:val="top"/>
          </w:tcPr>
          <w:p>
            <w:pPr>
              <w:tabs>
                <w:tab w:val="left" w:pos="1260"/>
              </w:tabs>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498"/>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top"/>
          </w:tcPr>
          <w:p>
            <w:pPr>
              <w:spacing w:line="320" w:lineRule="atLeast"/>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2.6由投标人代表、厂家代表和采购人组成验收小组对产品进行验收。验收标准按照产品技术参数要求和合同约定执行。经检验设备正常运作后签署性能验收报告，产品保修期自性能验收合格之日起算。</w:t>
            </w:r>
          </w:p>
        </w:tc>
        <w:tc>
          <w:tcPr>
            <w:tcW w:w="917"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83"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04" w:type="dxa"/>
            <w:noWrap w:val="0"/>
            <w:vAlign w:val="top"/>
          </w:tcPr>
          <w:p>
            <w:pPr>
              <w:tabs>
                <w:tab w:val="left" w:pos="1260"/>
              </w:tabs>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386"/>
          <w:jc w:val="center"/>
        </w:trPr>
        <w:tc>
          <w:tcPr>
            <w:tcW w:w="882"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3</w:t>
            </w:r>
          </w:p>
        </w:tc>
        <w:tc>
          <w:tcPr>
            <w:tcW w:w="1296" w:type="dxa"/>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培训</w:t>
            </w:r>
          </w:p>
        </w:tc>
        <w:tc>
          <w:tcPr>
            <w:tcW w:w="4315" w:type="dxa"/>
            <w:noWrap w:val="0"/>
            <w:vAlign w:val="top"/>
          </w:tcPr>
          <w:p>
            <w:pPr>
              <w:spacing w:line="320" w:lineRule="atLeast"/>
              <w:rPr>
                <w:rFonts w:ascii="宋体" w:eastAsia="宋体" w:hAnsi="宋体" w:cs="宋体" w:hint="eastAsia"/>
                <w:b/>
                <w:kern w:val="2"/>
                <w:sz w:val="21"/>
                <w:szCs w:val="21"/>
                <w:lang w:val="en-US" w:eastAsia="zh-CN" w:bidi="ar-SA"/>
              </w:rPr>
            </w:pPr>
            <w:r>
              <w:rPr>
                <w:rFonts w:ascii="宋体" w:eastAsia="宋体" w:hAnsi="宋体" w:cs="宋体" w:hint="eastAsia"/>
                <w:bCs/>
                <w:kern w:val="0"/>
                <w:szCs w:val="21"/>
              </w:rPr>
              <w:t>3.1中标人应派专业技术人员免费对采购单位制定人员进行定期培训及指导，直至其完全掌握设备的基本故障处理技术。</w:t>
            </w:r>
          </w:p>
        </w:tc>
        <w:tc>
          <w:tcPr>
            <w:tcW w:w="917" w:type="dxa"/>
            <w:noWrap w:val="0"/>
            <w:vAlign w:val="top"/>
          </w:tcPr>
          <w:p>
            <w:pPr>
              <w:spacing w:line="320" w:lineRule="atLeast"/>
              <w:rPr>
                <w:rFonts w:ascii="宋体" w:eastAsia="宋体" w:hAnsi="宋体" w:cs="宋体" w:hint="eastAsia"/>
                <w:bCs/>
                <w:color w:val="auto"/>
                <w:kern w:val="0"/>
                <w:sz w:val="21"/>
                <w:szCs w:val="21"/>
              </w:rPr>
            </w:pPr>
          </w:p>
        </w:tc>
        <w:tc>
          <w:tcPr>
            <w:tcW w:w="583" w:type="dxa"/>
            <w:noWrap w:val="0"/>
            <w:vAlign w:val="top"/>
          </w:tcPr>
          <w:p>
            <w:pPr>
              <w:spacing w:line="320" w:lineRule="atLeast"/>
              <w:rPr>
                <w:rFonts w:ascii="宋体" w:eastAsia="宋体" w:hAnsi="宋体" w:cs="宋体" w:hint="eastAsia"/>
                <w:bCs/>
                <w:color w:val="auto"/>
                <w:kern w:val="0"/>
                <w:sz w:val="21"/>
                <w:szCs w:val="21"/>
              </w:rPr>
            </w:pPr>
          </w:p>
        </w:tc>
        <w:tc>
          <w:tcPr>
            <w:tcW w:w="504" w:type="dxa"/>
            <w:noWrap w:val="0"/>
            <w:vAlign w:val="top"/>
          </w:tcPr>
          <w:p>
            <w:pPr>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306"/>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4</w:t>
            </w:r>
          </w:p>
        </w:tc>
        <w:tc>
          <w:tcPr>
            <w:tcW w:w="1296" w:type="dxa"/>
            <w:vMerge w:val="restart"/>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知识产权</w:t>
            </w:r>
          </w:p>
        </w:tc>
        <w:tc>
          <w:tcPr>
            <w:tcW w:w="4315" w:type="dxa"/>
            <w:noWrap w:val="0"/>
            <w:vAlign w:val="top"/>
          </w:tcPr>
          <w:p>
            <w:pPr>
              <w:spacing w:line="320" w:lineRule="atLeast"/>
              <w:rPr>
                <w:rFonts w:ascii="宋体" w:eastAsia="宋体" w:hAnsi="宋体" w:cs="宋体" w:hint="eastAsia"/>
                <w:bCs/>
                <w:kern w:val="0"/>
                <w:sz w:val="21"/>
                <w:szCs w:val="21"/>
                <w:lang w:val="en-US" w:eastAsia="zh-CN" w:bidi="ar-SA"/>
              </w:rPr>
            </w:pPr>
            <w:r>
              <w:rPr>
                <w:rFonts w:ascii="宋体" w:eastAsia="宋体" w:hAnsi="宋体" w:cs="宋体" w:hint="eastAsia"/>
                <w:bCs/>
                <w:kern w:val="0"/>
                <w:szCs w:val="21"/>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c>
          <w:tcPr>
            <w:tcW w:w="917" w:type="dxa"/>
            <w:noWrap w:val="0"/>
            <w:vAlign w:val="top"/>
          </w:tcPr>
          <w:p>
            <w:pPr>
              <w:spacing w:line="320" w:lineRule="atLeast"/>
              <w:rPr>
                <w:rFonts w:ascii="宋体" w:eastAsia="宋体" w:hAnsi="宋体" w:cs="宋体" w:hint="eastAsia"/>
                <w:bCs/>
                <w:color w:val="auto"/>
                <w:kern w:val="0"/>
                <w:sz w:val="21"/>
                <w:szCs w:val="21"/>
              </w:rPr>
            </w:pPr>
          </w:p>
        </w:tc>
        <w:tc>
          <w:tcPr>
            <w:tcW w:w="583" w:type="dxa"/>
            <w:noWrap w:val="0"/>
            <w:vAlign w:val="top"/>
          </w:tcPr>
          <w:p>
            <w:pPr>
              <w:spacing w:line="320" w:lineRule="atLeast"/>
              <w:rPr>
                <w:rFonts w:ascii="宋体" w:eastAsia="宋体" w:hAnsi="宋体" w:cs="宋体" w:hint="eastAsia"/>
                <w:bCs/>
                <w:color w:val="auto"/>
                <w:kern w:val="0"/>
                <w:sz w:val="21"/>
                <w:szCs w:val="21"/>
              </w:rPr>
            </w:pPr>
          </w:p>
        </w:tc>
        <w:tc>
          <w:tcPr>
            <w:tcW w:w="504" w:type="dxa"/>
            <w:noWrap w:val="0"/>
            <w:vAlign w:val="top"/>
          </w:tcPr>
          <w:p>
            <w:pPr>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144"/>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b/>
                <w:color w:val="auto"/>
                <w:kern w:val="0"/>
                <w:sz w:val="21"/>
                <w:szCs w:val="21"/>
              </w:rPr>
            </w:pPr>
          </w:p>
        </w:tc>
        <w:tc>
          <w:tcPr>
            <w:tcW w:w="4315" w:type="dxa"/>
            <w:noWrap w:val="0"/>
            <w:vAlign w:val="top"/>
          </w:tcPr>
          <w:p>
            <w:pPr>
              <w:spacing w:line="320" w:lineRule="atLeast"/>
              <w:rPr>
                <w:rFonts w:ascii="宋体" w:eastAsia="宋体" w:hAnsi="宋体" w:cs="宋体" w:hint="eastAsia"/>
                <w:bCs/>
                <w:kern w:val="0"/>
                <w:sz w:val="21"/>
                <w:szCs w:val="21"/>
                <w:lang w:val="en-US" w:eastAsia="zh-CN" w:bidi="ar-SA"/>
              </w:rPr>
            </w:pPr>
            <w:r>
              <w:rPr>
                <w:rFonts w:ascii="宋体" w:eastAsia="宋体" w:hAnsi="宋体" w:cs="宋体" w:hint="eastAsia"/>
                <w:bCs/>
                <w:kern w:val="0"/>
                <w:szCs w:val="21"/>
              </w:rPr>
              <w:t>4.2采购人购买产品后，有权对该产品与其他设备进行配套、整合或适当改进，而免受侵犯专利权的起诉。</w:t>
            </w:r>
          </w:p>
        </w:tc>
        <w:tc>
          <w:tcPr>
            <w:tcW w:w="917" w:type="dxa"/>
            <w:noWrap w:val="0"/>
            <w:vAlign w:val="top"/>
          </w:tcPr>
          <w:p>
            <w:pPr>
              <w:spacing w:line="320" w:lineRule="atLeast"/>
              <w:rPr>
                <w:rFonts w:ascii="宋体" w:eastAsia="宋体" w:hAnsi="宋体" w:cs="宋体" w:hint="eastAsia"/>
                <w:bCs/>
                <w:color w:val="auto"/>
                <w:kern w:val="0"/>
                <w:sz w:val="21"/>
                <w:szCs w:val="21"/>
              </w:rPr>
            </w:pPr>
          </w:p>
        </w:tc>
        <w:tc>
          <w:tcPr>
            <w:tcW w:w="583" w:type="dxa"/>
            <w:noWrap w:val="0"/>
            <w:vAlign w:val="top"/>
          </w:tcPr>
          <w:p>
            <w:pPr>
              <w:spacing w:line="320" w:lineRule="atLeast"/>
              <w:rPr>
                <w:rFonts w:ascii="宋体" w:eastAsia="宋体" w:hAnsi="宋体" w:cs="宋体" w:hint="eastAsia"/>
                <w:bCs/>
                <w:color w:val="auto"/>
                <w:kern w:val="0"/>
                <w:sz w:val="21"/>
                <w:szCs w:val="21"/>
              </w:rPr>
            </w:pPr>
          </w:p>
        </w:tc>
        <w:tc>
          <w:tcPr>
            <w:tcW w:w="504" w:type="dxa"/>
            <w:noWrap w:val="0"/>
            <w:vAlign w:val="top"/>
          </w:tcPr>
          <w:p>
            <w:pPr>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758"/>
          <w:jc w:val="center"/>
        </w:trPr>
        <w:tc>
          <w:tcPr>
            <w:tcW w:w="882" w:type="dxa"/>
            <w:noWrap w:val="0"/>
            <w:vAlign w:val="center"/>
          </w:tcPr>
          <w:p>
            <w:pPr>
              <w:jc w:val="center"/>
              <w:rPr>
                <w:rFonts w:ascii="宋体" w:eastAsia="宋体" w:hAnsi="宋体" w:cs="宋体" w:hint="eastAsia"/>
                <w:b/>
                <w:color w:val="auto"/>
                <w:sz w:val="21"/>
                <w:szCs w:val="21"/>
                <w:lang w:eastAsia="zh-CN"/>
              </w:rPr>
            </w:pPr>
            <w:r>
              <w:rPr>
                <w:rFonts w:ascii="宋体" w:hAnsi="宋体" w:cs="宋体" w:hint="eastAsia"/>
                <w:b/>
                <w:color w:val="auto"/>
                <w:sz w:val="21"/>
                <w:szCs w:val="21"/>
                <w:lang w:val="en-US" w:eastAsia="zh-CN"/>
              </w:rPr>
              <w:t>5</w:t>
            </w:r>
          </w:p>
        </w:tc>
        <w:tc>
          <w:tcPr>
            <w:tcW w:w="1296" w:type="dxa"/>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其他</w:t>
            </w:r>
          </w:p>
        </w:tc>
        <w:tc>
          <w:tcPr>
            <w:tcW w:w="4315" w:type="dxa"/>
            <w:noWrap w:val="0"/>
            <w:vAlign w:val="center"/>
          </w:tcPr>
          <w:p>
            <w:pPr>
              <w:rPr>
                <w:rFonts w:ascii="宋体" w:eastAsia="宋体" w:hAnsi="宋体" w:cs="宋体" w:hint="eastAsia"/>
                <w:bCs/>
                <w:kern w:val="0"/>
                <w:sz w:val="21"/>
                <w:szCs w:val="21"/>
                <w:lang w:val="en-US" w:eastAsia="zh-CN" w:bidi="ar-SA"/>
              </w:rPr>
            </w:pPr>
            <w:r>
              <w:rPr>
                <w:rFonts w:ascii="宋体" w:eastAsia="宋体" w:hAnsi="宋体" w:cs="宋体" w:hint="eastAsia"/>
                <w:bCs/>
                <w:kern w:val="0"/>
                <w:szCs w:val="21"/>
              </w:rPr>
              <w:t>5.1投标人应按其投标文件中的承诺，进行其他售后服务工作。</w:t>
            </w:r>
          </w:p>
        </w:tc>
        <w:tc>
          <w:tcPr>
            <w:tcW w:w="917" w:type="dxa"/>
            <w:noWrap w:val="0"/>
            <w:vAlign w:val="center"/>
          </w:tcPr>
          <w:p>
            <w:pPr>
              <w:rPr>
                <w:rFonts w:ascii="宋体" w:eastAsia="宋体" w:hAnsi="宋体" w:cs="宋体" w:hint="eastAsia"/>
                <w:bCs/>
                <w:color w:val="auto"/>
                <w:kern w:val="0"/>
                <w:sz w:val="21"/>
                <w:szCs w:val="21"/>
                <w:lang w:val="en-US" w:eastAsia="zh-CN"/>
              </w:rPr>
            </w:pPr>
          </w:p>
        </w:tc>
        <w:tc>
          <w:tcPr>
            <w:tcW w:w="583" w:type="dxa"/>
            <w:noWrap w:val="0"/>
            <w:vAlign w:val="center"/>
          </w:tcPr>
          <w:p>
            <w:pPr>
              <w:rPr>
                <w:rFonts w:ascii="宋体" w:eastAsia="宋体" w:hAnsi="宋体" w:cs="宋体" w:hint="eastAsia"/>
                <w:bCs/>
                <w:color w:val="auto"/>
                <w:kern w:val="0"/>
                <w:sz w:val="21"/>
                <w:szCs w:val="21"/>
                <w:lang w:val="en-US" w:eastAsia="zh-CN"/>
              </w:rPr>
            </w:pPr>
          </w:p>
        </w:tc>
        <w:tc>
          <w:tcPr>
            <w:tcW w:w="504" w:type="dxa"/>
            <w:noWrap w:val="0"/>
            <w:vAlign w:val="center"/>
          </w:tcPr>
          <w:p>
            <w:pPr>
              <w:rPr>
                <w:rFonts w:ascii="宋体" w:eastAsia="宋体" w:hAnsi="宋体" w:cs="宋体" w:hint="eastAsia"/>
                <w:bCs/>
                <w:color w:val="auto"/>
                <w:kern w:val="0"/>
                <w:sz w:val="21"/>
                <w:szCs w:val="21"/>
                <w:lang w:val="en-US" w:eastAsia="zh-CN"/>
              </w:rPr>
            </w:pPr>
          </w:p>
        </w:tc>
      </w:tr>
    </w:tbl>
    <w:p>
      <w:pPr>
        <w:ind w:firstLine="420" w:firstLineChars="200"/>
        <w:rPr>
          <w:rFonts w:hint="eastAsia"/>
          <w:b/>
          <w:sz w:val="21"/>
          <w:szCs w:val="21"/>
        </w:rPr>
      </w:pPr>
    </w:p>
    <w:p>
      <w:pPr>
        <w:ind w:firstLine="420" w:firstLineChars="200"/>
        <w:rPr>
          <w:rFonts w:hint="eastAsia"/>
          <w:b/>
          <w:sz w:val="21"/>
          <w:szCs w:val="21"/>
        </w:rPr>
      </w:pPr>
    </w:p>
    <w:p>
      <w:pPr>
        <w:ind w:firstLine="420" w:firstLineChars="200"/>
        <w:rPr>
          <w:b/>
          <w:sz w:val="21"/>
          <w:szCs w:val="21"/>
        </w:rPr>
      </w:pPr>
      <w:r>
        <w:rPr>
          <w:rFonts w:hint="eastAsia"/>
          <w:b/>
          <w:sz w:val="21"/>
          <w:szCs w:val="21"/>
        </w:rPr>
        <w:t>《商务要求偏离表》编制指引：</w:t>
      </w:r>
    </w:p>
    <w:p>
      <w:pPr>
        <w:ind w:firstLine="420" w:firstLineChars="200"/>
        <w:rPr>
          <w:b/>
          <w:sz w:val="21"/>
          <w:szCs w:val="21"/>
        </w:rPr>
      </w:pPr>
      <w:r>
        <w:rPr>
          <w:rFonts w:hint="eastAsia"/>
          <w:b/>
          <w:sz w:val="21"/>
          <w:szCs w:val="21"/>
        </w:rPr>
        <w:t>1、商务要求偏离表的序号、商务需求项、招标商务要求等栏目对应“用户需求书”中的“商务要求”章节相关内容。</w:t>
      </w:r>
    </w:p>
    <w:p>
      <w:pPr>
        <w:ind w:firstLine="420" w:firstLineChars="200"/>
        <w:rPr>
          <w:b/>
          <w:sz w:val="21"/>
          <w:szCs w:val="21"/>
        </w:rPr>
      </w:pPr>
      <w:r>
        <w:rPr>
          <w:b/>
          <w:sz w:val="21"/>
          <w:szCs w:val="21"/>
        </w:rPr>
        <w:t>2</w:t>
      </w:r>
      <w:r>
        <w:rPr>
          <w:rFonts w:hint="eastAsia"/>
          <w:b/>
          <w:sz w:val="21"/>
          <w:szCs w:val="21"/>
        </w:rPr>
        <w:t>、“投标商务响应”一栏必须一一对照“招标商务要求”，详细填写自身响应情况，而不能不合理照搬照抄招标文件的商务要求，以体现具体响应情况。</w:t>
      </w:r>
    </w:p>
    <w:p>
      <w:pPr>
        <w:ind w:firstLine="420" w:firstLineChars="200"/>
        <w:rPr>
          <w:color w:val="FF0000"/>
          <w:sz w:val="21"/>
          <w:szCs w:val="21"/>
        </w:rPr>
      </w:pPr>
      <w:r>
        <w:rPr>
          <w:b/>
          <w:sz w:val="21"/>
          <w:szCs w:val="21"/>
        </w:rPr>
        <w:t>3</w:t>
      </w:r>
      <w:r>
        <w:rPr>
          <w:rFonts w:hint="eastAsia"/>
          <w:b/>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sz w:val="21"/>
          <w:szCs w:val="21"/>
        </w:rPr>
      </w:pPr>
      <w:r>
        <w:rPr>
          <w:rFonts w:hint="eastAsia"/>
          <w:b/>
          <w:sz w:val="21"/>
          <w:szCs w:val="21"/>
        </w:rPr>
        <w:t>“投标商务响应”对比“招标商务要求”存在响应不全（包括未响应整项招标商务要求或者未响应一项招标商务要求的部分内容），均视为“负偏离”。</w:t>
      </w:r>
    </w:p>
    <w:p>
      <w:pPr>
        <w:rPr>
          <w:sz w:val="21"/>
          <w:szCs w:val="21"/>
        </w:rPr>
      </w:pPr>
      <w:r>
        <w:rPr>
          <w:rFonts w:hint="eastAsia"/>
          <w:sz w:val="21"/>
          <w:szCs w:val="21"/>
        </w:rPr>
        <w:t xml:space="preserve">         4、带★号条款为不可偏离条款，如未响应或出现负偏离的，将作投标无效处理。</w:t>
      </w:r>
    </w:p>
    <w:p>
      <w:pPr>
        <w:rPr>
          <w:sz w:val="24"/>
        </w:rPr>
      </w:pPr>
    </w:p>
    <w:p>
      <w:pPr>
        <w:rPr>
          <w:rFonts w:ascii="黑体" w:eastAsia="黑体" w:hint="eastAsia"/>
          <w:b w:val="0"/>
          <w:bCs w:val="0"/>
          <w:sz w:val="24"/>
          <w:szCs w:val="20"/>
        </w:rPr>
      </w:pPr>
    </w:p>
    <w:p>
      <w:pPr>
        <w:rPr>
          <w:rFonts w:ascii="黑体" w:eastAsia="黑体" w:hint="eastAsia"/>
          <w:b w:val="0"/>
          <w:sz w:val="24"/>
          <w:szCs w:val="24"/>
        </w:rPr>
      </w:pPr>
      <w:bookmarkStart w:id="84" w:name="_Hlk72260576"/>
    </w:p>
    <w:p>
      <w:pPr>
        <w:pStyle w:val="Heading3"/>
        <w:jc w:val="center"/>
        <w:rPr>
          <w:rFonts w:ascii="黑体" w:eastAsia="黑体"/>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、系统业务需求理解与分析</w:t>
      </w:r>
    </w:p>
    <w:p>
      <w:pPr>
        <w:rPr>
          <w:sz w:val="24"/>
        </w:rPr>
      </w:pPr>
    </w:p>
    <w:p>
      <w:pPr>
        <w:pStyle w:val="Heading3"/>
        <w:jc w:val="center"/>
        <w:rPr>
          <w:rFonts w:ascii="黑体" w:eastAsia="黑体" w:hint="default"/>
          <w:b w:val="0"/>
          <w:bCs w:val="0"/>
          <w:sz w:val="24"/>
          <w:szCs w:val="20"/>
          <w:lang w:val="en-US" w:eastAsia="zh-CN"/>
        </w:rPr>
      </w:pPr>
      <w:r>
        <w:rPr>
          <w:rFonts w:ascii="黑体" w:eastAsia="黑体" w:hint="eastAsia"/>
          <w:b w:val="0"/>
          <w:bCs w:val="0"/>
          <w:sz w:val="24"/>
          <w:szCs w:val="20"/>
          <w:lang w:val="en-US" w:eastAsia="zh-CN"/>
        </w:rPr>
        <w:t>七</w:t>
      </w:r>
      <w:r>
        <w:rPr>
          <w:rFonts w:ascii="黑体" w:eastAsia="黑体" w:hint="eastAsia"/>
          <w:b w:val="0"/>
          <w:bCs w:val="0"/>
          <w:sz w:val="24"/>
          <w:szCs w:val="20"/>
        </w:rPr>
        <w:t>、</w:t>
      </w:r>
      <w:bookmarkStart w:id="85" w:name="_Hlk72062872"/>
      <w:r>
        <w:rPr>
          <w:rFonts w:ascii="黑体" w:eastAsia="黑体" w:hint="eastAsia"/>
          <w:b w:val="0"/>
          <w:bCs w:val="0"/>
          <w:sz w:val="24"/>
          <w:szCs w:val="20"/>
        </w:rPr>
        <w:t>投标人认为需要加以说明的其他内容</w:t>
      </w:r>
      <w:bookmarkEnd w:id="85"/>
      <w:r>
        <w:rPr>
          <w:rFonts w:ascii="黑体" w:eastAsia="黑体" w:hint="eastAsia"/>
          <w:b w:val="0"/>
          <w:bCs w:val="0"/>
          <w:sz w:val="24"/>
          <w:szCs w:val="20"/>
          <w:lang w:val="en-US" w:eastAsia="zh-CN"/>
        </w:rPr>
        <w:t>(非公开）</w:t>
      </w:r>
    </w:p>
    <w:p>
      <w:pPr>
        <w:widowControl/>
        <w:jc w:val="center"/>
        <w:rPr>
          <w:rFonts w:ascii="黑体" w:eastAsia="黑体" w:hAnsi="宋体"/>
          <w:kern w:val="0"/>
          <w:sz w:val="24"/>
          <w:szCs w:val="20"/>
        </w:rPr>
      </w:pPr>
      <w:bookmarkEnd w:id="84"/>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b/>
          <w:sz w:val="32"/>
          <w:szCs w:val="32"/>
        </w:rPr>
      </w:pPr>
    </w:p>
    <w:p/>
    <w:p/>
    <w:p>
      <w:pPr>
        <w:rPr>
          <w:rFonts w:hint="eastAsia"/>
        </w:rPr>
      </w:pPr>
      <w:r>
        <w:rPr>
          <w:rFonts w:hint="eastAsia"/>
        </w:rPr>
        <w:br w:type="page"/>
      </w:r>
    </w:p>
    <w:p>
      <w:pPr>
        <w:pStyle w:val="Heading2"/>
      </w:pPr>
      <w:r>
        <w:rPr>
          <w:rFonts w:hint="eastAsia"/>
        </w:rPr>
        <w:t>第五章  合同条款及格式</w:t>
      </w:r>
    </w:p>
    <w:p>
      <w:pPr>
        <w:ind w:firstLine="412" w:firstLineChars="196"/>
      </w:pPr>
    </w:p>
    <w:p>
      <w:pPr>
        <w:jc w:val="center"/>
        <w:outlineLvl w:val="9"/>
      </w:pPr>
      <w:bookmarkStart w:id="86" w:name="_Hlk72574405"/>
      <w:bookmarkStart w:id="87" w:name="_Hlk72260917"/>
      <w:r>
        <w:rPr>
          <w:rFonts w:hint="eastAsia"/>
          <w:b/>
          <w:sz w:val="24"/>
        </w:rPr>
        <w:t>（仅供参考，具体以项目需求及采购结果为准）</w:t>
      </w:r>
      <w:bookmarkEnd w:id="86"/>
    </w:p>
    <w:p>
      <w:pPr>
        <w:pStyle w:val="BodyText"/>
        <w:tabs>
          <w:tab w:val="left" w:pos="426"/>
        </w:tabs>
        <w:jc w:val="center"/>
        <w:rPr>
          <w:rFonts w:ascii="宋体" w:eastAsia="宋体" w:hAnsi="宋体" w:cs="宋体" w:hint="eastAsia"/>
          <w:color w:val="auto"/>
          <w:highlight w:val="none"/>
          <w:lang w:val="en-US" w:eastAsia="zh-CN"/>
        </w:rPr>
      </w:pPr>
      <w:bookmarkEnd w:id="87"/>
    </w:p>
    <w:p>
      <w:pPr>
        <w:pStyle w:val="BodyText"/>
        <w:tabs>
          <w:tab w:val="left" w:pos="426"/>
        </w:tabs>
        <w:jc w:val="center"/>
        <w:rPr>
          <w:rFonts w:ascii="宋体" w:eastAsia="宋体" w:hAnsi="宋体" w:cs="宋体" w:hint="eastAsia"/>
          <w:color w:val="auto"/>
          <w:highlight w:val="none"/>
          <w:lang w:val="en-US" w:eastAsia="zh-CN"/>
        </w:rPr>
      </w:pPr>
      <w:r>
        <w:rPr>
          <w:rFonts w:ascii="宋体" w:eastAsia="宋体" w:hAnsi="宋体" w:cs="宋体" w:hint="eastAsia"/>
          <w:color w:val="auto"/>
          <w:highlight w:val="none"/>
          <w:lang w:val="en-US" w:eastAsia="zh-CN"/>
        </w:rPr>
        <w:t xml:space="preserve">                                              </w:t>
      </w:r>
      <w:r>
        <w:rPr>
          <w:rFonts w:ascii="宋体" w:eastAsia="宋体" w:hAnsi="宋体" w:cs="宋体" w:hint="eastAsia"/>
          <w:color w:val="auto"/>
          <w:highlight w:val="none"/>
        </w:rPr>
        <w:t>合同编号：</w:t>
      </w:r>
      <w:r>
        <w:rPr>
          <w:rFonts w:ascii="宋体" w:eastAsia="宋体" w:hAnsi="宋体" w:cs="宋体" w:hint="eastAsia"/>
          <w:color w:val="auto"/>
          <w:highlight w:val="none"/>
          <w:lang w:val="en-US" w:eastAsia="zh-CN"/>
        </w:rPr>
        <w:t xml:space="preserve"> </w:t>
      </w:r>
    </w:p>
    <w:p>
      <w:pPr>
        <w:ind w:firstLine="420" w:firstLineChars="200"/>
        <w:rPr>
          <w:rFonts w:ascii="仿宋" w:hAnsi="仿宋" w:cs="宋体"/>
          <w:spacing w:val="30"/>
          <w:szCs w:val="21"/>
        </w:rPr>
      </w:pPr>
      <w:r>
        <w:rPr>
          <w:rFonts w:ascii="仿宋" w:hAnsi="仿宋" w:cs="宋体" w:hint="eastAsia"/>
          <w:szCs w:val="21"/>
        </w:rPr>
        <w:t>甲方（采购人）：</w:t>
      </w:r>
    </w:p>
    <w:p>
      <w:pPr>
        <w:ind w:firstLine="420" w:firstLineChars="200"/>
        <w:rPr>
          <w:rFonts w:ascii="仿宋" w:hAnsi="仿宋" w:cs="宋体"/>
          <w:szCs w:val="21"/>
        </w:rPr>
      </w:pPr>
      <w:r>
        <w:rPr>
          <w:rFonts w:ascii="仿宋" w:hAnsi="仿宋" w:cs="宋体" w:hint="eastAsia"/>
          <w:szCs w:val="21"/>
        </w:rPr>
        <w:t>法定代表人：</w:t>
      </w:r>
    </w:p>
    <w:p>
      <w:pPr>
        <w:ind w:firstLine="420" w:firstLineChars="200"/>
        <w:rPr>
          <w:rFonts w:ascii="仿宋" w:hAnsi="仿宋" w:cs="宋体"/>
          <w:szCs w:val="21"/>
        </w:rPr>
      </w:pPr>
      <w:r>
        <w:rPr>
          <w:rFonts w:ascii="仿宋" w:hAnsi="仿宋" w:cs="宋体" w:hint="eastAsia"/>
          <w:szCs w:val="21"/>
        </w:rPr>
        <w:t>地址：</w:t>
      </w:r>
    </w:p>
    <w:p>
      <w:pPr>
        <w:ind w:firstLine="420" w:firstLineChars="200"/>
        <w:rPr>
          <w:rFonts w:ascii="仿宋" w:hAnsi="仿宋" w:cs="宋体"/>
          <w:szCs w:val="21"/>
        </w:rPr>
      </w:pPr>
      <w:r>
        <w:rPr>
          <w:rFonts w:ascii="仿宋" w:hAnsi="仿宋" w:cs="宋体" w:hint="eastAsia"/>
          <w:szCs w:val="21"/>
        </w:rPr>
        <w:t>电话：</w:t>
      </w:r>
    </w:p>
    <w:p>
      <w:pPr>
        <w:pStyle w:val="BodyText"/>
        <w:rPr>
          <w:sz w:val="21"/>
          <w:szCs w:val="21"/>
          <w:lang w:eastAsia="zh-CN"/>
        </w:rPr>
      </w:pPr>
    </w:p>
    <w:p>
      <w:pPr>
        <w:ind w:firstLine="420" w:firstLineChars="200"/>
        <w:rPr>
          <w:rFonts w:ascii="仿宋" w:hAnsi="仿宋" w:cs="宋体"/>
          <w:szCs w:val="21"/>
        </w:rPr>
      </w:pPr>
      <w:r>
        <w:rPr>
          <w:rFonts w:ascii="仿宋" w:hAnsi="仿宋" w:cs="宋体" w:hint="eastAsia"/>
          <w:szCs w:val="21"/>
        </w:rPr>
        <w:t>乙方（供应商）：</w:t>
      </w:r>
    </w:p>
    <w:p>
      <w:pPr>
        <w:ind w:firstLine="420" w:firstLineChars="200"/>
        <w:rPr>
          <w:rFonts w:ascii="仿宋" w:hAnsi="仿宋" w:cs="宋体"/>
          <w:szCs w:val="21"/>
        </w:rPr>
      </w:pPr>
      <w:r>
        <w:rPr>
          <w:rFonts w:ascii="仿宋" w:hAnsi="仿宋" w:cs="宋体" w:hint="eastAsia"/>
          <w:szCs w:val="21"/>
        </w:rPr>
        <w:t>法定代表人：</w:t>
      </w:r>
    </w:p>
    <w:p>
      <w:pPr>
        <w:ind w:firstLine="420" w:firstLineChars="200"/>
        <w:rPr>
          <w:rFonts w:ascii="仿宋" w:hAnsi="仿宋" w:cs="宋体"/>
          <w:szCs w:val="21"/>
        </w:rPr>
      </w:pPr>
      <w:r>
        <w:rPr>
          <w:rFonts w:ascii="仿宋" w:hAnsi="仿宋" w:cs="宋体" w:hint="eastAsia"/>
          <w:szCs w:val="21"/>
        </w:rPr>
        <w:t>地址：</w:t>
      </w:r>
    </w:p>
    <w:p>
      <w:pPr>
        <w:ind w:firstLine="420" w:firstLineChars="200"/>
        <w:rPr>
          <w:rFonts w:ascii="仿宋" w:hAnsi="仿宋" w:cs="宋体" w:hint="eastAsia"/>
          <w:szCs w:val="21"/>
        </w:rPr>
      </w:pPr>
      <w:r>
        <w:rPr>
          <w:rFonts w:ascii="仿宋" w:hAnsi="仿宋" w:cs="宋体" w:hint="eastAsia"/>
          <w:szCs w:val="21"/>
        </w:rPr>
        <w:t>电话：</w:t>
      </w:r>
    </w:p>
    <w:p>
      <w:pPr>
        <w:pStyle w:val="BodyText"/>
        <w:rPr>
          <w:rFonts w:hint="eastAsia"/>
          <w:sz w:val="21"/>
          <w:szCs w:val="21"/>
          <w:lang w:eastAsia="zh-CN"/>
        </w:rPr>
      </w:pPr>
    </w:p>
    <w:p>
      <w:pPr>
        <w:ind w:firstLine="420" w:firstLineChars="200"/>
        <w:rPr>
          <w:rFonts w:ascii="仿宋" w:hAnsi="仿宋" w:cs="宋体"/>
          <w:szCs w:val="21"/>
        </w:rPr>
      </w:pPr>
      <w:r>
        <w:rPr>
          <w:rFonts w:ascii="仿宋" w:hAnsi="仿宋" w:cs="宋体" w:hint="eastAsia"/>
          <w:szCs w:val="21"/>
        </w:rPr>
        <w:t>甲乙双方根据20</w:t>
      </w:r>
      <w:r>
        <w:rPr>
          <w:rFonts w:ascii="仿宋" w:hAnsi="仿宋"/>
          <w:szCs w:val="21"/>
        </w:rPr>
        <w:t>××</w:t>
      </w:r>
      <w:r>
        <w:rPr>
          <w:rFonts w:ascii="仿宋" w:hAnsi="仿宋" w:cs="宋体" w:hint="eastAsia"/>
          <w:szCs w:val="21"/>
        </w:rPr>
        <w:t>年</w:t>
      </w:r>
      <w:r>
        <w:rPr>
          <w:rFonts w:ascii="仿宋" w:hAnsi="仿宋"/>
          <w:szCs w:val="21"/>
        </w:rPr>
        <w:t>××</w:t>
      </w:r>
      <w:r>
        <w:rPr>
          <w:rFonts w:ascii="仿宋" w:hAnsi="仿宋" w:cs="宋体" w:hint="eastAsia"/>
          <w:szCs w:val="21"/>
        </w:rPr>
        <w:t>月</w:t>
      </w:r>
      <w:r>
        <w:rPr>
          <w:rFonts w:ascii="仿宋" w:hAnsi="仿宋"/>
          <w:szCs w:val="21"/>
        </w:rPr>
        <w:t>××</w:t>
      </w:r>
      <w:r>
        <w:rPr>
          <w:rFonts w:ascii="仿宋" w:hAnsi="仿宋" w:cs="宋体" w:hint="eastAsia"/>
          <w:szCs w:val="21"/>
        </w:rPr>
        <w:t>日（项目编号</w:t>
      </w:r>
      <w:r>
        <w:rPr>
          <w:rFonts w:ascii="仿宋" w:hAnsi="仿宋" w:cs="宋体" w:hint="eastAsia"/>
          <w:bCs/>
          <w:szCs w:val="21"/>
        </w:rPr>
        <w:t>：</w:t>
      </w:r>
      <w:r>
        <w:rPr>
          <w:rFonts w:ascii="仿宋" w:hAnsi="仿宋" w:cs="宋体"/>
          <w:szCs w:val="21"/>
          <w:u w:val="single"/>
        </w:rPr>
        <w:t xml:space="preserve">             </w:t>
      </w:r>
      <w:r>
        <w:rPr>
          <w:rFonts w:ascii="仿宋" w:hAnsi="仿宋" w:cs="宋体" w:hint="eastAsia"/>
          <w:szCs w:val="21"/>
        </w:rPr>
        <w:t>）招标的结果和“招标文件”的要求，并经双方协调一致，达成本购销合同：</w:t>
      </w:r>
    </w:p>
    <w:p>
      <w:pPr>
        <w:spacing w:after="48" w:afterLines="20"/>
        <w:ind w:firstLine="561"/>
        <w:jc w:val="left"/>
        <w:outlineLvl w:val="0"/>
        <w:rPr>
          <w:rFonts w:ascii="仿宋" w:hAnsi="仿宋" w:cs="宋体"/>
          <w:szCs w:val="21"/>
        </w:rPr>
      </w:pPr>
      <w:r>
        <w:rPr>
          <w:rFonts w:ascii="仿宋" w:hAnsi="仿宋" w:cs="宋体" w:hint="eastAsia"/>
          <w:szCs w:val="21"/>
        </w:rPr>
        <w:t>第一条  合同标的及价款</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2"/>
        <w:gridCol w:w="1701"/>
        <w:gridCol w:w="1188"/>
        <w:gridCol w:w="1200"/>
        <w:gridCol w:w="744"/>
        <w:gridCol w:w="757"/>
        <w:gridCol w:w="1367"/>
        <w:gridCol w:w="1482"/>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31"/>
          <w:jc w:val="center"/>
        </w:trPr>
        <w:tc>
          <w:tcPr>
            <w:tcW w:w="632" w:type="dxa"/>
            <w:noWrap w:val="0"/>
            <w:vAlign w:val="center"/>
          </w:tcPr>
          <w:p>
            <w:pPr>
              <w:jc w:val="center"/>
              <w:rPr>
                <w:rFonts w:ascii="仿宋" w:hAnsi="仿宋" w:cs="宋体"/>
                <w:szCs w:val="21"/>
              </w:rPr>
            </w:pPr>
            <w:r>
              <w:rPr>
                <w:rFonts w:ascii="仿宋" w:hAnsi="仿宋" w:cs="宋体" w:hint="eastAsia"/>
                <w:szCs w:val="21"/>
              </w:rPr>
              <w:t>序号</w:t>
            </w:r>
          </w:p>
        </w:tc>
        <w:tc>
          <w:tcPr>
            <w:tcW w:w="1701" w:type="dxa"/>
            <w:noWrap w:val="0"/>
            <w:vAlign w:val="center"/>
          </w:tcPr>
          <w:p>
            <w:pPr>
              <w:jc w:val="center"/>
              <w:rPr>
                <w:rFonts w:ascii="仿宋" w:hAnsi="仿宋" w:cs="宋体"/>
                <w:szCs w:val="21"/>
              </w:rPr>
            </w:pPr>
            <w:r>
              <w:rPr>
                <w:rFonts w:ascii="仿宋" w:hAnsi="仿宋" w:cs="宋体" w:hint="eastAsia"/>
                <w:szCs w:val="21"/>
              </w:rPr>
              <w:t>设备名称</w:t>
            </w:r>
          </w:p>
        </w:tc>
        <w:tc>
          <w:tcPr>
            <w:tcW w:w="1188" w:type="dxa"/>
            <w:noWrap w:val="0"/>
            <w:vAlign w:val="center"/>
          </w:tcPr>
          <w:p>
            <w:pPr>
              <w:jc w:val="center"/>
              <w:rPr>
                <w:rFonts w:ascii="仿宋" w:hAnsi="仿宋" w:cs="宋体"/>
                <w:szCs w:val="21"/>
              </w:rPr>
            </w:pPr>
            <w:r>
              <w:rPr>
                <w:rFonts w:ascii="仿宋" w:hAnsi="仿宋" w:cs="宋体" w:hint="eastAsia"/>
                <w:szCs w:val="21"/>
              </w:rPr>
              <w:t>规格型号</w:t>
            </w:r>
          </w:p>
        </w:tc>
        <w:tc>
          <w:tcPr>
            <w:tcW w:w="1200" w:type="dxa"/>
            <w:noWrap w:val="0"/>
            <w:vAlign w:val="center"/>
          </w:tcPr>
          <w:p>
            <w:pPr>
              <w:jc w:val="center"/>
              <w:rPr>
                <w:rFonts w:ascii="仿宋" w:hAnsi="仿宋" w:cs="宋体"/>
                <w:szCs w:val="21"/>
              </w:rPr>
            </w:pPr>
            <w:r>
              <w:rPr>
                <w:rFonts w:ascii="仿宋" w:hAnsi="仿宋" w:cs="宋体" w:hint="eastAsia"/>
                <w:szCs w:val="21"/>
              </w:rPr>
              <w:t>产地/品牌</w:t>
            </w:r>
          </w:p>
        </w:tc>
        <w:tc>
          <w:tcPr>
            <w:tcW w:w="744" w:type="dxa"/>
            <w:noWrap w:val="0"/>
            <w:vAlign w:val="center"/>
          </w:tcPr>
          <w:p>
            <w:pPr>
              <w:jc w:val="center"/>
              <w:rPr>
                <w:rFonts w:ascii="仿宋" w:hAnsi="仿宋" w:cs="宋体"/>
                <w:szCs w:val="21"/>
              </w:rPr>
            </w:pPr>
            <w:r>
              <w:rPr>
                <w:rFonts w:ascii="仿宋" w:hAnsi="仿宋" w:cs="宋体" w:hint="eastAsia"/>
                <w:szCs w:val="21"/>
              </w:rPr>
              <w:t>单位</w:t>
            </w:r>
          </w:p>
        </w:tc>
        <w:tc>
          <w:tcPr>
            <w:tcW w:w="757" w:type="dxa"/>
            <w:noWrap w:val="0"/>
            <w:vAlign w:val="center"/>
          </w:tcPr>
          <w:p>
            <w:pPr>
              <w:jc w:val="center"/>
              <w:rPr>
                <w:rFonts w:ascii="仿宋" w:hAnsi="仿宋" w:cs="宋体"/>
                <w:szCs w:val="21"/>
              </w:rPr>
            </w:pPr>
            <w:r>
              <w:rPr>
                <w:rFonts w:ascii="仿宋" w:hAnsi="仿宋" w:cs="宋体" w:hint="eastAsia"/>
                <w:szCs w:val="21"/>
              </w:rPr>
              <w:t>数量</w:t>
            </w:r>
          </w:p>
        </w:tc>
        <w:tc>
          <w:tcPr>
            <w:tcW w:w="1367" w:type="dxa"/>
            <w:noWrap w:val="0"/>
            <w:vAlign w:val="center"/>
          </w:tcPr>
          <w:p>
            <w:pPr>
              <w:jc w:val="center"/>
              <w:rPr>
                <w:rFonts w:ascii="仿宋" w:hAnsi="仿宋" w:cs="宋体"/>
                <w:szCs w:val="21"/>
              </w:rPr>
            </w:pPr>
            <w:r>
              <w:rPr>
                <w:rFonts w:ascii="仿宋" w:hAnsi="仿宋" w:cs="宋体" w:hint="eastAsia"/>
                <w:szCs w:val="21"/>
              </w:rPr>
              <w:t>单价（元）</w:t>
            </w:r>
          </w:p>
        </w:tc>
        <w:tc>
          <w:tcPr>
            <w:tcW w:w="1482" w:type="dxa"/>
            <w:noWrap w:val="0"/>
            <w:vAlign w:val="center"/>
          </w:tcPr>
          <w:p>
            <w:pPr>
              <w:jc w:val="center"/>
              <w:rPr>
                <w:rFonts w:ascii="仿宋" w:hAnsi="仿宋" w:cs="宋体"/>
                <w:szCs w:val="21"/>
              </w:rPr>
            </w:pPr>
            <w:r>
              <w:rPr>
                <w:rFonts w:ascii="仿宋" w:hAnsi="仿宋" w:cs="宋体" w:hint="eastAsia"/>
                <w:szCs w:val="21"/>
              </w:rPr>
              <w:t>总额（元）</w:t>
            </w:r>
          </w:p>
        </w:tc>
      </w:tr>
      <w:tr>
        <w:tblPrEx>
          <w:tblW w:w="0" w:type="auto"/>
          <w:jc w:val="center"/>
          <w:tblLayout w:type="fixed"/>
          <w:tblCellMar>
            <w:top w:w="0" w:type="dxa"/>
            <w:left w:w="108" w:type="dxa"/>
            <w:bottom w:w="0" w:type="dxa"/>
            <w:right w:w="108" w:type="dxa"/>
          </w:tblCellMar>
        </w:tblPrEx>
        <w:trPr>
          <w:trHeight w:val="452"/>
          <w:jc w:val="center"/>
        </w:trPr>
        <w:tc>
          <w:tcPr>
            <w:tcW w:w="632" w:type="dxa"/>
            <w:noWrap w:val="0"/>
            <w:vAlign w:val="center"/>
          </w:tcPr>
          <w:p>
            <w:pPr>
              <w:jc w:val="center"/>
              <w:rPr>
                <w:rFonts w:ascii="仿宋" w:hAnsi="仿宋" w:cs="宋体"/>
                <w:kern w:val="0"/>
                <w:szCs w:val="21"/>
              </w:rPr>
            </w:pPr>
            <w:r>
              <w:rPr>
                <w:rFonts w:ascii="仿宋" w:hAnsi="仿宋" w:cs="宋体" w:hint="eastAsia"/>
                <w:kern w:val="0"/>
                <w:szCs w:val="21"/>
              </w:rPr>
              <w:t>1</w:t>
            </w:r>
          </w:p>
        </w:tc>
        <w:tc>
          <w:tcPr>
            <w:tcW w:w="1701" w:type="dxa"/>
            <w:noWrap w:val="0"/>
            <w:vAlign w:val="center"/>
          </w:tcPr>
          <w:p>
            <w:pPr>
              <w:widowControl/>
              <w:jc w:val="center"/>
              <w:rPr>
                <w:rFonts w:ascii="仿宋" w:hAnsi="仿宋"/>
                <w:szCs w:val="21"/>
              </w:rPr>
            </w:pPr>
          </w:p>
        </w:tc>
        <w:tc>
          <w:tcPr>
            <w:tcW w:w="1188" w:type="dxa"/>
            <w:noWrap w:val="0"/>
            <w:vAlign w:val="center"/>
          </w:tcPr>
          <w:p>
            <w:pPr>
              <w:jc w:val="center"/>
              <w:rPr>
                <w:rFonts w:ascii="仿宋" w:hAnsi="仿宋"/>
                <w:szCs w:val="21"/>
              </w:rPr>
            </w:pPr>
          </w:p>
        </w:tc>
        <w:tc>
          <w:tcPr>
            <w:tcW w:w="1200" w:type="dxa"/>
            <w:noWrap w:val="0"/>
            <w:vAlign w:val="center"/>
          </w:tcPr>
          <w:p>
            <w:pPr>
              <w:widowControl/>
              <w:rPr>
                <w:rFonts w:ascii="仿宋" w:hAnsi="仿宋"/>
                <w:kern w:val="0"/>
                <w:szCs w:val="21"/>
              </w:rPr>
            </w:pPr>
          </w:p>
        </w:tc>
        <w:tc>
          <w:tcPr>
            <w:tcW w:w="744" w:type="dxa"/>
            <w:noWrap w:val="0"/>
            <w:vAlign w:val="center"/>
          </w:tcPr>
          <w:p>
            <w:pPr>
              <w:jc w:val="center"/>
              <w:rPr>
                <w:rFonts w:ascii="仿宋" w:hAnsi="仿宋"/>
                <w:szCs w:val="21"/>
              </w:rPr>
            </w:pPr>
            <w:r>
              <w:rPr>
                <w:rFonts w:ascii="仿宋" w:hAnsi="仿宋" w:hint="eastAsia"/>
                <w:szCs w:val="21"/>
              </w:rPr>
              <w:t>套</w:t>
            </w:r>
          </w:p>
        </w:tc>
        <w:tc>
          <w:tcPr>
            <w:tcW w:w="757" w:type="dxa"/>
            <w:noWrap w:val="0"/>
            <w:vAlign w:val="center"/>
          </w:tcPr>
          <w:p>
            <w:pPr>
              <w:jc w:val="center"/>
              <w:rPr>
                <w:rFonts w:ascii="仿宋" w:hAnsi="仿宋"/>
                <w:szCs w:val="21"/>
              </w:rPr>
            </w:pPr>
          </w:p>
        </w:tc>
        <w:tc>
          <w:tcPr>
            <w:tcW w:w="1367" w:type="dxa"/>
            <w:noWrap w:val="0"/>
            <w:vAlign w:val="center"/>
          </w:tcPr>
          <w:p>
            <w:pPr>
              <w:widowControl/>
              <w:jc w:val="center"/>
              <w:rPr>
                <w:rFonts w:ascii="仿宋" w:hAnsi="仿宋"/>
                <w:kern w:val="0"/>
                <w:szCs w:val="21"/>
              </w:rPr>
            </w:pPr>
          </w:p>
        </w:tc>
        <w:tc>
          <w:tcPr>
            <w:tcW w:w="1482" w:type="dxa"/>
            <w:noWrap w:val="0"/>
            <w:vAlign w:val="center"/>
          </w:tcPr>
          <w:p>
            <w:pPr>
              <w:widowControl/>
              <w:jc w:val="center"/>
              <w:rPr>
                <w:rFonts w:ascii="仿宋" w:hAnsi="仿宋"/>
                <w:kern w:val="0"/>
                <w:szCs w:val="21"/>
              </w:rPr>
            </w:pPr>
          </w:p>
        </w:tc>
      </w:tr>
      <w:tr>
        <w:tblPrEx>
          <w:tblW w:w="0" w:type="auto"/>
          <w:jc w:val="center"/>
          <w:tblLayout w:type="fixed"/>
          <w:tblCellMar>
            <w:top w:w="0" w:type="dxa"/>
            <w:left w:w="108" w:type="dxa"/>
            <w:bottom w:w="0" w:type="dxa"/>
            <w:right w:w="108" w:type="dxa"/>
          </w:tblCellMar>
        </w:tblPrEx>
        <w:trPr>
          <w:trHeight w:val="452"/>
          <w:jc w:val="center"/>
        </w:trPr>
        <w:tc>
          <w:tcPr>
            <w:tcW w:w="632" w:type="dxa"/>
            <w:noWrap w:val="0"/>
            <w:vAlign w:val="center"/>
          </w:tcPr>
          <w:p>
            <w:pPr>
              <w:jc w:val="center"/>
              <w:rPr>
                <w:rFonts w:ascii="仿宋" w:hAnsi="仿宋" w:cs="宋体"/>
                <w:kern w:val="0"/>
                <w:szCs w:val="21"/>
              </w:rPr>
            </w:pPr>
            <w:r>
              <w:rPr>
                <w:rFonts w:ascii="仿宋" w:hAnsi="仿宋" w:cs="宋体" w:hint="eastAsia"/>
                <w:kern w:val="0"/>
                <w:szCs w:val="21"/>
              </w:rPr>
              <w:t>2</w:t>
            </w:r>
          </w:p>
        </w:tc>
        <w:tc>
          <w:tcPr>
            <w:tcW w:w="1701" w:type="dxa"/>
            <w:noWrap w:val="0"/>
            <w:vAlign w:val="center"/>
          </w:tcPr>
          <w:p>
            <w:pPr>
              <w:jc w:val="center"/>
              <w:rPr>
                <w:rFonts w:ascii="仿宋" w:hAnsi="仿宋"/>
                <w:snapToGrid w:val="0"/>
                <w:kern w:val="0"/>
                <w:szCs w:val="21"/>
              </w:rPr>
            </w:pPr>
          </w:p>
        </w:tc>
        <w:tc>
          <w:tcPr>
            <w:tcW w:w="1188" w:type="dxa"/>
            <w:noWrap w:val="0"/>
            <w:vAlign w:val="center"/>
          </w:tcPr>
          <w:p>
            <w:pPr>
              <w:jc w:val="center"/>
              <w:rPr>
                <w:rFonts w:ascii="仿宋" w:hAnsi="仿宋" w:cs="宋体"/>
                <w:szCs w:val="21"/>
              </w:rPr>
            </w:pPr>
          </w:p>
        </w:tc>
        <w:tc>
          <w:tcPr>
            <w:tcW w:w="1200" w:type="dxa"/>
            <w:noWrap w:val="0"/>
            <w:vAlign w:val="center"/>
          </w:tcPr>
          <w:p>
            <w:pPr>
              <w:rPr>
                <w:rFonts w:ascii="仿宋" w:hAnsi="仿宋"/>
                <w:snapToGrid w:val="0"/>
                <w:kern w:val="0"/>
                <w:szCs w:val="21"/>
              </w:rPr>
            </w:pPr>
          </w:p>
        </w:tc>
        <w:tc>
          <w:tcPr>
            <w:tcW w:w="744" w:type="dxa"/>
            <w:noWrap w:val="0"/>
            <w:vAlign w:val="center"/>
          </w:tcPr>
          <w:p>
            <w:pPr>
              <w:jc w:val="center"/>
              <w:rPr>
                <w:rFonts w:ascii="仿宋" w:hAnsi="仿宋"/>
                <w:szCs w:val="21"/>
              </w:rPr>
            </w:pPr>
            <w:r>
              <w:rPr>
                <w:rFonts w:ascii="仿宋" w:hAnsi="仿宋" w:hint="eastAsia"/>
                <w:szCs w:val="21"/>
              </w:rPr>
              <w:t>套</w:t>
            </w:r>
          </w:p>
        </w:tc>
        <w:tc>
          <w:tcPr>
            <w:tcW w:w="757" w:type="dxa"/>
            <w:noWrap w:val="0"/>
            <w:vAlign w:val="center"/>
          </w:tcPr>
          <w:p>
            <w:pPr>
              <w:jc w:val="center"/>
              <w:rPr>
                <w:rFonts w:ascii="仿宋" w:hAnsi="仿宋"/>
                <w:szCs w:val="21"/>
              </w:rPr>
            </w:pPr>
          </w:p>
        </w:tc>
        <w:tc>
          <w:tcPr>
            <w:tcW w:w="1367" w:type="dxa"/>
            <w:noWrap w:val="0"/>
            <w:vAlign w:val="center"/>
          </w:tcPr>
          <w:p>
            <w:pPr>
              <w:widowControl/>
              <w:jc w:val="center"/>
              <w:rPr>
                <w:rFonts w:ascii="仿宋" w:hAnsi="仿宋" w:cs="宋体"/>
                <w:kern w:val="0"/>
                <w:szCs w:val="21"/>
              </w:rPr>
            </w:pPr>
          </w:p>
        </w:tc>
        <w:tc>
          <w:tcPr>
            <w:tcW w:w="1482" w:type="dxa"/>
            <w:noWrap w:val="0"/>
            <w:vAlign w:val="center"/>
          </w:tcPr>
          <w:p>
            <w:pPr>
              <w:widowControl/>
              <w:jc w:val="center"/>
              <w:rPr>
                <w:rFonts w:ascii="仿宋" w:hAnsi="仿宋" w:cs="宋体"/>
                <w:kern w:val="0"/>
                <w:szCs w:val="21"/>
              </w:rPr>
            </w:pPr>
          </w:p>
        </w:tc>
      </w:tr>
      <w:tr>
        <w:tblPrEx>
          <w:tblW w:w="0" w:type="auto"/>
          <w:jc w:val="center"/>
          <w:tblLayout w:type="fixed"/>
          <w:tblCellMar>
            <w:top w:w="0" w:type="dxa"/>
            <w:left w:w="108" w:type="dxa"/>
            <w:bottom w:w="0" w:type="dxa"/>
            <w:right w:w="108" w:type="dxa"/>
          </w:tblCellMar>
        </w:tblPrEx>
        <w:trPr>
          <w:trHeight w:val="401"/>
          <w:jc w:val="center"/>
        </w:trPr>
        <w:tc>
          <w:tcPr>
            <w:tcW w:w="9071" w:type="dxa"/>
            <w:gridSpan w:val="8"/>
            <w:noWrap w:val="0"/>
            <w:vAlign w:val="center"/>
          </w:tcPr>
          <w:p>
            <w:pPr>
              <w:rPr>
                <w:rFonts w:ascii="仿宋" w:hAnsi="仿宋"/>
                <w:snapToGrid w:val="0"/>
                <w:kern w:val="0"/>
                <w:szCs w:val="21"/>
              </w:rPr>
            </w:pPr>
            <w:r>
              <w:rPr>
                <w:rFonts w:ascii="仿宋" w:hAnsi="仿宋" w:cs="宋体" w:hint="eastAsia"/>
                <w:bCs/>
                <w:kern w:val="0"/>
                <w:szCs w:val="21"/>
              </w:rPr>
              <w:t xml:space="preserve">金额合计: 人民币    </w:t>
            </w:r>
            <w:r>
              <w:rPr>
                <w:rFonts w:ascii="仿宋" w:hAnsi="仿宋" w:hint="eastAsia"/>
                <w:snapToGrid w:val="0"/>
                <w:kern w:val="0"/>
                <w:szCs w:val="21"/>
              </w:rPr>
              <w:t>元整</w:t>
            </w:r>
            <w:r>
              <w:rPr>
                <w:rFonts w:ascii="仿宋" w:hAnsi="仿宋" w:cs="宋体" w:hint="eastAsia"/>
                <w:bCs/>
                <w:kern w:val="0"/>
                <w:szCs w:val="21"/>
              </w:rPr>
              <w:t xml:space="preserve">   小写：￥     </w:t>
            </w:r>
            <w:r>
              <w:rPr>
                <w:rFonts w:ascii="仿宋" w:hAnsi="仿宋" w:cs="宋体"/>
                <w:bCs/>
                <w:kern w:val="0"/>
                <w:szCs w:val="21"/>
              </w:rPr>
              <w:t xml:space="preserve"> </w:t>
            </w:r>
            <w:r>
              <w:rPr>
                <w:rFonts w:ascii="仿宋" w:hAnsi="仿宋" w:cs="宋体" w:hint="eastAsia"/>
                <w:bCs/>
                <w:kern w:val="0"/>
                <w:szCs w:val="21"/>
              </w:rPr>
              <w:t>元</w:t>
            </w:r>
          </w:p>
        </w:tc>
      </w:tr>
      <w:tr>
        <w:tblPrEx>
          <w:tblW w:w="0" w:type="auto"/>
          <w:jc w:val="center"/>
          <w:tblLayout w:type="fixed"/>
          <w:tblCellMar>
            <w:top w:w="0" w:type="dxa"/>
            <w:left w:w="108" w:type="dxa"/>
            <w:bottom w:w="0" w:type="dxa"/>
            <w:right w:w="108" w:type="dxa"/>
          </w:tblCellMar>
        </w:tblPrEx>
        <w:trPr>
          <w:trHeight w:val="60"/>
          <w:jc w:val="center"/>
        </w:trPr>
        <w:tc>
          <w:tcPr>
            <w:tcW w:w="9071" w:type="dxa"/>
            <w:gridSpan w:val="8"/>
            <w:noWrap w:val="0"/>
            <w:vAlign w:val="center"/>
          </w:tcPr>
          <w:p>
            <w:pPr>
              <w:jc w:val="left"/>
              <w:rPr>
                <w:rFonts w:ascii="仿宋" w:hAnsi="仿宋" w:cs="宋体"/>
                <w:szCs w:val="21"/>
              </w:rPr>
            </w:pPr>
            <w:r>
              <w:rPr>
                <w:rFonts w:ascii="仿宋" w:hAnsi="仿宋" w:cs="宋体" w:hint="eastAsia"/>
                <w:kern w:val="0"/>
                <w:szCs w:val="21"/>
              </w:rPr>
              <w:t>备注：配置清单详见附件</w:t>
            </w:r>
          </w:p>
        </w:tc>
      </w:tr>
    </w:tbl>
    <w:p>
      <w:pPr>
        <w:ind w:firstLine="420" w:firstLineChars="200"/>
        <w:rPr>
          <w:rFonts w:ascii="仿宋" w:hAnsi="仿宋" w:cs="宋体"/>
          <w:szCs w:val="21"/>
        </w:rPr>
      </w:pPr>
      <w:r>
        <w:rPr>
          <w:rFonts w:ascii="仿宋" w:hAnsi="仿宋" w:cs="宋体" w:hint="eastAsia"/>
          <w:szCs w:val="21"/>
        </w:rPr>
        <w:t>本合同以人民币进行结算，该价格为深圳工地价。</w:t>
      </w:r>
    </w:p>
    <w:p>
      <w:pPr>
        <w:ind w:firstLine="420" w:firstLineChars="200"/>
        <w:jc w:val="left"/>
        <w:outlineLvl w:val="0"/>
        <w:rPr>
          <w:rFonts w:ascii="仿宋" w:hAnsi="仿宋" w:cs="宋体"/>
          <w:szCs w:val="21"/>
        </w:rPr>
      </w:pPr>
      <w:r>
        <w:rPr>
          <w:rFonts w:ascii="仿宋" w:hAnsi="仿宋" w:cs="宋体" w:hint="eastAsia"/>
          <w:szCs w:val="21"/>
        </w:rPr>
        <w:t>第二条  设备质量要求及供方对质量负责条件和期限</w:t>
      </w:r>
    </w:p>
    <w:p>
      <w:pPr>
        <w:ind w:firstLine="480"/>
        <w:rPr>
          <w:rFonts w:ascii="仿宋" w:hAnsi="仿宋" w:cs="宋体" w:hint="eastAsia"/>
          <w:szCs w:val="21"/>
        </w:rPr>
      </w:pPr>
      <w:r>
        <w:rPr>
          <w:rFonts w:ascii="仿宋" w:hAnsi="仿宋" w:cs="宋体" w:hint="eastAsia"/>
          <w:szCs w:val="21"/>
        </w:rPr>
        <w:t>质量要求：乙方提供的设备（包括零部件）必须是全新的、未使用过的设备，必须符合招投标文件要求（招投标文件中未作明确要求而相关国家标准、地方标准或行业标准中有要求的，应当符合三者中最高的标准），并具有有关质检部门出具的产品检验合格证明。</w:t>
      </w:r>
    </w:p>
    <w:p>
      <w:pPr>
        <w:ind w:firstLine="420" w:firstLineChars="200"/>
        <w:rPr>
          <w:rFonts w:ascii="仿宋" w:hAnsi="仿宋" w:cs="宋体"/>
          <w:szCs w:val="21"/>
        </w:rPr>
      </w:pPr>
      <w:r>
        <w:rPr>
          <w:rFonts w:ascii="仿宋" w:hAnsi="仿宋" w:cs="宋体" w:hint="eastAsia"/>
          <w:szCs w:val="21"/>
        </w:rPr>
        <w:t>如设备安装或配置了软件的，乙方保证相关软件均为正版软件。</w:t>
      </w:r>
    </w:p>
    <w:p>
      <w:pPr>
        <w:ind w:firstLine="420" w:firstLineChars="200"/>
        <w:jc w:val="left"/>
        <w:outlineLvl w:val="0"/>
        <w:rPr>
          <w:rFonts w:ascii="仿宋" w:hAnsi="仿宋" w:cs="宋体" w:hint="eastAsia"/>
          <w:szCs w:val="21"/>
        </w:rPr>
      </w:pPr>
      <w:r>
        <w:rPr>
          <w:rFonts w:ascii="仿宋" w:hAnsi="仿宋" w:cs="宋体" w:hint="eastAsia"/>
          <w:szCs w:val="21"/>
        </w:rPr>
        <w:t>保修期限：乙方对所提供的产品设备主机提供</w:t>
      </w:r>
      <w:r>
        <w:rPr>
          <w:rFonts w:ascii="仿宋" w:hAnsi="仿宋" w:cs="宋体" w:hint="eastAsia"/>
          <w:szCs w:val="21"/>
          <w:u w:val="single"/>
        </w:rPr>
        <w:t xml:space="preserve">   </w:t>
      </w:r>
      <w:r>
        <w:rPr>
          <w:rFonts w:ascii="仿宋" w:hAnsi="仿宋" w:cs="宋体" w:hint="eastAsia"/>
          <w:szCs w:val="21"/>
        </w:rPr>
        <w:t>年的保修期（免费质保期），其它配件保修期</w:t>
      </w:r>
      <w:r>
        <w:rPr>
          <w:rFonts w:ascii="仿宋" w:hAnsi="仿宋" w:cs="宋体" w:hint="eastAsia"/>
          <w:szCs w:val="21"/>
          <w:u w:val="single"/>
        </w:rPr>
        <w:t xml:space="preserve">   </w:t>
      </w:r>
      <w:r>
        <w:rPr>
          <w:rFonts w:ascii="仿宋" w:hAnsi="仿宋" w:cs="宋体" w:hint="eastAsia"/>
          <w:szCs w:val="21"/>
        </w:rPr>
        <w:t>年，自双方代表签署“性能验收报告”之日起计算。保修期内非因甲方的人为原因而出现质量问题，由乙方负责。乙方负责包修、包换或者包退，并承担修理、调换或退货的实际费用。乙方不能修理或不能调换，按不能交货处理。</w:t>
      </w:r>
    </w:p>
    <w:p>
      <w:pPr>
        <w:ind w:firstLine="420" w:firstLineChars="200"/>
        <w:jc w:val="left"/>
        <w:outlineLvl w:val="0"/>
        <w:rPr>
          <w:rFonts w:ascii="仿宋" w:hAnsi="仿宋" w:cs="宋体"/>
          <w:szCs w:val="21"/>
        </w:rPr>
      </w:pPr>
      <w:r>
        <w:rPr>
          <w:rFonts w:ascii="仿宋" w:hAnsi="仿宋" w:cs="宋体" w:hint="eastAsia"/>
          <w:szCs w:val="21"/>
        </w:rPr>
        <w:t>第三条  交货和验收</w:t>
      </w:r>
    </w:p>
    <w:p>
      <w:pPr>
        <w:ind w:firstLine="420" w:firstLineChars="200"/>
        <w:jc w:val="left"/>
        <w:rPr>
          <w:rFonts w:ascii="仿宋" w:hAnsi="仿宋" w:cs="宋体"/>
          <w:szCs w:val="21"/>
        </w:rPr>
      </w:pPr>
      <w:r>
        <w:rPr>
          <w:rFonts w:ascii="仿宋" w:hAnsi="仿宋" w:cs="宋体" w:hint="eastAsia"/>
          <w:szCs w:val="21"/>
        </w:rPr>
        <w:t>1.交货期：签订合同后</w:t>
      </w:r>
      <w:r>
        <w:rPr>
          <w:rFonts w:ascii="仿宋" w:hAnsi="仿宋" w:cs="宋体" w:hint="eastAsia"/>
          <w:szCs w:val="21"/>
          <w:u w:val="single"/>
        </w:rPr>
        <w:t xml:space="preserve">    </w:t>
      </w:r>
      <w:r>
        <w:rPr>
          <w:rFonts w:ascii="仿宋" w:hAnsi="仿宋" w:cs="宋体" w:hint="eastAsia"/>
          <w:szCs w:val="21"/>
        </w:rPr>
        <w:t>天（日历日）内交货。</w:t>
      </w:r>
    </w:p>
    <w:p>
      <w:pPr>
        <w:ind w:firstLine="420" w:firstLineChars="200"/>
        <w:jc w:val="left"/>
        <w:rPr>
          <w:rFonts w:ascii="仿宋" w:hAnsi="仿宋" w:cs="宋体"/>
          <w:szCs w:val="21"/>
        </w:rPr>
      </w:pPr>
      <w:r>
        <w:rPr>
          <w:rFonts w:ascii="仿宋" w:hAnsi="仿宋" w:cs="宋体" w:hint="eastAsia"/>
          <w:szCs w:val="21"/>
        </w:rPr>
        <w:t>2.交货地点：由甲方指定交货地点，乙方在设备送达前一日通知甲方，甲方同意后，乙方按时送货、安装并调试。交货过程中产生的一切风险、费用由乙方承担。</w:t>
      </w:r>
    </w:p>
    <w:p>
      <w:pPr>
        <w:ind w:firstLine="420" w:firstLineChars="200"/>
        <w:rPr>
          <w:rFonts w:ascii="仿宋" w:hAnsi="仿宋" w:cs="宋体"/>
          <w:szCs w:val="21"/>
        </w:rPr>
      </w:pPr>
      <w:r>
        <w:rPr>
          <w:rFonts w:ascii="仿宋" w:hAnsi="仿宋" w:cs="宋体" w:hint="eastAsia"/>
          <w:szCs w:val="21"/>
        </w:rPr>
        <w:t>3.初步验收：设备送达甲方指定地点后，甲乙双方进行初步货物验收，乙方因自身原因不能到场参与验收，则视同全权委托甲方验收。如果发现外观、数量或规格型号等存在问题，乙方应在接到甲方通知后</w:t>
      </w:r>
      <w:r>
        <w:rPr>
          <w:rFonts w:ascii="仿宋" w:hAnsi="仿宋" w:cs="宋体" w:hint="eastAsia"/>
          <w:szCs w:val="21"/>
          <w:u w:val="single"/>
        </w:rPr>
        <w:t xml:space="preserve">    </w:t>
      </w:r>
      <w:r>
        <w:rPr>
          <w:rFonts w:ascii="仿宋" w:hAnsi="仿宋" w:cs="宋体" w:hint="eastAsia"/>
          <w:szCs w:val="21"/>
        </w:rPr>
        <w:t>天（日历日）内，按甲方要求，采取补足、更换或退货等处理措施，并承担由此发生的一切损失和费用。</w:t>
      </w:r>
    </w:p>
    <w:p>
      <w:pPr>
        <w:ind w:firstLine="420" w:firstLineChars="200"/>
        <w:rPr>
          <w:rFonts w:ascii="仿宋" w:hAnsi="仿宋" w:cs="宋体"/>
          <w:szCs w:val="21"/>
        </w:rPr>
      </w:pPr>
      <w:r>
        <w:rPr>
          <w:rFonts w:ascii="仿宋" w:hAnsi="仿宋" w:cs="宋体" w:hint="eastAsia"/>
          <w:szCs w:val="21"/>
        </w:rPr>
        <w:t>4.性能验收：甲乙双方在全部设备运抵并安装调试完成，正常运转后的</w:t>
      </w:r>
      <w:r>
        <w:rPr>
          <w:rFonts w:ascii="仿宋" w:hAnsi="仿宋" w:cs="宋体" w:hint="eastAsia"/>
          <w:szCs w:val="21"/>
          <w:u w:val="single"/>
        </w:rPr>
        <w:t xml:space="preserve">    </w:t>
      </w:r>
      <w:r>
        <w:rPr>
          <w:rFonts w:ascii="仿宋" w:hAnsi="仿宋" w:cs="宋体" w:hint="eastAsia"/>
          <w:szCs w:val="21"/>
        </w:rPr>
        <w:t>个日历日内对设备进行性能验收。如果设备性能存在问题，乙方应按甲方要求，采取更换或退货等处理措施，并承担由此发生的一切损失和费用。对于7个日历日内未发现的隐蔽质量瑕疵，若在保修期内发现的，甲方除有权要求乙方采取修理、更换或退货等处理措施并赔偿甲方因此遭受的经济损失外，还有权要求延长保修期（针对修理设备的情形）或重新计算保修期（针对更换设备的情形）。</w:t>
      </w:r>
    </w:p>
    <w:p>
      <w:pPr>
        <w:ind w:firstLine="420" w:firstLineChars="200"/>
        <w:rPr>
          <w:rFonts w:ascii="仿宋" w:hAnsi="仿宋" w:cs="宋体"/>
          <w:szCs w:val="21"/>
        </w:rPr>
      </w:pPr>
      <w:r>
        <w:rPr>
          <w:rFonts w:ascii="仿宋" w:hAnsi="仿宋" w:cs="宋体" w:hint="eastAsia"/>
          <w:szCs w:val="21"/>
        </w:rPr>
        <w:t>5.验收标准及方法如下：</w:t>
      </w:r>
    </w:p>
    <w:p>
      <w:pPr>
        <w:ind w:firstLine="420" w:firstLineChars="200"/>
        <w:rPr>
          <w:rFonts w:ascii="仿宋" w:hAnsi="仿宋" w:cs="宋体"/>
          <w:szCs w:val="21"/>
        </w:rPr>
      </w:pPr>
      <w:r>
        <w:rPr>
          <w:rFonts w:ascii="仿宋" w:hAnsi="仿宋" w:cs="宋体" w:hint="eastAsia"/>
          <w:szCs w:val="21"/>
        </w:rPr>
        <w:t xml:space="preserve">（1）合同、招投标文件及国家有关质检标准，作为验收标准。 </w:t>
      </w:r>
    </w:p>
    <w:p>
      <w:pPr>
        <w:ind w:firstLine="420" w:firstLineChars="200"/>
        <w:rPr>
          <w:rFonts w:ascii="仿宋" w:hAnsi="仿宋" w:cs="宋体"/>
          <w:szCs w:val="21"/>
        </w:rPr>
      </w:pPr>
      <w:r>
        <w:rPr>
          <w:rFonts w:ascii="仿宋" w:hAnsi="仿宋" w:cs="宋体" w:hint="eastAsia"/>
          <w:szCs w:val="21"/>
        </w:rPr>
        <w:t>（2）甲乙双方授权代表共同完成性能验收，并在验收报告上签字。</w:t>
      </w:r>
    </w:p>
    <w:p>
      <w:pPr>
        <w:ind w:firstLine="420" w:firstLineChars="200"/>
        <w:rPr>
          <w:rFonts w:ascii="仿宋" w:hAnsi="仿宋" w:cs="宋体"/>
          <w:szCs w:val="21"/>
        </w:rPr>
      </w:pPr>
      <w:r>
        <w:rPr>
          <w:rFonts w:ascii="仿宋" w:hAnsi="仿宋" w:cs="宋体" w:hint="eastAsia"/>
          <w:szCs w:val="21"/>
        </w:rPr>
        <w:t>（3）性能验收报告签发之日开始启保。</w:t>
      </w:r>
    </w:p>
    <w:p>
      <w:pPr>
        <w:ind w:firstLine="420" w:firstLineChars="200"/>
        <w:jc w:val="left"/>
        <w:outlineLvl w:val="0"/>
        <w:rPr>
          <w:rFonts w:ascii="仿宋" w:hAnsi="仿宋" w:cs="宋体"/>
          <w:szCs w:val="21"/>
        </w:rPr>
      </w:pPr>
      <w:r>
        <w:rPr>
          <w:rFonts w:ascii="仿宋" w:hAnsi="仿宋" w:cs="宋体" w:hint="eastAsia"/>
          <w:szCs w:val="21"/>
        </w:rPr>
        <w:t>第四条  其他要求</w:t>
      </w:r>
    </w:p>
    <w:p>
      <w:pPr>
        <w:ind w:firstLine="420" w:firstLineChars="200"/>
        <w:rPr>
          <w:rFonts w:ascii="仿宋" w:hAnsi="仿宋" w:cs="宋体"/>
          <w:szCs w:val="21"/>
        </w:rPr>
      </w:pPr>
      <w:r>
        <w:rPr>
          <w:rFonts w:ascii="仿宋" w:hAnsi="仿宋" w:cs="宋体" w:hint="eastAsia"/>
          <w:szCs w:val="21"/>
        </w:rPr>
        <w:t>1.甲乙双方进行初步货物验收时，乙方须提供设备的技术文件，包括使用说明书（中英文）、维修手册、质量保证文件（合格证）、国家食品药品监督管理局或省有关部门颁发的医疗器械注册证明文件等。进口设备须提供报关、完税和商检等证明文件。</w:t>
      </w:r>
    </w:p>
    <w:p>
      <w:pPr>
        <w:ind w:firstLine="420" w:firstLineChars="200"/>
        <w:rPr>
          <w:rFonts w:ascii="仿宋" w:hAnsi="仿宋" w:cs="宋体"/>
          <w:szCs w:val="21"/>
        </w:rPr>
      </w:pPr>
      <w:r>
        <w:rPr>
          <w:rFonts w:ascii="仿宋" w:hAnsi="仿宋" w:cs="宋体" w:hint="eastAsia"/>
          <w:szCs w:val="21"/>
        </w:rPr>
        <w:t>2.乙方须提供设备安装和维修所需的专用工具等。乙方应派专业技术人员对甲方或设备使用单位临床操作人员进行专业的培训及指导，并对甲方或设备使用单位维修工程师进行免费维护、维修培训；乙方由此产生的差旅费等费用由乙方自行承担。</w:t>
      </w:r>
    </w:p>
    <w:p>
      <w:pPr>
        <w:ind w:firstLine="420" w:firstLineChars="200"/>
        <w:rPr>
          <w:rFonts w:ascii="仿宋" w:hAnsi="仿宋" w:cs="宋体"/>
          <w:szCs w:val="21"/>
        </w:rPr>
      </w:pPr>
      <w:r>
        <w:rPr>
          <w:rFonts w:ascii="仿宋" w:hAnsi="仿宋" w:cs="宋体" w:hint="eastAsia"/>
          <w:szCs w:val="21"/>
        </w:rPr>
        <w:t>3.乙方负责设备包装物的清理，保持设备安装现场的整洁。</w:t>
      </w:r>
    </w:p>
    <w:p>
      <w:pPr>
        <w:ind w:firstLine="420" w:firstLineChars="200"/>
        <w:jc w:val="left"/>
        <w:outlineLvl w:val="0"/>
        <w:rPr>
          <w:rFonts w:ascii="仿宋" w:hAnsi="仿宋" w:cs="宋体"/>
          <w:szCs w:val="21"/>
        </w:rPr>
      </w:pPr>
      <w:r>
        <w:rPr>
          <w:rFonts w:ascii="仿宋" w:hAnsi="仿宋" w:cs="宋体" w:hint="eastAsia"/>
          <w:szCs w:val="21"/>
        </w:rPr>
        <w:t>第五条  售后服务</w:t>
      </w:r>
    </w:p>
    <w:p>
      <w:pPr>
        <w:ind w:firstLine="420" w:firstLineChars="200"/>
        <w:rPr>
          <w:rFonts w:ascii="仿宋" w:hAnsi="仿宋" w:cs="宋体"/>
          <w:szCs w:val="21"/>
        </w:rPr>
      </w:pPr>
      <w:r>
        <w:rPr>
          <w:rFonts w:ascii="仿宋" w:hAnsi="仿宋" w:cs="宋体" w:hint="eastAsia"/>
          <w:szCs w:val="21"/>
        </w:rPr>
        <w:t>1.乙方应按照国家有关法律法规规章、“三包”规定和合同、招标文件的要求及乙方在投标文件的相关承诺提供保修及其他服务。</w:t>
      </w:r>
    </w:p>
    <w:p>
      <w:pPr>
        <w:ind w:firstLine="420" w:firstLineChars="200"/>
        <w:rPr>
          <w:rFonts w:ascii="仿宋" w:hAnsi="仿宋" w:cs="宋体"/>
          <w:szCs w:val="21"/>
        </w:rPr>
      </w:pPr>
      <w:r>
        <w:rPr>
          <w:rFonts w:ascii="仿宋" w:hAnsi="仿宋" w:cs="宋体" w:hint="eastAsia"/>
          <w:szCs w:val="21"/>
        </w:rPr>
        <w:t>2.在保修期内，每年维护保养次数不少于</w:t>
      </w:r>
      <w:r>
        <w:rPr>
          <w:rFonts w:ascii="仿宋" w:hAnsi="仿宋" w:cs="宋体" w:hint="eastAsia"/>
          <w:szCs w:val="21"/>
          <w:u w:val="single"/>
        </w:rPr>
        <w:t xml:space="preserve">    </w:t>
      </w:r>
      <w:r>
        <w:rPr>
          <w:rFonts w:ascii="仿宋" w:hAnsi="仿宋" w:cs="宋体" w:hint="eastAsia"/>
          <w:szCs w:val="21"/>
        </w:rPr>
        <w:t>次。保修期内，如设备的质量或规格与合同不符或证实设备是有缺陷的，包括潜在的缺陷或使用不符合要求的材质、零件、部件等，乙方应在接到甲方通知后</w:t>
      </w:r>
      <w:r>
        <w:rPr>
          <w:rFonts w:ascii="仿宋" w:hAnsi="仿宋" w:cs="宋体" w:hint="eastAsia"/>
          <w:szCs w:val="21"/>
          <w:u w:val="single"/>
        </w:rPr>
        <w:t xml:space="preserve">     </w:t>
      </w:r>
      <w:r>
        <w:rPr>
          <w:rFonts w:ascii="仿宋" w:hAnsi="仿宋" w:cs="宋体" w:hint="eastAsia"/>
          <w:szCs w:val="21"/>
        </w:rPr>
        <w:t>天内负责提供符合合同规定的新零件、部件，或提供新设备来更换有缺陷的部分，其费用由乙方承担。同时，乙方应按本合同规定，维修设备、零部件、材质或者更换零部件、材质的，相应延长设备保修期，更换设备的则重新起算保修期。</w:t>
      </w:r>
    </w:p>
    <w:p>
      <w:pPr>
        <w:ind w:firstLine="420" w:firstLineChars="200"/>
        <w:rPr>
          <w:rFonts w:ascii="仿宋" w:hAnsi="仿宋" w:cs="宋体"/>
          <w:szCs w:val="21"/>
        </w:rPr>
      </w:pPr>
      <w:r>
        <w:rPr>
          <w:rFonts w:ascii="仿宋" w:hAnsi="仿宋" w:cs="宋体" w:hint="eastAsia"/>
          <w:szCs w:val="21"/>
        </w:rPr>
        <w:t>3.维修响应：保修期内、外，乙方在接到报修通知后，须在</w:t>
      </w:r>
      <w:r>
        <w:rPr>
          <w:rFonts w:ascii="仿宋" w:hAnsi="仿宋" w:cs="宋体" w:hint="eastAsia"/>
          <w:bCs/>
          <w:szCs w:val="21"/>
          <w:u w:val="single"/>
        </w:rPr>
        <w:t xml:space="preserve">    </w:t>
      </w:r>
      <w:r>
        <w:rPr>
          <w:rFonts w:ascii="仿宋" w:hAnsi="仿宋" w:cs="宋体" w:hint="eastAsia"/>
          <w:szCs w:val="21"/>
        </w:rPr>
        <w:t>小时内响应；电话不能解决的，须在</w:t>
      </w:r>
      <w:r>
        <w:rPr>
          <w:rFonts w:ascii="仿宋" w:hAnsi="仿宋" w:cs="宋体" w:hint="eastAsia"/>
          <w:bCs/>
          <w:szCs w:val="21"/>
          <w:u w:val="single"/>
        </w:rPr>
        <w:t xml:space="preserve">    </w:t>
      </w:r>
      <w:r>
        <w:rPr>
          <w:rFonts w:ascii="仿宋" w:hAnsi="仿宋" w:cs="宋体" w:hint="eastAsia"/>
          <w:szCs w:val="21"/>
        </w:rPr>
        <w:t>小时内派专业维修人员上门现场维修并解决问题，在规定时间内不能解决问题，应在</w:t>
      </w:r>
      <w:r>
        <w:rPr>
          <w:rFonts w:ascii="仿宋" w:hAnsi="仿宋" w:cs="宋体" w:hint="eastAsia"/>
          <w:szCs w:val="21"/>
          <w:u w:val="single"/>
        </w:rPr>
        <w:t xml:space="preserve">    </w:t>
      </w:r>
      <w:r>
        <w:rPr>
          <w:rFonts w:ascii="仿宋" w:hAnsi="仿宋" w:cs="宋体" w:hint="eastAsia"/>
          <w:szCs w:val="21"/>
        </w:rPr>
        <w:t>小时内免费提供相同档次的设备给甲方代用。如未及时响应维修，按照未及时响应次数，每次支付固定违约金￥</w:t>
      </w:r>
      <w:r>
        <w:rPr>
          <w:rFonts w:ascii="仿宋" w:hAnsi="仿宋" w:cs="宋体" w:hint="eastAsia"/>
          <w:szCs w:val="21"/>
          <w:u w:val="single"/>
        </w:rPr>
        <w:t xml:space="preserve">    </w:t>
      </w:r>
      <w:r>
        <w:rPr>
          <w:rFonts w:ascii="仿宋" w:hAnsi="仿宋" w:cs="宋体" w:hint="eastAsia"/>
          <w:szCs w:val="21"/>
        </w:rPr>
        <w:t>元人民币，累计上限不超过合同金额的20%；如累计超过</w:t>
      </w:r>
      <w:r>
        <w:rPr>
          <w:rFonts w:ascii="仿宋" w:hAnsi="仿宋" w:cs="宋体" w:hint="eastAsia"/>
          <w:szCs w:val="21"/>
          <w:u w:val="single"/>
        </w:rPr>
        <w:t xml:space="preserve">    </w:t>
      </w:r>
      <w:r>
        <w:rPr>
          <w:rFonts w:ascii="仿宋" w:hAnsi="仿宋" w:cs="宋体" w:hint="eastAsia"/>
          <w:szCs w:val="21"/>
        </w:rPr>
        <w:t>次未按照合同约定的时限响应，甲方有权解除合同，并要求乙方偿付合同总价30%的违约金。</w:t>
      </w:r>
    </w:p>
    <w:p>
      <w:pPr>
        <w:ind w:firstLine="420" w:firstLineChars="200"/>
        <w:rPr>
          <w:rFonts w:ascii="仿宋" w:hAnsi="仿宋" w:cs="宋体"/>
          <w:szCs w:val="21"/>
        </w:rPr>
      </w:pPr>
      <w:r>
        <w:rPr>
          <w:rFonts w:ascii="仿宋" w:hAnsi="仿宋" w:cs="宋体" w:hint="eastAsia"/>
          <w:szCs w:val="21"/>
        </w:rPr>
        <w:t>4.乙方负责设备的终身维修，储备足够的零配件备库并保证</w:t>
      </w:r>
      <w:r>
        <w:rPr>
          <w:rFonts w:ascii="仿宋" w:hAnsi="仿宋" w:cs="宋体" w:hint="eastAsia"/>
          <w:szCs w:val="21"/>
          <w:u w:val="single"/>
        </w:rPr>
        <w:t xml:space="preserve">    </w:t>
      </w:r>
      <w:r>
        <w:rPr>
          <w:rFonts w:ascii="仿宋" w:hAnsi="仿宋" w:cs="宋体" w:hint="eastAsia"/>
          <w:szCs w:val="21"/>
        </w:rPr>
        <w:t>年以上的维修配件。保修期满后，乙方对设备的维修不收人工及差旅费，只收取相关材料费（价格不得高于市场价格）。</w:t>
      </w:r>
    </w:p>
    <w:p>
      <w:pPr>
        <w:ind w:left="1" w:firstLine="418" w:firstLineChars="199"/>
        <w:rPr>
          <w:rFonts w:ascii="仿宋" w:hAnsi="仿宋" w:cs="宋体"/>
          <w:szCs w:val="21"/>
        </w:rPr>
      </w:pPr>
      <w:r>
        <w:rPr>
          <w:rFonts w:ascii="仿宋" w:hAnsi="仿宋" w:cs="宋体" w:hint="eastAsia"/>
          <w:szCs w:val="21"/>
        </w:rPr>
        <w:t>5.在保修期内，必须保证设备开机率＞95%以上；若不能达到此开机率，将作以下处理：（1）开机率在90%</w:t>
      </w:r>
      <w:r>
        <w:rPr>
          <w:rFonts w:ascii="仿宋" w:hAnsi="仿宋" w:cs="宋体" w:hint="eastAsia"/>
          <w:szCs w:val="21"/>
          <w:lang w:val="zh-CN"/>
        </w:rPr>
        <w:t>～</w:t>
      </w:r>
      <w:r>
        <w:rPr>
          <w:rFonts w:ascii="仿宋" w:hAnsi="仿宋" w:cs="宋体" w:hint="eastAsia"/>
          <w:szCs w:val="21"/>
        </w:rPr>
        <w:t>95%之间按一年赔二年延长保修期；（2）开机率在85%</w:t>
      </w:r>
      <w:r>
        <w:rPr>
          <w:rFonts w:ascii="仿宋" w:hAnsi="仿宋" w:cs="宋体" w:hint="eastAsia"/>
          <w:szCs w:val="21"/>
          <w:lang w:val="zh-CN"/>
        </w:rPr>
        <w:t>～</w:t>
      </w:r>
      <w:r>
        <w:rPr>
          <w:rFonts w:ascii="仿宋" w:hAnsi="仿宋" w:cs="宋体" w:hint="eastAsia"/>
          <w:szCs w:val="21"/>
        </w:rPr>
        <w:t>90%之间按一年赔五年延长保修期；（3）开机率低于85%必须无条件更换新机，重新计算保修期，并赔偿甲方的直接经济损失和间接经济损失。</w:t>
      </w:r>
    </w:p>
    <w:p>
      <w:pPr>
        <w:ind w:left="689" w:hanging="210" w:leftChars="228" w:hangingChars="100"/>
        <w:rPr>
          <w:rFonts w:ascii="仿宋" w:hAnsi="仿宋" w:cs="宋体"/>
          <w:szCs w:val="21"/>
        </w:rPr>
      </w:pPr>
      <w:r>
        <w:rPr>
          <w:rFonts w:ascii="仿宋" w:hAnsi="仿宋" w:cs="宋体" w:hint="eastAsia"/>
          <w:szCs w:val="21"/>
        </w:rPr>
        <w:t>6.免费提供</w:t>
      </w:r>
      <w:r>
        <w:rPr>
          <w:rFonts w:ascii="仿宋" w:hAnsi="仿宋" w:cs="宋体" w:hint="eastAsia"/>
          <w:szCs w:val="21"/>
          <w:u w:val="single"/>
        </w:rPr>
        <w:t xml:space="preserve">    </w:t>
      </w:r>
      <w:r>
        <w:rPr>
          <w:rFonts w:ascii="仿宋" w:hAnsi="仿宋" w:cs="宋体" w:hint="eastAsia"/>
          <w:szCs w:val="21"/>
        </w:rPr>
        <w:t>年软件升级。</w:t>
      </w:r>
    </w:p>
    <w:p>
      <w:pPr>
        <w:ind w:firstLine="420" w:firstLineChars="200"/>
        <w:outlineLvl w:val="0"/>
        <w:rPr>
          <w:rFonts w:ascii="仿宋" w:hAnsi="仿宋" w:cs="宋体"/>
          <w:szCs w:val="21"/>
        </w:rPr>
      </w:pPr>
      <w:r>
        <w:rPr>
          <w:rFonts w:ascii="仿宋" w:hAnsi="仿宋" w:cs="宋体" w:hint="eastAsia"/>
          <w:szCs w:val="21"/>
        </w:rPr>
        <w:t>第六条  货款支付</w:t>
      </w:r>
    </w:p>
    <w:p>
      <w:pPr>
        <w:ind w:firstLine="418" w:firstLineChars="199"/>
        <w:rPr>
          <w:rFonts w:ascii="仿宋" w:hAnsi="仿宋" w:cs="宋体" w:hint="eastAsia"/>
          <w:szCs w:val="21"/>
        </w:rPr>
      </w:pPr>
      <w:r>
        <w:rPr>
          <w:rFonts w:ascii="仿宋" w:hAnsi="仿宋" w:cs="宋体" w:hint="eastAsia"/>
          <w:szCs w:val="21"/>
        </w:rPr>
        <w:t>1.本合同分三期付款。</w:t>
      </w:r>
    </w:p>
    <w:p>
      <w:pPr>
        <w:ind w:firstLine="418" w:firstLineChars="199"/>
        <w:rPr>
          <w:rFonts w:ascii="仿宋" w:hAnsi="仿宋" w:cs="宋体" w:hint="eastAsia"/>
          <w:szCs w:val="21"/>
        </w:rPr>
      </w:pPr>
      <w:r>
        <w:rPr>
          <w:rFonts w:ascii="仿宋" w:hAnsi="仿宋" w:cs="宋体" w:hint="eastAsia"/>
          <w:szCs w:val="21"/>
        </w:rPr>
        <w:t>预付款：合同签订，乙方提供全额发票和预付款等额银行保函后，甲方支付乙方60%货款。</w:t>
      </w:r>
    </w:p>
    <w:p>
      <w:pPr>
        <w:ind w:firstLine="418" w:firstLineChars="199"/>
        <w:rPr>
          <w:rFonts w:ascii="仿宋" w:hAnsi="仿宋" w:cs="宋体" w:hint="eastAsia"/>
          <w:szCs w:val="21"/>
        </w:rPr>
      </w:pPr>
      <w:r>
        <w:rPr>
          <w:rFonts w:ascii="仿宋" w:hAnsi="仿宋" w:cs="宋体" w:hint="eastAsia"/>
          <w:szCs w:val="21"/>
        </w:rPr>
        <w:t>进度款：设备到货安装且通过性能验收后，甲方支付乙方40%货款。</w:t>
      </w:r>
    </w:p>
    <w:p>
      <w:pPr>
        <w:ind w:firstLine="418" w:firstLineChars="199"/>
        <w:rPr>
          <w:rFonts w:ascii="仿宋" w:hAnsi="仿宋" w:cs="宋体" w:hint="eastAsia"/>
          <w:szCs w:val="21"/>
        </w:rPr>
      </w:pPr>
      <w:r>
        <w:rPr>
          <w:rFonts w:ascii="仿宋" w:hAnsi="仿宋" w:cs="宋体" w:hint="eastAsia"/>
          <w:szCs w:val="21"/>
        </w:rPr>
        <w:t>2.具体付款方式按深圳市坪山区财政局有关规定执行。区财政部门出具的评审结果或备案证明作为货款结算的依据之一。</w:t>
      </w:r>
    </w:p>
    <w:p>
      <w:pPr>
        <w:ind w:left="1" w:firstLine="418" w:firstLineChars="199"/>
        <w:outlineLvl w:val="0"/>
        <w:rPr>
          <w:rFonts w:ascii="仿宋" w:hAnsi="仿宋" w:cs="宋体"/>
          <w:szCs w:val="21"/>
        </w:rPr>
      </w:pPr>
      <w:r>
        <w:rPr>
          <w:rFonts w:ascii="仿宋" w:hAnsi="仿宋" w:cs="宋体" w:hint="eastAsia"/>
          <w:szCs w:val="21"/>
        </w:rPr>
        <w:t>第七条  违约责任</w:t>
      </w:r>
    </w:p>
    <w:p>
      <w:pPr>
        <w:ind w:firstLine="420" w:firstLineChars="200"/>
        <w:outlineLvl w:val="0"/>
        <w:rPr>
          <w:rFonts w:ascii="仿宋" w:hAnsi="仿宋" w:cs="宋体" w:hint="eastAsia"/>
          <w:szCs w:val="21"/>
        </w:rPr>
      </w:pPr>
      <w:r>
        <w:rPr>
          <w:rFonts w:ascii="仿宋" w:hAnsi="仿宋" w:cs="宋体" w:hint="eastAsia"/>
          <w:szCs w:val="21"/>
        </w:rPr>
        <w:t>1.甲方无正当理由拒收设备的，由甲方向乙方偿付合同总价30%的违约金。</w:t>
      </w:r>
    </w:p>
    <w:p>
      <w:pPr>
        <w:ind w:firstLine="420" w:firstLineChars="200"/>
        <w:outlineLvl w:val="0"/>
        <w:rPr>
          <w:rFonts w:ascii="仿宋" w:hAnsi="仿宋" w:cs="宋体" w:hint="eastAsia"/>
          <w:szCs w:val="21"/>
        </w:rPr>
      </w:pPr>
      <w:r>
        <w:rPr>
          <w:rFonts w:ascii="仿宋" w:hAnsi="仿宋" w:cs="宋体" w:hint="eastAsia"/>
          <w:szCs w:val="21"/>
        </w:rPr>
        <w:t>2.乙方逾期交付设备的，每逾期1天，乙方向甲方偿付合同总价5‰的违约金。如乙方逾期交货达45天，甲方有权解除合同，同时甲方有权要求乙方支付合同总价30%的违约金，并赔偿甲方由此遭受的损失。</w:t>
      </w:r>
    </w:p>
    <w:p>
      <w:pPr>
        <w:ind w:firstLine="420" w:firstLineChars="200"/>
        <w:outlineLvl w:val="0"/>
        <w:rPr>
          <w:rFonts w:ascii="仿宋" w:hAnsi="仿宋" w:cs="宋体" w:hint="eastAsia"/>
          <w:szCs w:val="21"/>
        </w:rPr>
      </w:pPr>
      <w:r>
        <w:rPr>
          <w:rFonts w:ascii="仿宋" w:hAnsi="仿宋" w:cs="宋体" w:hint="eastAsia"/>
          <w:szCs w:val="21"/>
        </w:rPr>
        <w:t>3.乙方不能交付或所交付的设备品牌、型号、规格、性能等不符合合同规定和招投标文件要求的，甲方有权退货并解除合同，同时有权要求乙方支付合同总价30%的违约金，并赔偿甲方由此遭受的损失。</w:t>
      </w:r>
    </w:p>
    <w:p>
      <w:pPr>
        <w:ind w:firstLine="420" w:firstLineChars="200"/>
        <w:outlineLvl w:val="0"/>
        <w:rPr>
          <w:rFonts w:ascii="仿宋" w:hAnsi="仿宋" w:cs="宋体" w:hint="eastAsia"/>
          <w:szCs w:val="21"/>
        </w:rPr>
      </w:pPr>
      <w:r>
        <w:rPr>
          <w:rFonts w:ascii="仿宋" w:hAnsi="仿宋" w:cs="宋体" w:hint="eastAsia"/>
          <w:szCs w:val="21"/>
        </w:rPr>
        <w:t>4.在乙方承诺的或国家规定的保修期内（取两者中最长的期限），乙方负责保修、包换或者包退并承担相关费用。如设备经乙方三次维修或更换，仍不能达到合同规定和招投标文件要求的质量标准，甲方有权退货并解除合同，同时甲方有权要求乙方支付合同总价30%的违约金，并赔偿甲方由此遭受的损失。</w:t>
      </w:r>
    </w:p>
    <w:p>
      <w:pPr>
        <w:ind w:firstLine="420" w:firstLineChars="200"/>
        <w:outlineLvl w:val="0"/>
        <w:rPr>
          <w:rFonts w:ascii="仿宋" w:hAnsi="仿宋" w:cs="宋体" w:hint="eastAsia"/>
          <w:szCs w:val="21"/>
        </w:rPr>
      </w:pPr>
      <w:r>
        <w:rPr>
          <w:rFonts w:ascii="仿宋" w:hAnsi="仿宋" w:cs="宋体" w:hint="eastAsia"/>
          <w:szCs w:val="21"/>
        </w:rPr>
        <w:t>5.因设备质量问题造成患者人身伤害、造成甲方经济损失的，甲方向患者先行赔偿后，有权向乙方追偿。</w:t>
      </w:r>
    </w:p>
    <w:p>
      <w:pPr>
        <w:ind w:firstLine="420" w:firstLineChars="200"/>
        <w:outlineLvl w:val="0"/>
        <w:rPr>
          <w:rFonts w:ascii="仿宋" w:hAnsi="仿宋" w:cs="宋体" w:hint="eastAsia"/>
          <w:szCs w:val="21"/>
        </w:rPr>
      </w:pPr>
      <w:r>
        <w:rPr>
          <w:rFonts w:ascii="仿宋" w:hAnsi="仿宋" w:cs="宋体" w:hint="eastAsia"/>
          <w:szCs w:val="21"/>
        </w:rPr>
        <w:t>6.乙方未履行本合同项下的其他义务或违反其在投标文件中的相关承诺的，甲方有权要求乙方支付合同总价30%的违约金，并赔偿甲方由此遭受的损失。</w:t>
      </w:r>
    </w:p>
    <w:p>
      <w:pPr>
        <w:ind w:firstLine="420" w:firstLineChars="200"/>
        <w:outlineLvl w:val="0"/>
        <w:rPr>
          <w:rFonts w:ascii="仿宋" w:hAnsi="仿宋" w:cs="宋体" w:hint="eastAsia"/>
          <w:szCs w:val="21"/>
        </w:rPr>
      </w:pPr>
      <w:r>
        <w:rPr>
          <w:rFonts w:ascii="仿宋" w:hAnsi="仿宋" w:cs="宋体" w:hint="eastAsia"/>
          <w:szCs w:val="21"/>
        </w:rPr>
        <w:t>7.乙方在承担上述一项或多项违约责任后，仍应继续履行合同规定的义务（甲方解除合同的除外）。甲方未能及时追究乙方的其中一项违约责任并不表明甲方放弃追究乙方该项或其他违约责任。</w:t>
      </w:r>
    </w:p>
    <w:p>
      <w:pPr>
        <w:ind w:firstLine="420" w:firstLineChars="200"/>
        <w:outlineLvl w:val="0"/>
        <w:rPr>
          <w:rFonts w:ascii="仿宋" w:hAnsi="仿宋" w:cs="宋体"/>
          <w:szCs w:val="21"/>
        </w:rPr>
      </w:pPr>
      <w:r>
        <w:rPr>
          <w:rFonts w:ascii="仿宋" w:hAnsi="仿宋" w:cs="宋体" w:hint="eastAsia"/>
          <w:szCs w:val="21"/>
        </w:rPr>
        <w:t>第八条  合同的变更和终止</w:t>
      </w:r>
    </w:p>
    <w:p>
      <w:pPr>
        <w:ind w:firstLine="420" w:firstLineChars="200"/>
        <w:jc w:val="left"/>
        <w:rPr>
          <w:rFonts w:ascii="仿宋" w:hAnsi="仿宋" w:cs="宋体" w:hint="eastAsia"/>
          <w:szCs w:val="21"/>
        </w:rPr>
      </w:pPr>
      <w:r>
        <w:rPr>
          <w:rFonts w:ascii="仿宋" w:hAnsi="仿宋" w:cs="宋体" w:hint="eastAsia"/>
          <w:szCs w:val="21"/>
        </w:rPr>
        <w:t>除《中华人民共和国政府采购法》第49条、第50条第二款以及本合同第七条第2、3、4款规定的情形外，本合同一经签订，甲乙双方不得擅自变更、中止或终止合同。</w:t>
      </w:r>
    </w:p>
    <w:p>
      <w:pPr>
        <w:ind w:firstLine="420" w:firstLineChars="200"/>
        <w:jc w:val="left"/>
        <w:outlineLvl w:val="0"/>
        <w:rPr>
          <w:rFonts w:ascii="仿宋" w:hAnsi="仿宋" w:cs="宋体"/>
          <w:szCs w:val="21"/>
        </w:rPr>
      </w:pPr>
      <w:r>
        <w:rPr>
          <w:rFonts w:ascii="仿宋" w:hAnsi="仿宋" w:cs="宋体" w:hint="eastAsia"/>
          <w:szCs w:val="21"/>
        </w:rPr>
        <w:t>第九条  争议的解决</w:t>
      </w:r>
    </w:p>
    <w:p>
      <w:pPr>
        <w:ind w:firstLine="420" w:firstLineChars="200"/>
        <w:rPr>
          <w:rFonts w:ascii="仿宋" w:hAnsi="仿宋" w:cs="宋体" w:hint="eastAsia"/>
          <w:szCs w:val="21"/>
        </w:rPr>
      </w:pPr>
      <w:r>
        <w:rPr>
          <w:rFonts w:ascii="仿宋" w:hAnsi="仿宋" w:cs="宋体" w:hint="eastAsia"/>
          <w:szCs w:val="21"/>
        </w:rPr>
        <w:t>1.因设备的质量问题发生争议的，应当邀请国家认可的质量检测机构对货物质量进行鉴定。若无国家认可的质量检测机构，则由甲乙双方共同委托的、有相应鉴定能力的第三方机构进行鉴定。鉴定费由乙方先行支付。经鉴定确定质量不符合标准的，鉴定费由乙方承担，造成延期交付时，乙方承担延期交付违约责任。反之鉴定费由甲方承担。</w:t>
      </w:r>
    </w:p>
    <w:p>
      <w:pPr>
        <w:ind w:firstLine="420" w:firstLineChars="200"/>
        <w:jc w:val="left"/>
        <w:rPr>
          <w:rFonts w:ascii="仿宋" w:hAnsi="仿宋" w:cs="宋体"/>
          <w:szCs w:val="21"/>
        </w:rPr>
      </w:pPr>
      <w:r>
        <w:rPr>
          <w:rFonts w:ascii="仿宋" w:hAnsi="仿宋" w:cs="宋体" w:hint="eastAsia"/>
          <w:szCs w:val="21"/>
        </w:rPr>
        <w:t>2.因履行本合同引起的或与本合同有关的争议，甲、乙双方应首先通过友好协商解决，如果协商不能解决争议，则向甲方所在地有管辖权的人民法院提起诉讼。</w:t>
      </w:r>
    </w:p>
    <w:p>
      <w:pPr>
        <w:ind w:firstLine="420" w:firstLineChars="200"/>
        <w:jc w:val="left"/>
        <w:outlineLvl w:val="0"/>
        <w:rPr>
          <w:rFonts w:ascii="仿宋" w:hAnsi="仿宋" w:cs="宋体"/>
          <w:szCs w:val="21"/>
        </w:rPr>
      </w:pPr>
      <w:r>
        <w:rPr>
          <w:rFonts w:ascii="仿宋" w:hAnsi="仿宋" w:cs="宋体" w:hint="eastAsia"/>
          <w:szCs w:val="21"/>
        </w:rPr>
        <w:t>第十条  合同生效</w:t>
      </w:r>
    </w:p>
    <w:p>
      <w:pPr>
        <w:ind w:firstLine="420" w:firstLineChars="200"/>
        <w:rPr>
          <w:rFonts w:ascii="仿宋" w:hAnsi="仿宋" w:cs="宋体"/>
          <w:szCs w:val="21"/>
        </w:rPr>
      </w:pPr>
      <w:r>
        <w:rPr>
          <w:rFonts w:ascii="仿宋" w:hAnsi="仿宋" w:cs="宋体" w:hint="eastAsia"/>
          <w:szCs w:val="21"/>
        </w:rPr>
        <w:t>本合同一式陆份，甲乙双方、坪山区公共资源交易中心等各执两份，均具同等效力。合同附件作为本合同的组成部分，与本合同具有同等法律效力。若本合同附件与本合同的内容冲突的，以本合同附件来执行。</w:t>
      </w:r>
    </w:p>
    <w:p>
      <w:pPr>
        <w:ind w:firstLine="420" w:firstLineChars="200"/>
        <w:rPr>
          <w:rFonts w:ascii="仿宋" w:hAnsi="仿宋" w:cs="宋体"/>
          <w:szCs w:val="21"/>
        </w:rPr>
      </w:pPr>
      <w:r>
        <w:rPr>
          <w:rFonts w:ascii="仿宋" w:hAnsi="仿宋" w:cs="宋体" w:hint="eastAsia"/>
          <w:szCs w:val="21"/>
        </w:rPr>
        <w:t>本合同以及本项目招标文件、投标文件共同作为本项目履行的依据。若本合同的实质性条款的约定与本项目招标文件、投标文件有抵触之处的，以本项目招标文件（投标文件响应的内容优于招标文件的除外）为准；若投标文件响应内容优于本项目招标文件，则以投标文件为准。</w:t>
      </w:r>
    </w:p>
    <w:p>
      <w:pPr>
        <w:rPr>
          <w:rFonts w:ascii="仿宋" w:hAnsi="仿宋" w:cs="宋体" w:hint="eastAsia"/>
          <w:bCs/>
          <w:szCs w:val="21"/>
        </w:rPr>
      </w:pPr>
    </w:p>
    <w:p>
      <w:pPr>
        <w:rPr>
          <w:rFonts w:ascii="仿宋" w:hAnsi="仿宋" w:cs="宋体"/>
          <w:bCs/>
          <w:szCs w:val="21"/>
        </w:rPr>
      </w:pPr>
      <w:r>
        <w:rPr>
          <w:rFonts w:ascii="仿宋" w:hAnsi="仿宋" w:cs="宋体" w:hint="eastAsia"/>
          <w:bCs/>
          <w:szCs w:val="21"/>
        </w:rPr>
        <w:t>甲方（采购人）：</w:t>
      </w:r>
      <w:r>
        <w:rPr>
          <w:rFonts w:ascii="仿宋" w:hAnsi="仿宋" w:cs="宋体" w:hint="eastAsia"/>
          <w:szCs w:val="21"/>
        </w:rPr>
        <w:t xml:space="preserve">                        </w:t>
      </w:r>
      <w:r>
        <w:rPr>
          <w:rFonts w:ascii="仿宋" w:hAnsi="仿宋" w:cs="宋体" w:hint="eastAsia"/>
          <w:bCs/>
          <w:szCs w:val="21"/>
        </w:rPr>
        <w:t>乙方（供应商）：</w:t>
      </w:r>
    </w:p>
    <w:p>
      <w:pPr>
        <w:jc w:val="left"/>
        <w:rPr>
          <w:rFonts w:ascii="仿宋" w:hAnsi="仿宋" w:cs="宋体"/>
          <w:bCs/>
          <w:szCs w:val="21"/>
        </w:rPr>
      </w:pPr>
      <w:r>
        <w:rPr>
          <w:rFonts w:ascii="仿宋" w:hAnsi="仿宋" w:cs="宋体" w:hint="eastAsia"/>
          <w:bCs/>
          <w:szCs w:val="21"/>
        </w:rPr>
        <w:t xml:space="preserve">法定代表人（或授权代表）：              法定代表人（或授权代表）： </w:t>
      </w:r>
    </w:p>
    <w:p>
      <w:pPr>
        <w:jc w:val="left"/>
        <w:rPr>
          <w:rFonts w:ascii="仿宋" w:hAnsi="仿宋" w:cs="宋体"/>
          <w:bCs/>
          <w:szCs w:val="21"/>
        </w:rPr>
      </w:pPr>
      <w:r>
        <w:rPr>
          <w:rFonts w:ascii="仿宋" w:hAnsi="仿宋" w:cs="宋体" w:hint="eastAsia"/>
          <w:bCs/>
          <w:szCs w:val="21"/>
        </w:rPr>
        <w:t>联系电话：                              联系电话：</w:t>
      </w:r>
    </w:p>
    <w:p>
      <w:pPr>
        <w:ind w:firstLine="4200" w:firstLineChars="2000"/>
        <w:jc w:val="left"/>
        <w:rPr>
          <w:rFonts w:ascii="仿宋" w:hAnsi="仿宋" w:cs="宋体"/>
          <w:bCs/>
          <w:szCs w:val="21"/>
        </w:rPr>
      </w:pPr>
      <w:r>
        <w:rPr>
          <w:rFonts w:ascii="仿宋" w:hAnsi="仿宋" w:cs="宋体" w:hint="eastAsia"/>
          <w:bCs/>
          <w:szCs w:val="21"/>
        </w:rPr>
        <w:t>开户行名称：</w:t>
      </w:r>
    </w:p>
    <w:p>
      <w:pPr>
        <w:ind w:firstLine="4200" w:firstLineChars="2000"/>
        <w:jc w:val="left"/>
        <w:rPr>
          <w:rFonts w:ascii="仿宋" w:hAnsi="仿宋" w:cs="宋体"/>
          <w:bCs/>
          <w:szCs w:val="21"/>
        </w:rPr>
      </w:pPr>
      <w:r>
        <w:rPr>
          <w:rFonts w:ascii="仿宋" w:hAnsi="仿宋" w:cs="宋体" w:hint="eastAsia"/>
          <w:bCs/>
          <w:szCs w:val="21"/>
        </w:rPr>
        <w:t>银行账号：</w:t>
      </w:r>
    </w:p>
    <w:p>
      <w:pPr>
        <w:rPr>
          <w:rFonts w:ascii="仿宋" w:hAnsi="仿宋" w:cs="宋体" w:hint="eastAsia"/>
          <w:szCs w:val="21"/>
        </w:rPr>
      </w:pPr>
      <w:r>
        <w:rPr>
          <w:rFonts w:ascii="仿宋" w:hAnsi="仿宋" w:cs="宋体" w:hint="eastAsia"/>
          <w:szCs w:val="21"/>
        </w:rPr>
        <w:t xml:space="preserve">签约地址：   </w:t>
      </w:r>
    </w:p>
    <w:p>
      <w:pPr>
        <w:rPr>
          <w:rFonts w:ascii="仿宋" w:hAnsi="仿宋" w:cs="宋体" w:hint="eastAsia"/>
          <w:bCs/>
          <w:szCs w:val="21"/>
        </w:rPr>
      </w:pPr>
      <w:r>
        <w:rPr>
          <w:rFonts w:ascii="仿宋" w:hAnsi="仿宋" w:cs="宋体" w:hint="eastAsia"/>
          <w:bCs/>
          <w:szCs w:val="21"/>
        </w:rPr>
        <w:t xml:space="preserve">日期：     年    月    日     </w:t>
      </w:r>
    </w:p>
    <w:p>
      <w:pPr>
        <w:rPr>
          <w:rFonts w:hint="eastAsia"/>
          <w:sz w:val="28"/>
          <w:szCs w:val="28"/>
        </w:rPr>
      </w:pPr>
      <w:r>
        <w:rPr>
          <w:rFonts w:hint="eastAsia"/>
          <w:sz w:val="28"/>
          <w:szCs w:val="28"/>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0"/>
        </w:numPr>
        <w:spacing w:before="120" w:beforeLines="50" w:after="120" w:afterLines="50"/>
        <w:ind w:left="562" w:hanging="562"/>
        <w:rPr>
          <w:sz w:val="28"/>
          <w:szCs w:val="28"/>
        </w:rPr>
      </w:pPr>
      <w:bookmarkStart w:id="88" w:name="_Hlk72399513"/>
      <w:r>
        <w:rPr>
          <w:rFonts w:hint="eastAsia"/>
          <w:sz w:val="28"/>
          <w:szCs w:val="28"/>
        </w:rPr>
        <w:t>总则</w:t>
      </w:r>
    </w:p>
    <w:p>
      <w:pPr>
        <w:rPr>
          <w:rFonts w:ascii="黑体" w:eastAsia="黑体" w:hAnsi="宋体"/>
          <w:sz w:val="24"/>
        </w:rPr>
      </w:pPr>
      <w:bookmarkEnd w:id="88"/>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9" w:name="_Hlk72399729"/>
      <w:r>
        <w:rPr>
          <w:rFonts w:ascii="宋体" w:hAnsi="宋体" w:hint="eastAsia"/>
          <w:szCs w:val="21"/>
        </w:rPr>
        <w:t>如有需要，政府集中采购机构可以对通用条款的内容进行补充。</w:t>
      </w:r>
      <w:bookmarkEnd w:id="89"/>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eastAsia="宋体" w:hAnsi="宋体" w:cs="Times New Roman" w:hint="eastAsia"/>
          <w:szCs w:val="21"/>
        </w:rPr>
      </w:pPr>
      <w:r>
        <w:rPr>
          <w:rFonts w:ascii="宋体" w:hAnsi="宋体" w:hint="eastAsia"/>
          <w:szCs w:val="21"/>
        </w:rPr>
        <w:t>3.7“电子投标文件”指利</w:t>
      </w:r>
      <w:r>
        <w:rPr>
          <w:rFonts w:ascii="宋体" w:eastAsia="宋体" w:hAnsi="宋体" w:cs="Times New Roman" w:hint="eastAsia"/>
          <w:szCs w:val="21"/>
        </w:rPr>
        <w:t>用深圳公共资源交易中心（深圳交易集团有限公司</w:t>
      </w:r>
      <w:r>
        <w:rPr>
          <w:rFonts w:ascii="宋体" w:eastAsia="宋体" w:hAnsi="宋体" w:cs="Times New Roman" w:hint="eastAsia"/>
          <w:szCs w:val="21"/>
          <w:lang w:val="en-US" w:eastAsia="zh-CN"/>
        </w:rPr>
        <w:t>坪山</w:t>
      </w:r>
      <w:r>
        <w:rPr>
          <w:rFonts w:ascii="宋体" w:eastAsia="宋体" w:hAnsi="宋体" w:cs="Times New Roman" w:hint="eastAsia"/>
          <w:szCs w:val="21"/>
        </w:rPr>
        <w:t>分公司）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eastAsia="宋体" w:hAnsi="宋体" w:cs="Times New Roman" w:hint="eastAsia"/>
          <w:szCs w:val="21"/>
        </w:rPr>
        <w:t>3.8“网上投标”指通过深圳公共资源交易中心（深圳交易集团有限公司</w:t>
      </w:r>
      <w:r>
        <w:rPr>
          <w:rFonts w:ascii="宋体" w:eastAsia="宋体" w:hAnsi="宋体" w:cs="Times New Roman" w:hint="eastAsia"/>
          <w:szCs w:val="21"/>
          <w:lang w:val="en-US" w:eastAsia="zh-CN"/>
        </w:rPr>
        <w:t>坪山</w:t>
      </w:r>
      <w:r>
        <w:rPr>
          <w:rFonts w:ascii="宋体" w:eastAsia="宋体" w:hAnsi="宋体" w:cs="Times New Roman" w:hint="eastAsia"/>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0"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1"/>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0"/>
    </w:p>
    <w:p>
      <w:pPr>
        <w:pStyle w:val="Heading2"/>
        <w:numPr>
          <w:ilvl w:val="0"/>
          <w:numId w:val="10"/>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2"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2"/>
    </w:p>
    <w:p>
      <w:pPr>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3"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3"/>
      <w:r>
        <w:rPr>
          <w:rFonts w:ascii="黑体" w:eastAsia="黑体" w:hAnsi="宋体" w:hint="eastAsia"/>
          <w:sz w:val="24"/>
        </w:rPr>
        <w:t>15．</w:t>
      </w:r>
      <w:bookmarkStart w:id="94"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4"/>
      <w:r>
        <w:rPr>
          <w:rFonts w:ascii="黑体" w:eastAsia="黑体" w:hAnsi="宋体" w:hint="eastAsia"/>
          <w:sz w:val="24"/>
        </w:rPr>
        <w:t>18．</w:t>
      </w:r>
      <w:bookmarkStart w:id="9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5"/>
      <w:r>
        <w:rPr>
          <w:rFonts w:ascii="黑体" w:eastAsia="黑体" w:hAnsi="宋体" w:hint="eastAsia"/>
          <w:sz w:val="24"/>
        </w:rPr>
        <w:t>19．</w:t>
      </w:r>
      <w:bookmarkStart w:id="96"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97" w:name="_Hlk71407299"/>
    </w:p>
    <w:p>
      <w:pPr>
        <w:ind w:firstLine="412" w:firstLineChars="196"/>
        <w:rPr>
          <w:rFonts w:ascii="宋体" w:hAnsi="宋体"/>
          <w:szCs w:val="21"/>
        </w:rPr>
      </w:pPr>
      <w:bookmarkEnd w:id="97"/>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6"/>
      <w:bookmarkStart w:id="9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8"/>
      <w:r>
        <w:rPr>
          <w:rFonts w:ascii="黑体" w:eastAsia="黑体" w:hAnsi="宋体" w:hint="eastAsia"/>
          <w:sz w:val="24"/>
        </w:rPr>
        <w:t>21．</w:t>
      </w:r>
      <w:bookmarkStart w:id="99"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9"/>
      <w:r>
        <w:rPr>
          <w:rFonts w:ascii="黑体" w:eastAsia="黑体" w:hAnsi="宋体" w:hint="eastAsia"/>
          <w:sz w:val="24"/>
        </w:rPr>
        <w:t>23．</w:t>
      </w:r>
      <w:bookmarkStart w:id="10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0"/>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1"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101"/>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0"/>
        </w:numPr>
        <w:spacing w:before="120" w:beforeLines="50" w:after="120" w:afterLines="50"/>
        <w:ind w:left="562" w:hanging="562"/>
        <w:rPr>
          <w:sz w:val="28"/>
          <w:szCs w:val="28"/>
        </w:rPr>
      </w:pPr>
      <w:bookmarkEnd w:id="102"/>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4"/>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5" w:name="_Toc100052400"/>
      <w:bookmarkStart w:id="106" w:name="_Toc73517673"/>
      <w:bookmarkStart w:id="107" w:name="_Toc73521669"/>
      <w:bookmarkStart w:id="108" w:name="_Toc73518151"/>
      <w:bookmarkStart w:id="109" w:name="_Toc73521581"/>
      <w:r>
        <w:rPr>
          <w:rFonts w:ascii="黑体" w:eastAsia="黑体" w:hAnsi="宋体" w:hint="eastAsia"/>
          <w:sz w:val="24"/>
        </w:rPr>
        <w:t>34．错误的修正</w:t>
      </w:r>
      <w:bookmarkEnd w:id="105"/>
      <w:bookmarkEnd w:id="106"/>
      <w:bookmarkEnd w:id="107"/>
      <w:bookmarkEnd w:id="108"/>
      <w:bookmarkEnd w:id="109"/>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11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0"/>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1"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2"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2"/>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3"/>
      <w:bookmarkEnd w:id="11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1"/>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5"/>
      <w:bookmarkStart w:id="11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6"/>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8"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8"/>
    </w:p>
    <w:p>
      <w:pPr>
        <w:pStyle w:val="Heading2"/>
        <w:numPr>
          <w:ilvl w:val="0"/>
          <w:numId w:val="10"/>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0"/>
        </w:numPr>
        <w:spacing w:before="120" w:beforeLines="50" w:after="120" w:afterLines="50"/>
        <w:ind w:left="562" w:hanging="562"/>
        <w:rPr>
          <w:sz w:val="28"/>
          <w:szCs w:val="28"/>
        </w:rPr>
      </w:pPr>
      <w:bookmarkStart w:id="119" w:name="_Hlk72439043"/>
      <w:r>
        <w:rPr>
          <w:rFonts w:hint="eastAsia"/>
          <w:sz w:val="28"/>
          <w:szCs w:val="28"/>
        </w:rPr>
        <w:t>合同的授予与备案</w:t>
      </w:r>
      <w:bookmarkEnd w:id="119"/>
    </w:p>
    <w:p>
      <w:pPr>
        <w:rPr>
          <w:rFonts w:ascii="黑体" w:eastAsia="黑体" w:hAnsi="宋体"/>
          <w:sz w:val="24"/>
        </w:rPr>
      </w:pPr>
      <w:bookmarkStart w:id="120" w:name="_Toc100052408"/>
      <w:bookmarkStart w:id="121" w:name="_Toc73521586"/>
      <w:bookmarkStart w:id="122" w:name="_Toc73521674"/>
      <w:bookmarkStart w:id="123" w:name="_Toc73518157"/>
      <w:bookmarkStart w:id="124" w:name="_Toc73517679"/>
      <w:bookmarkStart w:id="125" w:name="_Hlk72439088"/>
      <w:r>
        <w:rPr>
          <w:rFonts w:ascii="黑体" w:eastAsia="黑体" w:hAnsi="宋体" w:hint="eastAsia"/>
          <w:sz w:val="24"/>
        </w:rPr>
        <w:t>43．合同授予标准</w:t>
      </w:r>
      <w:bookmarkEnd w:id="120"/>
      <w:bookmarkEnd w:id="121"/>
      <w:bookmarkEnd w:id="122"/>
      <w:bookmarkEnd w:id="123"/>
      <w:bookmarkEnd w:id="12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6" w:name="_Toc100052409"/>
      <w:bookmarkStart w:id="127" w:name="_Toc73521675"/>
      <w:bookmarkStart w:id="128" w:name="_Toc73521587"/>
      <w:bookmarkStart w:id="129" w:name="_Toc73518158"/>
      <w:bookmarkStart w:id="130" w:name="_Toc73517680"/>
      <w:r>
        <w:rPr>
          <w:rFonts w:ascii="黑体" w:eastAsia="黑体" w:hAnsi="宋体" w:hint="eastAsia"/>
          <w:sz w:val="24"/>
        </w:rPr>
        <w:t>44．</w:t>
      </w:r>
      <w:bookmarkEnd w:id="126"/>
      <w:bookmarkEnd w:id="127"/>
      <w:bookmarkEnd w:id="128"/>
      <w:bookmarkEnd w:id="129"/>
      <w:bookmarkEnd w:id="13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1" w:name="_Toc73517682"/>
      <w:bookmarkStart w:id="132" w:name="_Toc73521589"/>
      <w:bookmarkStart w:id="133" w:name="_Toc100052410"/>
      <w:bookmarkStart w:id="134" w:name="_Toc73521677"/>
      <w:bookmarkStart w:id="135" w:name="_Toc73518160"/>
      <w:r>
        <w:rPr>
          <w:rFonts w:ascii="黑体" w:eastAsia="黑体" w:hAnsi="宋体" w:hint="eastAsia"/>
          <w:sz w:val="24"/>
        </w:rPr>
        <w:t>45．合同的签订</w:t>
      </w:r>
      <w:bookmarkEnd w:id="131"/>
      <w:bookmarkEnd w:id="132"/>
      <w:bookmarkEnd w:id="133"/>
      <w:bookmarkEnd w:id="134"/>
      <w:bookmarkEnd w:id="13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6" w:name="_Toc73521590"/>
      <w:bookmarkStart w:id="137" w:name="_Toc73521678"/>
      <w:bookmarkStart w:id="138" w:name="_Toc73517683"/>
      <w:bookmarkStart w:id="139" w:name="_Toc100052411"/>
      <w:bookmarkStart w:id="140" w:name="_Toc73518161"/>
      <w:r>
        <w:rPr>
          <w:rFonts w:ascii="黑体" w:eastAsia="黑体" w:hAnsi="宋体" w:hint="eastAsia"/>
          <w:sz w:val="24"/>
        </w:rPr>
        <w:t>46．履约担保</w:t>
      </w:r>
      <w:bookmarkEnd w:id="136"/>
      <w:bookmarkEnd w:id="137"/>
      <w:bookmarkEnd w:id="138"/>
      <w:bookmarkEnd w:id="139"/>
      <w:bookmarkEnd w:id="14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1" w:name="_Hlk72440769"/>
      <w:r>
        <w:rPr>
          <w:rFonts w:ascii="宋体" w:hAnsi="宋体" w:hint="eastAsia"/>
          <w:szCs w:val="21"/>
        </w:rPr>
        <w:t>政府集中采购机构或采购人不予退还其交纳的谈判保证金，情节严重的，并由主管部门</w:t>
      </w:r>
      <w:bookmarkEnd w:id="14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0"/>
        </w:numPr>
        <w:spacing w:before="120" w:beforeLines="50" w:after="120" w:afterLines="50"/>
        <w:ind w:left="562" w:hanging="562"/>
        <w:rPr>
          <w:sz w:val="28"/>
          <w:szCs w:val="28"/>
        </w:rPr>
      </w:pPr>
      <w:bookmarkEnd w:id="125"/>
      <w:r>
        <w:rPr>
          <w:rFonts w:hint="eastAsia"/>
          <w:sz w:val="28"/>
          <w:szCs w:val="28"/>
        </w:rPr>
        <w:t>质疑处理</w:t>
      </w:r>
    </w:p>
    <w:p>
      <w:pPr>
        <w:rPr>
          <w:rFonts w:ascii="黑体" w:eastAsia="黑体" w:hAnsi="宋体"/>
          <w:sz w:val="24"/>
        </w:rPr>
      </w:pPr>
      <w:bookmarkStart w:id="142"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3" w:name="_Hlk75374941"/>
      <w:r>
        <w:rPr>
          <w:rFonts w:ascii="宋体" w:hAnsi="宋体" w:hint="eastAsia"/>
          <w:szCs w:val="21"/>
        </w:rPr>
        <w:t>以联合体形式参与的，质疑应当由组成联合体的所有成员共同提出</w:t>
      </w:r>
      <w:bookmarkEnd w:id="143"/>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分公司），质疑咨询电话：0755-</w:t>
      </w:r>
      <w:r>
        <w:rPr>
          <w:rFonts w:ascii="宋体" w:hAnsi="宋体" w:hint="eastAsia"/>
          <w:b/>
          <w:bCs/>
          <w:szCs w:val="21"/>
          <w:lang w:val="en-US" w:eastAsia="zh-CN"/>
        </w:rPr>
        <w:t>89381536</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ind w:firstLine="420" w:firstLineChars="200"/>
        <w:rPr>
          <w:rFonts w:ascii="宋体" w:hAnsi="宋体" w:hint="eastAsia"/>
          <w:szCs w:val="21"/>
        </w:rPr>
      </w:pPr>
      <w:r>
        <w:rPr>
          <w:rFonts w:ascii="宋体" w:hAnsi="宋体" w:hint="eastAsia"/>
          <w:szCs w:val="21"/>
        </w:rPr>
        <w:t>52.7质疑答复时限</w:t>
      </w:r>
    </w:p>
    <w:p>
      <w:pPr>
        <w:ind w:firstLine="420" w:firstLineChars="200"/>
        <w:rPr>
          <w:rFonts w:ascii="宋体" w:hAnsi="宋体" w:hint="eastAsia"/>
          <w:szCs w:val="21"/>
        </w:rPr>
      </w:pPr>
      <w:r>
        <w:rPr>
          <w:rFonts w:ascii="宋体" w:hAnsi="宋体" w:hint="eastAsia"/>
          <w:szCs w:val="21"/>
        </w:rPr>
        <w:t>自收文之日起七个工作日内。</w:t>
      </w:r>
    </w:p>
    <w:p>
      <w:pPr>
        <w:ind w:firstLine="420" w:firstLineChars="200"/>
        <w:rPr>
          <w:rFonts w:ascii="宋体" w:hAnsi="宋体" w:hint="eastAsia"/>
          <w:szCs w:val="21"/>
        </w:rPr>
      </w:pPr>
      <w:r>
        <w:rPr>
          <w:rFonts w:ascii="宋体" w:hAnsi="宋体" w:hint="eastAsia"/>
          <w:szCs w:val="21"/>
        </w:rPr>
        <w:t>52.8投诉</w:t>
      </w:r>
    </w:p>
    <w:p>
      <w:pPr>
        <w:ind w:firstLine="420" w:firstLineChars="200"/>
        <w:rPr>
          <w:rFonts w:ascii="宋体" w:hAnsi="宋体"/>
          <w:szCs w:val="21"/>
        </w:rPr>
      </w:pPr>
      <w:r>
        <w:rPr>
          <w:rFonts w:ascii="宋体" w:hAnsi="宋体" w:hint="eastAsia"/>
          <w:szCs w:val="21"/>
        </w:rPr>
        <w:t>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ind w:firstLine="420"/>
        <w:rPr>
          <w:rFonts w:ascii="宋体" w:hAnsi="宋体" w:hint="eastAsia"/>
          <w:szCs w:val="21"/>
        </w:rPr>
      </w:pPr>
      <w:r>
        <w:rPr>
          <w:rFonts w:ascii="宋体" w:hAnsi="宋体" w:hint="eastAsia"/>
          <w:szCs w:val="21"/>
        </w:rPr>
        <w:t>53.1供应商质疑不成立，或者成立但未对中标、成交结果构成影响的，继续开展采购活动。</w:t>
      </w:r>
    </w:p>
    <w:p>
      <w:pPr>
        <w:ind w:firstLine="420"/>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bookmarkEnd w:id="142"/>
    </w:p>
    <w:sectPr>
      <w:footerReference w:type="default" r:id="rId12"/>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rect id="文本框 1" o:spid="_x0000_s2049" style="height:2in;margin-left:0;margin-top:0;mso-height-relative:page;mso-position-horizontal:center;mso-position-horizontal-relative:margin;mso-width-relative:page;mso-wrap-style:none;position:absolute;width:2in;z-index:251658240" coordsize="21600,21600" filled="f" stroked="f">
          <o:lock v:ext="edit" aspectratio="f"/>
          <v:textbox style="mso-fit-shape-to-text:t" inset="0,0,0,0">
            <w:txbxContent>
              <w:p>
                <w:pPr>
                  <w:tabs>
                    <w:tab w:val="left" w:pos="426"/>
                  </w:tabs>
                  <w:snapToGrid w:val="0"/>
                  <w:rPr>
                    <w:rFonts w:eastAsia="宋体" w:hint="eastAsia"/>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48</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48</w:t>
                </w:r>
                <w:r>
                  <w:rPr>
                    <w:rFonts w:hint="eastAsia"/>
                    <w:sz w:val="18"/>
                    <w:lang w:eastAsia="zh-CN"/>
                  </w:rPr>
                  <w:fldChar w:fldCharType="end"/>
                </w:r>
                <w:r>
                  <w:rPr>
                    <w:rFonts w:hint="eastAsia"/>
                    <w:sz w:val="18"/>
                    <w:lang w:eastAsia="zh-CN"/>
                  </w:rPr>
                  <w:t xml:space="preserve"> 页</w:t>
                </w:r>
              </w:p>
            </w:txbxContent>
          </v:textbox>
          <w10:wrap anchorx="margin"/>
        </v:rect>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357B140"/>
    <w:multiLevelType w:val="singleLevel"/>
    <w:tmpl w:val="9357B140"/>
    <w:lvl w:ilvl="0">
      <w:start w:val="2"/>
      <w:numFmt w:val="chineseCounting"/>
      <w:suff w:val="nothing"/>
      <w:lvlText w:val="（%1）"/>
      <w:lvlJc w:val="left"/>
      <w:rPr>
        <w:rFonts w:hint="eastAsia"/>
      </w:rPr>
    </w:lvl>
  </w:abstractNum>
  <w:abstractNum w:abstractNumId="1">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2">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5A7F5F48"/>
    <w:multiLevelType w:val="singleLevel"/>
    <w:tmpl w:val="5A7F5F48"/>
    <w:lvl w:ilvl="0">
      <w:start w:val="2"/>
      <w:numFmt w:val="chineseCounting"/>
      <w:suff w:val="nothing"/>
      <w:lvlText w:val="%1、"/>
      <w:lvlJc w:val="left"/>
      <w:rPr>
        <w:rFonts w:hint="eastAsia"/>
      </w:rPr>
    </w:lvl>
  </w:abstractNum>
  <w:abstractNum w:abstractNumId="8">
    <w:nsid w:val="79F56AE3"/>
    <w:multiLevelType w:val="singleLevel"/>
    <w:tmpl w:val="79F56AE3"/>
    <w:lvl w:ilvl="0">
      <w:start w:val="4"/>
      <w:numFmt w:val="chineseCounting"/>
      <w:suff w:val="nothing"/>
      <w:lvlText w:val="（%1）"/>
      <w:lvlJc w:val="left"/>
      <w:rPr>
        <w:rFonts w:hint="eastAsia"/>
      </w:rPr>
    </w:lvl>
  </w:abstractNum>
  <w:abstractNum w:abstractNumId="9">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
  </w:num>
  <w:num w:numId="3">
    <w:abstractNumId w:val="5"/>
  </w:num>
  <w:num w:numId="4">
    <w:abstractNumId w:val="4"/>
  </w:num>
  <w:num w:numId="5">
    <w:abstractNumId w:val="9"/>
  </w:num>
  <w:num w:numId="6">
    <w:abstractNumId w:val="6"/>
  </w:num>
  <w:num w:numId="7">
    <w:abstractNumId w:val="7"/>
  </w:num>
  <w:num w:numId="8">
    <w:abstractNumId w:val="0"/>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70"/>
  <w:trackRevisions/>
  <w:defaultTabStop w:val="420"/>
  <w:noPunctuationKerning/>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RiN2VjMDBkNzg1YmNjNjA3ZDQ2NTIwMmE1YzM3ZGE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semiHidden="0" w:uiPriority="0" w:unhideWhenUsed="0" w:qFormat="1"/>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iPriority="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Index6">
    <w:name w:val="index 6"/>
    <w:basedOn w:val="Normal"/>
    <w:next w:val="Normal"/>
    <w:qFormat/>
    <w:pPr>
      <w:tabs>
        <w:tab w:val="left" w:pos="426"/>
      </w:tabs>
      <w:ind w:left="2100"/>
    </w:p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qFormat/>
    <w:pPr>
      <w:widowControl/>
      <w:adjustRightInd w:val="0"/>
      <w:spacing w:before="156" w:after="120" w:line="312" w:lineRule="atLeast"/>
      <w:ind w:left="420" w:firstLine="0" w:firstLineChars="0"/>
      <w:jc w:val="left"/>
      <w:textAlignment w:val="baseline"/>
    </w:pPr>
    <w:rPr>
      <w:rFonts w:ascii="Arial" w:hAnsi="Arial" w:cs="宋体"/>
      <w:kern w:val="0"/>
      <w:sz w:val="2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next w:val="Index6"/>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basedOn w:val="DefaultParagraphFont"/>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basedOn w:val="DefaultParagraphFont"/>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paragraph" w:customStyle="1" w:styleId="113">
    <w:name w:val="正文1"/>
    <w:qFormat/>
    <w:pPr>
      <w:jc w:val="both"/>
    </w:pPr>
    <w:rPr>
      <w:rFonts w:ascii="Times New Roman" w:eastAsia="宋体" w:hAnsi="Times New Roman" w:cs="Times New Roman"/>
      <w:kern w:val="2"/>
      <w:sz w:val="21"/>
      <w:szCs w:val="21"/>
      <w:lang w:val="en-US" w:eastAsia="zh-CN" w:bidi="ar-SA"/>
    </w:rPr>
  </w:style>
  <w:style w:type="character" w:customStyle="1" w:styleId="hover">
    <w:name w:val="hover"/>
    <w:basedOn w:val="DefaultParagraphFont"/>
    <w:qFormat/>
    <w:rPr>
      <w:color w:val="28BFA6"/>
    </w:rPr>
  </w:style>
  <w:style w:type="character" w:customStyle="1" w:styleId="hover1">
    <w:name w:val="hover1"/>
    <w:basedOn w:val="DefaultParagraphFont"/>
    <w:qFormat/>
    <w:rPr>
      <w:color w:val="28BFA6"/>
      <w:shd w:val="clear" w:color="auto" w:fill="EAF9F6"/>
    </w:rPr>
  </w:style>
  <w:style w:type="character" w:customStyle="1" w:styleId="hover2">
    <w:name w:val="hover2"/>
    <w:basedOn w:val="DefaultParagraphFont"/>
    <w:qFormat/>
  </w:style>
  <w:style w:type="character" w:customStyle="1" w:styleId="hover3">
    <w:name w:val="hover3"/>
    <w:basedOn w:val="DefaultParagraphFont"/>
    <w:qFormat/>
    <w:rPr>
      <w:color w:val="28BFA6"/>
    </w:rPr>
  </w:style>
  <w:style w:type="paragraph" w:customStyle="1" w:styleId="TableParagraph">
    <w:name w:val="Table Paragraph"/>
    <w:basedOn w:val="Normal"/>
    <w:uiPriority w:val="1"/>
    <w:qFormat/>
    <w:rPr>
      <w:rFonts w:ascii="宋体" w:eastAsia="宋体" w:hAnsi="宋体" w:cs="宋体"/>
      <w:lang w:val="zh-CN" w:eastAsia="zh-CN" w:bidi="zh-CN"/>
    </w:rPr>
  </w:style>
  <w:style w:type="paragraph" w:customStyle="1" w:styleId="BodyText0">
    <w:name w:val="BodyText"/>
    <w:basedOn w:val="Normal"/>
    <w:next w:val="Normal"/>
    <w:qFormat/>
    <w:pPr>
      <w:spacing w:line="360" w:lineRule="auto"/>
      <w:ind w:right="-153" w:rightChars="-73"/>
    </w:pPr>
    <w:rPr>
      <w:rFonts w:ascii="宋体" w:hAnsi="宋体"/>
      <w:sz w:val="3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1.xml" /><Relationship Id="rId9"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48</Pages>
  <Words>7749</Words>
  <Characters>44172</Characters>
  <Application>Microsoft Office Word</Application>
  <DocSecurity>0</DocSecurity>
  <Lines>368</Lines>
  <Paragraphs>103</Paragraphs>
  <ScaleCrop>false</ScaleCrop>
  <Company>Microsoft</Company>
  <LinksUpToDate>false</LinksUpToDate>
  <CharactersWithSpaces>51818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天雨</cp:lastModifiedBy>
  <cp:revision>123</cp:revision>
  <cp:lastPrinted>2021-05-16T11:04:00Z</cp:lastPrinted>
  <dcterms:created xsi:type="dcterms:W3CDTF">2021-05-07T05:47:00Z</dcterms:created>
  <dcterms:modified xsi:type="dcterms:W3CDTF">2023-12-04T10:13:08Z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66C470B101724F24999408A1B4E97C13_13</vt:lpwstr>
  </property>
  <property fmtid="{D5CDD505-2E9C-101B-9397-08002B2CF9AE}" pid="3" name="KSOProductBuildVer">
    <vt:lpwstr>2052-12.1.0.15990</vt:lpwstr>
  </property>
</Properties>
</file>