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Times New Roman" w:eastAsia="宋体" w:hAnsi="Times New Roman" w:cs="Times New Roman" w:hint="eastAsia"/>
          <w:b/>
          <w:bCs/>
          <w:kern w:val="0"/>
          <w:sz w:val="40"/>
          <w:szCs w:val="40"/>
          <w:lang w:eastAsia="zh-CN"/>
        </w:rPr>
      </w:pPr>
      <w:bookmarkStart w:id="0" w:name="_GoBack"/>
      <w:bookmarkEnd w:id="0"/>
      <w:r>
        <w:rPr>
          <w:rFonts w:ascii="Times New Roman" w:eastAsia="宋体" w:hAnsi="Times New Roman" w:cs="Times New Roman" w:hint="eastAsia"/>
          <w:b/>
          <w:bCs/>
          <w:kern w:val="0"/>
          <w:sz w:val="40"/>
          <w:szCs w:val="40"/>
          <w:lang w:eastAsia="zh-CN"/>
        </w:rPr>
        <w:t>宝安中学（集团）实验学校理科实验考试设备采购项目</w:t>
      </w:r>
    </w:p>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38" w:type="dxa"/>
        <w:jc w:val="center"/>
        <w:tblCellSpacing w:w="0" w:type="dxa"/>
        <w:tblCellMar>
          <w:top w:w="36" w:type="dxa"/>
          <w:left w:w="36" w:type="dxa"/>
          <w:bottom w:w="36" w:type="dxa"/>
          <w:right w:w="36" w:type="dxa"/>
        </w:tblCellMar>
      </w:tblPr>
      <w:tblGrid>
        <w:gridCol w:w="2722"/>
        <w:gridCol w:w="5216"/>
      </w:tblGrid>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2722" w:type="dxa"/>
            <w:vAlign w:val="center"/>
          </w:tcPr>
          <w:p>
            <w:pPr>
              <w:jc w:val="right"/>
              <w:rPr>
                <w:sz w:val="30"/>
                <w:szCs w:val="30"/>
              </w:rPr>
            </w:pPr>
            <w:r>
              <w:rPr>
                <w:sz w:val="30"/>
                <w:szCs w:val="30"/>
              </w:rPr>
              <w:t>项目编号：</w:t>
            </w:r>
          </w:p>
        </w:tc>
        <w:tc>
          <w:tcPr>
            <w:tcW w:w="0" w:type="auto"/>
            <w:vAlign w:val="center"/>
          </w:tcPr>
          <w:p>
            <w:pPr>
              <w:rPr>
                <w:rFonts w:eastAsiaTheme="minorEastAsia" w:hint="eastAsia"/>
                <w:sz w:val="30"/>
                <w:szCs w:val="30"/>
                <w:lang w:eastAsia="zh-CN"/>
              </w:rPr>
            </w:pPr>
            <w:r>
              <w:rPr>
                <w:rFonts w:asciiTheme="minorEastAsia" w:hAnsiTheme="minorEastAsia" w:hint="eastAsia"/>
                <w:sz w:val="30"/>
                <w:szCs w:val="30"/>
                <w:lang w:eastAsia="zh-CN"/>
              </w:rPr>
              <w:t>BACG2024000081</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项目名称：</w:t>
            </w:r>
          </w:p>
        </w:tc>
        <w:tc>
          <w:tcPr>
            <w:tcW w:w="0" w:type="auto"/>
            <w:vAlign w:val="center"/>
          </w:tcPr>
          <w:p>
            <w:pPr>
              <w:rPr>
                <w:rFonts w:eastAsiaTheme="minorEastAsia" w:hint="eastAsia"/>
                <w:sz w:val="30"/>
                <w:szCs w:val="30"/>
                <w:lang w:eastAsia="zh-CN"/>
              </w:rPr>
            </w:pPr>
            <w:r>
              <w:rPr>
                <w:rFonts w:asciiTheme="minorEastAsia" w:hAnsiTheme="minorEastAsia" w:hint="eastAsia"/>
                <w:sz w:val="30"/>
                <w:szCs w:val="30"/>
                <w:highlight w:val="none"/>
                <w:lang w:eastAsia="zh-CN"/>
              </w:rPr>
              <w:t>宝安中学（集团）实验学校理科实验考试设备采购项目</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包</w:t>
            </w:r>
            <w:r>
              <w:rPr>
                <w:rFonts w:hint="eastAsia"/>
                <w:sz w:val="30"/>
                <w:szCs w:val="30"/>
                <w:lang w:val="en-US" w:eastAsia="zh-CN"/>
              </w:rPr>
              <w:t xml:space="preserve">    </w:t>
            </w:r>
            <w:r>
              <w:rPr>
                <w:sz w:val="30"/>
                <w:szCs w:val="30"/>
              </w:rPr>
              <w:t>号：</w:t>
            </w:r>
          </w:p>
        </w:tc>
        <w:tc>
          <w:tcPr>
            <w:tcW w:w="0" w:type="auto"/>
            <w:vAlign w:val="center"/>
          </w:tcPr>
          <w:p>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项目类型：</w:t>
            </w:r>
          </w:p>
        </w:tc>
        <w:tc>
          <w:tcPr>
            <w:tcW w:w="0" w:type="auto"/>
            <w:vAlign w:val="center"/>
          </w:tcPr>
          <w:p>
            <w:pPr>
              <w:rPr>
                <w:sz w:val="30"/>
                <w:szCs w:val="30"/>
              </w:rPr>
            </w:pPr>
            <w:r>
              <w:rPr>
                <w:rFonts w:hint="eastAsia"/>
                <w:sz w:val="30"/>
                <w:szCs w:val="30"/>
                <w:lang w:val="en-US" w:eastAsia="zh-CN"/>
              </w:rPr>
              <w:t>货物</w:t>
            </w:r>
            <w:r>
              <w:rPr>
                <w:sz w:val="30"/>
                <w:szCs w:val="30"/>
              </w:rPr>
              <w:t>类</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采购方式：</w:t>
            </w:r>
          </w:p>
        </w:tc>
        <w:tc>
          <w:tcPr>
            <w:tcW w:w="0" w:type="auto"/>
            <w:vAlign w:val="center"/>
          </w:tcPr>
          <w:p>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货币类型：</w:t>
            </w:r>
          </w:p>
        </w:tc>
        <w:tc>
          <w:tcPr>
            <w:tcW w:w="0" w:type="auto"/>
            <w:vAlign w:val="center"/>
          </w:tcPr>
          <w:p>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评标方法：</w:t>
            </w:r>
          </w:p>
        </w:tc>
        <w:tc>
          <w:tcPr>
            <w:tcW w:w="0" w:type="auto"/>
            <w:vAlign w:val="center"/>
          </w:tcPr>
          <w:p>
            <w:pPr>
              <w:rPr>
                <w:sz w:val="30"/>
                <w:szCs w:val="30"/>
              </w:rPr>
            </w:pPr>
            <w:r>
              <w:rPr>
                <w:sz w:val="30"/>
                <w:szCs w:val="30"/>
              </w:rPr>
              <w:t>综合评分法（新价格分算法）</w:t>
            </w:r>
          </w:p>
        </w:tc>
      </w:tr>
    </w:tbl>
    <w:p>
      <w:pPr>
        <w:tabs>
          <w:tab w:val="left" w:pos="2790"/>
        </w:tabs>
        <w:snapToGrid w:val="0"/>
        <w:spacing w:line="440" w:lineRule="exact"/>
        <w:jc w:val="left"/>
        <w:rPr>
          <w:rFonts w:asciiTheme="minorEastAsia" w:hAnsiTheme="minorEastAsia"/>
          <w:sz w:val="30"/>
          <w:szCs w:val="3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Style w:val="TableNormal"/>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pPr>
        <w:tabs>
          <w:tab w:val="left" w:pos="2790"/>
        </w:tabs>
        <w:snapToGrid w:val="0"/>
        <w:jc w:val="center"/>
        <w:rPr>
          <w:rFonts w:ascii="黑体" w:eastAsia="黑体" w:hAnsi="黑体" w:cs="Times New Roman"/>
          <w:sz w:val="40"/>
          <w:szCs w:val="4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Style w:val="TableNormal"/>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分项报价或投标总价不得高于</w:t>
            </w:r>
            <w:bookmarkStart w:id="1" w:name="_Hlk71832186"/>
            <w:r>
              <w:rPr>
                <w:rFonts w:hint="eastAsia"/>
              </w:rPr>
              <w:t>相应预算金额（或设定的预算金额下的最高限价）</w:t>
            </w:r>
            <w:bookmarkEnd w:id="1"/>
            <w:r>
              <w:rPr>
                <w:rFonts w:ascii="Calibri" w:eastAsia="宋体" w:hAnsi="Calibri" w:cs="Times New Roman"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投标文件存在列放位置错误，导致属于信息公开情形的没有被公开；</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ascii="宋体" w:eastAsia="宋体" w:hAnsi="宋体"/>
              </w:rPr>
              <w:t>不同投标供应商投标文件“文件制作机器码”一致的；</w:t>
            </w:r>
            <w:r>
              <w:rPr>
                <w:szCs w:val="21"/>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》中作出声明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法律、法规、规章、规范性文件规定的其他情形。</w:t>
            </w:r>
          </w:p>
        </w:tc>
      </w:tr>
    </w:tbl>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rPr>
          <w:rFonts w:ascii="黑体" w:eastAsia="黑体" w:hAnsi="黑体" w:hint="eastAsia"/>
          <w:sz w:val="40"/>
          <w:szCs w:val="40"/>
        </w:rPr>
      </w:pPr>
      <w:r>
        <w:rPr>
          <w:rFonts w:ascii="黑体" w:eastAsia="黑体" w:hAnsi="黑体" w:hint="eastAsia"/>
          <w:sz w:val="40"/>
          <w:szCs w:val="40"/>
        </w:rPr>
        <w:br w:type="page"/>
      </w:r>
    </w:p>
    <w:p>
      <w:pPr>
        <w:pStyle w:val="NormalWeb"/>
        <w:keepNext w:val="0"/>
        <w:keepLines w:val="0"/>
        <w:pageBreakBefore w:val="0"/>
        <w:widowControl/>
        <w:kinsoku/>
        <w:wordWrap/>
        <w:overflowPunct/>
        <w:topLinePunct w:val="0"/>
        <w:autoSpaceDE/>
        <w:autoSpaceDN/>
        <w:bidi w:val="0"/>
        <w:adjustRightInd/>
        <w:snapToGrid/>
        <w:jc w:val="center"/>
        <w:textAlignment w:val="auto"/>
        <w:outlineLvl w:val="0"/>
        <w:rPr>
          <w:rFonts w:ascii="黑体" w:eastAsia="黑体"/>
          <w:sz w:val="40"/>
          <w:szCs w:val="40"/>
          <w:highlight w:val="none"/>
        </w:rPr>
      </w:pPr>
      <w:r>
        <w:rPr>
          <w:rFonts w:ascii="黑体" w:eastAsia="黑体" w:hAnsi="黑体" w:hint="eastAsia"/>
          <w:sz w:val="40"/>
          <w:szCs w:val="40"/>
          <w:highlight w:val="none"/>
        </w:rPr>
        <w:t>评标信息</w:t>
      </w:r>
    </w:p>
    <w:p>
      <w:r>
        <w:rPr>
          <w:rFonts w:ascii="宋体" w:hAnsi="宋体"/>
          <w:b/>
          <w:bCs/>
        </w:rPr>
        <w:t>评标方法：综合评分法（新价格分算法）</w:t>
      </w:r>
    </w:p>
    <w:p>
      <w:pPr>
        <w:spacing w:line="324" w:lineRule="auto"/>
        <w:ind w:firstLine="420"/>
      </w:pPr>
      <w:r>
        <w:rPr>
          <w:rFonts w:ascii="宋体" w:hAnsi="宋体"/>
        </w:rPr>
        <w:t>综合评分法，是指投标文件满足招标文件全部实质性要求，且按照评审因素的量化指标评审得分最高的投标人为中标候选人的评标方法。</w:t>
      </w:r>
      <w:r>
        <w:t xml:space="preserve"> </w:t>
      </w:r>
    </w:p>
    <w:p>
      <w:pPr>
        <w:ind w:firstLine="420"/>
      </w:pPr>
      <w:r>
        <w:rPr>
          <w:rFonts w:ascii="宋体" w:hAnsi="宋体"/>
        </w:rPr>
        <w:t>价格分计算方法：</w:t>
      </w:r>
    </w:p>
    <w:p>
      <w:r>
        <w:rPr>
          <w:rFonts w:ascii="宋体" w:hAnsi="宋体"/>
        </w:rPr>
        <w:t>采用低价优先法计算，即满足招标文件要求且投标价格最低的投标报价为评标基准价，其价格分为满分。其他投标人的价格分统一按照下列公式计算：</w:t>
      </w:r>
      <w:r>
        <w:t xml:space="preserve"> </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r>
      <w:r>
        <w:t>F1</w:t>
      </w:r>
      <w:r>
        <w:rPr>
          <w:rFonts w:ascii="宋体" w:hAnsi="宋体"/>
        </w:rPr>
        <w:t>、</w:t>
      </w:r>
      <w:r>
        <w:t>F2……Fn</w:t>
      </w:r>
      <w:r>
        <w:rPr>
          <w:rFonts w:ascii="宋体" w:hAnsi="宋体"/>
        </w:rPr>
        <w:t xml:space="preserve">分别为各项评审因素的得分； </w:t>
      </w:r>
      <w:r>
        <w:br/>
      </w:r>
      <w: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t xml:space="preserve"> </w:t>
      </w:r>
      <w:r>
        <w:br/>
      </w:r>
      <w:r>
        <w:rPr>
          <w:rFonts w:ascii="宋体" w:hAnsi="宋体"/>
        </w:rPr>
        <w:t>此方法适用于货物类、服务类、工程类项目。</w:t>
      </w:r>
    </w:p>
    <w:tbl>
      <w:tblPr>
        <w:tblStyle w:val="TableNormal"/>
        <w:tblpPr w:leftFromText="180" w:rightFromText="180" w:vertAnchor="text" w:horzAnchor="page" w:tblpX="1525" w:tblpY="249"/>
        <w:tblOverlap w:val="never"/>
        <w:tblW w:w="9072"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
      <w:tblGrid>
        <w:gridCol w:w="627"/>
        <w:gridCol w:w="597"/>
        <w:gridCol w:w="1482"/>
        <w:gridCol w:w="1004"/>
        <w:gridCol w:w="5362"/>
      </w:tblGrid>
      <w:tr>
        <w:tblPrEx>
          <w:tblW w:w="9072"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Ex>
        <w:tc>
          <w:tcPr>
            <w:tcW w:w="627"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序号</w:t>
            </w:r>
          </w:p>
        </w:tc>
        <w:tc>
          <w:tcPr>
            <w:tcW w:w="308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评分项</w:t>
            </w:r>
          </w:p>
        </w:tc>
        <w:tc>
          <w:tcPr>
            <w:tcW w:w="536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权重（%）</w:t>
            </w:r>
          </w:p>
        </w:tc>
      </w:tr>
      <w:tr>
        <w:tblPrEx>
          <w:tblW w:w="9072" w:type="dxa"/>
          <w:tblInd w:w="0" w:type="dxa"/>
          <w:shd w:val="clear" w:color="auto" w:fill="FFFFFF"/>
          <w:tblCellMar>
            <w:top w:w="20" w:type="dxa"/>
            <w:left w:w="108" w:type="dxa"/>
            <w:bottom w:w="20" w:type="dxa"/>
            <w:right w:w="108" w:type="dxa"/>
          </w:tblCellMar>
        </w:tblPrEx>
        <w:tc>
          <w:tcPr>
            <w:tcW w:w="627"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1</w:t>
            </w:r>
          </w:p>
        </w:tc>
        <w:tc>
          <w:tcPr>
            <w:tcW w:w="308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价格</w:t>
            </w:r>
          </w:p>
        </w:tc>
        <w:tc>
          <w:tcPr>
            <w:tcW w:w="5362"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30</w:t>
            </w:r>
          </w:p>
        </w:tc>
      </w:tr>
      <w:tr>
        <w:tblPrEx>
          <w:tblW w:w="9072" w:type="dxa"/>
          <w:tblInd w:w="0" w:type="dxa"/>
          <w:shd w:val="clear" w:color="auto" w:fill="FFFFFF"/>
          <w:tblCellMar>
            <w:top w:w="20" w:type="dxa"/>
            <w:left w:w="108" w:type="dxa"/>
            <w:bottom w:w="20" w:type="dxa"/>
            <w:right w:w="108" w:type="dxa"/>
          </w:tblCellMar>
        </w:tblPrEx>
        <w:tc>
          <w:tcPr>
            <w:tcW w:w="627" w:type="dxa"/>
            <w:vMerge w:val="restart"/>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2</w:t>
            </w:r>
          </w:p>
        </w:tc>
        <w:tc>
          <w:tcPr>
            <w:tcW w:w="308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技术部分</w:t>
            </w:r>
          </w:p>
        </w:tc>
        <w:tc>
          <w:tcPr>
            <w:tcW w:w="5362"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default"/>
                <w:b/>
                <w:bCs/>
                <w:sz w:val="21"/>
                <w:szCs w:val="21"/>
                <w:highlight w:val="none"/>
                <w:lang w:val="en-US" w:eastAsia="zh-CN"/>
              </w:rPr>
            </w:pPr>
            <w:r>
              <w:rPr>
                <w:rFonts w:asciiTheme="minorEastAsia" w:hAnsiTheme="minorEastAsia" w:cstheme="minorEastAsia" w:hint="eastAsia"/>
                <w:b/>
                <w:bCs/>
                <w:sz w:val="21"/>
                <w:szCs w:val="21"/>
                <w:highlight w:val="none"/>
                <w:lang w:val="en-US" w:eastAsia="zh-CN"/>
              </w:rPr>
              <w:t>52</w:t>
            </w:r>
          </w:p>
        </w:tc>
      </w:tr>
      <w:tr>
        <w:tblPrEx>
          <w:tblW w:w="9072" w:type="dxa"/>
          <w:tblInd w:w="0" w:type="dxa"/>
          <w:shd w:val="clear" w:color="auto" w:fill="FFFFFF"/>
          <w:tblCellMar>
            <w:top w:w="20" w:type="dxa"/>
            <w:left w:w="108" w:type="dxa"/>
            <w:bottom w:w="20" w:type="dxa"/>
            <w:right w:w="108" w:type="dxa"/>
          </w:tblCellMar>
        </w:tblPrEx>
        <w:tc>
          <w:tcPr>
            <w:tcW w:w="627"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序号</w:t>
            </w:r>
          </w:p>
        </w:tc>
        <w:tc>
          <w:tcPr>
            <w:tcW w:w="148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评分因素</w:t>
            </w:r>
          </w:p>
        </w:tc>
        <w:tc>
          <w:tcPr>
            <w:tcW w:w="1004"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权重（%）</w:t>
            </w:r>
          </w:p>
        </w:tc>
        <w:tc>
          <w:tcPr>
            <w:tcW w:w="536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评分准则</w:t>
            </w:r>
          </w:p>
        </w:tc>
      </w:tr>
      <w:tr>
        <w:tblPrEx>
          <w:tblW w:w="9072" w:type="dxa"/>
          <w:tblInd w:w="0" w:type="dxa"/>
          <w:shd w:val="clear" w:color="auto" w:fill="FFFFFF"/>
          <w:tblCellMar>
            <w:top w:w="20" w:type="dxa"/>
            <w:left w:w="108" w:type="dxa"/>
            <w:bottom w:w="20" w:type="dxa"/>
            <w:right w:w="108" w:type="dxa"/>
          </w:tblCellMar>
        </w:tblPrEx>
        <w:tc>
          <w:tcPr>
            <w:tcW w:w="627"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1</w:t>
            </w:r>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pacing w:line="320" w:lineRule="exact"/>
              <w:jc w:val="center"/>
              <w:textAlignment w:val="auto"/>
              <w:rPr>
                <w:rFonts w:asciiTheme="minorEastAsia" w:eastAsiaTheme="minorEastAsia" w:hAnsiTheme="minorEastAsia" w:cstheme="minorEastAsia" w:hint="eastAsia"/>
                <w:b/>
                <w:sz w:val="21"/>
                <w:szCs w:val="21"/>
                <w:highlight w:val="none"/>
              </w:rPr>
            </w:pPr>
            <w:r>
              <w:rPr>
                <w:rFonts w:asciiTheme="minorEastAsia" w:eastAsiaTheme="minorEastAsia" w:hAnsiTheme="minorEastAsia" w:cstheme="minorEastAsia" w:hint="eastAsia"/>
                <w:bCs/>
                <w:sz w:val="21"/>
                <w:szCs w:val="21"/>
                <w:highlight w:val="none"/>
              </w:rPr>
              <w:t>▲参数响应情况评价</w:t>
            </w:r>
          </w:p>
        </w:tc>
        <w:tc>
          <w:tcPr>
            <w:tcW w:w="1004"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pacing w:line="320" w:lineRule="exact"/>
              <w:jc w:val="center"/>
              <w:textAlignment w:val="auto"/>
              <w:rPr>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sz w:val="21"/>
                <w:szCs w:val="21"/>
                <w:highlight w:val="none"/>
                <w:lang w:val="en-US" w:eastAsia="zh-CN"/>
              </w:rPr>
              <w:t>32</w:t>
            </w:r>
          </w:p>
        </w:tc>
        <w:tc>
          <w:tcPr>
            <w:tcW w:w="5362" w:type="dxa"/>
            <w:tcBorders>
              <w:top w:val="single" w:sz="8" w:space="0" w:color="000000"/>
              <w:left w:val="single" w:sz="8" w:space="0" w:color="000000"/>
              <w:bottom w:val="single" w:sz="8" w:space="0" w:color="000000"/>
              <w:right w:val="single" w:sz="8" w:space="0" w:color="000000"/>
            </w:tcBorders>
            <w:shd w:val="clear" w:color="auto" w:fill="FFFFFF"/>
            <w:vAlign w:val="top"/>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以投标文件《技术</w:t>
            </w:r>
            <w:r>
              <w:rPr>
                <w:rFonts w:asciiTheme="minorEastAsia" w:eastAsiaTheme="minorEastAsia" w:hAnsiTheme="minorEastAsia" w:cstheme="minorEastAsia" w:hint="eastAsia"/>
                <w:sz w:val="21"/>
                <w:szCs w:val="21"/>
                <w:highlight w:val="none"/>
                <w:lang w:val="en-US" w:eastAsia="zh-CN"/>
              </w:rPr>
              <w:t>要求</w:t>
            </w:r>
            <w:r>
              <w:rPr>
                <w:rFonts w:asciiTheme="minorEastAsia" w:eastAsiaTheme="minorEastAsia" w:hAnsiTheme="minorEastAsia" w:cstheme="minorEastAsia" w:hint="eastAsia"/>
                <w:sz w:val="21"/>
                <w:szCs w:val="21"/>
                <w:highlight w:val="none"/>
              </w:rPr>
              <w:t>偏离表》响应招标要求情况为评价依据，完全符合招标要求的，得100分。</w:t>
            </w:r>
          </w:p>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kern w:val="2"/>
                <w:sz w:val="21"/>
                <w:szCs w:val="21"/>
                <w:highlight w:val="none"/>
                <w:lang w:val="en-US" w:eastAsia="zh-CN" w:bidi="ar-SA"/>
              </w:rPr>
            </w:pPr>
            <w:r>
              <w:rPr>
                <w:rFonts w:asciiTheme="minorEastAsia" w:eastAsiaTheme="minorEastAsia" w:hAnsiTheme="minorEastAsia" w:cstheme="minorEastAsia" w:hint="eastAsia"/>
                <w:sz w:val="21"/>
                <w:szCs w:val="21"/>
                <w:highlight w:val="none"/>
              </w:rPr>
              <w:t>有1项</w:t>
            </w:r>
            <w:r>
              <w:rPr>
                <w:rFonts w:asciiTheme="minorEastAsia" w:eastAsiaTheme="minorEastAsia" w:hAnsiTheme="minorEastAsia" w:cstheme="minorEastAsia" w:hint="eastAsia"/>
                <w:b/>
                <w:color w:val="0000FF"/>
                <w:sz w:val="21"/>
                <w:szCs w:val="21"/>
                <w:highlight w:val="none"/>
              </w:rPr>
              <w:t>▲号参数</w:t>
            </w:r>
            <w:r>
              <w:rPr>
                <w:rFonts w:asciiTheme="minorEastAsia" w:eastAsiaTheme="minorEastAsia" w:hAnsiTheme="minorEastAsia" w:cstheme="minorEastAsia" w:hint="eastAsia"/>
                <w:sz w:val="21"/>
                <w:szCs w:val="21"/>
                <w:highlight w:val="none"/>
              </w:rPr>
              <w:t>不符合招标要求（或缺漏）的扣</w:t>
            </w:r>
            <w:r>
              <w:rPr>
                <w:rFonts w:asciiTheme="minorEastAsia" w:eastAsiaTheme="minorEastAsia" w:hAnsiTheme="minorEastAsia" w:cstheme="minorEastAsia" w:hint="eastAsia"/>
                <w:sz w:val="21"/>
                <w:szCs w:val="21"/>
                <w:highlight w:val="none"/>
                <w:lang w:val="en-US" w:eastAsia="zh-CN"/>
              </w:rPr>
              <w:t>11.2</w:t>
            </w:r>
            <w:r>
              <w:rPr>
                <w:rFonts w:asciiTheme="minorEastAsia" w:eastAsiaTheme="minorEastAsia" w:hAnsiTheme="minorEastAsia" w:cstheme="minorEastAsia" w:hint="eastAsia"/>
                <w:sz w:val="21"/>
                <w:szCs w:val="21"/>
                <w:highlight w:val="none"/>
              </w:rPr>
              <w:t>分，最低得0分。</w:t>
            </w:r>
          </w:p>
        </w:tc>
      </w:tr>
      <w:tr>
        <w:tblPrEx>
          <w:tblW w:w="9072" w:type="dxa"/>
          <w:tblInd w:w="0" w:type="dxa"/>
          <w:shd w:val="clear" w:color="auto" w:fill="FFFFFF"/>
          <w:tblCellMar>
            <w:top w:w="20" w:type="dxa"/>
            <w:left w:w="108" w:type="dxa"/>
            <w:bottom w:w="20" w:type="dxa"/>
            <w:right w:w="108" w:type="dxa"/>
          </w:tblCellMar>
        </w:tblPrEx>
        <w:tc>
          <w:tcPr>
            <w:tcW w:w="627"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sz w:val="21"/>
                <w:szCs w:val="21"/>
                <w:highlight w:val="none"/>
                <w:lang w:val="en-US" w:eastAsia="zh-CN"/>
              </w:rPr>
              <w:t>2</w:t>
            </w:r>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pacing w:line="320" w:lineRule="exact"/>
              <w:jc w:val="center"/>
              <w:textAlignment w:val="auto"/>
              <w:rPr>
                <w:rFonts w:asciiTheme="minorEastAsia" w:eastAsiaTheme="minorEastAsia" w:hAnsiTheme="minorEastAsia" w:cstheme="minorEastAsia" w:hint="eastAsia"/>
                <w:b/>
                <w:sz w:val="21"/>
                <w:szCs w:val="21"/>
                <w:highlight w:val="none"/>
              </w:rPr>
            </w:pPr>
            <w:r>
              <w:rPr>
                <w:rFonts w:asciiTheme="minorEastAsia" w:eastAsiaTheme="minorEastAsia" w:hAnsiTheme="minorEastAsia" w:cstheme="minorEastAsia" w:hint="eastAsia"/>
                <w:bCs/>
                <w:sz w:val="21"/>
                <w:szCs w:val="21"/>
                <w:highlight w:val="none"/>
              </w:rPr>
              <w:t>非▲参数响应情况评价</w:t>
            </w:r>
          </w:p>
        </w:tc>
        <w:tc>
          <w:tcPr>
            <w:tcW w:w="1004"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pacing w:line="320" w:lineRule="exact"/>
              <w:jc w:val="center"/>
              <w:textAlignment w:val="auto"/>
              <w:rPr>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sz w:val="21"/>
                <w:szCs w:val="21"/>
                <w:highlight w:val="none"/>
                <w:lang w:val="en-US" w:eastAsia="zh-CN"/>
              </w:rPr>
              <w:t>16</w:t>
            </w:r>
          </w:p>
        </w:tc>
        <w:tc>
          <w:tcPr>
            <w:tcW w:w="5362"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以投标文件《技术</w:t>
            </w:r>
            <w:r>
              <w:rPr>
                <w:rFonts w:asciiTheme="minorEastAsia" w:eastAsiaTheme="minorEastAsia" w:hAnsiTheme="minorEastAsia" w:cstheme="minorEastAsia" w:hint="eastAsia"/>
                <w:sz w:val="21"/>
                <w:szCs w:val="21"/>
                <w:highlight w:val="none"/>
                <w:lang w:val="en-US" w:eastAsia="zh-CN"/>
              </w:rPr>
              <w:t>要求</w:t>
            </w:r>
            <w:r>
              <w:rPr>
                <w:rFonts w:asciiTheme="minorEastAsia" w:eastAsiaTheme="minorEastAsia" w:hAnsiTheme="minorEastAsia" w:cstheme="minorEastAsia" w:hint="eastAsia"/>
                <w:sz w:val="21"/>
                <w:szCs w:val="21"/>
                <w:highlight w:val="none"/>
              </w:rPr>
              <w:t>偏离表》响应招标要求情况为评价依据，完全符合招标要求的，得100分。</w:t>
            </w:r>
          </w:p>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有1项</w:t>
            </w:r>
            <w:r>
              <w:rPr>
                <w:rFonts w:asciiTheme="minorEastAsia" w:eastAsiaTheme="minorEastAsia" w:hAnsiTheme="minorEastAsia" w:cstheme="minorEastAsia" w:hint="eastAsia"/>
                <w:b/>
                <w:color w:val="0000FF"/>
                <w:sz w:val="21"/>
                <w:szCs w:val="21"/>
                <w:highlight w:val="none"/>
              </w:rPr>
              <w:t>非▲号参数</w:t>
            </w:r>
            <w:r>
              <w:rPr>
                <w:rFonts w:asciiTheme="minorEastAsia" w:eastAsiaTheme="minorEastAsia" w:hAnsiTheme="minorEastAsia" w:cstheme="minorEastAsia" w:hint="eastAsia"/>
                <w:sz w:val="21"/>
                <w:szCs w:val="21"/>
                <w:highlight w:val="none"/>
              </w:rPr>
              <w:t>不符合招标要求（或缺漏）的扣</w:t>
            </w:r>
            <w:r>
              <w:rPr>
                <w:rFonts w:asciiTheme="minorEastAsia" w:eastAsiaTheme="minorEastAsia" w:hAnsiTheme="minorEastAsia" w:cstheme="minorEastAsia" w:hint="eastAsia"/>
                <w:sz w:val="21"/>
                <w:szCs w:val="21"/>
                <w:highlight w:val="none"/>
                <w:lang w:val="en-US" w:eastAsia="zh-CN"/>
              </w:rPr>
              <w:t>2.5</w:t>
            </w:r>
            <w:r>
              <w:rPr>
                <w:rFonts w:asciiTheme="minorEastAsia" w:eastAsiaTheme="minorEastAsia" w:hAnsiTheme="minorEastAsia" w:cstheme="minorEastAsia" w:hint="eastAsia"/>
                <w:sz w:val="21"/>
                <w:szCs w:val="21"/>
                <w:highlight w:val="none"/>
              </w:rPr>
              <w:t>分，最低得0分。</w:t>
            </w:r>
          </w:p>
        </w:tc>
      </w:tr>
      <w:tr>
        <w:tblPrEx>
          <w:tblW w:w="9072" w:type="dxa"/>
          <w:tblInd w:w="0" w:type="dxa"/>
          <w:shd w:val="clear" w:color="auto" w:fill="FFFFFF"/>
          <w:tblCellMar>
            <w:top w:w="20" w:type="dxa"/>
            <w:left w:w="108" w:type="dxa"/>
            <w:bottom w:w="20" w:type="dxa"/>
            <w:right w:w="108" w:type="dxa"/>
          </w:tblCellMar>
        </w:tblPrEx>
        <w:tc>
          <w:tcPr>
            <w:tcW w:w="627"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sz w:val="21"/>
                <w:szCs w:val="21"/>
                <w:highlight w:val="none"/>
                <w:lang w:val="en-US" w:eastAsia="zh-CN"/>
              </w:rPr>
              <w:t>3</w:t>
            </w:r>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Cs/>
                <w:kern w:val="2"/>
                <w:sz w:val="21"/>
                <w:szCs w:val="21"/>
                <w:highlight w:val="none"/>
                <w:lang w:val="en-US" w:eastAsia="zh-CN" w:bidi="ar-SA"/>
              </w:rPr>
            </w:pPr>
            <w:r>
              <w:rPr>
                <w:rFonts w:asciiTheme="minorEastAsia" w:eastAsiaTheme="minorEastAsia" w:hAnsiTheme="minorEastAsia" w:cstheme="minorEastAsia" w:hint="eastAsia"/>
                <w:bCs/>
                <w:sz w:val="21"/>
                <w:szCs w:val="21"/>
                <w:highlight w:val="none"/>
              </w:rPr>
              <w:t>售后服务评价</w:t>
            </w:r>
          </w:p>
        </w:tc>
        <w:tc>
          <w:tcPr>
            <w:tcW w:w="1004"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pacing w:line="320" w:lineRule="exact"/>
              <w:jc w:val="center"/>
              <w:textAlignment w:val="auto"/>
              <w:rPr>
                <w:rFonts w:asciiTheme="minorEastAsia" w:eastAsiaTheme="minorEastAsia" w:hAnsiTheme="minorEastAsia" w:cstheme="minorEastAsia" w:hint="eastAsia"/>
                <w:kern w:val="2"/>
                <w:sz w:val="21"/>
                <w:szCs w:val="21"/>
                <w:highlight w:val="none"/>
                <w:lang w:val="en-US" w:eastAsia="zh-CN" w:bidi="ar-SA"/>
              </w:rPr>
            </w:pPr>
            <w:r>
              <w:rPr>
                <w:rFonts w:asciiTheme="minorEastAsia" w:eastAsiaTheme="minorEastAsia" w:hAnsiTheme="minorEastAsia" w:cstheme="minorEastAsia" w:hint="eastAsia"/>
                <w:kern w:val="2"/>
                <w:sz w:val="21"/>
                <w:szCs w:val="21"/>
                <w:highlight w:val="none"/>
                <w:lang w:val="en-US" w:eastAsia="zh-CN" w:bidi="ar-SA"/>
              </w:rPr>
              <w:t>4</w:t>
            </w:r>
          </w:p>
        </w:tc>
        <w:tc>
          <w:tcPr>
            <w:tcW w:w="5362" w:type="dxa"/>
            <w:tcBorders>
              <w:top w:val="single" w:sz="8" w:space="0" w:color="000000"/>
              <w:left w:val="single" w:sz="8" w:space="0" w:color="000000"/>
              <w:bottom w:val="single" w:sz="8" w:space="0" w:color="000000"/>
              <w:right w:val="single" w:sz="8" w:space="0" w:color="000000"/>
            </w:tcBorders>
            <w:shd w:val="clear" w:color="auto" w:fill="FFFFFF"/>
            <w:vAlign w:val="top"/>
          </w:tcPr>
          <w:p>
            <w:pPr>
              <w:keepNext w:val="0"/>
              <w:keepLines w:val="0"/>
              <w:pageBreakBefore w:val="0"/>
              <w:widowControl w:val="0"/>
              <w:kinsoku/>
              <w:wordWrap/>
              <w:overflowPunct/>
              <w:topLinePunct w:val="0"/>
              <w:autoSpaceDE w:val="0"/>
              <w:autoSpaceDN w:val="0"/>
              <w:bidi w:val="0"/>
              <w:adjustRightInd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（一）评审内容：</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对投标人提供的售后服务方案进行评价，内容包括但不限于：</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1、</w:t>
            </w:r>
            <w:r>
              <w:rPr>
                <w:rFonts w:asciiTheme="minorEastAsia" w:eastAsiaTheme="minorEastAsia" w:hAnsiTheme="minorEastAsia" w:cstheme="minorEastAsia" w:hint="eastAsia"/>
                <w:bCs/>
                <w:sz w:val="21"/>
                <w:szCs w:val="21"/>
              </w:rPr>
              <w:t>响应时间快慢</w:t>
            </w:r>
            <w:r>
              <w:rPr>
                <w:rFonts w:asciiTheme="minorEastAsia" w:eastAsiaTheme="minorEastAsia" w:hAnsiTheme="minorEastAsia" w:cstheme="minorEastAsia" w:hint="eastAsia"/>
                <w:sz w:val="21"/>
                <w:szCs w:val="21"/>
                <w:highlight w:val="none"/>
              </w:rPr>
              <w:t>；</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2、</w:t>
            </w:r>
            <w:r>
              <w:rPr>
                <w:rFonts w:asciiTheme="minorEastAsia" w:eastAsiaTheme="minorEastAsia" w:hAnsiTheme="minorEastAsia" w:cstheme="minorEastAsia" w:hint="eastAsia"/>
                <w:bCs/>
                <w:sz w:val="21"/>
                <w:szCs w:val="21"/>
              </w:rPr>
              <w:t>服务内容</w:t>
            </w:r>
            <w:r>
              <w:rPr>
                <w:rFonts w:asciiTheme="minorEastAsia" w:eastAsiaTheme="minorEastAsia" w:hAnsiTheme="minorEastAsia" w:cstheme="minorEastAsia" w:hint="eastAsia"/>
                <w:sz w:val="21"/>
                <w:szCs w:val="21"/>
                <w:highlight w:val="none"/>
              </w:rPr>
              <w:t>；</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bCs/>
                <w:sz w:val="21"/>
                <w:szCs w:val="21"/>
                <w:lang w:eastAsia="zh-CN"/>
              </w:rPr>
            </w:pPr>
            <w:r>
              <w:rPr>
                <w:rFonts w:asciiTheme="minorEastAsia" w:eastAsiaTheme="minorEastAsia" w:hAnsiTheme="minorEastAsia" w:cstheme="minorEastAsia" w:hint="eastAsia"/>
                <w:sz w:val="21"/>
                <w:szCs w:val="21"/>
                <w:highlight w:val="none"/>
              </w:rPr>
              <w:t>3、</w:t>
            </w:r>
            <w:r>
              <w:rPr>
                <w:rFonts w:asciiTheme="minorEastAsia" w:eastAsiaTheme="minorEastAsia" w:hAnsiTheme="minorEastAsia" w:cstheme="minorEastAsia" w:hint="eastAsia"/>
                <w:bCs/>
                <w:sz w:val="21"/>
                <w:szCs w:val="21"/>
              </w:rPr>
              <w:t>维修应急方案</w:t>
            </w:r>
            <w:r>
              <w:rPr>
                <w:rFonts w:asciiTheme="minorEastAsia" w:eastAsiaTheme="minorEastAsia" w:hAnsiTheme="minorEastAsia" w:cstheme="minorEastAsia" w:hint="eastAsia"/>
                <w:bCs/>
                <w:sz w:val="21"/>
                <w:szCs w:val="21"/>
                <w:lang w:eastAsia="zh-CN"/>
              </w:rPr>
              <w:t>；</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lang w:val="en-US" w:eastAsia="zh-CN"/>
              </w:rPr>
              <w:t>4、</w:t>
            </w:r>
            <w:r>
              <w:rPr>
                <w:rFonts w:asciiTheme="minorEastAsia" w:eastAsiaTheme="minorEastAsia" w:hAnsiTheme="minorEastAsia" w:cstheme="minorEastAsia" w:hint="eastAsia"/>
                <w:bCs/>
                <w:sz w:val="21"/>
                <w:szCs w:val="21"/>
              </w:rPr>
              <w:t>培训计划；</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lang w:val="en-US" w:eastAsia="zh-CN"/>
              </w:rPr>
              <w:t>5、</w:t>
            </w:r>
            <w:r>
              <w:rPr>
                <w:rFonts w:asciiTheme="minorEastAsia" w:eastAsiaTheme="minorEastAsia" w:hAnsiTheme="minorEastAsia" w:cstheme="minorEastAsia" w:hint="eastAsia"/>
                <w:bCs/>
                <w:sz w:val="21"/>
                <w:szCs w:val="21"/>
              </w:rPr>
              <w:t>考试期间保障服务。</w:t>
            </w:r>
          </w:p>
          <w:p>
            <w:pPr>
              <w:keepNext w:val="0"/>
              <w:keepLines w:val="0"/>
              <w:pageBreakBefore w:val="0"/>
              <w:widowControl w:val="0"/>
              <w:kinsoku/>
              <w:wordWrap/>
              <w:overflowPunct/>
              <w:topLinePunct w:val="0"/>
              <w:bidi w:val="0"/>
              <w:spacing w:line="320" w:lineRule="exact"/>
              <w:ind w:firstLine="420" w:firstLineChars="200"/>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提供的方案</w:t>
            </w:r>
            <w:r>
              <w:rPr>
                <w:rFonts w:asciiTheme="minorEastAsia" w:eastAsiaTheme="minorEastAsia" w:hAnsiTheme="minorEastAsia" w:cstheme="minorEastAsia" w:hint="eastAsia"/>
                <w:sz w:val="21"/>
                <w:szCs w:val="21"/>
                <w:highlight w:val="none"/>
              </w:rPr>
              <w:t>满足</w:t>
            </w:r>
            <w:r>
              <w:rPr>
                <w:rFonts w:asciiTheme="minorEastAsia" w:eastAsiaTheme="minorEastAsia" w:hAnsiTheme="minorEastAsia" w:cstheme="minorEastAsia" w:hint="eastAsia"/>
                <w:sz w:val="21"/>
                <w:szCs w:val="21"/>
                <w:highlight w:val="none"/>
                <w:lang w:val="en-US" w:eastAsia="zh-CN"/>
              </w:rPr>
              <w:t>上述五点的得60分，满足任意四点得40分，满足任意三</w:t>
            </w:r>
            <w:r>
              <w:rPr>
                <w:rFonts w:asciiTheme="minorEastAsia" w:eastAsiaTheme="minorEastAsia" w:hAnsiTheme="minorEastAsia" w:cstheme="minorEastAsia" w:hint="eastAsia"/>
                <w:sz w:val="21"/>
                <w:szCs w:val="21"/>
                <w:highlight w:val="none"/>
              </w:rPr>
              <w:t xml:space="preserve">点得 </w:t>
            </w:r>
            <w:r>
              <w:rPr>
                <w:rFonts w:asciiTheme="minorEastAsia" w:eastAsiaTheme="minorEastAsia" w:hAnsiTheme="minorEastAsia" w:cstheme="minorEastAsia" w:hint="eastAsia"/>
                <w:sz w:val="21"/>
                <w:szCs w:val="21"/>
                <w:highlight w:val="none"/>
                <w:lang w:val="en-US" w:eastAsia="zh-CN"/>
              </w:rPr>
              <w:t>30</w:t>
            </w:r>
            <w:r>
              <w:rPr>
                <w:rFonts w:asciiTheme="minorEastAsia" w:eastAsiaTheme="minorEastAsia" w:hAnsiTheme="minorEastAsia" w:cstheme="minorEastAsia" w:hint="eastAsia"/>
                <w:sz w:val="21"/>
                <w:szCs w:val="21"/>
                <w:highlight w:val="none"/>
              </w:rPr>
              <w:t>分，满足任意两点得</w:t>
            </w:r>
            <w:r>
              <w:rPr>
                <w:rFonts w:asciiTheme="minorEastAsia" w:eastAsiaTheme="minorEastAsia" w:hAnsiTheme="minorEastAsia" w:cstheme="minorEastAsia" w:hint="eastAsia"/>
                <w:sz w:val="21"/>
                <w:szCs w:val="21"/>
                <w:highlight w:val="none"/>
                <w:lang w:val="en-US" w:eastAsia="zh-CN"/>
              </w:rPr>
              <w:t>20</w:t>
            </w:r>
            <w:r>
              <w:rPr>
                <w:rFonts w:asciiTheme="minorEastAsia" w:eastAsiaTheme="minorEastAsia" w:hAnsiTheme="minorEastAsia" w:cstheme="minorEastAsia" w:hint="eastAsia"/>
                <w:sz w:val="21"/>
                <w:szCs w:val="21"/>
                <w:highlight w:val="none"/>
              </w:rPr>
              <w:t>分，满足任意一点得</w:t>
            </w:r>
            <w:r>
              <w:rPr>
                <w:rFonts w:asciiTheme="minorEastAsia" w:eastAsiaTheme="minorEastAsia" w:hAnsiTheme="minorEastAsia" w:cstheme="minorEastAsia" w:hint="eastAsia"/>
                <w:sz w:val="21"/>
                <w:szCs w:val="21"/>
                <w:highlight w:val="none"/>
                <w:lang w:val="en-US" w:eastAsia="zh-CN"/>
              </w:rPr>
              <w:t>10</w:t>
            </w:r>
            <w:r>
              <w:rPr>
                <w:rFonts w:asciiTheme="minorEastAsia" w:eastAsiaTheme="minorEastAsia" w:hAnsiTheme="minorEastAsia" w:cstheme="minorEastAsia" w:hint="eastAsia"/>
                <w:sz w:val="21"/>
                <w:szCs w:val="21"/>
                <w:highlight w:val="none"/>
              </w:rPr>
              <w:t>分，未满足不得分。</w:t>
            </w:r>
          </w:p>
          <w:p>
            <w:pPr>
              <w:keepNext w:val="0"/>
              <w:keepLines w:val="0"/>
              <w:pageBreakBefore w:val="0"/>
              <w:widowControl w:val="0"/>
              <w:kinsoku/>
              <w:wordWrap/>
              <w:overflowPunct/>
              <w:topLinePunct w:val="0"/>
              <w:bidi w:val="0"/>
              <w:spacing w:line="320" w:lineRule="exact"/>
              <w:ind w:firstLine="420" w:firstLineChars="200"/>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color w:val="000000"/>
                <w:sz w:val="21"/>
                <w:szCs w:val="21"/>
                <w:highlight w:val="none"/>
              </w:rPr>
              <w:t>在此基础上，由评审委员会对具体响应内容进一步评审</w:t>
            </w:r>
            <w:r>
              <w:rPr>
                <w:rFonts w:asciiTheme="minorEastAsia" w:eastAsiaTheme="minorEastAsia" w:hAnsiTheme="minorEastAsia" w:cstheme="minorEastAsia" w:hint="eastAsia"/>
                <w:sz w:val="21"/>
                <w:szCs w:val="21"/>
                <w:highlight w:val="none"/>
              </w:rPr>
              <w:t>:</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①</w:t>
            </w:r>
            <w:r>
              <w:rPr>
                <w:rFonts w:asciiTheme="minorEastAsia" w:eastAsiaTheme="minorEastAsia" w:hAnsiTheme="minorEastAsia" w:cstheme="minorEastAsia" w:hint="eastAsia"/>
                <w:sz w:val="21"/>
                <w:szCs w:val="21"/>
              </w:rPr>
              <w:t>内容完整、合理性强、可行性强，评价为优得</w:t>
            </w:r>
            <w:r>
              <w:rPr>
                <w:rFonts w:asciiTheme="minorEastAsia" w:eastAsiaTheme="minorEastAsia" w:hAnsiTheme="minorEastAsia" w:cstheme="minorEastAsia" w:hint="eastAsia"/>
                <w:sz w:val="21"/>
                <w:szCs w:val="21"/>
                <w:highlight w:val="none"/>
              </w:rPr>
              <w:t>40分；</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②</w:t>
            </w:r>
            <w:r>
              <w:rPr>
                <w:rFonts w:asciiTheme="minorEastAsia" w:eastAsiaTheme="minorEastAsia" w:hAnsiTheme="minorEastAsia" w:cstheme="minorEastAsia" w:hint="eastAsia"/>
                <w:sz w:val="21"/>
                <w:szCs w:val="21"/>
              </w:rPr>
              <w:t>内容完整、合理性较强、可行性较强，评价为良得</w:t>
            </w:r>
            <w:r>
              <w:rPr>
                <w:rFonts w:asciiTheme="minorEastAsia" w:hAnsiTheme="minorEastAsia" w:cstheme="minorEastAsia" w:hint="eastAsia"/>
                <w:sz w:val="21"/>
                <w:szCs w:val="21"/>
                <w:highlight w:val="none"/>
                <w:lang w:val="en-US" w:eastAsia="zh-CN"/>
              </w:rPr>
              <w:t>3</w:t>
            </w:r>
            <w:r>
              <w:rPr>
                <w:rFonts w:asciiTheme="minorEastAsia" w:eastAsiaTheme="minorEastAsia" w:hAnsiTheme="minorEastAsia" w:cstheme="minorEastAsia" w:hint="eastAsia"/>
                <w:sz w:val="21"/>
                <w:szCs w:val="21"/>
                <w:highlight w:val="none"/>
                <w:lang w:val="en-US" w:eastAsia="zh-CN"/>
              </w:rPr>
              <w:t>0</w:t>
            </w:r>
            <w:r>
              <w:rPr>
                <w:rFonts w:asciiTheme="minorEastAsia" w:eastAsiaTheme="minorEastAsia" w:hAnsiTheme="minorEastAsia" w:cstheme="minorEastAsia" w:hint="eastAsia"/>
                <w:sz w:val="21"/>
                <w:szCs w:val="21"/>
                <w:highlight w:val="none"/>
              </w:rPr>
              <w:t>分；</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③</w:t>
            </w:r>
            <w:r>
              <w:rPr>
                <w:rFonts w:asciiTheme="minorEastAsia" w:eastAsiaTheme="minorEastAsia" w:hAnsiTheme="minorEastAsia" w:cstheme="minorEastAsia" w:hint="eastAsia"/>
                <w:sz w:val="21"/>
                <w:szCs w:val="21"/>
              </w:rPr>
              <w:t>内容完整、合理性不足、可行性一般，评价为中得</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highlight w:val="none"/>
              </w:rPr>
              <w:t>0分；</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color w:val="000000"/>
                <w:kern w:val="2"/>
                <w:sz w:val="21"/>
                <w:szCs w:val="21"/>
                <w:lang w:val="en-US" w:eastAsia="zh-CN" w:bidi="ar-SA"/>
              </w:rPr>
            </w:pPr>
            <w:r>
              <w:rPr>
                <w:rFonts w:asciiTheme="minorEastAsia" w:eastAsiaTheme="minorEastAsia" w:hAnsiTheme="minorEastAsia" w:cstheme="minorEastAsia" w:hint="eastAsia"/>
                <w:sz w:val="21"/>
                <w:szCs w:val="21"/>
                <w:highlight w:val="none"/>
              </w:rPr>
              <w:t>④</w:t>
            </w:r>
            <w:r>
              <w:rPr>
                <w:rFonts w:asciiTheme="minorEastAsia" w:eastAsiaTheme="minorEastAsia" w:hAnsiTheme="minorEastAsia" w:cstheme="minorEastAsia" w:hint="eastAsia"/>
                <w:sz w:val="21"/>
                <w:szCs w:val="21"/>
              </w:rPr>
              <w:t>内容简单、不具合理性、不具可行性，评价为差</w:t>
            </w:r>
            <w:r>
              <w:rPr>
                <w:rFonts w:asciiTheme="minorEastAsia" w:eastAsiaTheme="minorEastAsia" w:hAnsiTheme="minorEastAsia" w:cstheme="minorEastAsia" w:hint="eastAsia"/>
                <w:sz w:val="21"/>
                <w:szCs w:val="21"/>
                <w:lang w:val="en-US" w:eastAsia="zh-CN"/>
              </w:rPr>
              <w:t>不得分。</w:t>
            </w:r>
          </w:p>
        </w:tc>
      </w:tr>
      <w:tr>
        <w:tblPrEx>
          <w:tblW w:w="9072" w:type="dxa"/>
          <w:tblInd w:w="0" w:type="dxa"/>
          <w:shd w:val="clear" w:color="auto" w:fill="FFFFFF"/>
          <w:tblCellMar>
            <w:top w:w="20" w:type="dxa"/>
            <w:left w:w="108" w:type="dxa"/>
            <w:bottom w:w="20" w:type="dxa"/>
            <w:right w:w="108" w:type="dxa"/>
          </w:tblCellMar>
        </w:tblPrEx>
        <w:tc>
          <w:tcPr>
            <w:tcW w:w="627" w:type="dxa"/>
            <w:vMerge w:val="restart"/>
            <w:tcBorders>
              <w:top w:val="single" w:sz="8" w:space="0" w:color="000000"/>
              <w:left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3</w:t>
            </w:r>
          </w:p>
        </w:tc>
        <w:tc>
          <w:tcPr>
            <w:tcW w:w="308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lang w:val="en-US" w:eastAsia="zh-CN"/>
              </w:rPr>
              <w:t>商务</w:t>
            </w:r>
            <w:r>
              <w:rPr>
                <w:rFonts w:asciiTheme="minorEastAsia" w:eastAsiaTheme="minorEastAsia" w:hAnsiTheme="minorEastAsia" w:cstheme="minorEastAsia" w:hint="eastAsia"/>
                <w:b/>
                <w:bCs/>
                <w:sz w:val="21"/>
                <w:szCs w:val="21"/>
                <w:highlight w:val="none"/>
              </w:rPr>
              <w:t>部分</w:t>
            </w:r>
          </w:p>
        </w:tc>
        <w:tc>
          <w:tcPr>
            <w:tcW w:w="5362"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default"/>
                <w:b/>
                <w:bCs/>
                <w:sz w:val="21"/>
                <w:szCs w:val="21"/>
                <w:highlight w:val="none"/>
                <w:lang w:val="en-US" w:eastAsia="zh-CN"/>
              </w:rPr>
            </w:pPr>
            <w:r>
              <w:rPr>
                <w:rFonts w:asciiTheme="minorEastAsia" w:hAnsiTheme="minorEastAsia" w:cstheme="minorEastAsia" w:hint="eastAsia"/>
                <w:b/>
                <w:bCs/>
                <w:sz w:val="21"/>
                <w:szCs w:val="21"/>
                <w:highlight w:val="none"/>
                <w:lang w:val="en-US" w:eastAsia="zh-CN"/>
              </w:rPr>
              <w:t>13</w:t>
            </w:r>
          </w:p>
        </w:tc>
      </w:tr>
      <w:tr>
        <w:tblPrEx>
          <w:tblW w:w="9072" w:type="dxa"/>
          <w:tblInd w:w="0" w:type="dxa"/>
          <w:shd w:val="clear" w:color="auto" w:fill="FFFFFF"/>
          <w:tblCellMar>
            <w:top w:w="20" w:type="dxa"/>
            <w:left w:w="108" w:type="dxa"/>
            <w:bottom w:w="20" w:type="dxa"/>
            <w:right w:w="108" w:type="dxa"/>
          </w:tblCellMar>
        </w:tblPrEx>
        <w:tc>
          <w:tcPr>
            <w:tcW w:w="627" w:type="dxa"/>
            <w:vMerge/>
            <w:tcBorders>
              <w:left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序号</w:t>
            </w:r>
          </w:p>
        </w:tc>
        <w:tc>
          <w:tcPr>
            <w:tcW w:w="148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评分因素</w:t>
            </w:r>
          </w:p>
        </w:tc>
        <w:tc>
          <w:tcPr>
            <w:tcW w:w="1004"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权重（%）</w:t>
            </w:r>
          </w:p>
        </w:tc>
        <w:tc>
          <w:tcPr>
            <w:tcW w:w="536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评分准则</w:t>
            </w:r>
          </w:p>
        </w:tc>
      </w:tr>
      <w:tr>
        <w:tblPrEx>
          <w:tblW w:w="9072" w:type="dxa"/>
          <w:tblInd w:w="0" w:type="dxa"/>
          <w:shd w:val="clear" w:color="auto" w:fill="FFFFFF"/>
          <w:tblCellMar>
            <w:top w:w="20" w:type="dxa"/>
            <w:left w:w="108" w:type="dxa"/>
            <w:bottom w:w="20" w:type="dxa"/>
            <w:right w:w="108" w:type="dxa"/>
          </w:tblCellMar>
        </w:tblPrEx>
        <w:tc>
          <w:tcPr>
            <w:tcW w:w="627" w:type="dxa"/>
            <w:vMerge/>
            <w:tcBorders>
              <w:left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kern w:val="2"/>
                <w:sz w:val="21"/>
                <w:szCs w:val="21"/>
                <w:highlight w:val="none"/>
                <w:lang w:val="en-US" w:eastAsia="zh-CN" w:bidi="ar-SA"/>
              </w:rPr>
            </w:pPr>
            <w:r>
              <w:rPr>
                <w:rFonts w:asciiTheme="minorEastAsia" w:eastAsiaTheme="minorEastAsia" w:hAnsiTheme="minorEastAsia" w:cstheme="minorEastAsia" w:hint="eastAsia"/>
                <w:sz w:val="21"/>
                <w:szCs w:val="21"/>
                <w:highlight w:val="none"/>
              </w:rPr>
              <w:t>1</w:t>
            </w:r>
          </w:p>
        </w:tc>
        <w:tc>
          <w:tcPr>
            <w:tcW w:w="148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kern w:val="2"/>
                <w:sz w:val="21"/>
                <w:szCs w:val="21"/>
                <w:highlight w:val="none"/>
                <w:lang w:val="en-US" w:eastAsia="zh-CN" w:bidi="ar-SA"/>
              </w:rPr>
            </w:pPr>
            <w:r>
              <w:rPr>
                <w:rFonts w:asciiTheme="minorEastAsia" w:eastAsiaTheme="minorEastAsia" w:hAnsiTheme="minorEastAsia" w:cstheme="minorEastAsia" w:hint="eastAsia"/>
                <w:sz w:val="21"/>
                <w:szCs w:val="21"/>
                <w:highlight w:val="none"/>
              </w:rPr>
              <w:t>同类项目经验评价</w:t>
            </w:r>
          </w:p>
        </w:tc>
        <w:tc>
          <w:tcPr>
            <w:tcW w:w="1004"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kern w:val="2"/>
                <w:sz w:val="21"/>
                <w:szCs w:val="21"/>
                <w:highlight w:val="none"/>
                <w:lang w:val="en-US" w:eastAsia="zh-CN" w:bidi="ar-SA"/>
              </w:rPr>
            </w:pPr>
            <w:r>
              <w:rPr>
                <w:rFonts w:asciiTheme="minorEastAsia" w:eastAsiaTheme="minorEastAsia" w:hAnsiTheme="minorEastAsia" w:cstheme="minorEastAsia" w:hint="eastAsia"/>
                <w:kern w:val="2"/>
                <w:sz w:val="21"/>
                <w:szCs w:val="21"/>
                <w:highlight w:val="none"/>
                <w:lang w:val="en-US" w:eastAsia="zh-CN" w:bidi="ar-SA"/>
              </w:rPr>
              <w:t>5</w:t>
            </w:r>
          </w:p>
        </w:tc>
        <w:tc>
          <w:tcPr>
            <w:tcW w:w="5362" w:type="dxa"/>
            <w:tcBorders>
              <w:top w:val="outset" w:sz="6" w:space="0" w:color="000000"/>
              <w:left w:val="outset" w:sz="6" w:space="0" w:color="000000"/>
              <w:bottom w:val="outset" w:sz="6" w:space="0" w:color="000000"/>
              <w:right w:val="outset" w:sz="6" w:space="0" w:color="000000"/>
            </w:tcBorders>
            <w:shd w:val="clear" w:color="auto" w:fill="FFFFFF"/>
            <w:vAlign w:val="center"/>
          </w:tcPr>
          <w:p>
            <w:pPr>
              <w:pStyle w:val="CommentText"/>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（一）评审内容：</w:t>
            </w:r>
          </w:p>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rPr>
              <w:t>投标人</w:t>
            </w:r>
            <w:r>
              <w:rPr>
                <w:rFonts w:asciiTheme="minorEastAsia" w:eastAsiaTheme="minorEastAsia" w:hAnsiTheme="minorEastAsia" w:cstheme="minorEastAsia" w:hint="eastAsia"/>
                <w:sz w:val="21"/>
                <w:szCs w:val="21"/>
                <w:highlight w:val="none"/>
                <w:lang w:val="en-US" w:eastAsia="zh-CN"/>
              </w:rPr>
              <w:t>自</w:t>
            </w:r>
            <w:r>
              <w:rPr>
                <w:rFonts w:asciiTheme="minorEastAsia" w:eastAsiaTheme="minorEastAsia" w:hAnsiTheme="minorEastAsia" w:cstheme="minorEastAsia" w:hint="eastAsia"/>
                <w:sz w:val="21"/>
                <w:szCs w:val="21"/>
                <w:highlight w:val="none"/>
              </w:rPr>
              <w:t>2021年1月1日</w:t>
            </w:r>
            <w:r>
              <w:rPr>
                <w:rFonts w:asciiTheme="minorEastAsia" w:eastAsiaTheme="minorEastAsia" w:hAnsiTheme="minorEastAsia" w:cstheme="minorEastAsia" w:hint="eastAsia"/>
                <w:sz w:val="21"/>
                <w:szCs w:val="21"/>
                <w:highlight w:val="none"/>
                <w:lang w:val="en-US" w:eastAsia="zh-CN"/>
              </w:rPr>
              <w:t>以来（</w:t>
            </w:r>
            <w:r>
              <w:rPr>
                <w:rFonts w:asciiTheme="minorEastAsia" w:eastAsiaTheme="minorEastAsia" w:hAnsiTheme="minorEastAsia" w:cstheme="minorEastAsia" w:hint="eastAsia"/>
                <w:sz w:val="21"/>
                <w:szCs w:val="21"/>
                <w:highlight w:val="none"/>
              </w:rPr>
              <w:t>以合同签订时间为准）</w:t>
            </w:r>
            <w:r>
              <w:rPr>
                <w:rFonts w:asciiTheme="minorEastAsia" w:eastAsiaTheme="minorEastAsia" w:hAnsiTheme="minorEastAsia" w:cstheme="minorEastAsia" w:hint="eastAsia"/>
                <w:sz w:val="21"/>
                <w:szCs w:val="21"/>
                <w:highlight w:val="none"/>
                <w:lang w:eastAsia="zh-CN"/>
              </w:rPr>
              <w:t>：</w:t>
            </w:r>
          </w:p>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具有</w:t>
            </w:r>
            <w:r>
              <w:rPr>
                <w:rFonts w:asciiTheme="minorEastAsia" w:eastAsiaTheme="minorEastAsia" w:hAnsiTheme="minorEastAsia" w:cstheme="minorEastAsia" w:hint="eastAsia"/>
                <w:sz w:val="21"/>
                <w:szCs w:val="21"/>
                <w:highlight w:val="none"/>
                <w:lang w:val="en-US" w:eastAsia="zh-CN"/>
              </w:rPr>
              <w:t>理科实验考试设备或考试设备相关项目</w:t>
            </w:r>
            <w:r>
              <w:rPr>
                <w:rFonts w:asciiTheme="minorEastAsia" w:eastAsiaTheme="minorEastAsia" w:hAnsiTheme="minorEastAsia" w:cstheme="minorEastAsia" w:hint="eastAsia"/>
                <w:sz w:val="21"/>
                <w:szCs w:val="21"/>
                <w:highlight w:val="none"/>
              </w:rPr>
              <w:t>经验，每提供1个得</w:t>
            </w:r>
            <w:r>
              <w:rPr>
                <w:rFonts w:asciiTheme="minorEastAsia" w:eastAsiaTheme="minorEastAsia" w:hAnsiTheme="minorEastAsia" w:cstheme="minorEastAsia" w:hint="eastAsia"/>
                <w:sz w:val="21"/>
                <w:szCs w:val="21"/>
                <w:highlight w:val="none"/>
                <w:lang w:val="en-US" w:eastAsia="zh-CN"/>
              </w:rPr>
              <w:t>20</w:t>
            </w:r>
            <w:r>
              <w:rPr>
                <w:rFonts w:asciiTheme="minorEastAsia" w:eastAsiaTheme="minorEastAsia" w:hAnsiTheme="minorEastAsia" w:cstheme="minorEastAsia" w:hint="eastAsia"/>
                <w:sz w:val="21"/>
                <w:szCs w:val="21"/>
                <w:highlight w:val="none"/>
              </w:rPr>
              <w:t>分，最高得100分。</w:t>
            </w:r>
          </w:p>
          <w:p>
            <w:pPr>
              <w:pStyle w:val="CommentText"/>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color w:val="0000FF"/>
                <w:sz w:val="21"/>
                <w:szCs w:val="21"/>
                <w:highlight w:val="none"/>
              </w:rPr>
            </w:pPr>
            <w:r>
              <w:rPr>
                <w:rFonts w:asciiTheme="minorEastAsia" w:eastAsiaTheme="minorEastAsia" w:hAnsiTheme="minorEastAsia" w:cstheme="minorEastAsia" w:hint="eastAsia"/>
                <w:color w:val="0000FF"/>
                <w:sz w:val="21"/>
                <w:szCs w:val="21"/>
                <w:highlight w:val="none"/>
              </w:rPr>
              <w:t>（二）评审标准：</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color w:val="0000FF"/>
                <w:sz w:val="21"/>
                <w:szCs w:val="21"/>
                <w:highlight w:val="none"/>
                <w:lang w:eastAsia="zh-CN"/>
              </w:rPr>
            </w:pPr>
            <w:r>
              <w:rPr>
                <w:rFonts w:asciiTheme="minorEastAsia" w:eastAsiaTheme="minorEastAsia" w:hAnsiTheme="minorEastAsia" w:cstheme="minorEastAsia" w:hint="eastAsia"/>
                <w:color w:val="0000FF"/>
                <w:sz w:val="21"/>
                <w:szCs w:val="21"/>
                <w:highlight w:val="none"/>
              </w:rPr>
              <w:t>1、同时提供：①合同关键页（含签订合同双方的单位名称、合同项目名称、含签订合同双方的落款盖章，签订日期的关键页）扫描件；②合同甲方出具的验收报告（加盖合同甲方公章（或甲方业务章））</w:t>
            </w:r>
            <w:r>
              <w:rPr>
                <w:rFonts w:asciiTheme="minorEastAsia" w:eastAsiaTheme="minorEastAsia" w:hAnsiTheme="minorEastAsia" w:cstheme="minorEastAsia" w:hint="eastAsia"/>
                <w:color w:val="0000FF"/>
                <w:sz w:val="21"/>
                <w:szCs w:val="21"/>
                <w:highlight w:val="none"/>
                <w:lang w:eastAsia="zh-CN"/>
              </w:rPr>
              <w:t>。</w:t>
            </w:r>
          </w:p>
          <w:p>
            <w:pPr>
              <w:keepNext w:val="0"/>
              <w:keepLines w:val="0"/>
              <w:pageBreakBefore w:val="0"/>
              <w:widowControl w:val="0"/>
              <w:kinsoku/>
              <w:wordWrap/>
              <w:overflowPunct/>
              <w:topLinePunct w:val="0"/>
              <w:bidi w:val="0"/>
              <w:spacing w:line="320" w:lineRule="exact"/>
              <w:textAlignment w:val="auto"/>
              <w:rPr>
                <w:rFonts w:asciiTheme="minorEastAsia" w:eastAsiaTheme="minorEastAsia" w:hAnsiTheme="minorEastAsia" w:cstheme="minorEastAsia" w:hint="eastAsia"/>
                <w:bCs/>
                <w:kern w:val="2"/>
                <w:sz w:val="21"/>
                <w:szCs w:val="21"/>
                <w:highlight w:val="none"/>
                <w:lang w:val="en-US" w:eastAsia="zh-CN" w:bidi="ar-SA"/>
              </w:rPr>
            </w:pPr>
            <w:r>
              <w:rPr>
                <w:rFonts w:asciiTheme="minorEastAsia" w:eastAsiaTheme="minorEastAsia" w:hAnsiTheme="minorEastAsia" w:cstheme="minorEastAsia" w:hint="eastAsia"/>
                <w:color w:val="0000FF"/>
                <w:sz w:val="21"/>
                <w:szCs w:val="21"/>
                <w:highlight w:val="none"/>
              </w:rPr>
              <w:t>2、未按要求提供相关证明材料（或相关证明材料无法判断是否符合评分要求）的不计得分，原件备查。</w:t>
            </w:r>
          </w:p>
        </w:tc>
      </w:tr>
      <w:tr>
        <w:tblPrEx>
          <w:tblW w:w="9072" w:type="dxa"/>
          <w:tblInd w:w="0" w:type="dxa"/>
          <w:shd w:val="clear" w:color="auto" w:fill="FFFFFF"/>
          <w:tblCellMar>
            <w:top w:w="20" w:type="dxa"/>
            <w:left w:w="108" w:type="dxa"/>
            <w:bottom w:w="20" w:type="dxa"/>
            <w:right w:w="108" w:type="dxa"/>
          </w:tblCellMar>
        </w:tblPrEx>
        <w:tc>
          <w:tcPr>
            <w:tcW w:w="627" w:type="dxa"/>
            <w:vMerge/>
            <w:tcBorders>
              <w:left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sz w:val="21"/>
                <w:szCs w:val="21"/>
                <w:highlight w:val="none"/>
                <w:lang w:val="en-US" w:eastAsia="zh-CN"/>
              </w:rPr>
              <w:t>2</w:t>
            </w:r>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sz w:val="21"/>
                <w:szCs w:val="21"/>
                <w:highlight w:val="none"/>
              </w:rPr>
              <w:t>政府采购节能环保产品</w:t>
            </w:r>
            <w:r>
              <w:rPr>
                <w:rFonts w:asciiTheme="minorEastAsia" w:eastAsiaTheme="minorEastAsia" w:hAnsiTheme="minorEastAsia" w:cstheme="minorEastAsia" w:hint="eastAsia"/>
                <w:sz w:val="21"/>
                <w:szCs w:val="21"/>
                <w:highlight w:val="none"/>
                <w:lang w:val="en-US" w:eastAsia="zh-CN"/>
              </w:rPr>
              <w:t>情况</w:t>
            </w:r>
          </w:p>
        </w:tc>
        <w:tc>
          <w:tcPr>
            <w:tcW w:w="1004"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val="0"/>
                <w:bCs/>
                <w:sz w:val="21"/>
                <w:szCs w:val="21"/>
                <w:highlight w:val="none"/>
                <w:lang w:val="en-US" w:eastAsia="zh-CN"/>
              </w:rPr>
            </w:pPr>
            <w:r>
              <w:rPr>
                <w:rFonts w:asciiTheme="minorEastAsia" w:eastAsiaTheme="minorEastAsia" w:hAnsiTheme="minorEastAsia" w:cstheme="minorEastAsia" w:hint="eastAsia"/>
                <w:b w:val="0"/>
                <w:bCs/>
                <w:sz w:val="21"/>
                <w:szCs w:val="21"/>
                <w:highlight w:val="none"/>
                <w:lang w:val="en-US" w:eastAsia="zh-CN"/>
              </w:rPr>
              <w:t>1</w:t>
            </w:r>
          </w:p>
        </w:tc>
        <w:tc>
          <w:tcPr>
            <w:tcW w:w="5362"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autoSpaceDE w:val="0"/>
              <w:autoSpaceDN w:val="0"/>
              <w:bidi w:val="0"/>
              <w:adjustRightInd w:val="0"/>
              <w:spacing w:line="320" w:lineRule="exact"/>
              <w:jc w:val="both"/>
              <w:textAlignment w:val="auto"/>
              <w:rPr>
                <w:rFonts w:asciiTheme="minorEastAsia" w:eastAsiaTheme="minorEastAsia" w:hAnsiTheme="minorEastAsia" w:cstheme="minorEastAsia" w:hint="eastAsia"/>
                <w:b/>
                <w:bCs/>
                <w:sz w:val="21"/>
                <w:szCs w:val="21"/>
                <w:highlight w:val="none"/>
                <w:lang w:val="en-US" w:eastAsia="zh-CN"/>
              </w:rPr>
            </w:pPr>
            <w:r>
              <w:rPr>
                <w:rFonts w:asciiTheme="minorEastAsia" w:eastAsiaTheme="minorEastAsia" w:hAnsiTheme="minorEastAsia" w:cstheme="minorEastAsia" w:hint="eastAsia"/>
                <w:b/>
                <w:bCs/>
                <w:sz w:val="21"/>
                <w:szCs w:val="21"/>
                <w:highlight w:val="none"/>
                <w:lang w:val="en-US" w:eastAsia="zh-CN"/>
              </w:rPr>
              <w:t>一、评审内容：</w:t>
            </w:r>
          </w:p>
          <w:p>
            <w:pPr>
              <w:keepNext w:val="0"/>
              <w:keepLines w:val="0"/>
              <w:pageBreakBefore w:val="0"/>
              <w:widowControl w:val="0"/>
              <w:kinsoku/>
              <w:wordWrap/>
              <w:overflowPunct/>
              <w:topLinePunct w:val="0"/>
              <w:autoSpaceDE w:val="0"/>
              <w:autoSpaceDN w:val="0"/>
              <w:bidi w:val="0"/>
              <w:adjustRightInd w:val="0"/>
              <w:spacing w:line="320" w:lineRule="exact"/>
              <w:jc w:val="both"/>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根据《关于印发节能产品政府采购品目清单的通知》（财库〔2019〕19号）以及《关于印发环境标志产品政府采购品目清单的通知》（财库〔2019〕18号）的要求，投标人所投任一产品（以</w:t>
            </w:r>
            <w:r>
              <w:rPr>
                <w:rFonts w:asciiTheme="minorEastAsia" w:eastAsiaTheme="minorEastAsia" w:hAnsiTheme="minorEastAsia" w:cstheme="minorEastAsia" w:hint="eastAsia"/>
                <w:sz w:val="21"/>
                <w:szCs w:val="21"/>
                <w:highlight w:val="none"/>
                <w:lang w:val="en-US" w:eastAsia="zh-CN"/>
              </w:rPr>
              <w:t>招标文件</w:t>
            </w:r>
            <w:r>
              <w:rPr>
                <w:rFonts w:asciiTheme="minorEastAsia" w:eastAsiaTheme="minorEastAsia" w:hAnsiTheme="minorEastAsia" w:cstheme="minorEastAsia" w:hint="eastAsia"/>
                <w:sz w:val="21"/>
                <w:szCs w:val="21"/>
                <w:highlight w:val="none"/>
              </w:rPr>
              <w:t>第三章 用户需求书 二、货物需求明细中“货物名称”为准）被列入节能产品政府采购品目清单（</w:t>
            </w:r>
            <w:r>
              <w:rPr>
                <w:rFonts w:asciiTheme="minorEastAsia" w:eastAsiaTheme="minorEastAsia" w:hAnsiTheme="minorEastAsia" w:cstheme="minorEastAsia" w:hint="eastAsia"/>
                <w:color w:val="FF0000"/>
                <w:sz w:val="21"/>
                <w:szCs w:val="21"/>
                <w:highlight w:val="none"/>
              </w:rPr>
              <w:t>已标注</w:t>
            </w:r>
            <w:r>
              <w:rPr>
                <w:rFonts w:asciiTheme="minorEastAsia" w:eastAsiaTheme="minorEastAsia" w:hAnsiTheme="minorEastAsia" w:cstheme="minorEastAsia" w:hint="eastAsia"/>
                <w:color w:val="FF0000"/>
                <w:sz w:val="21"/>
                <w:szCs w:val="21"/>
                <w:highlight w:val="none"/>
                <w:lang w:eastAsia="zh-CN"/>
              </w:rPr>
              <w:t>“</w:t>
            </w:r>
            <w:r>
              <w:rPr>
                <w:rFonts w:asciiTheme="minorEastAsia" w:eastAsiaTheme="minorEastAsia" w:hAnsiTheme="minorEastAsia" w:cstheme="minorEastAsia" w:hint="eastAsia"/>
                <w:color w:val="FF0000"/>
                <w:sz w:val="21"/>
                <w:szCs w:val="21"/>
                <w:highlight w:val="none"/>
              </w:rPr>
              <w:t>★</w:t>
            </w:r>
            <w:r>
              <w:rPr>
                <w:rFonts w:asciiTheme="minorEastAsia" w:eastAsiaTheme="minorEastAsia" w:hAnsiTheme="minorEastAsia" w:cstheme="minorEastAsia" w:hint="eastAsia"/>
                <w:color w:val="FF0000"/>
                <w:sz w:val="21"/>
                <w:szCs w:val="21"/>
                <w:highlight w:val="none"/>
                <w:lang w:eastAsia="zh-CN"/>
              </w:rPr>
              <w:t>”</w:t>
            </w:r>
            <w:r>
              <w:rPr>
                <w:rFonts w:asciiTheme="minorEastAsia" w:eastAsiaTheme="minorEastAsia" w:hAnsiTheme="minorEastAsia" w:cstheme="minorEastAsia" w:hint="eastAsia"/>
                <w:color w:val="FF0000"/>
                <w:sz w:val="21"/>
                <w:szCs w:val="21"/>
                <w:highlight w:val="none"/>
                <w:lang w:val="en-US" w:eastAsia="zh-CN"/>
              </w:rPr>
              <w:t>号属</w:t>
            </w:r>
            <w:r>
              <w:rPr>
                <w:rFonts w:asciiTheme="minorEastAsia" w:eastAsiaTheme="minorEastAsia" w:hAnsiTheme="minorEastAsia" w:cstheme="minorEastAsia" w:hint="eastAsia"/>
                <w:color w:val="FF0000"/>
                <w:sz w:val="21"/>
                <w:szCs w:val="21"/>
                <w:highlight w:val="none"/>
              </w:rPr>
              <w:t>政府强制采购产品</w:t>
            </w:r>
            <w:r>
              <w:rPr>
                <w:rFonts w:asciiTheme="minorEastAsia" w:eastAsiaTheme="minorEastAsia" w:hAnsiTheme="minorEastAsia" w:cstheme="minorEastAsia" w:hint="eastAsia"/>
                <w:color w:val="FF0000"/>
                <w:sz w:val="21"/>
                <w:szCs w:val="21"/>
                <w:highlight w:val="none"/>
                <w:lang w:val="en-US" w:eastAsia="zh-CN"/>
              </w:rPr>
              <w:t>需具有</w:t>
            </w:r>
            <w:r>
              <w:rPr>
                <w:rFonts w:asciiTheme="minorEastAsia" w:eastAsiaTheme="minorEastAsia" w:hAnsiTheme="minorEastAsia" w:cstheme="minorEastAsia" w:hint="eastAsia"/>
                <w:color w:val="FF0000"/>
                <w:sz w:val="21"/>
                <w:szCs w:val="21"/>
                <w:highlight w:val="none"/>
              </w:rPr>
              <w:t>节能产品认证证书的除外</w:t>
            </w:r>
            <w:r>
              <w:rPr>
                <w:rFonts w:asciiTheme="minorEastAsia" w:eastAsiaTheme="minorEastAsia" w:hAnsiTheme="minorEastAsia" w:cstheme="minorEastAsia" w:hint="eastAsia"/>
                <w:sz w:val="21"/>
                <w:szCs w:val="21"/>
                <w:highlight w:val="none"/>
              </w:rPr>
              <w:t>）或环境标志产品政府采购品目清单</w:t>
            </w:r>
            <w:r>
              <w:rPr>
                <w:rFonts w:asciiTheme="minorEastAsia" w:eastAsiaTheme="minorEastAsia" w:hAnsiTheme="minorEastAsia" w:cstheme="minorEastAsia" w:hint="eastAsia"/>
                <w:sz w:val="21"/>
                <w:szCs w:val="21"/>
                <w:highlight w:val="none"/>
                <w:lang w:eastAsia="zh-CN"/>
              </w:rPr>
              <w:t>，</w:t>
            </w:r>
            <w:r>
              <w:rPr>
                <w:rFonts w:asciiTheme="minorEastAsia" w:eastAsiaTheme="minorEastAsia" w:hAnsiTheme="minorEastAsia" w:cstheme="minorEastAsia" w:hint="eastAsia"/>
                <w:sz w:val="21"/>
                <w:szCs w:val="21"/>
                <w:highlight w:val="none"/>
                <w:lang w:val="en-US" w:eastAsia="zh-CN"/>
              </w:rPr>
              <w:t>且具有有效期内的</w:t>
            </w:r>
            <w:r>
              <w:rPr>
                <w:rFonts w:asciiTheme="minorEastAsia" w:eastAsiaTheme="minorEastAsia" w:hAnsiTheme="minorEastAsia" w:cstheme="minorEastAsia" w:hint="eastAsia"/>
                <w:sz w:val="21"/>
                <w:szCs w:val="21"/>
                <w:highlight w:val="none"/>
              </w:rPr>
              <w:t>节能产品</w:t>
            </w:r>
            <w:r>
              <w:rPr>
                <w:rFonts w:asciiTheme="minorEastAsia" w:eastAsiaTheme="minorEastAsia" w:hAnsiTheme="minorEastAsia" w:cstheme="minorEastAsia" w:hint="eastAsia"/>
                <w:sz w:val="21"/>
                <w:szCs w:val="21"/>
                <w:highlight w:val="none"/>
                <w:lang w:val="en-US" w:eastAsia="zh-CN"/>
              </w:rPr>
              <w:t>或</w:t>
            </w:r>
            <w:r>
              <w:rPr>
                <w:rFonts w:asciiTheme="minorEastAsia" w:eastAsiaTheme="minorEastAsia" w:hAnsiTheme="minorEastAsia" w:cstheme="minorEastAsia" w:hint="eastAsia"/>
                <w:sz w:val="21"/>
                <w:szCs w:val="21"/>
                <w:highlight w:val="none"/>
              </w:rPr>
              <w:t>环境标志产品认证证书的</w:t>
            </w:r>
            <w:r>
              <w:rPr>
                <w:rFonts w:asciiTheme="minorEastAsia" w:eastAsiaTheme="minorEastAsia" w:hAnsiTheme="minorEastAsia" w:cstheme="minorEastAsia" w:hint="eastAsia"/>
                <w:sz w:val="21"/>
                <w:szCs w:val="21"/>
                <w:highlight w:val="none"/>
                <w:lang w:eastAsia="zh-CN"/>
              </w:rPr>
              <w:t>，</w:t>
            </w:r>
            <w:r>
              <w:rPr>
                <w:rFonts w:asciiTheme="minorEastAsia" w:eastAsiaTheme="minorEastAsia" w:hAnsiTheme="minorEastAsia" w:cstheme="minorEastAsia" w:hint="eastAsia"/>
                <w:sz w:val="21"/>
                <w:szCs w:val="21"/>
                <w:highlight w:val="none"/>
                <w:lang w:val="en-US" w:eastAsia="zh-CN"/>
              </w:rPr>
              <w:t>每提供1项得100分，最高</w:t>
            </w:r>
            <w:r>
              <w:rPr>
                <w:rFonts w:asciiTheme="minorEastAsia" w:eastAsiaTheme="minorEastAsia" w:hAnsiTheme="minorEastAsia" w:cstheme="minorEastAsia" w:hint="eastAsia"/>
                <w:sz w:val="21"/>
                <w:szCs w:val="21"/>
                <w:highlight w:val="none"/>
              </w:rPr>
              <w:t>得100分。</w:t>
            </w:r>
          </w:p>
          <w:p>
            <w:pPr>
              <w:keepNext w:val="0"/>
              <w:keepLines w:val="0"/>
              <w:pageBreakBefore w:val="0"/>
              <w:widowControl w:val="0"/>
              <w:kinsoku/>
              <w:wordWrap/>
              <w:overflowPunct/>
              <w:topLinePunct w:val="0"/>
              <w:bidi w:val="0"/>
              <w:snapToGrid w:val="0"/>
              <w:spacing w:line="320" w:lineRule="exact"/>
              <w:jc w:val="both"/>
              <w:textAlignment w:val="auto"/>
              <w:rPr>
                <w:rFonts w:asciiTheme="minorEastAsia" w:eastAsiaTheme="minorEastAsia" w:hAnsiTheme="minorEastAsia" w:cstheme="minorEastAsia" w:hint="eastAsia"/>
                <w:b/>
                <w:bCs/>
                <w:color w:val="0000CC"/>
                <w:sz w:val="21"/>
                <w:szCs w:val="21"/>
                <w:highlight w:val="none"/>
                <w:lang w:val="en-US" w:eastAsia="zh-CN"/>
              </w:rPr>
            </w:pPr>
            <w:r>
              <w:rPr>
                <w:rFonts w:asciiTheme="minorEastAsia" w:eastAsiaTheme="minorEastAsia" w:hAnsiTheme="minorEastAsia" w:cstheme="minorEastAsia" w:hint="eastAsia"/>
                <w:b/>
                <w:bCs/>
                <w:color w:val="0000CC"/>
                <w:sz w:val="21"/>
                <w:szCs w:val="21"/>
                <w:highlight w:val="none"/>
                <w:lang w:val="en-US" w:eastAsia="zh-CN"/>
              </w:rPr>
              <w:t>二、评审依据：</w:t>
            </w:r>
          </w:p>
          <w:p>
            <w:pPr>
              <w:keepNext w:val="0"/>
              <w:keepLines w:val="0"/>
              <w:pageBreakBefore w:val="0"/>
              <w:widowControl w:val="0"/>
              <w:kinsoku/>
              <w:wordWrap/>
              <w:overflowPunct/>
              <w:topLinePunct w:val="0"/>
              <w:bidi w:val="0"/>
              <w:snapToGrid w:val="0"/>
              <w:spacing w:line="320" w:lineRule="exact"/>
              <w:jc w:val="both"/>
              <w:textAlignment w:val="auto"/>
              <w:rPr>
                <w:rFonts w:asciiTheme="minorEastAsia" w:eastAsiaTheme="minorEastAsia" w:hAnsiTheme="minorEastAsia" w:cstheme="minorEastAsia" w:hint="eastAsia"/>
                <w:color w:val="0000FF"/>
                <w:sz w:val="21"/>
                <w:szCs w:val="21"/>
                <w:highlight w:val="none"/>
                <w:lang w:eastAsia="zh-CN"/>
              </w:rPr>
            </w:pPr>
            <w:r>
              <w:rPr>
                <w:rFonts w:asciiTheme="minorEastAsia" w:eastAsiaTheme="minorEastAsia" w:hAnsiTheme="minorEastAsia" w:cstheme="minorEastAsia" w:hint="eastAsia"/>
                <w:color w:val="0000FF"/>
                <w:sz w:val="21"/>
                <w:szCs w:val="21"/>
                <w:highlight w:val="none"/>
                <w:lang w:val="en-US" w:eastAsia="zh-CN"/>
              </w:rPr>
              <w:t>1、</w:t>
            </w:r>
            <w:r>
              <w:rPr>
                <w:rFonts w:asciiTheme="minorEastAsia" w:eastAsiaTheme="minorEastAsia" w:hAnsiTheme="minorEastAsia" w:cstheme="minorEastAsia" w:hint="eastAsia"/>
                <w:color w:val="0000FF"/>
                <w:sz w:val="21"/>
                <w:szCs w:val="21"/>
                <w:highlight w:val="none"/>
              </w:rPr>
              <w:t>提供《市场监管总局关于发布参与实施政府采购节能产品、环境标志产品认证机构名录的公告》（2019年第16号）确定的认证机构出具的</w:t>
            </w:r>
            <w:r>
              <w:rPr>
                <w:rFonts w:asciiTheme="minorEastAsia" w:eastAsiaTheme="minorEastAsia" w:hAnsiTheme="minorEastAsia" w:cstheme="minorEastAsia" w:hint="eastAsia"/>
                <w:color w:val="0000FF"/>
                <w:sz w:val="21"/>
                <w:szCs w:val="21"/>
                <w:highlight w:val="none"/>
                <w:lang w:val="en-US" w:eastAsia="zh-CN"/>
              </w:rPr>
              <w:t>且</w:t>
            </w:r>
            <w:r>
              <w:rPr>
                <w:rFonts w:asciiTheme="minorEastAsia" w:eastAsiaTheme="minorEastAsia" w:hAnsiTheme="minorEastAsia" w:cstheme="minorEastAsia" w:hint="eastAsia"/>
                <w:color w:val="0000FF"/>
                <w:sz w:val="21"/>
                <w:szCs w:val="21"/>
                <w:highlight w:val="none"/>
              </w:rPr>
              <w:t>处于有效期内的节能产品</w:t>
            </w:r>
            <w:r>
              <w:rPr>
                <w:rFonts w:asciiTheme="minorEastAsia" w:eastAsiaTheme="minorEastAsia" w:hAnsiTheme="minorEastAsia" w:cstheme="minorEastAsia" w:hint="eastAsia"/>
                <w:color w:val="0000FF"/>
                <w:sz w:val="21"/>
                <w:szCs w:val="21"/>
                <w:highlight w:val="none"/>
                <w:lang w:val="en-US" w:eastAsia="zh-CN"/>
              </w:rPr>
              <w:t>或</w:t>
            </w:r>
            <w:r>
              <w:rPr>
                <w:rFonts w:asciiTheme="minorEastAsia" w:eastAsiaTheme="minorEastAsia" w:hAnsiTheme="minorEastAsia" w:cstheme="minorEastAsia" w:hint="eastAsia"/>
                <w:color w:val="0000FF"/>
                <w:sz w:val="21"/>
                <w:szCs w:val="21"/>
                <w:highlight w:val="none"/>
              </w:rPr>
              <w:t>环境标志产品认证证书扫描件</w:t>
            </w:r>
            <w:r>
              <w:rPr>
                <w:rFonts w:asciiTheme="minorEastAsia" w:eastAsiaTheme="minorEastAsia" w:hAnsiTheme="minorEastAsia" w:cstheme="minorEastAsia" w:hint="eastAsia"/>
                <w:color w:val="0000FF"/>
                <w:sz w:val="21"/>
                <w:szCs w:val="21"/>
                <w:highlight w:val="none"/>
                <w:lang w:eastAsia="zh-CN"/>
              </w:rPr>
              <w:t>；</w:t>
            </w:r>
          </w:p>
          <w:p>
            <w:pPr>
              <w:keepNext w:val="0"/>
              <w:keepLines w:val="0"/>
              <w:pageBreakBefore w:val="0"/>
              <w:widowControl w:val="0"/>
              <w:kinsoku/>
              <w:wordWrap/>
              <w:overflowPunct/>
              <w:topLinePunct w:val="0"/>
              <w:bidi w:val="0"/>
              <w:snapToGrid w:val="0"/>
              <w:spacing w:line="320" w:lineRule="exact"/>
              <w:jc w:val="both"/>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color w:val="0000FF"/>
                <w:sz w:val="21"/>
                <w:szCs w:val="21"/>
                <w:highlight w:val="none"/>
                <w:lang w:val="en-US" w:eastAsia="zh-CN"/>
              </w:rPr>
              <w:t>2、未按要求提供证明材料（或证明材料无法判断是否符合评分要求）的不得分，原件备查。</w:t>
            </w:r>
          </w:p>
        </w:tc>
      </w:tr>
      <w:tr>
        <w:tblPrEx>
          <w:tblW w:w="9072" w:type="dxa"/>
          <w:tblInd w:w="0" w:type="dxa"/>
          <w:shd w:val="clear" w:color="auto" w:fill="FFFFFF"/>
          <w:tblCellMar>
            <w:top w:w="20" w:type="dxa"/>
            <w:left w:w="108" w:type="dxa"/>
            <w:bottom w:w="20" w:type="dxa"/>
            <w:right w:w="108" w:type="dxa"/>
          </w:tblCellMar>
        </w:tblPrEx>
        <w:tc>
          <w:tcPr>
            <w:tcW w:w="627" w:type="dxa"/>
            <w:vMerge/>
            <w:tcBorders>
              <w:left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sz w:val="21"/>
                <w:szCs w:val="21"/>
                <w:highlight w:val="none"/>
                <w:lang w:val="en-US" w:eastAsia="zh-CN"/>
              </w:rPr>
              <w:t>3</w:t>
            </w:r>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绿色采购</w:t>
            </w:r>
            <w:r>
              <w:rPr>
                <w:rFonts w:asciiTheme="minorEastAsia" w:eastAsiaTheme="minorEastAsia" w:hAnsiTheme="minorEastAsia" w:cstheme="minorEastAsia" w:hint="eastAsia"/>
                <w:sz w:val="21"/>
                <w:szCs w:val="21"/>
                <w:highlight w:val="none"/>
                <w:lang w:val="en-US" w:eastAsia="zh-CN"/>
              </w:rPr>
              <w:t>情况</w:t>
            </w:r>
          </w:p>
        </w:tc>
        <w:tc>
          <w:tcPr>
            <w:tcW w:w="1004"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val="0"/>
                <w:bCs/>
                <w:sz w:val="21"/>
                <w:szCs w:val="21"/>
                <w:highlight w:val="none"/>
                <w:lang w:val="en-US" w:eastAsia="zh-CN"/>
              </w:rPr>
            </w:pPr>
            <w:r>
              <w:rPr>
                <w:rFonts w:asciiTheme="minorEastAsia" w:eastAsiaTheme="minorEastAsia" w:hAnsiTheme="minorEastAsia" w:cstheme="minorEastAsia" w:hint="eastAsia"/>
                <w:b w:val="0"/>
                <w:bCs/>
                <w:sz w:val="21"/>
                <w:szCs w:val="21"/>
                <w:highlight w:val="none"/>
                <w:lang w:val="en-US" w:eastAsia="zh-CN"/>
              </w:rPr>
              <w:t>1</w:t>
            </w:r>
          </w:p>
        </w:tc>
        <w:tc>
          <w:tcPr>
            <w:tcW w:w="5362"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autoSpaceDE w:val="0"/>
              <w:autoSpaceDN w:val="0"/>
              <w:bidi w:val="0"/>
              <w:adjustRightInd w:val="0"/>
              <w:spacing w:line="320" w:lineRule="exact"/>
              <w:jc w:val="both"/>
              <w:textAlignment w:val="auto"/>
              <w:rPr>
                <w:rFonts w:asciiTheme="minorEastAsia" w:eastAsiaTheme="minorEastAsia" w:hAnsiTheme="minorEastAsia" w:cstheme="minorEastAsia" w:hint="eastAsia"/>
                <w:b/>
                <w:bCs/>
                <w:sz w:val="21"/>
                <w:szCs w:val="21"/>
                <w:highlight w:val="none"/>
                <w:lang w:val="en-US" w:eastAsia="zh-CN"/>
              </w:rPr>
            </w:pPr>
            <w:r>
              <w:rPr>
                <w:rFonts w:asciiTheme="minorEastAsia" w:eastAsiaTheme="minorEastAsia" w:hAnsiTheme="minorEastAsia" w:cstheme="minorEastAsia" w:hint="eastAsia"/>
                <w:b/>
                <w:bCs/>
                <w:sz w:val="21"/>
                <w:szCs w:val="21"/>
                <w:highlight w:val="none"/>
                <w:lang w:val="en-US" w:eastAsia="zh-CN"/>
              </w:rPr>
              <w:t>一、评审内容：</w:t>
            </w:r>
          </w:p>
          <w:p>
            <w:pPr>
              <w:keepNext w:val="0"/>
              <w:keepLines w:val="0"/>
              <w:pageBreakBefore w:val="0"/>
              <w:widowControl w:val="0"/>
              <w:kinsoku/>
              <w:wordWrap/>
              <w:overflowPunct/>
              <w:topLinePunct w:val="0"/>
              <w:autoSpaceDE w:val="0"/>
              <w:autoSpaceDN w:val="0"/>
              <w:bidi w:val="0"/>
              <w:adjustRightInd w:val="0"/>
              <w:spacing w:line="320" w:lineRule="exact"/>
              <w:jc w:val="both"/>
              <w:textAlignment w:val="auto"/>
              <w:rPr>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sz w:val="21"/>
                <w:szCs w:val="21"/>
                <w:highlight w:val="none"/>
                <w:lang w:val="en-US" w:eastAsia="zh-CN"/>
              </w:rPr>
              <w:t>本</w:t>
            </w:r>
            <w:r>
              <w:rPr>
                <w:rFonts w:asciiTheme="minorEastAsia" w:eastAsiaTheme="minorEastAsia" w:hAnsiTheme="minorEastAsia" w:cstheme="minorEastAsia" w:hint="eastAsia"/>
                <w:sz w:val="21"/>
                <w:szCs w:val="21"/>
                <w:highlight w:val="none"/>
              </w:rPr>
              <w:t>项目采购内容中需要对相关产品进行商品包装和快递包装，投标人承诺</w:t>
            </w:r>
            <w:r>
              <w:rPr>
                <w:rFonts w:asciiTheme="minorEastAsia" w:eastAsiaTheme="minorEastAsia" w:hAnsiTheme="minorEastAsia" w:cstheme="minorEastAsia" w:hint="eastAsia"/>
                <w:sz w:val="21"/>
                <w:szCs w:val="21"/>
                <w:highlight w:val="none"/>
                <w:lang w:val="en-US" w:eastAsia="zh-CN"/>
              </w:rPr>
              <w:t>以下内容的得100分：</w:t>
            </w:r>
          </w:p>
          <w:p>
            <w:pPr>
              <w:keepNext w:val="0"/>
              <w:keepLines w:val="0"/>
              <w:pageBreakBefore w:val="0"/>
              <w:widowControl w:val="0"/>
              <w:kinsoku/>
              <w:wordWrap/>
              <w:overflowPunct/>
              <w:topLinePunct w:val="0"/>
              <w:autoSpaceDE w:val="0"/>
              <w:autoSpaceDN w:val="0"/>
              <w:bidi w:val="0"/>
              <w:adjustRightInd w:val="0"/>
              <w:spacing w:line="320" w:lineRule="exact"/>
              <w:jc w:val="both"/>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所进行的商品包装和快递包装满足财政部《商品包装政府采购需求标准（试行）》《快递包装政府采购需求标准（试行）》（财办库〔2020〕123号）的要求，采用环保材料进行包装。</w:t>
            </w:r>
          </w:p>
          <w:p>
            <w:pPr>
              <w:keepNext w:val="0"/>
              <w:keepLines w:val="0"/>
              <w:pageBreakBefore w:val="0"/>
              <w:widowControl w:val="0"/>
              <w:kinsoku/>
              <w:wordWrap/>
              <w:overflowPunct/>
              <w:topLinePunct w:val="0"/>
              <w:bidi w:val="0"/>
              <w:snapToGrid w:val="0"/>
              <w:spacing w:line="320" w:lineRule="exact"/>
              <w:jc w:val="both"/>
              <w:textAlignment w:val="auto"/>
              <w:rPr>
                <w:rFonts w:asciiTheme="minorEastAsia" w:eastAsiaTheme="minorEastAsia" w:hAnsiTheme="minorEastAsia" w:cstheme="minorEastAsia" w:hint="eastAsia"/>
                <w:b/>
                <w:bCs/>
                <w:color w:val="0000CC"/>
                <w:sz w:val="21"/>
                <w:szCs w:val="21"/>
                <w:highlight w:val="none"/>
                <w:lang w:val="en-US" w:eastAsia="zh-CN"/>
              </w:rPr>
            </w:pPr>
            <w:r>
              <w:rPr>
                <w:rFonts w:asciiTheme="minorEastAsia" w:eastAsiaTheme="minorEastAsia" w:hAnsiTheme="minorEastAsia" w:cstheme="minorEastAsia" w:hint="eastAsia"/>
                <w:b/>
                <w:bCs/>
                <w:color w:val="0000CC"/>
                <w:sz w:val="21"/>
                <w:szCs w:val="21"/>
                <w:highlight w:val="none"/>
                <w:lang w:val="en-US" w:eastAsia="zh-CN"/>
              </w:rPr>
              <w:t>二、评审依据：</w:t>
            </w:r>
          </w:p>
          <w:p>
            <w:pPr>
              <w:keepNext w:val="0"/>
              <w:keepLines w:val="0"/>
              <w:pageBreakBefore w:val="0"/>
              <w:widowControl w:val="0"/>
              <w:kinsoku/>
              <w:wordWrap/>
              <w:overflowPunct/>
              <w:topLinePunct w:val="0"/>
              <w:bidi w:val="0"/>
              <w:snapToGrid w:val="0"/>
              <w:spacing w:line="320" w:lineRule="exact"/>
              <w:jc w:val="both"/>
              <w:textAlignment w:val="auto"/>
              <w:rPr>
                <w:rFonts w:asciiTheme="minorEastAsia" w:eastAsiaTheme="minorEastAsia" w:hAnsiTheme="minorEastAsia" w:cstheme="minorEastAsia" w:hint="eastAsia"/>
                <w:color w:val="0000FF"/>
                <w:sz w:val="21"/>
                <w:szCs w:val="21"/>
                <w:highlight w:val="none"/>
                <w:lang w:val="en-US" w:eastAsia="zh-CN"/>
              </w:rPr>
            </w:pPr>
            <w:r>
              <w:rPr>
                <w:rFonts w:asciiTheme="minorEastAsia" w:eastAsiaTheme="minorEastAsia" w:hAnsiTheme="minorEastAsia" w:cstheme="minorEastAsia" w:hint="eastAsia"/>
                <w:color w:val="0000FF"/>
                <w:sz w:val="21"/>
                <w:szCs w:val="21"/>
                <w:highlight w:val="none"/>
                <w:lang w:val="en-US" w:eastAsia="zh-CN"/>
              </w:rPr>
              <w:t>提供相关承诺函（格式自定），未按要求提供证明材料（或证明材料无法判断是否符合评分要求）的不得分，原件备查。</w:t>
            </w:r>
          </w:p>
        </w:tc>
      </w:tr>
      <w:tr>
        <w:tblPrEx>
          <w:tblW w:w="9072" w:type="dxa"/>
          <w:tblInd w:w="0" w:type="dxa"/>
          <w:shd w:val="clear" w:color="auto" w:fill="FFFFFF"/>
          <w:tblCellMar>
            <w:top w:w="20" w:type="dxa"/>
            <w:left w:w="108" w:type="dxa"/>
            <w:bottom w:w="20" w:type="dxa"/>
            <w:right w:w="108" w:type="dxa"/>
          </w:tblCellMar>
        </w:tblPrEx>
        <w:tc>
          <w:tcPr>
            <w:tcW w:w="627" w:type="dxa"/>
            <w:vMerge/>
            <w:tcBorders>
              <w:left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lang w:val="en-US" w:eastAsia="zh-CN"/>
              </w:rPr>
            </w:pPr>
            <w:r>
              <w:rPr>
                <w:rFonts w:asciiTheme="minorEastAsia" w:eastAsiaTheme="minorEastAsia" w:hAnsiTheme="minorEastAsia" w:cstheme="minorEastAsia" w:hint="eastAsia"/>
                <w:sz w:val="21"/>
                <w:szCs w:val="21"/>
                <w:highlight w:val="none"/>
                <w:lang w:val="en-US" w:eastAsia="zh-CN"/>
              </w:rPr>
              <w:t>4</w:t>
            </w:r>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pacing w:line="320" w:lineRule="exact"/>
              <w:jc w:val="center"/>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color w:val="000000"/>
                <w:sz w:val="21"/>
                <w:szCs w:val="21"/>
                <w:highlight w:val="none"/>
              </w:rPr>
              <w:t>“校级管理平台”</w:t>
            </w:r>
            <w:r>
              <w:rPr>
                <w:rFonts w:asciiTheme="minorEastAsia" w:eastAsiaTheme="minorEastAsia" w:hAnsiTheme="minorEastAsia" w:cstheme="minorEastAsia" w:hint="eastAsia"/>
                <w:color w:val="000000"/>
                <w:sz w:val="21"/>
                <w:szCs w:val="21"/>
                <w:highlight w:val="none"/>
                <w:lang w:val="en-US" w:eastAsia="zh-CN"/>
              </w:rPr>
              <w:t>知识产权情况</w:t>
            </w:r>
          </w:p>
        </w:tc>
        <w:tc>
          <w:tcPr>
            <w:tcW w:w="1004"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pacing w:line="320" w:lineRule="exact"/>
              <w:jc w:val="center"/>
              <w:textAlignment w:val="auto"/>
              <w:rPr>
                <w:rFonts w:asciiTheme="minorEastAsia" w:eastAsiaTheme="minorEastAsia" w:hAnsiTheme="minorEastAsia" w:cstheme="minorEastAsia" w:hint="eastAsia"/>
                <w:b w:val="0"/>
                <w:bCs/>
                <w:sz w:val="21"/>
                <w:szCs w:val="21"/>
                <w:highlight w:val="none"/>
                <w:lang w:val="en-US" w:eastAsia="zh-CN"/>
              </w:rPr>
            </w:pPr>
            <w:r>
              <w:rPr>
                <w:rFonts w:asciiTheme="minorEastAsia" w:eastAsiaTheme="minorEastAsia" w:hAnsiTheme="minorEastAsia" w:cstheme="minorEastAsia" w:hint="eastAsia"/>
                <w:sz w:val="21"/>
                <w:szCs w:val="21"/>
                <w:highlight w:val="none"/>
                <w:lang w:val="en-US" w:eastAsia="zh-CN"/>
              </w:rPr>
              <w:t>3</w:t>
            </w:r>
          </w:p>
        </w:tc>
        <w:tc>
          <w:tcPr>
            <w:tcW w:w="5362" w:type="dxa"/>
            <w:tcBorders>
              <w:top w:val="single" w:sz="8" w:space="0" w:color="000000"/>
              <w:left w:val="single" w:sz="8" w:space="0" w:color="000000"/>
              <w:bottom w:val="single" w:sz="8" w:space="0" w:color="000000"/>
              <w:right w:val="single" w:sz="8" w:space="0" w:color="000000"/>
            </w:tcBorders>
            <w:shd w:val="clear" w:color="auto" w:fill="FFFFFF"/>
            <w:vAlign w:val="top"/>
          </w:tcPr>
          <w:p>
            <w:pPr>
              <w:keepNext w:val="0"/>
              <w:keepLines w:val="0"/>
              <w:pageBreakBefore w:val="0"/>
              <w:widowControl w:val="0"/>
              <w:kinsoku/>
              <w:wordWrap/>
              <w:overflowPunct/>
              <w:topLinePunct w:val="0"/>
              <w:bidi w:val="0"/>
              <w:adjustRightInd w:val="0"/>
              <w:spacing w:line="320" w:lineRule="exact"/>
              <w:jc w:val="left"/>
              <w:textAlignment w:val="auto"/>
              <w:rPr>
                <w:rFonts w:asciiTheme="minorEastAsia" w:eastAsiaTheme="minorEastAsia" w:hAnsiTheme="minorEastAsia" w:cstheme="minorEastAsia" w:hint="eastAsia"/>
                <w:color w:val="0000FF"/>
                <w:sz w:val="21"/>
                <w:szCs w:val="21"/>
                <w:highlight w:val="none"/>
                <w:lang w:val="en-US" w:eastAsia="zh-CN"/>
              </w:rPr>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一</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评分内容：</w:t>
            </w:r>
            <w:r>
              <w:rPr>
                <w:rFonts w:asciiTheme="minorEastAsia" w:eastAsiaTheme="minorEastAsia" w:hAnsiTheme="minorEastAsia" w:cstheme="minorEastAsia" w:hint="eastAsia"/>
                <w:sz w:val="21"/>
                <w:szCs w:val="21"/>
              </w:rPr>
              <w:br/>
            </w:r>
            <w:r>
              <w:rPr>
                <w:rFonts w:asciiTheme="minorEastAsia" w:eastAsiaTheme="minorEastAsia" w:hAnsiTheme="minorEastAsia" w:cstheme="minorEastAsia" w:hint="eastAsia"/>
                <w:sz w:val="21"/>
                <w:szCs w:val="21"/>
              </w:rPr>
              <w:t>投标人所投“校级管理平台”产品，具有以下类别计算机软件著作权登记证书的，每提供一类得</w:t>
            </w:r>
            <w:r>
              <w:rPr>
                <w:rFonts w:asciiTheme="minorEastAsia" w:eastAsiaTheme="minorEastAsia" w:hAnsiTheme="minorEastAsia" w:cstheme="minorEastAsia" w:hint="eastAsia"/>
                <w:sz w:val="21"/>
                <w:szCs w:val="21"/>
                <w:lang w:val="en-US" w:eastAsia="zh-CN"/>
              </w:rPr>
              <w:t>33.4</w:t>
            </w:r>
            <w:r>
              <w:rPr>
                <w:rFonts w:asciiTheme="minorEastAsia" w:eastAsiaTheme="minorEastAsia" w:hAnsiTheme="minorEastAsia" w:cstheme="minorEastAsia" w:hint="eastAsia"/>
                <w:sz w:val="21"/>
                <w:szCs w:val="21"/>
              </w:rPr>
              <w:t>分，最高得</w:t>
            </w:r>
            <w:r>
              <w:rPr>
                <w:rFonts w:asciiTheme="minorEastAsia" w:eastAsiaTheme="minorEastAsia" w:hAnsiTheme="minorEastAsia" w:cstheme="minorEastAsia" w:hint="eastAsia"/>
                <w:sz w:val="21"/>
                <w:szCs w:val="21"/>
                <w:lang w:val="en-US" w:eastAsia="zh-CN"/>
              </w:rPr>
              <w:t>100</w:t>
            </w:r>
            <w:r>
              <w:rPr>
                <w:rFonts w:asciiTheme="minorEastAsia" w:eastAsiaTheme="minorEastAsia" w:hAnsiTheme="minorEastAsia" w:cstheme="minorEastAsia" w:hint="eastAsia"/>
                <w:sz w:val="21"/>
                <w:szCs w:val="21"/>
              </w:rPr>
              <w:t>分：</w:t>
            </w:r>
            <w:r>
              <w:rPr>
                <w:rFonts w:asciiTheme="minorEastAsia" w:eastAsiaTheme="minorEastAsia" w:hAnsiTheme="minorEastAsia" w:cstheme="minorEastAsia" w:hint="eastAsia"/>
                <w:sz w:val="21"/>
                <w:szCs w:val="21"/>
              </w:rPr>
              <w:br/>
            </w:r>
            <w:r>
              <w:rPr>
                <w:rFonts w:asciiTheme="minorEastAsia" w:eastAsiaTheme="minorEastAsia" w:hAnsiTheme="minorEastAsia" w:cstheme="minorEastAsia" w:hint="eastAsia"/>
                <w:sz w:val="21"/>
                <w:szCs w:val="21"/>
              </w:rPr>
              <w:t>①AI辅助实验类；</w:t>
            </w:r>
            <w:r>
              <w:rPr>
                <w:rFonts w:asciiTheme="minorEastAsia" w:eastAsiaTheme="minorEastAsia" w:hAnsiTheme="minorEastAsia" w:cstheme="minorEastAsia" w:hint="eastAsia"/>
                <w:sz w:val="21"/>
                <w:szCs w:val="21"/>
              </w:rPr>
              <w:br/>
            </w:r>
            <w:r>
              <w:rPr>
                <w:rFonts w:asciiTheme="minorEastAsia" w:eastAsiaTheme="minorEastAsia" w:hAnsiTheme="minorEastAsia" w:cstheme="minorEastAsia" w:hint="eastAsia"/>
                <w:sz w:val="21"/>
                <w:szCs w:val="21"/>
              </w:rPr>
              <w:t>②AI实验评分软件类；</w:t>
            </w:r>
            <w:r>
              <w:rPr>
                <w:rFonts w:asciiTheme="minorEastAsia" w:eastAsiaTheme="minorEastAsia" w:hAnsiTheme="minorEastAsia" w:cstheme="minorEastAsia" w:hint="eastAsia"/>
                <w:sz w:val="21"/>
                <w:szCs w:val="21"/>
              </w:rPr>
              <w:br/>
            </w:r>
            <w:r>
              <w:rPr>
                <w:rFonts w:asciiTheme="minorEastAsia" w:eastAsiaTheme="minorEastAsia" w:hAnsiTheme="minorEastAsia" w:cstheme="minorEastAsia" w:hint="eastAsia"/>
                <w:sz w:val="21"/>
                <w:szCs w:val="21"/>
                <w:lang w:val="en-US" w:eastAsia="zh-CN"/>
              </w:rPr>
              <w:t>③</w:t>
            </w:r>
            <w:r>
              <w:rPr>
                <w:rFonts w:asciiTheme="minorEastAsia" w:eastAsiaTheme="minorEastAsia" w:hAnsiTheme="minorEastAsia" w:cstheme="minorEastAsia" w:hint="eastAsia"/>
                <w:sz w:val="21"/>
                <w:szCs w:val="21"/>
              </w:rPr>
              <w:t>校级运维监控类；</w:t>
            </w:r>
            <w:r>
              <w:rPr>
                <w:rFonts w:asciiTheme="minorEastAsia" w:eastAsiaTheme="minorEastAsia" w:hAnsiTheme="minorEastAsia" w:cstheme="minorEastAsia" w:hint="eastAsia"/>
                <w:sz w:val="21"/>
                <w:szCs w:val="21"/>
              </w:rPr>
              <w:br/>
            </w:r>
            <w:r>
              <w:rPr>
                <w:rFonts w:asciiTheme="minorEastAsia" w:eastAsiaTheme="minorEastAsia" w:hAnsiTheme="minorEastAsia" w:cstheme="minorEastAsia" w:hint="eastAsia"/>
                <w:sz w:val="21"/>
                <w:szCs w:val="21"/>
              </w:rPr>
              <w:t>以上同一类中提供多个证书的不重复计分。</w:t>
            </w:r>
            <w:r>
              <w:rPr>
                <w:rFonts w:asciiTheme="minorEastAsia" w:eastAsiaTheme="minorEastAsia" w:hAnsiTheme="minorEastAsia" w:cstheme="minorEastAsia" w:hint="eastAsia"/>
                <w:sz w:val="21"/>
                <w:szCs w:val="21"/>
              </w:rPr>
              <w:br/>
            </w:r>
            <w:r>
              <w:rPr>
                <w:rFonts w:asciiTheme="minorEastAsia" w:eastAsiaTheme="minorEastAsia" w:hAnsiTheme="minorEastAsia" w:cstheme="minorEastAsia" w:hint="eastAsia"/>
                <w:color w:val="0000FF"/>
                <w:sz w:val="21"/>
                <w:szCs w:val="21"/>
              </w:rPr>
              <w:t>（二）评分依据：</w:t>
            </w:r>
            <w:r>
              <w:rPr>
                <w:rFonts w:asciiTheme="minorEastAsia" w:eastAsiaTheme="minorEastAsia" w:hAnsiTheme="minorEastAsia" w:cstheme="minorEastAsia" w:hint="eastAsia"/>
                <w:color w:val="0000FF"/>
                <w:sz w:val="21"/>
                <w:szCs w:val="21"/>
              </w:rPr>
              <w:br/>
            </w:r>
            <w:r>
              <w:rPr>
                <w:rFonts w:asciiTheme="minorEastAsia" w:eastAsiaTheme="minorEastAsia" w:hAnsiTheme="minorEastAsia" w:cstheme="minorEastAsia" w:hint="eastAsia"/>
                <w:color w:val="0000FF"/>
                <w:sz w:val="21"/>
                <w:szCs w:val="21"/>
              </w:rPr>
              <w:t>1、提供：①国家版权局颁发的相关计算机软件著作权登记证书扫描件；②中国版权保护中心（https://register.ccopyright.com.cn/query.html）计算机软件著作权登记公告检索截图；</w:t>
            </w:r>
            <w:r>
              <w:rPr>
                <w:rFonts w:asciiTheme="minorEastAsia" w:eastAsiaTheme="minorEastAsia" w:hAnsiTheme="minorEastAsia" w:cstheme="minorEastAsia" w:hint="eastAsia"/>
                <w:color w:val="0000FF"/>
                <w:sz w:val="21"/>
                <w:szCs w:val="21"/>
              </w:rPr>
              <w:br/>
            </w:r>
            <w:r>
              <w:rPr>
                <w:rFonts w:asciiTheme="minorEastAsia" w:eastAsiaTheme="minorEastAsia" w:hAnsiTheme="minorEastAsia" w:cstheme="minorEastAsia" w:hint="eastAsia"/>
                <w:color w:val="0000FF"/>
                <w:sz w:val="21"/>
                <w:szCs w:val="21"/>
              </w:rPr>
              <w:t>2、未按要求提供相关证明材料（或相关证明材料无法判断是否符合评分要求）的不计得分，原件备查。</w:t>
            </w:r>
          </w:p>
        </w:tc>
      </w:tr>
      <w:tr>
        <w:tblPrEx>
          <w:tblW w:w="9072" w:type="dxa"/>
          <w:tblInd w:w="0" w:type="dxa"/>
          <w:shd w:val="clear" w:color="auto" w:fill="FFFFFF"/>
          <w:tblCellMar>
            <w:top w:w="20" w:type="dxa"/>
            <w:left w:w="108" w:type="dxa"/>
            <w:bottom w:w="20" w:type="dxa"/>
            <w:right w:w="108" w:type="dxa"/>
          </w:tblCellMar>
        </w:tblPrEx>
        <w:tc>
          <w:tcPr>
            <w:tcW w:w="627" w:type="dxa"/>
            <w:vMerge/>
            <w:tcBorders>
              <w:left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default"/>
                <w:sz w:val="21"/>
                <w:szCs w:val="21"/>
                <w:highlight w:val="none"/>
                <w:lang w:val="en-US" w:eastAsia="zh-CN"/>
              </w:rPr>
            </w:pPr>
            <w:r>
              <w:rPr>
                <w:rFonts w:asciiTheme="minorEastAsia" w:hAnsiTheme="minorEastAsia" w:cstheme="minorEastAsia" w:hint="eastAsia"/>
                <w:sz w:val="21"/>
                <w:szCs w:val="21"/>
                <w:highlight w:val="none"/>
                <w:lang w:val="en-US" w:eastAsia="zh-CN"/>
              </w:rPr>
              <w:t>5</w:t>
            </w:r>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pacing w:line="320" w:lineRule="exact"/>
              <w:jc w:val="center"/>
              <w:textAlignment w:val="auto"/>
              <w:rPr>
                <w:rFonts w:asciiTheme="minorEastAsia" w:eastAsiaTheme="minorEastAsia" w:hAnsiTheme="minorEastAsia" w:cstheme="minorEastAsia" w:hint="eastAsia"/>
                <w:kern w:val="2"/>
                <w:sz w:val="21"/>
                <w:szCs w:val="21"/>
                <w:highlight w:val="none"/>
                <w:lang w:val="en-US" w:eastAsia="zh-CN" w:bidi="ar-SA"/>
              </w:rPr>
            </w:pPr>
            <w:r>
              <w:rPr>
                <w:rFonts w:asciiTheme="minorEastAsia" w:eastAsiaTheme="minorEastAsia" w:hAnsiTheme="minorEastAsia" w:cstheme="minorEastAsia" w:hint="eastAsia"/>
                <w:color w:val="000000"/>
                <w:sz w:val="21"/>
                <w:szCs w:val="21"/>
              </w:rPr>
              <w:t>“实验信息采集终端”</w:t>
            </w:r>
            <w:r>
              <w:rPr>
                <w:rFonts w:asciiTheme="minorEastAsia" w:eastAsiaTheme="minorEastAsia" w:hAnsiTheme="minorEastAsia" w:cstheme="minorEastAsia" w:hint="eastAsia"/>
                <w:color w:val="000000"/>
                <w:sz w:val="21"/>
                <w:szCs w:val="21"/>
                <w:lang w:val="en-US" w:eastAsia="zh-CN"/>
              </w:rPr>
              <w:t>知识产权情况</w:t>
            </w:r>
          </w:p>
        </w:tc>
        <w:tc>
          <w:tcPr>
            <w:tcW w:w="1004"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pacing w:line="320" w:lineRule="exact"/>
              <w:jc w:val="center"/>
              <w:textAlignment w:val="auto"/>
              <w:rPr>
                <w:rFonts w:asciiTheme="minorEastAsia" w:eastAsiaTheme="minorEastAsia" w:hAnsiTheme="minorEastAsia" w:cstheme="minorEastAsia" w:hint="eastAsia"/>
                <w:b w:val="0"/>
                <w:bCs/>
                <w:kern w:val="2"/>
                <w:sz w:val="21"/>
                <w:szCs w:val="21"/>
                <w:highlight w:val="none"/>
                <w:lang w:val="en-US" w:eastAsia="zh-CN" w:bidi="ar-SA"/>
              </w:rPr>
            </w:pPr>
            <w:r>
              <w:rPr>
                <w:rFonts w:asciiTheme="minorEastAsia" w:eastAsiaTheme="minorEastAsia" w:hAnsiTheme="minorEastAsia" w:cstheme="minorEastAsia" w:hint="eastAsia"/>
                <w:sz w:val="21"/>
                <w:szCs w:val="21"/>
                <w:highlight w:val="none"/>
                <w:lang w:val="en-US" w:eastAsia="zh-CN"/>
              </w:rPr>
              <w:t>3</w:t>
            </w:r>
          </w:p>
        </w:tc>
        <w:tc>
          <w:tcPr>
            <w:tcW w:w="5362" w:type="dxa"/>
            <w:tcBorders>
              <w:top w:val="single" w:sz="8" w:space="0" w:color="000000"/>
              <w:left w:val="single" w:sz="8" w:space="0" w:color="000000"/>
              <w:bottom w:val="single" w:sz="8" w:space="0" w:color="000000"/>
              <w:right w:val="single" w:sz="8" w:space="0" w:color="000000"/>
            </w:tcBorders>
            <w:shd w:val="clear" w:color="auto" w:fill="FFFFFF"/>
            <w:vAlign w:val="top"/>
          </w:tcPr>
          <w:p>
            <w:pPr>
              <w:keepNext w:val="0"/>
              <w:keepLines w:val="0"/>
              <w:pageBreakBefore w:val="0"/>
              <w:widowControl w:val="0"/>
              <w:numPr>
                <w:ilvl w:val="0"/>
                <w:numId w:val="0"/>
              </w:numPr>
              <w:kinsoku/>
              <w:wordWrap/>
              <w:overflowPunct/>
              <w:topLinePunct w:val="0"/>
              <w:bidi w:val="0"/>
              <w:adjustRightInd w:val="0"/>
              <w:spacing w:line="320" w:lineRule="exact"/>
              <w:ind w:left="0" w:firstLine="0" w:leftChars="0" w:firstLineChars="0"/>
              <w:jc w:val="left"/>
              <w:textAlignment w:val="auto"/>
              <w:rPr>
                <w:rFonts w:asciiTheme="minorEastAsia" w:eastAsiaTheme="minorEastAsia" w:hAnsiTheme="minorEastAsia" w:cstheme="minorEastAsia" w:hint="eastAsia"/>
                <w:color w:val="0000FF"/>
                <w:kern w:val="2"/>
                <w:sz w:val="21"/>
                <w:szCs w:val="21"/>
                <w:highlight w:val="none"/>
                <w:lang w:val="en-US" w:eastAsia="zh-CN" w:bidi="ar-SA"/>
              </w:rPr>
            </w:pPr>
            <w:r>
              <w:rPr>
                <w:rFonts w:asciiTheme="minorEastAsia" w:hAnsiTheme="minorEastAsia" w:cstheme="minorEastAsia" w:hint="eastAsia"/>
                <w:sz w:val="21"/>
                <w:szCs w:val="21"/>
                <w:lang w:eastAsia="zh-CN"/>
              </w:rPr>
              <w:t>（</w:t>
            </w:r>
            <w:r>
              <w:rPr>
                <w:rFonts w:asciiTheme="minorEastAsia" w:hAnsiTheme="minorEastAsia" w:cstheme="minorEastAsia" w:hint="eastAsia"/>
                <w:sz w:val="21"/>
                <w:szCs w:val="21"/>
                <w:lang w:val="en-US" w:eastAsia="zh-CN"/>
              </w:rPr>
              <w:t>一</w:t>
            </w:r>
            <w:r>
              <w:rPr>
                <w:rFonts w:ascii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评分内容：</w:t>
            </w:r>
            <w:r>
              <w:rPr>
                <w:rFonts w:asciiTheme="minorEastAsia" w:eastAsiaTheme="minorEastAsia" w:hAnsiTheme="minorEastAsia" w:cstheme="minorEastAsia" w:hint="eastAsia"/>
                <w:sz w:val="21"/>
                <w:szCs w:val="21"/>
              </w:rPr>
              <w:br/>
            </w:r>
            <w:r>
              <w:rPr>
                <w:rFonts w:asciiTheme="minorEastAsia" w:eastAsiaTheme="minorEastAsia" w:hAnsiTheme="minorEastAsia" w:cstheme="minorEastAsia" w:hint="eastAsia"/>
                <w:sz w:val="21"/>
                <w:szCs w:val="21"/>
              </w:rPr>
              <w:t>投标人所投“实验信息采集终端”产品，具有以下类别</w:t>
            </w:r>
            <w:r>
              <w:rPr>
                <w:rFonts w:asciiTheme="minorEastAsia" w:eastAsiaTheme="minorEastAsia" w:hAnsiTheme="minorEastAsia" w:cstheme="minorEastAsia" w:hint="eastAsia"/>
                <w:color w:val="auto"/>
                <w:sz w:val="21"/>
                <w:szCs w:val="21"/>
              </w:rPr>
              <w:t>计算机软件著作权登记证书的，每提供一类得</w:t>
            </w:r>
            <w:r>
              <w:rPr>
                <w:rFonts w:asciiTheme="minorEastAsia" w:eastAsiaTheme="minorEastAsia" w:hAnsiTheme="minorEastAsia" w:cstheme="minorEastAsia" w:hint="eastAsia"/>
                <w:color w:val="auto"/>
                <w:sz w:val="21"/>
                <w:szCs w:val="21"/>
                <w:lang w:val="en-US" w:eastAsia="zh-CN"/>
              </w:rPr>
              <w:t>25</w:t>
            </w:r>
            <w:r>
              <w:rPr>
                <w:rFonts w:asciiTheme="minorEastAsia" w:eastAsiaTheme="minorEastAsia" w:hAnsiTheme="minorEastAsia" w:cstheme="minorEastAsia" w:hint="eastAsia"/>
                <w:color w:val="auto"/>
                <w:sz w:val="21"/>
                <w:szCs w:val="21"/>
              </w:rPr>
              <w:t>分，最高得</w:t>
            </w:r>
            <w:r>
              <w:rPr>
                <w:rFonts w:asciiTheme="minorEastAsia" w:eastAsiaTheme="minorEastAsia" w:hAnsiTheme="minorEastAsia" w:cstheme="minorEastAsia" w:hint="eastAsia"/>
                <w:color w:val="auto"/>
                <w:sz w:val="21"/>
                <w:szCs w:val="21"/>
                <w:lang w:val="en-US" w:eastAsia="zh-CN"/>
              </w:rPr>
              <w:t>100</w:t>
            </w:r>
            <w:r>
              <w:rPr>
                <w:rFonts w:asciiTheme="minorEastAsia" w:eastAsiaTheme="minorEastAsia" w:hAnsiTheme="minorEastAsia" w:cstheme="minorEastAsia" w:hint="eastAsia"/>
                <w:color w:val="auto"/>
                <w:sz w:val="21"/>
                <w:szCs w:val="21"/>
              </w:rPr>
              <w:t>分：</w:t>
            </w:r>
            <w:r>
              <w:rPr>
                <w:rFonts w:asciiTheme="minorEastAsia" w:eastAsiaTheme="minorEastAsia" w:hAnsiTheme="minorEastAsia" w:cstheme="minorEastAsia" w:hint="eastAsia"/>
                <w:color w:val="auto"/>
                <w:sz w:val="21"/>
                <w:szCs w:val="21"/>
              </w:rPr>
              <w:br/>
            </w:r>
            <w:r>
              <w:rPr>
                <w:rFonts w:asciiTheme="minorEastAsia" w:eastAsiaTheme="minorEastAsia" w:hAnsiTheme="minorEastAsia" w:cstheme="minorEastAsia" w:hint="eastAsia"/>
                <w:color w:val="auto"/>
                <w:sz w:val="21"/>
                <w:szCs w:val="21"/>
              </w:rPr>
              <w:t>①实验资源库类；</w:t>
            </w:r>
            <w:r>
              <w:rPr>
                <w:rFonts w:asciiTheme="minorEastAsia" w:eastAsiaTheme="minorEastAsia" w:hAnsiTheme="minorEastAsia" w:cstheme="minorEastAsia" w:hint="eastAsia"/>
                <w:color w:val="auto"/>
                <w:sz w:val="21"/>
                <w:szCs w:val="21"/>
              </w:rPr>
              <w:br/>
            </w:r>
            <w:r>
              <w:rPr>
                <w:rFonts w:asciiTheme="minorEastAsia" w:eastAsiaTheme="minorEastAsia" w:hAnsiTheme="minorEastAsia" w:cstheme="minorEastAsia" w:hint="eastAsia"/>
                <w:color w:val="auto"/>
                <w:sz w:val="21"/>
                <w:szCs w:val="21"/>
              </w:rPr>
              <w:t>②双流视频类；</w:t>
            </w:r>
            <w:r>
              <w:rPr>
                <w:rFonts w:asciiTheme="minorEastAsia" w:eastAsiaTheme="minorEastAsia" w:hAnsiTheme="minorEastAsia" w:cstheme="minorEastAsia" w:hint="eastAsia"/>
                <w:color w:val="auto"/>
                <w:sz w:val="21"/>
                <w:szCs w:val="21"/>
              </w:rPr>
              <w:br/>
            </w:r>
            <w:r>
              <w:rPr>
                <w:rFonts w:asciiTheme="minorEastAsia" w:eastAsiaTheme="minorEastAsia" w:hAnsiTheme="minorEastAsia" w:cstheme="minorEastAsia" w:hint="eastAsia"/>
                <w:color w:val="auto"/>
                <w:sz w:val="21"/>
                <w:szCs w:val="21"/>
              </w:rPr>
              <w:t>③互动示教类；</w:t>
            </w:r>
            <w:r>
              <w:rPr>
                <w:rFonts w:asciiTheme="minorEastAsia" w:eastAsiaTheme="minorEastAsia" w:hAnsiTheme="minorEastAsia" w:cstheme="minorEastAsia" w:hint="eastAsia"/>
                <w:color w:val="auto"/>
                <w:sz w:val="21"/>
                <w:szCs w:val="21"/>
              </w:rPr>
              <w:br/>
            </w:r>
            <w:r>
              <w:rPr>
                <w:rFonts w:asciiTheme="minorEastAsia" w:eastAsiaTheme="minorEastAsia" w:hAnsiTheme="minorEastAsia" w:cstheme="minorEastAsia" w:hint="eastAsia"/>
                <w:color w:val="auto"/>
                <w:sz w:val="21"/>
                <w:szCs w:val="21"/>
              </w:rPr>
              <w:t>④实训实操测评类；</w:t>
            </w:r>
            <w:r>
              <w:rPr>
                <w:rFonts w:asciiTheme="minorEastAsia" w:eastAsiaTheme="minorEastAsia" w:hAnsiTheme="minorEastAsia" w:cstheme="minorEastAsia" w:hint="eastAsia"/>
                <w:color w:val="auto"/>
                <w:sz w:val="21"/>
                <w:szCs w:val="21"/>
              </w:rPr>
              <w:br/>
            </w:r>
            <w:r>
              <w:rPr>
                <w:rFonts w:asciiTheme="minorEastAsia" w:eastAsiaTheme="minorEastAsia" w:hAnsiTheme="minorEastAsia" w:cstheme="minorEastAsia" w:hint="eastAsia"/>
                <w:color w:val="auto"/>
                <w:sz w:val="21"/>
                <w:szCs w:val="21"/>
              </w:rPr>
              <w:t>以上同一类中提供</w:t>
            </w:r>
            <w:r>
              <w:rPr>
                <w:rFonts w:asciiTheme="minorEastAsia" w:eastAsiaTheme="minorEastAsia" w:hAnsiTheme="minorEastAsia" w:cstheme="minorEastAsia" w:hint="eastAsia"/>
                <w:sz w:val="21"/>
                <w:szCs w:val="21"/>
              </w:rPr>
              <w:t>多个证书的不重复计分。</w:t>
            </w:r>
            <w:r>
              <w:rPr>
                <w:rFonts w:asciiTheme="minorEastAsia" w:eastAsiaTheme="minorEastAsia" w:hAnsiTheme="minorEastAsia" w:cstheme="minorEastAsia" w:hint="eastAsia"/>
                <w:sz w:val="21"/>
                <w:szCs w:val="21"/>
              </w:rPr>
              <w:br/>
            </w:r>
            <w:r>
              <w:rPr>
                <w:rFonts w:asciiTheme="minorEastAsia" w:eastAsiaTheme="minorEastAsia" w:hAnsiTheme="minorEastAsia" w:cstheme="minorEastAsia" w:hint="eastAsia"/>
                <w:color w:val="0000FF"/>
                <w:sz w:val="21"/>
                <w:szCs w:val="21"/>
              </w:rPr>
              <w:t>（二）评分依据：</w:t>
            </w:r>
            <w:r>
              <w:rPr>
                <w:rFonts w:asciiTheme="minorEastAsia" w:eastAsiaTheme="minorEastAsia" w:hAnsiTheme="minorEastAsia" w:cstheme="minorEastAsia" w:hint="eastAsia"/>
                <w:color w:val="0000FF"/>
                <w:sz w:val="21"/>
                <w:szCs w:val="21"/>
              </w:rPr>
              <w:br/>
            </w:r>
            <w:r>
              <w:rPr>
                <w:rFonts w:asciiTheme="minorEastAsia" w:eastAsiaTheme="minorEastAsia" w:hAnsiTheme="minorEastAsia" w:cstheme="minorEastAsia" w:hint="eastAsia"/>
                <w:color w:val="0000FF"/>
                <w:sz w:val="21"/>
                <w:szCs w:val="21"/>
              </w:rPr>
              <w:t>1、提供：①国家版权局颁发的相关计算机软件著作权登记证书扫描件；②中国版权保护中心（https://register.ccopyright.com.cn/query.html）计算机软件著作权登记公告检索截图；</w:t>
            </w:r>
            <w:r>
              <w:rPr>
                <w:rFonts w:asciiTheme="minorEastAsia" w:eastAsiaTheme="minorEastAsia" w:hAnsiTheme="minorEastAsia" w:cstheme="minorEastAsia" w:hint="eastAsia"/>
                <w:color w:val="0000FF"/>
                <w:sz w:val="21"/>
                <w:szCs w:val="21"/>
              </w:rPr>
              <w:br/>
            </w:r>
            <w:r>
              <w:rPr>
                <w:rFonts w:asciiTheme="minorEastAsia" w:eastAsiaTheme="minorEastAsia" w:hAnsiTheme="minorEastAsia" w:cstheme="minorEastAsia" w:hint="eastAsia"/>
                <w:color w:val="0000FF"/>
                <w:sz w:val="21"/>
                <w:szCs w:val="21"/>
              </w:rPr>
              <w:t>2、未按要求提供相关证明材料（或相关证明材料无法判断是否符合评分要求）的不计得分，原件备查。</w:t>
            </w:r>
          </w:p>
        </w:tc>
      </w:tr>
      <w:tr>
        <w:tblPrEx>
          <w:tblW w:w="9072" w:type="dxa"/>
          <w:tblInd w:w="0" w:type="dxa"/>
          <w:shd w:val="clear" w:color="auto" w:fill="FFFFFF"/>
          <w:tblCellMar>
            <w:top w:w="20" w:type="dxa"/>
            <w:left w:w="108" w:type="dxa"/>
            <w:bottom w:w="20" w:type="dxa"/>
            <w:right w:w="108" w:type="dxa"/>
          </w:tblCellMar>
        </w:tblPrEx>
        <w:tc>
          <w:tcPr>
            <w:tcW w:w="627" w:type="dxa"/>
            <w:vMerge w:val="restart"/>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4</w:t>
            </w:r>
          </w:p>
        </w:tc>
        <w:tc>
          <w:tcPr>
            <w:tcW w:w="308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其他部分</w:t>
            </w:r>
          </w:p>
        </w:tc>
        <w:tc>
          <w:tcPr>
            <w:tcW w:w="5362"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5</w:t>
            </w:r>
          </w:p>
        </w:tc>
      </w:tr>
      <w:tr>
        <w:tblPrEx>
          <w:tblW w:w="9072" w:type="dxa"/>
          <w:tblInd w:w="0" w:type="dxa"/>
          <w:shd w:val="clear" w:color="auto" w:fill="FFFFFF"/>
          <w:tblCellMar>
            <w:top w:w="20" w:type="dxa"/>
            <w:left w:w="108" w:type="dxa"/>
            <w:bottom w:w="20" w:type="dxa"/>
            <w:right w:w="108" w:type="dxa"/>
          </w:tblCellMar>
        </w:tblPrEx>
        <w:tc>
          <w:tcPr>
            <w:tcW w:w="627"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序号</w:t>
            </w:r>
          </w:p>
        </w:tc>
        <w:tc>
          <w:tcPr>
            <w:tcW w:w="148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评分因素</w:t>
            </w:r>
          </w:p>
        </w:tc>
        <w:tc>
          <w:tcPr>
            <w:tcW w:w="1004"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权重（%）</w:t>
            </w:r>
          </w:p>
        </w:tc>
        <w:tc>
          <w:tcPr>
            <w:tcW w:w="536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评分准则</w:t>
            </w:r>
          </w:p>
        </w:tc>
      </w:tr>
      <w:tr>
        <w:tblPrEx>
          <w:tblW w:w="9072" w:type="dxa"/>
          <w:tblInd w:w="0" w:type="dxa"/>
          <w:shd w:val="clear" w:color="auto" w:fill="FFFFFF"/>
          <w:tblCellMar>
            <w:top w:w="20" w:type="dxa"/>
            <w:left w:w="108" w:type="dxa"/>
            <w:bottom w:w="20" w:type="dxa"/>
            <w:right w:w="108" w:type="dxa"/>
          </w:tblCellMar>
        </w:tblPrEx>
        <w:tc>
          <w:tcPr>
            <w:tcW w:w="627"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b/>
                <w:bCs/>
                <w:sz w:val="21"/>
                <w:szCs w:val="21"/>
                <w:highlight w:val="none"/>
              </w:rPr>
            </w:pPr>
          </w:p>
        </w:tc>
        <w:tc>
          <w:tcPr>
            <w:tcW w:w="597"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1</w:t>
            </w:r>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诚信情况</w:t>
            </w:r>
          </w:p>
        </w:tc>
        <w:tc>
          <w:tcPr>
            <w:tcW w:w="1004"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widowControl w:val="0"/>
              <w:kinsoku/>
              <w:wordWrap/>
              <w:overflowPunct/>
              <w:topLinePunct w:val="0"/>
              <w:bidi w:val="0"/>
              <w:snapToGrid w:val="0"/>
              <w:spacing w:line="320" w:lineRule="exact"/>
              <w:jc w:val="center"/>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5</w:t>
            </w:r>
          </w:p>
        </w:tc>
        <w:tc>
          <w:tcPr>
            <w:tcW w:w="5362"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val="0"/>
              <w:kinsoku/>
              <w:wordWrap/>
              <w:overflowPunct/>
              <w:topLinePunct w:val="0"/>
              <w:bidi w:val="0"/>
              <w:snapToGrid w:val="0"/>
              <w:spacing w:line="320" w:lineRule="exact"/>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Pr>
        <w:snapToGrid w:val="0"/>
      </w:pPr>
    </w:p>
    <w:p>
      <w:pPr>
        <w:snapToGrid w:val="0"/>
      </w:pPr>
    </w:p>
    <w:p/>
    <w:p>
      <w:pPr>
        <w:jc w:val="center"/>
        <w:rPr>
          <w:b/>
          <w:sz w:val="84"/>
          <w:szCs w:val="84"/>
        </w:rPr>
      </w:pPr>
    </w:p>
    <w:p>
      <w:pPr>
        <w:jc w:val="center"/>
        <w:rPr>
          <w:b/>
          <w:sz w:val="84"/>
          <w:szCs w:val="84"/>
        </w:rPr>
      </w:pPr>
    </w:p>
    <w:p>
      <w:pPr>
        <w:jc w:val="center"/>
        <w:rPr>
          <w:b/>
          <w:sz w:val="84"/>
          <w:szCs w:val="84"/>
        </w:rPr>
      </w:pPr>
    </w:p>
    <w:p>
      <w:pPr>
        <w:rPr>
          <w:rFonts w:hint="eastAsia"/>
          <w:b/>
          <w:sz w:val="120"/>
          <w:szCs w:val="120"/>
        </w:rPr>
      </w:pPr>
      <w:r>
        <w:rPr>
          <w:rFonts w:hint="eastAsia"/>
          <w:b/>
          <w:sz w:val="120"/>
          <w:szCs w:val="120"/>
        </w:rPr>
        <w:br w:type="page"/>
      </w: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Pr>
        <w:jc w:val="center"/>
        <w:rPr>
          <w:b/>
          <w:sz w:val="44"/>
          <w:szCs w:val="44"/>
        </w:rPr>
      </w:pPr>
      <w:r>
        <w:rPr>
          <w:rFonts w:ascii="宋体" w:hAnsi="宋体" w:hint="eastAsia"/>
          <w:b/>
          <w:sz w:val="44"/>
          <w:szCs w:val="44"/>
        </w:rPr>
        <w:t>深圳公共资源交易中心</w:t>
      </w:r>
    </w:p>
    <w:p>
      <w:pPr>
        <w:jc w:val="center"/>
        <w:rPr>
          <w:b/>
          <w:sz w:val="44"/>
          <w:szCs w:val="44"/>
        </w:rPr>
      </w:pPr>
      <w:r>
        <w:rPr>
          <w:rFonts w:ascii="宋体" w:hAnsi="宋体"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ascii="宋体" w:hAnsi="宋体" w:hint="eastAsia"/>
          <w:b/>
          <w:sz w:val="44"/>
          <w:szCs w:val="44"/>
        </w:rPr>
        <w:t>）</w:t>
      </w:r>
    </w:p>
    <w:p>
      <w:pPr>
        <w:ind w:firstLine="2730" w:firstLineChars="1300"/>
        <w:jc w:val="center"/>
        <w:rPr>
          <w:bCs/>
          <w:color w:val="FF0000"/>
        </w:rPr>
      </w:pPr>
      <w:r>
        <w:br w:type="page"/>
      </w:r>
    </w:p>
    <w:p>
      <w:pPr>
        <w:keepNext w:val="0"/>
        <w:keepLines w:val="0"/>
        <w:pageBreakBefore w:val="0"/>
        <w:widowControl w:val="0"/>
        <w:kinsoku/>
        <w:wordWrap/>
        <w:overflowPunct/>
        <w:topLinePunct w:val="0"/>
        <w:autoSpaceDE/>
        <w:autoSpaceDN/>
        <w:bidi w:val="0"/>
        <w:adjustRightInd/>
        <w:snapToGrid/>
        <w:ind w:firstLine="2730" w:firstLineChars="1300"/>
        <w:textAlignment w:val="auto"/>
        <w:outlineLvl w:val="0"/>
        <w:rPr>
          <w:rFonts w:ascii="宋体" w:hAnsi="宋体"/>
          <w:color w:val="FF0000"/>
          <w:szCs w:val="21"/>
        </w:rPr>
      </w:pPr>
      <w:bookmarkStart w:id="2" w:name="_Hlk73564573"/>
      <w:r>
        <w:rPr>
          <w:rFonts w:ascii="宋体" w:eastAsia="黑体" w:hAnsi="宋体" w:hint="eastAsia"/>
          <w:b/>
          <w:bCs/>
          <w:color w:val="FF0000"/>
          <w:kern w:val="44"/>
          <w:sz w:val="28"/>
          <w:szCs w:val="44"/>
        </w:rPr>
        <w:t>警示条款</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w:t>
      </w:r>
      <w:r>
        <w:rPr>
          <w:rFonts w:asciiTheme="minorEastAsia" w:eastAsiaTheme="minorEastAsia" w:hAnsiTheme="minorEastAsia" w:cstheme="minorEastAsia" w:hint="eastAsia"/>
          <w:b/>
          <w:bCs/>
          <w:color w:val="FF0000"/>
          <w:sz w:val="21"/>
          <w:szCs w:val="21"/>
        </w:rPr>
        <w:t>《深圳经济特区政府采购条例》第五十七条</w:t>
      </w:r>
      <w:r>
        <w:rPr>
          <w:rFonts w:asciiTheme="minorEastAsia" w:eastAsiaTheme="minorEastAsia" w:hAnsiTheme="minorEastAsia" w:cstheme="minorEastAsia" w:hint="eastAsia"/>
          <w:color w:val="FF0000"/>
          <w:sz w:val="21"/>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（一）在采购活动中应当回避而未回避的；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（二）未按本条例规定签订、履行采购合同，造成严重后果的；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（三）隐瞒真实情况，提供虚假资料的；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（四）以非法手段排斥其他供应商参与竞争的；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（五）与其他采购参加人串通投标的；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（六）恶意投诉的；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（七）向采购项目相关人行贿或者提供其他不当利益的；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（八）阻碍、抗拒主管部门监督检查的；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（九）其他违反本条例规定的行为。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二、《深圳经济特区政府采购条例实施细则》第七十五条 </w:t>
      </w:r>
      <w:r>
        <w:rPr>
          <w:rFonts w:asciiTheme="minorEastAsia" w:eastAsiaTheme="minorEastAsia" w:hAnsiTheme="minorEastAsia" w:cstheme="minorEastAsia" w:hint="eastAsia"/>
          <w:color w:val="FF0000"/>
          <w:sz w:val="21"/>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三、《深圳经济特区政府采购条例实施细则》第七十七条 </w:t>
      </w:r>
      <w:r>
        <w:rPr>
          <w:rFonts w:asciiTheme="minorEastAsia" w:eastAsiaTheme="minorEastAsia" w:hAnsiTheme="minorEastAsia" w:cstheme="minorEastAsia" w:hint="eastAsia"/>
          <w:color w:val="FF0000"/>
          <w:sz w:val="21"/>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投标供应商不能提供项目负责人或者主要技术人员的劳动合同、社会保险等劳动关系证明材料的，视为存在前款第（三）项规定的情形。</w:t>
      </w:r>
      <w:bookmarkEnd w:id="2"/>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color w:val="FF0000"/>
          <w:sz w:val="21"/>
          <w:szCs w:val="21"/>
        </w:rPr>
      </w:pPr>
      <w:r>
        <w:rPr>
          <w:rFonts w:asciiTheme="minorEastAsia" w:eastAsiaTheme="minorEastAsia" w:hAnsiTheme="minorEastAsia" w:cstheme="minorEastAsia" w:hint="eastAsia"/>
          <w:b/>
          <w:color w:val="FF0000"/>
          <w:sz w:val="21"/>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书用于对供应商违法行为的警示，不作为供应商资格性审查及符合性审查条件。</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为避免出现不同供应商投标文件的文件制作机器码、文件创建标识码、IP 地址一致的异常情况，建议各供应商编制、上传投标文件时不要使用公共电脑设备或公共网络。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napToGrid w:val="0"/>
        <w:spacing w:line="360" w:lineRule="exact"/>
        <w:jc w:val="left"/>
        <w:rPr>
          <w:rFonts w:ascii="宋体" w:eastAsia="宋体" w:hAnsi="宋体" w:cs="宋体"/>
          <w:color w:val="000000"/>
          <w:kern w:val="0"/>
          <w:sz w:val="24"/>
          <w:szCs w:val="24"/>
        </w:rPr>
      </w:pPr>
    </w:p>
    <w:p>
      <w:pPr>
        <w:snapToGrid w:val="0"/>
        <w:spacing w:line="360" w:lineRule="exact"/>
        <w:jc w:val="left"/>
        <w:rPr>
          <w:rFonts w:ascii="宋体" w:eastAsia="宋体" w:hAnsi="宋体" w:cs="宋体"/>
          <w:color w:val="000000"/>
          <w:kern w:val="0"/>
          <w:sz w:val="24"/>
          <w:szCs w:val="24"/>
        </w:rPr>
      </w:pP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   录</w:t>
      </w:r>
    </w:p>
    <w:p>
      <w:pPr>
        <w:rPr>
          <w:b/>
          <w:sz w:val="24"/>
          <w:szCs w:val="24"/>
        </w:rPr>
      </w:pPr>
      <w:r>
        <w:rPr>
          <w:rFonts w:hint="eastAsia"/>
          <w:b/>
          <w:sz w:val="24"/>
          <w:szCs w:val="24"/>
        </w:rPr>
        <w:t>第一册  专用条款</w:t>
      </w:r>
    </w:p>
    <w:p>
      <w:pPr>
        <w:ind w:left="630" w:firstLine="412" w:leftChars="300" w:firstLineChars="196"/>
        <w:rPr>
          <w:rFonts w:ascii="宋体" w:hAnsi="宋体"/>
          <w:szCs w:val="21"/>
        </w:rPr>
      </w:pPr>
      <w:r>
        <w:rPr>
          <w:rFonts w:ascii="宋体" w:hAnsi="宋体" w:hint="eastAsia"/>
          <w:szCs w:val="21"/>
        </w:rPr>
        <w:tab/>
      </w:r>
      <w:r>
        <w:rPr>
          <w:rFonts w:ascii="宋体" w:hAnsi="宋体" w:hint="eastAsia"/>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412" w:leftChars="300" w:firstLineChars="196"/>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412" w:leftChars="300" w:firstLineChars="196"/>
        <w:rPr>
          <w:rFonts w:ascii="宋体" w:hAnsi="宋体"/>
          <w:szCs w:val="21"/>
        </w:rPr>
      </w:pPr>
      <w:r>
        <w:rPr>
          <w:rFonts w:ascii="宋体" w:hAnsi="宋体" w:hint="eastAsia"/>
          <w:szCs w:val="21"/>
        </w:rPr>
        <w:t>第五章  合同条款及格式</w:t>
      </w:r>
    </w:p>
    <w:p>
      <w:pPr>
        <w:rPr>
          <w:b/>
          <w:sz w:val="24"/>
        </w:rPr>
      </w:pPr>
    </w:p>
    <w:p>
      <w:pPr>
        <w:rPr>
          <w:b/>
          <w:sz w:val="24"/>
          <w:szCs w:val="24"/>
        </w:rPr>
      </w:pPr>
      <w:r>
        <w:rPr>
          <w:rFonts w:hint="eastAsia"/>
          <w:b/>
          <w:sz w:val="24"/>
          <w:szCs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r>
        <w:rPr>
          <w:rFonts w:hint="eastAsia"/>
        </w:rPr>
        <w:t xml:space="preserve">          第十一章  质疑处理</w:t>
      </w:r>
    </w:p>
    <w:p/>
    <w:p/>
    <w:p>
      <w:pPr>
        <w:widowControl/>
        <w:jc w:val="left"/>
      </w:pPr>
      <w:r>
        <w:br w:type="page"/>
      </w:r>
    </w:p>
    <w:p>
      <w:pPr>
        <w:pStyle w:val="Heading1"/>
        <w:spacing w:after="78"/>
        <w:jc w:val="center"/>
        <w:rPr>
          <w:sz w:val="32"/>
          <w:szCs w:val="32"/>
        </w:rPr>
      </w:pPr>
      <w:r>
        <w:rPr>
          <w:rFonts w:hint="eastAsia"/>
          <w:sz w:val="32"/>
          <w:szCs w:val="32"/>
        </w:rPr>
        <w:t>第一册  专用条款</w:t>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pPr>
        <w:snapToGrid w:val="0"/>
        <w:spacing w:line="300" w:lineRule="exact"/>
        <w:rPr>
          <w:rFonts w:ascii="Arial" w:eastAsia="宋体" w:hAnsi="Arial" w:cs="Times New Roman"/>
          <w:sz w:val="28"/>
          <w:szCs w:val="28"/>
        </w:rPr>
      </w:pPr>
      <w:r>
        <w:rPr>
          <w:rFonts w:ascii="Arial" w:eastAsia="宋体" w:hAnsi="Arial" w:cs="Times New Roman" w:hint="eastAsia"/>
          <w:b/>
          <w:bCs/>
          <w:sz w:val="28"/>
          <w:szCs w:val="28"/>
        </w:rPr>
        <w:t>申请人的资格要求：</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2）本项目不接受联合体投标</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不接受投标人选用进口产品参与投标。</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3</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参与本项目政府采购活动时不存在被有关部门禁止参与政府采购活动且在有效期内的情况（由供应商在《政府采购投标及履约承诺函》中作出声明）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具备《中华人民共和国政府采购法》第二十二条第一款的条件（由供应商在《政府采购投标及履约承诺函》中作出声明）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未被列入失信被执行人、重大税收违法案件当事人名单、政府采购严重违法失信行为记录名单（由供应商在《政府采购投标及履约承诺函》中作出声明）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yellow"/>
          <w:lang w:val="en-US" w:eastAsia="zh-CN"/>
        </w:rPr>
      </w:pPr>
      <w:r>
        <w:rPr>
          <w:rFonts w:asciiTheme="minorEastAsia" w:eastAsiaTheme="minorEastAsia" w:hAnsiTheme="minorEastAsia" w:cstheme="minorEastAsia" w:hint="eastAsia"/>
          <w:bCs/>
          <w:sz w:val="24"/>
          <w:szCs w:val="24"/>
          <w:highlight w:val="none"/>
          <w:lang w:val="en-US" w:eastAsia="zh-CN"/>
        </w:rPr>
        <w:t>7</w:t>
      </w:r>
      <w:r>
        <w:rPr>
          <w:rFonts w:asciiTheme="minorEastAsia" w:eastAsiaTheme="minorEastAsia" w:hAnsiTheme="minorEastAsia" w:cstheme="minorEastAsia" w:hint="eastAsia"/>
          <w:bCs/>
          <w:sz w:val="24"/>
          <w:szCs w:val="24"/>
          <w:highlight w:val="none"/>
        </w:rPr>
        <w:t>）本项目是（否）专门面向中小企业采购：</w:t>
      </w:r>
      <w:r>
        <w:rPr>
          <w:rFonts w:asciiTheme="minorEastAsia" w:eastAsiaTheme="minorEastAsia" w:hAnsiTheme="minorEastAsia" w:cstheme="minorEastAsia" w:hint="eastAsia"/>
          <w:bCs/>
          <w:sz w:val="24"/>
          <w:szCs w:val="24"/>
          <w:highlight w:val="none"/>
          <w:lang w:val="en-US" w:eastAsia="zh-CN"/>
        </w:rPr>
        <w:t>否。</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注：</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（1）“信用中国”中“信用服务”栏的“重大税收违法失信主体”“失信被执行人”</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“中国政府采购网”中的“政府采购严重违法失信行为记录名单”</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“深圳信用网”以及“深圳市政府采购监管网”为供应商信用信息的查询渠道，相关信息以开标当日的查询结果为准；</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（2）供应商投标（上传投标文件）必须先行办理注册手续，具体请按照本公告“六、其他补充事宜”相关内容指引办理。</w:t>
      </w:r>
    </w:p>
    <w:p>
      <w:pPr>
        <w:snapToGrid w:val="0"/>
        <w:spacing w:line="300" w:lineRule="auto"/>
        <w:ind w:firstLine="420" w:firstLineChars="200"/>
        <w:rPr>
          <w:rFonts w:ascii="Arial" w:eastAsia="宋体" w:hAnsi="Arial" w:cs="Times New Roman"/>
          <w:sz w:val="24"/>
          <w:szCs w:val="24"/>
        </w:rPr>
      </w:pPr>
    </w:p>
    <w:p>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rPr>
          <w:rStyle w:val="Hyperlink"/>
          <w:b/>
          <w:sz w:val="30"/>
          <w:szCs w:val="30"/>
        </w:rPr>
        <w:fldChar w:fldCharType="end"/>
      </w:r>
      <w:r>
        <w:rPr>
          <w:rFonts w:hint="eastAsia"/>
          <w:b/>
          <w:color w:val="FF0000"/>
          <w:sz w:val="30"/>
          <w:szCs w:val="30"/>
        </w:rPr>
        <w:t>）</w:t>
      </w:r>
    </w:p>
    <w:p>
      <w:pPr>
        <w:spacing w:after="78" w:afterLines="25"/>
        <w:rPr>
          <w:rFonts w:ascii="Arial" w:eastAsia="宋体" w:hAnsi="Arial" w:cs="Times New Roman"/>
          <w:b/>
          <w:color w:val="FF0000"/>
          <w:sz w:val="30"/>
          <w:szCs w:val="30"/>
        </w:rPr>
      </w:pPr>
    </w:p>
    <w:p>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3" w:name="_Hlk71926094"/>
      <w:r>
        <w:rPr>
          <w:rFonts w:ascii="宋体" w:eastAsia="宋体" w:hAnsi="宋体" w:cs="Times New Roman" w:hint="eastAsia"/>
          <w:b/>
          <w:bCs/>
          <w:kern w:val="0"/>
          <w:sz w:val="28"/>
          <w:szCs w:val="28"/>
        </w:rPr>
        <w:t>对通用条款的补充内容及其他关键信息</w:t>
      </w:r>
      <w:bookmarkEnd w:id="3"/>
    </w:p>
    <w:p>
      <w:pPr>
        <w:keepNext/>
        <w:keepLines/>
        <w:adjustRightInd w:val="0"/>
        <w:spacing w:before="156" w:beforeLines="50" w:after="156" w:afterLines="50"/>
        <w:jc w:val="center"/>
        <w:textAlignment w:val="baseline"/>
        <w:outlineLvl w:val="2"/>
        <w:rPr>
          <w:rFonts w:ascii="宋体" w:eastAsia="宋体" w:hAnsi="宋体" w:cs="Times New Roman" w:hint="eastAsia"/>
          <w:b/>
          <w:bCs/>
          <w:kern w:val="0"/>
          <w:sz w:val="24"/>
          <w:szCs w:val="24"/>
        </w:rPr>
      </w:pPr>
      <w:bookmarkStart w:id="4" w:name="_Toc73517639"/>
      <w:bookmarkStart w:id="5" w:name="_Toc60560625"/>
      <w:bookmarkStart w:id="6" w:name="_Toc73521635"/>
      <w:bookmarkStart w:id="7" w:name="_Toc73521547"/>
      <w:bookmarkStart w:id="8" w:name="_Toc101074876"/>
      <w:bookmarkStart w:id="9" w:name="_Toc73518117"/>
      <w:bookmarkStart w:id="10" w:name="_Toc100052364"/>
      <w:bookmarkStart w:id="11" w:name="_Toc60631620"/>
      <w:r>
        <w:rPr>
          <w:rFonts w:ascii="宋体" w:eastAsia="宋体" w:hAnsi="宋体" w:cs="Times New Roman" w:hint="eastAsia"/>
          <w:b/>
          <w:bCs/>
          <w:kern w:val="0"/>
          <w:sz w:val="24"/>
          <w:szCs w:val="24"/>
        </w:rPr>
        <w:t>一、对通用条款的补充内容</w:t>
      </w:r>
    </w:p>
    <w:tbl>
      <w:tblPr>
        <w:tblStyle w:val="TableNormal"/>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1755" w:type="dxa"/>
            <w:vAlign w:val="center"/>
          </w:tcPr>
          <w:p>
            <w:pPr>
              <w:jc w:val="center"/>
              <w:rPr>
                <w:rFonts w:ascii="宋体" w:hAnsi="宋体"/>
                <w:b/>
                <w:bCs/>
              </w:rPr>
            </w:pPr>
            <w:r>
              <w:rPr>
                <w:rFonts w:ascii="宋体" w:hAnsi="宋体" w:hint="eastAsia"/>
                <w:b/>
                <w:bCs/>
              </w:rPr>
              <w:t>涉及事项</w:t>
            </w:r>
          </w:p>
        </w:tc>
        <w:tc>
          <w:tcPr>
            <w:tcW w:w="6795"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1755" w:type="dxa"/>
            <w:vAlign w:val="center"/>
          </w:tcPr>
          <w:p>
            <w:pPr>
              <w:jc w:val="center"/>
            </w:pPr>
            <w:r>
              <w:rPr>
                <w:rFonts w:hint="eastAsia"/>
              </w:rPr>
              <w:t>采购人</w:t>
            </w:r>
          </w:p>
        </w:tc>
        <w:tc>
          <w:tcPr>
            <w:tcW w:w="6795" w:type="dxa"/>
            <w:vAlign w:val="center"/>
          </w:tcPr>
          <w:p>
            <w:pPr>
              <w:jc w:val="left"/>
              <w:rPr>
                <w:rFonts w:ascii="宋体" w:hAnsi="宋体" w:eastAsiaTheme="minorEastAsia" w:hint="eastAsia"/>
                <w:lang w:eastAsia="zh-CN"/>
              </w:rPr>
            </w:pPr>
            <w:r>
              <w:rPr>
                <w:rFonts w:ascii="宋体" w:eastAsia="宋体" w:hAnsi="宋体" w:cs="Arial" w:hint="eastAsia"/>
                <w:b/>
                <w:szCs w:val="21"/>
                <w:lang w:eastAsia="zh-CN"/>
              </w:rPr>
              <w:t>深圳市宝安中学（集团）</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1755" w:type="dxa"/>
            <w:vAlign w:val="center"/>
          </w:tcPr>
          <w:p>
            <w:pPr>
              <w:jc w:val="center"/>
              <w:rPr>
                <w:rFonts w:ascii="宋体" w:hAnsi="宋体"/>
              </w:rPr>
            </w:pPr>
            <w:r>
              <w:rPr>
                <w:rFonts w:ascii="宋体" w:hAnsi="宋体" w:hint="eastAsia"/>
              </w:rPr>
              <w:t>政府集中采购机构</w:t>
            </w:r>
          </w:p>
        </w:tc>
        <w:tc>
          <w:tcPr>
            <w:tcW w:w="6795" w:type="dxa"/>
            <w:vAlign w:val="center"/>
          </w:tcPr>
          <w:p>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1755" w:type="dxa"/>
            <w:vAlign w:val="center"/>
          </w:tcPr>
          <w:p>
            <w:pPr>
              <w:jc w:val="center"/>
              <w:rPr>
                <w:rFonts w:ascii="宋体" w:hAnsi="宋体"/>
              </w:rPr>
            </w:pPr>
            <w:r>
              <w:rPr>
                <w:rFonts w:ascii="宋体" w:hAnsi="宋体" w:hint="eastAsia"/>
              </w:rPr>
              <w:t>联合体投标</w:t>
            </w:r>
          </w:p>
        </w:tc>
        <w:tc>
          <w:tcPr>
            <w:tcW w:w="6795" w:type="dxa"/>
            <w:vAlign w:val="center"/>
          </w:tcPr>
          <w:p>
            <w:pPr>
              <w:jc w:val="left"/>
              <w:rPr>
                <w:rFonts w:ascii="宋体" w:hAnsi="宋体" w:eastAsiaTheme="minorEastAsia" w:hint="default"/>
                <w:lang w:val="en-US" w:eastAsia="zh-CN"/>
              </w:rPr>
            </w:pPr>
            <w:r>
              <w:rPr>
                <w:rFonts w:ascii="宋体" w:hAnsi="宋体" w:hint="eastAsia"/>
                <w:lang w:val="en-US" w:eastAsia="zh-CN"/>
              </w:rPr>
              <w:t>详见本项目招标公告申请人的资格要求</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1755" w:type="dxa"/>
            <w:vAlign w:val="center"/>
          </w:tcPr>
          <w:p>
            <w:pPr>
              <w:jc w:val="center"/>
              <w:rPr>
                <w:rFonts w:ascii="宋体" w:hAnsi="宋体"/>
                <w:highlight w:val="none"/>
              </w:rPr>
            </w:pPr>
            <w:r>
              <w:rPr>
                <w:rFonts w:ascii="宋体" w:hAnsi="宋体" w:hint="eastAsia"/>
                <w:highlight w:val="none"/>
              </w:rPr>
              <w:t>踏勘现场</w:t>
            </w:r>
          </w:p>
        </w:tc>
        <w:tc>
          <w:tcPr>
            <w:tcW w:w="6795" w:type="dxa"/>
            <w:vAlign w:val="center"/>
          </w:tcPr>
          <w:p>
            <w:pPr>
              <w:pStyle w:val="CommentText"/>
              <w:rPr>
                <w:rFonts w:ascii="宋体" w:hAnsi="宋体"/>
                <w:highlight w:val="none"/>
              </w:rPr>
            </w:pPr>
            <w:r>
              <w:rPr>
                <w:rFonts w:hint="eastAsia"/>
                <w:highlight w:val="none"/>
                <w:lang w:val="en-US" w:eastAsia="zh-CN"/>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1755" w:type="dxa"/>
            <w:vAlign w:val="center"/>
          </w:tcPr>
          <w:p>
            <w:pPr>
              <w:jc w:val="center"/>
              <w:rPr>
                <w:rFonts w:ascii="宋体" w:hAnsi="宋体"/>
              </w:rPr>
            </w:pPr>
            <w:r>
              <w:rPr>
                <w:rFonts w:ascii="宋体" w:hAnsi="宋体" w:hint="eastAsia"/>
              </w:rPr>
              <w:t>标前会议</w:t>
            </w:r>
          </w:p>
        </w:tc>
        <w:tc>
          <w:tcPr>
            <w:tcW w:w="6795" w:type="dxa"/>
            <w:vAlign w:val="center"/>
          </w:tcPr>
          <w:p>
            <w:pPr>
              <w:jc w:val="left"/>
              <w:rPr>
                <w:rFonts w:ascii="宋体" w:hAnsi="宋体"/>
              </w:rPr>
            </w:pPr>
            <w:r>
              <w:rPr>
                <w:rFonts w:ascii="宋体" w:eastAsia="宋体" w:hAnsi="宋体" w:cs="Arial" w:hint="eastAsia"/>
                <w:szCs w:val="21"/>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pPr>
              <w:jc w:val="center"/>
              <w:rPr>
                <w:rFonts w:ascii="宋体" w:hAnsi="宋体"/>
              </w:rPr>
            </w:pPr>
            <w:r>
              <w:rPr>
                <w:rFonts w:ascii="宋体" w:hAnsi="宋体" w:hint="eastAsia"/>
              </w:rPr>
              <w:t>招标文件的澄清和修改</w:t>
            </w:r>
          </w:p>
        </w:tc>
        <w:tc>
          <w:tcPr>
            <w:tcW w:w="6795" w:type="dxa"/>
            <w:vAlign w:val="center"/>
          </w:tcPr>
          <w:p>
            <w:pPr>
              <w:jc w:val="left"/>
              <w:rPr>
                <w:rFonts w:ascii="宋体" w:hAnsi="宋体" w:eastAsiaTheme="minorEastAsia" w:hint="eastAsia"/>
                <w:lang w:eastAsia="zh-CN"/>
              </w:rPr>
            </w:pPr>
            <w:r>
              <w:rPr>
                <w:rFonts w:ascii="宋体" w:hAnsi="宋体" w:hint="eastAsia"/>
              </w:rPr>
              <w:t>对招标文件澄清/修改时间不晚于投标截止日三日前，投标人有义务在招标期间在政府集中采购机构网站浏览与本项目有关的澄清和修改信息</w:t>
            </w:r>
            <w:r>
              <w:rPr>
                <w:rFonts w:ascii="宋体" w:hAnsi="宋体" w:hint="eastAsia"/>
                <w:lang w:eastAsia="zh-CN"/>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1755" w:type="dxa"/>
            <w:vAlign w:val="center"/>
          </w:tcPr>
          <w:p>
            <w:pPr>
              <w:jc w:val="center"/>
              <w:rPr>
                <w:rFonts w:ascii="宋体" w:hAnsi="宋体"/>
              </w:rPr>
            </w:pPr>
            <w:r>
              <w:rPr>
                <w:rFonts w:ascii="宋体" w:hAnsi="宋体" w:hint="eastAsia"/>
              </w:rPr>
              <w:t>投标有效期</w:t>
            </w:r>
          </w:p>
        </w:tc>
        <w:tc>
          <w:tcPr>
            <w:tcW w:w="6795" w:type="dxa"/>
            <w:vAlign w:val="center"/>
          </w:tcPr>
          <w:p>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个日历日。</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1755" w:type="dxa"/>
            <w:vAlign w:val="center"/>
          </w:tcPr>
          <w:p>
            <w:pPr>
              <w:jc w:val="center"/>
              <w:rPr>
                <w:rFonts w:ascii="宋体" w:hAnsi="宋体"/>
              </w:rPr>
            </w:pPr>
            <w:r>
              <w:rPr>
                <w:rFonts w:ascii="宋体" w:hAnsi="宋体" w:hint="eastAsia"/>
              </w:rPr>
              <w:t>投标人的替代方案</w:t>
            </w:r>
          </w:p>
        </w:tc>
        <w:tc>
          <w:tcPr>
            <w:tcW w:w="6795" w:type="dxa"/>
            <w:vAlign w:val="center"/>
          </w:tcPr>
          <w:p>
            <w:pPr>
              <w:jc w:val="left"/>
              <w:rPr>
                <w:rFonts w:ascii="宋体" w:hAnsi="宋体"/>
              </w:rPr>
            </w:pPr>
            <w:r>
              <w:rPr>
                <w:rFonts w:ascii="宋体" w:hAnsi="宋体" w:hint="eastAsia"/>
                <w:lang w:val="en-US" w:eastAsia="zh-CN"/>
              </w:rPr>
              <w:t>不接受</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1755" w:type="dxa"/>
            <w:vAlign w:val="center"/>
          </w:tcPr>
          <w:p>
            <w:pPr>
              <w:jc w:val="center"/>
              <w:rPr>
                <w:rFonts w:ascii="宋体" w:hAnsi="宋体"/>
              </w:rPr>
            </w:pPr>
            <w:r>
              <w:rPr>
                <w:rFonts w:ascii="宋体" w:hAnsi="宋体" w:hint="eastAsia"/>
              </w:rPr>
              <w:t>投标文件的大小</w:t>
            </w:r>
          </w:p>
        </w:tc>
        <w:tc>
          <w:tcPr>
            <w:tcW w:w="6795" w:type="dxa"/>
            <w:vAlign w:val="center"/>
          </w:tcPr>
          <w:p>
            <w:pPr>
              <w:jc w:val="left"/>
              <w:rPr>
                <w:rFonts w:ascii="宋体" w:hAnsi="宋体"/>
              </w:rPr>
            </w:pPr>
            <w:r>
              <w:rPr>
                <w:rFonts w:ascii="宋体" w:eastAsia="宋体" w:hAnsi="宋体" w:cs="Arial" w:hint="eastAsia"/>
                <w:szCs w:val="21"/>
              </w:rPr>
              <w:t>投标文件大小不得超过 100MB</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1755" w:type="dxa"/>
            <w:vAlign w:val="center"/>
          </w:tcPr>
          <w:p>
            <w:pPr>
              <w:jc w:val="center"/>
              <w:rPr>
                <w:rFonts w:ascii="宋体" w:hAnsi="宋体"/>
              </w:rPr>
            </w:pPr>
            <w:bookmarkStart w:id="12" w:name="_Hlk71664860"/>
            <w:r>
              <w:rPr>
                <w:rFonts w:ascii="宋体" w:hAnsi="宋体" w:hint="eastAsia"/>
              </w:rPr>
              <w:t>样品、现场演示、方案讲解</w:t>
            </w:r>
            <w:bookmarkEnd w:id="12"/>
          </w:p>
        </w:tc>
        <w:tc>
          <w:tcPr>
            <w:tcW w:w="6795" w:type="dxa"/>
            <w:vAlign w:val="center"/>
          </w:tcPr>
          <w:p>
            <w:pPr>
              <w:jc w:val="left"/>
              <w:rPr>
                <w:rFonts w:ascii="宋体" w:hAnsi="宋体"/>
              </w:rPr>
            </w:pPr>
            <w:r>
              <w:rPr>
                <w:rFonts w:ascii="宋体" w:hAnsi="宋体" w:hint="eastAsia"/>
              </w:rPr>
              <w:t>不要求提供样品；不组织现场演示；不组织方案讲解。</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1755" w:type="dxa"/>
            <w:vAlign w:val="center"/>
          </w:tcPr>
          <w:p>
            <w:pPr>
              <w:jc w:val="center"/>
              <w:rPr>
                <w:rFonts w:ascii="宋体" w:hAnsi="宋体"/>
              </w:rPr>
            </w:pPr>
            <w:r>
              <w:rPr>
                <w:rFonts w:ascii="宋体" w:hAnsi="宋体" w:hint="eastAsia"/>
              </w:rPr>
              <w:t>评审方法</w:t>
            </w:r>
          </w:p>
        </w:tc>
        <w:tc>
          <w:tcPr>
            <w:tcW w:w="6795" w:type="dxa"/>
            <w:vAlign w:val="center"/>
          </w:tcPr>
          <w:p>
            <w:pPr>
              <w:jc w:val="left"/>
              <w:rPr>
                <w:rFonts w:ascii="宋体" w:hAnsi="宋体"/>
              </w:rPr>
            </w:pPr>
            <w:r>
              <w:rPr>
                <w:rFonts w:ascii="宋体" w:hAnsi="宋体"/>
                <w:b/>
                <w:bCs/>
              </w:rPr>
              <w:t>综合评分法</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1755" w:type="dxa"/>
            <w:vAlign w:val="center"/>
          </w:tcPr>
          <w:p>
            <w:pPr>
              <w:jc w:val="center"/>
              <w:rPr>
                <w:rFonts w:ascii="宋体" w:hAnsi="宋体"/>
                <w:highlight w:val="none"/>
              </w:rPr>
            </w:pPr>
            <w:r>
              <w:rPr>
                <w:rFonts w:ascii="宋体" w:hAnsi="宋体" w:hint="eastAsia"/>
                <w:highlight w:val="none"/>
              </w:rPr>
              <w:t>定标方法</w:t>
            </w:r>
          </w:p>
        </w:tc>
        <w:tc>
          <w:tcPr>
            <w:tcW w:w="6795" w:type="dxa"/>
            <w:vAlign w:val="center"/>
          </w:tcPr>
          <w:p>
            <w:pPr>
              <w:jc w:val="left"/>
              <w:rPr>
                <w:rFonts w:ascii="宋体" w:hAnsi="宋体" w:hint="eastAsia"/>
                <w:b/>
                <w:bCs/>
                <w:highlight w:val="none"/>
              </w:rPr>
            </w:pPr>
            <w:r>
              <w:rPr>
                <w:rFonts w:ascii="宋体" w:eastAsia="宋体" w:hAnsi="宋体" w:cs="Times New Roman" w:hint="eastAsia"/>
                <w:b/>
                <w:bCs/>
                <w:szCs w:val="21"/>
                <w:highlight w:val="none"/>
              </w:rPr>
              <w:t>非评定分离</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1755" w:type="dxa"/>
            <w:vAlign w:val="center"/>
          </w:tcPr>
          <w:p>
            <w:pPr>
              <w:jc w:val="center"/>
              <w:rPr>
                <w:rFonts w:ascii="宋体" w:hAnsi="宋体"/>
                <w:highlight w:val="none"/>
              </w:rPr>
            </w:pPr>
            <w:r>
              <w:rPr>
                <w:rFonts w:ascii="宋体" w:hAnsi="宋体" w:hint="eastAsia"/>
                <w:highlight w:val="none"/>
              </w:rPr>
              <w:t>履约担保</w:t>
            </w:r>
          </w:p>
        </w:tc>
        <w:tc>
          <w:tcPr>
            <w:tcW w:w="6795" w:type="dxa"/>
            <w:vAlign w:val="center"/>
          </w:tcPr>
          <w:p>
            <w:pPr>
              <w:jc w:val="left"/>
              <w:rPr>
                <w:rFonts w:ascii="宋体" w:hAnsi="宋体" w:eastAsiaTheme="minorEastAsia" w:hint="eastAsia"/>
                <w:highlight w:val="none"/>
                <w:lang w:val="en-US" w:eastAsia="zh-CN"/>
              </w:rPr>
            </w:pPr>
            <w:bookmarkEnd w:id="4"/>
            <w:bookmarkEnd w:id="5"/>
            <w:bookmarkEnd w:id="6"/>
            <w:bookmarkEnd w:id="7"/>
            <w:bookmarkEnd w:id="8"/>
            <w:bookmarkEnd w:id="9"/>
            <w:bookmarkEnd w:id="10"/>
            <w:bookmarkEnd w:id="11"/>
            <w:r>
              <w:rPr>
                <w:rFonts w:ascii="宋体" w:eastAsia="宋体" w:hAnsi="宋体" w:cs="Arial" w:hint="eastAsia"/>
                <w:color w:val="000000"/>
                <w:szCs w:val="21"/>
                <w:highlight w:val="none"/>
                <w:lang w:val="en-US" w:eastAsia="zh-CN"/>
              </w:rPr>
              <w:t>不需要</w:t>
            </w:r>
          </w:p>
        </w:tc>
      </w:tr>
    </w:tbl>
    <w:p>
      <w:pPr>
        <w:widowControl/>
        <w:jc w:val="center"/>
        <w:rPr>
          <w:szCs w:val="21"/>
        </w:rPr>
      </w:pPr>
      <w:r>
        <w:rPr>
          <w:rFonts w:hint="eastAsia"/>
          <w:szCs w:val="21"/>
        </w:rPr>
        <w:t>备注：本表是通用条款相关条款的补充和明确，如与通用条款内容相冲突的，以本表为准。</w:t>
      </w:r>
    </w:p>
    <w:p>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pPr>
        <w:tabs>
          <w:tab w:val="left" w:pos="720"/>
        </w:tabs>
        <w:rPr>
          <w:rFonts w:ascii="黑体" w:eastAsia="黑体" w:hAnsi="宋体" w:hint="eastAsia"/>
          <w:bCs/>
          <w:sz w:val="24"/>
          <w:lang w:val="en-US" w:eastAsia="zh-CN"/>
        </w:rPr>
      </w:pPr>
      <w:r>
        <w:rPr>
          <w:rFonts w:ascii="黑体" w:eastAsia="黑体" w:hAnsi="宋体" w:hint="eastAsia"/>
          <w:bCs/>
          <w:sz w:val="24"/>
          <w:lang w:val="en-US" w:eastAsia="zh-CN"/>
        </w:rPr>
        <w:t>1、评标定标信息</w:t>
      </w:r>
    </w:p>
    <w:p>
      <w:pPr>
        <w:tabs>
          <w:tab w:val="left" w:pos="720"/>
        </w:tabs>
        <w:jc w:val="center"/>
        <w:rPr>
          <w:rFonts w:eastAsiaTheme="minorEastAsia" w:hint="default"/>
          <w:lang w:val="en-US" w:eastAsia="zh-CN"/>
        </w:rPr>
      </w:pPr>
      <w:r>
        <w:rPr>
          <w:rFonts w:hint="eastAsia"/>
          <w:lang w:val="en-US" w:eastAsia="zh-CN"/>
        </w:rPr>
        <w:t>非评定分离项目</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64" w:type="dxa"/>
          </w:tcPr>
          <w:p>
            <w:pPr>
              <w:jc w:val="center"/>
            </w:pPr>
            <w:bookmarkStart w:id="13" w:name="_Hlk74239733"/>
            <w:r>
              <w:rPr>
                <w:rFonts w:hint="eastAsia"/>
              </w:rPr>
              <w:t>评标方法</w:t>
            </w:r>
          </w:p>
        </w:tc>
        <w:tc>
          <w:tcPr>
            <w:tcW w:w="4265" w:type="dxa"/>
          </w:tcPr>
          <w:p>
            <w:pPr>
              <w:jc w:val="center"/>
            </w:pPr>
            <w:r>
              <w:rPr>
                <w:rFonts w:hint="eastAsia"/>
              </w:rPr>
              <w:t>综合评分法</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候选中标供应商家数</w:t>
            </w:r>
          </w:p>
        </w:tc>
        <w:tc>
          <w:tcPr>
            <w:tcW w:w="4265" w:type="dxa"/>
          </w:tcPr>
          <w:p>
            <w:pPr>
              <w:jc w:val="center"/>
              <w:rPr>
                <w:rFonts w:eastAsiaTheme="minorEastAsia" w:hint="eastAsia"/>
                <w:highlight w:val="none"/>
                <w:lang w:eastAsia="zh-CN"/>
              </w:rPr>
            </w:pPr>
            <w:r>
              <w:rPr>
                <w:rFonts w:eastAsiaTheme="minorEastAsia" w:hint="eastAsia"/>
                <w:highlight w:val="none"/>
                <w:lang w:eastAsia="zh-CN"/>
              </w:rPr>
              <w:t>1</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中标供应商家数</w:t>
            </w:r>
          </w:p>
        </w:tc>
        <w:tc>
          <w:tcPr>
            <w:tcW w:w="4265" w:type="dxa"/>
          </w:tcPr>
          <w:p>
            <w:pPr>
              <w:jc w:val="center"/>
            </w:pPr>
            <w:r>
              <w:rPr>
                <w:rFonts w:hint="eastAsia"/>
              </w:rPr>
              <w:t>1</w:t>
            </w:r>
            <w:bookmarkEnd w:id="13"/>
          </w:p>
        </w:tc>
      </w:tr>
    </w:tbl>
    <w:p>
      <w:pPr>
        <w:tabs>
          <w:tab w:val="left" w:pos="720"/>
        </w:tabs>
        <w:rPr>
          <w:rFonts w:ascii="黑体" w:eastAsia="黑体" w:hAnsi="宋体" w:hint="eastAsia"/>
          <w:bCs/>
          <w:sz w:val="24"/>
          <w:lang w:val="en-US" w:eastAsia="zh-CN"/>
        </w:rPr>
      </w:pPr>
    </w:p>
    <w:p>
      <w:pPr>
        <w:tabs>
          <w:tab w:val="left" w:pos="720"/>
        </w:tabs>
        <w:rPr>
          <w:rFonts w:ascii="黑体" w:eastAsia="黑体" w:hAnsi="宋体"/>
          <w:bCs/>
          <w:sz w:val="24"/>
        </w:rPr>
      </w:pPr>
      <w:r>
        <w:rPr>
          <w:rFonts w:ascii="黑体" w:eastAsia="黑体" w:hAnsi="宋体" w:hint="eastAsia"/>
          <w:bCs/>
          <w:sz w:val="24"/>
          <w:lang w:val="en-US" w:eastAsia="zh-CN"/>
        </w:rPr>
        <w:t>2</w:t>
      </w:r>
      <w:r>
        <w:rPr>
          <w:rFonts w:ascii="黑体" w:eastAsia="黑体" w:hAnsi="宋体" w:hint="eastAsia"/>
          <w:bCs/>
          <w:sz w:val="24"/>
        </w:rPr>
        <w:t>、关于包组的定义</w:t>
      </w:r>
    </w:p>
    <w:p>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pPr>
        <w:tabs>
          <w:tab w:val="left" w:pos="720"/>
        </w:tabs>
        <w:rPr>
          <w:rFonts w:ascii="黑体" w:eastAsia="黑体" w:hAnsi="宋体"/>
          <w:sz w:val="24"/>
        </w:rPr>
      </w:pPr>
      <w:r>
        <w:rPr>
          <w:rFonts w:ascii="黑体" w:eastAsia="黑体" w:hAnsi="宋体" w:hint="eastAsia"/>
          <w:sz w:val="24"/>
          <w:lang w:val="en-US" w:eastAsia="zh-CN"/>
        </w:rPr>
        <w:t>3</w:t>
      </w:r>
      <w:r>
        <w:rPr>
          <w:rFonts w:ascii="黑体" w:eastAsia="黑体" w:hAnsi="宋体" w:hint="eastAsia"/>
          <w:sz w:val="24"/>
        </w:rPr>
        <w:t>、关于涉及采取随机抽取方式确定中标候选人（候选中标供应商）的规则</w:t>
      </w:r>
    </w:p>
    <w:p>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且同号的情况，则对同号的投标人重新摇签确定中签。抽签过程中遇抽签机器卡球的，被卡球方当轮重新抽签。</w:t>
      </w:r>
    </w:p>
    <w:p>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摇签确定入围。</w:t>
      </w:r>
    </w:p>
    <w:p>
      <w:pPr>
        <w:tabs>
          <w:tab w:val="left" w:pos="720"/>
        </w:tabs>
        <w:rPr>
          <w:rFonts w:ascii="黑体" w:eastAsia="黑体" w:hAnsi="宋体"/>
          <w:sz w:val="24"/>
        </w:rPr>
      </w:pPr>
    </w:p>
    <w:p>
      <w:pPr>
        <w:tabs>
          <w:tab w:val="left" w:pos="720"/>
        </w:tabs>
        <w:rPr>
          <w:rFonts w:ascii="黑体" w:eastAsia="黑体" w:hAnsi="宋体"/>
          <w:sz w:val="24"/>
        </w:rPr>
      </w:pPr>
      <w:r>
        <w:rPr>
          <w:rFonts w:ascii="黑体" w:eastAsia="黑体" w:hAnsi="宋体" w:hint="eastAsia"/>
          <w:sz w:val="24"/>
        </w:rPr>
        <w:t>（二）其他事项</w:t>
      </w:r>
    </w:p>
    <w:p>
      <w:pPr>
        <w:tabs>
          <w:tab w:val="left" w:pos="720"/>
        </w:tabs>
        <w:rPr>
          <w:rFonts w:ascii="黑体" w:eastAsia="黑体" w:hAnsi="宋体"/>
          <w:sz w:val="24"/>
        </w:rPr>
      </w:pPr>
      <w:r>
        <w:rPr>
          <w:rFonts w:ascii="黑体" w:eastAsia="黑体" w:hAnsi="宋体" w:hint="eastAsia"/>
          <w:sz w:val="24"/>
        </w:rPr>
        <w:t>1、关于享受优惠政策的主体及价格扣除比例</w:t>
      </w:r>
    </w:p>
    <w:p>
      <w:pPr>
        <w:ind w:firstLine="412" w:firstLineChars="196"/>
        <w:rPr>
          <w:rFonts w:ascii="Arial" w:eastAsia="宋体" w:hAnsi="Arial" w:cs="Times New Roman"/>
          <w:b/>
          <w:color w:val="0000FF"/>
          <w:szCs w:val="21"/>
          <w:highlight w:val="none"/>
        </w:rPr>
      </w:pPr>
      <w:r>
        <w:rPr>
          <w:rFonts w:ascii="宋体" w:hAnsi="宋体" w:hint="eastAsia"/>
        </w:rPr>
        <w:t>（1）投标人提供的货物（以招标文件用户需求书“货物</w:t>
      </w:r>
      <w:r>
        <w:rPr>
          <w:rFonts w:ascii="宋体" w:hAnsi="宋体" w:hint="eastAsia"/>
          <w:lang w:val="en-US" w:eastAsia="zh-CN"/>
        </w:rPr>
        <w:t>需求</w:t>
      </w:r>
      <w:r>
        <w:rPr>
          <w:rFonts w:ascii="宋体" w:hAnsi="宋体" w:hint="eastAsia"/>
        </w:rPr>
        <w:t>明细”的“货物名称”一栏为准）全部均由优惠主体制造的，对其投标</w:t>
      </w:r>
      <w:r>
        <w:rPr>
          <w:rFonts w:ascii="宋体" w:hAnsi="宋体" w:hint="eastAsia"/>
          <w:highlight w:val="none"/>
        </w:rPr>
        <w:t>总价给予</w:t>
      </w:r>
      <w:r>
        <w:rPr>
          <w:rFonts w:ascii="宋体" w:eastAsia="宋体" w:hAnsi="宋体" w:cs="Times New Roman" w:hint="eastAsia"/>
          <w:b/>
          <w:sz w:val="24"/>
          <w:szCs w:val="24"/>
          <w:highlight w:val="none"/>
          <w:u w:val="single"/>
        </w:rPr>
        <w:t>10%</w:t>
      </w:r>
      <w:r>
        <w:rPr>
          <w:rFonts w:ascii="宋体" w:hAnsi="宋体" w:hint="eastAsia"/>
          <w:highlight w:val="none"/>
        </w:rPr>
        <w:t>的扣除，用扣除后的价格参与评审。满足多项优惠政策的企业，不重复享受多项价格扣除政策。</w:t>
      </w:r>
      <w:r>
        <w:rPr>
          <w:rFonts w:ascii="Arial" w:eastAsia="宋体" w:hAnsi="Arial" w:cs="Times New Roman" w:hint="eastAsia"/>
          <w:b/>
          <w:strike w:val="0"/>
          <w:dstrike w:val="0"/>
          <w:szCs w:val="21"/>
          <w:highlight w:val="none"/>
        </w:rPr>
        <w:t>政策调整后价格仅作为评审依据，不作为中标价格。</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highlight w:val="none"/>
        </w:rPr>
        <w:t>备注：</w:t>
      </w:r>
      <w:r>
        <w:rPr>
          <w:rFonts w:asciiTheme="minorEastAsia" w:hAnsiTheme="minorEastAsia" w:cstheme="minorEastAsia" w:hint="eastAsia"/>
          <w:b/>
          <w:bCs/>
          <w:sz w:val="21"/>
          <w:szCs w:val="21"/>
          <w:highlight w:val="none"/>
          <w:lang w:eastAsia="zh-CN"/>
        </w:rPr>
        <w:t>（</w:t>
      </w:r>
      <w:r>
        <w:rPr>
          <w:rFonts w:asciiTheme="minorEastAsia" w:hAnsiTheme="minorEastAsia" w:cstheme="minorEastAsia" w:hint="eastAsia"/>
          <w:b/>
          <w:bCs/>
          <w:sz w:val="21"/>
          <w:szCs w:val="21"/>
          <w:highlight w:val="none"/>
          <w:lang w:val="en-US" w:eastAsia="zh-CN"/>
        </w:rPr>
        <w:t>a</w:t>
      </w:r>
      <w:r>
        <w:rPr>
          <w:rFonts w:asciiTheme="minorEastAsia" w:hAnsiTheme="minorEastAsia" w:cstheme="minorEastAsia" w:hint="eastAsia"/>
          <w:b/>
          <w:bCs/>
          <w:sz w:val="21"/>
          <w:szCs w:val="21"/>
          <w:highlight w:val="none"/>
          <w:lang w:eastAsia="zh-CN"/>
        </w:rPr>
        <w:t>）</w:t>
      </w:r>
      <w:r>
        <w:rPr>
          <w:rFonts w:asciiTheme="minorEastAsia" w:eastAsiaTheme="minorEastAsia" w:hAnsiTheme="minorEastAsia" w:cstheme="minorEastAsia" w:hint="eastAsia"/>
          <w:sz w:val="21"/>
          <w:szCs w:val="21"/>
          <w:highlight w:val="none"/>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w:t>
      </w:r>
      <w:r>
        <w:rPr>
          <w:rFonts w:asciiTheme="minorEastAsia" w:eastAsiaTheme="minorEastAsia" w:hAnsiTheme="minorEastAsia" w:cstheme="minorEastAsia" w:hint="eastAsia"/>
          <w:sz w:val="21"/>
          <w:szCs w:val="21"/>
        </w:rPr>
        <w:t>直接控股、管理关系的除外；符合中小企业划分标准的个体工商户，在政府采购活动中视同中小企业；</w:t>
      </w:r>
      <w:r>
        <w:rPr>
          <w:rFonts w:ascii="宋体" w:hAnsi="宋体" w:hint="eastAsia"/>
          <w:highlight w:val="none"/>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 w:val="21"/>
          <w:szCs w:val="21"/>
          <w:lang w:val="en-US" w:eastAsia="zh-CN"/>
        </w:rPr>
        <w:t>(b)</w:t>
      </w:r>
      <w:r>
        <w:rPr>
          <w:rFonts w:asciiTheme="minorEastAsia" w:eastAsiaTheme="minorEastAsia" w:hAnsiTheme="minorEastAsia" w:cstheme="minorEastAsia" w:hint="eastAsia"/>
          <w:sz w:val="21"/>
          <w:szCs w:val="21"/>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（2）根据《工业和信息化部、国家统计局、国家发展和改革委员会、财政部关于印发中小企业划型标准规定的通知》（工信部联企业〔2011〕300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《统计上大中小微型企业划分办法（2017）》（国统字〔2017〕213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kern w:val="0"/>
          <w:sz w:val="21"/>
          <w:szCs w:val="21"/>
        </w:rPr>
        <w:t>《金融业企业划型标准规定》</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kern w:val="0"/>
          <w:sz w:val="21"/>
          <w:szCs w:val="21"/>
        </w:rPr>
        <w:t>银发〔2015〕309号</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sz w:val="21"/>
          <w:szCs w:val="21"/>
        </w:rPr>
        <w:t>或国务院批准的其他中小企业划分标准文件，</w:t>
      </w:r>
      <w:bookmarkStart w:id="14" w:name="_Hlk71970739"/>
      <w:r>
        <w:rPr>
          <w:rFonts w:asciiTheme="minorEastAsia" w:eastAsiaTheme="minorEastAsia" w:hAnsiTheme="minorEastAsia" w:cstheme="minorEastAsia" w:hint="eastAsia"/>
          <w:sz w:val="21"/>
          <w:szCs w:val="21"/>
        </w:rPr>
        <w:t>本项目</w:t>
      </w:r>
      <w:bookmarkStart w:id="15" w:name="_Hlk71924718"/>
      <w:r>
        <w:rPr>
          <w:rFonts w:asciiTheme="minorEastAsia" w:eastAsiaTheme="minorEastAsia" w:hAnsiTheme="minorEastAsia" w:cstheme="minorEastAsia" w:hint="eastAsia"/>
          <w:sz w:val="21"/>
          <w:szCs w:val="21"/>
        </w:rPr>
        <w:t>采购标的（货物）对应的中小企业划分标准所属行业</w:t>
      </w:r>
      <w:bookmarkEnd w:id="15"/>
      <w:r>
        <w:rPr>
          <w:rFonts w:asciiTheme="minorEastAsia" w:eastAsiaTheme="minorEastAsia" w:hAnsiTheme="minorEastAsia" w:cstheme="minorEastAsia" w:hint="eastAsia"/>
          <w:sz w:val="21"/>
          <w:szCs w:val="21"/>
        </w:rPr>
        <w:t>为</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color w:val="FF0000"/>
          <w:sz w:val="24"/>
          <w:szCs w:val="24"/>
          <w:u w:val="single"/>
        </w:rPr>
        <w:t xml:space="preserve"> </w:t>
      </w:r>
      <w:r>
        <w:rPr>
          <w:rFonts w:asciiTheme="minorEastAsia" w:eastAsiaTheme="minorEastAsia" w:hAnsiTheme="minorEastAsia" w:cstheme="minorEastAsia" w:hint="eastAsia"/>
          <w:b/>
          <w:bCs/>
          <w:color w:val="FF0000"/>
          <w:sz w:val="24"/>
          <w:szCs w:val="24"/>
          <w:u w:val="single"/>
        </w:rPr>
        <w:t>软件和信息技术服务业</w:t>
      </w:r>
      <w:r>
        <w:rPr>
          <w:rFonts w:asciiTheme="minorEastAsia" w:eastAsiaTheme="minorEastAsia" w:hAnsiTheme="minorEastAsia" w:cstheme="minorEastAsia" w:hint="eastAsia"/>
          <w:sz w:val="21"/>
          <w:szCs w:val="21"/>
        </w:rPr>
        <w:t>。</w:t>
      </w:r>
      <w:bookmarkEnd w:id="14"/>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（4）享受价格扣除获得政府采购合同的，小微企业不得将合同分包给大中型企业。</w:t>
      </w:r>
    </w:p>
    <w:p>
      <w:pPr>
        <w:tabs>
          <w:tab w:val="left" w:pos="720"/>
        </w:tabs>
        <w:ind w:firstLine="420" w:firstLineChars="200"/>
        <w:rPr>
          <w:rFonts w:ascii="宋体" w:hAnsi="宋体"/>
          <w:bCs/>
        </w:rPr>
      </w:pPr>
    </w:p>
    <w:p>
      <w:pPr>
        <w:spacing w:line="360" w:lineRule="auto"/>
        <w:rPr>
          <w:rFonts w:ascii="宋体" w:eastAsia="宋体" w:hAnsi="宋体" w:cs="宋体"/>
          <w:b/>
          <w:bCs/>
          <w:szCs w:val="24"/>
        </w:rPr>
      </w:pPr>
      <w:r>
        <w:rPr>
          <w:rFonts w:ascii="宋体" w:eastAsia="宋体" w:hAnsi="宋体" w:cs="宋体" w:hint="eastAsia"/>
          <w:b/>
          <w:bCs/>
          <w:szCs w:val="24"/>
        </w:rPr>
        <w:t>2.关于政府采购订单融资政策</w:t>
      </w:r>
    </w:p>
    <w:p>
      <w:pPr>
        <w:ind w:firstLine="420" w:firstLineChars="200"/>
        <w:rPr>
          <w:rFonts w:ascii="宋体" w:eastAsia="宋体" w:hAnsi="宋体" w:cs="Times New Roman"/>
          <w:b/>
          <w:szCs w:val="24"/>
        </w:rPr>
      </w:pPr>
      <w:r>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tabs>
          <w:tab w:val="left" w:pos="720"/>
        </w:tabs>
        <w:rPr>
          <w:rFonts w:ascii="黑体" w:eastAsia="黑体" w:hAnsi="宋体"/>
          <w:sz w:val="24"/>
        </w:rPr>
      </w:pPr>
    </w:p>
    <w:p>
      <w:pPr>
        <w:tabs>
          <w:tab w:val="left" w:pos="720"/>
        </w:tabs>
        <w:rPr>
          <w:rFonts w:ascii="Arial" w:hAnsi="Arial" w:hint="eastAsia"/>
          <w:b/>
          <w:bCs/>
          <w:color w:val="FF0000"/>
        </w:rPr>
      </w:pPr>
      <w:r>
        <w:rPr>
          <w:rFonts w:ascii="Arial" w:hAnsi="Arial" w:hint="eastAsia"/>
          <w:b/>
          <w:bCs/>
          <w:color w:val="FF0000"/>
        </w:rPr>
        <w:t>3、本项目不向中标供应商收取代理服务费。</w:t>
      </w:r>
    </w:p>
    <w:p>
      <w:pPr>
        <w:widowControl/>
        <w:ind w:firstLine="420"/>
        <w:jc w:val="left"/>
        <w:rPr>
          <w:rFonts w:ascii="宋体" w:eastAsia="黑体" w:hAnsi="宋体" w:cs="Times New Roman"/>
          <w:bCs/>
          <w:kern w:val="44"/>
          <w:szCs w:val="21"/>
        </w:rPr>
      </w:pPr>
    </w:p>
    <w:p>
      <w:pPr>
        <w:widowControl/>
        <w:jc w:val="left"/>
        <w:rPr>
          <w:rFonts w:ascii="宋体" w:eastAsia="黑体" w:hAnsi="宋体" w:cs="Times New Roman"/>
          <w:bCs/>
          <w:kern w:val="44"/>
          <w:sz w:val="28"/>
          <w:szCs w:val="44"/>
        </w:rPr>
      </w:pPr>
      <w: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一、项目基本信息</w:t>
      </w:r>
    </w:p>
    <w:tbl>
      <w:tblPr>
        <w:tblStyle w:val="TableNormal"/>
        <w:tblW w:w="8931" w:type="dxa"/>
        <w:jc w:val="center"/>
        <w:tblLayout w:type="fixed"/>
        <w:tblCellMar>
          <w:top w:w="15" w:type="dxa"/>
          <w:left w:w="15" w:type="dxa"/>
          <w:bottom w:w="15" w:type="dxa"/>
          <w:right w:w="15" w:type="dxa"/>
        </w:tblCellMar>
      </w:tblPr>
      <w:tblGrid>
        <w:gridCol w:w="710"/>
        <w:gridCol w:w="2693"/>
        <w:gridCol w:w="2906"/>
        <w:gridCol w:w="2622"/>
      </w:tblGrid>
      <w:tr>
        <w:tblPrEx>
          <w:tblW w:w="8931" w:type="dxa"/>
          <w:jc w:val="center"/>
          <w:tblLayout w:type="fixed"/>
          <w:tblCellMar>
            <w:top w:w="15" w:type="dxa"/>
            <w:left w:w="15" w:type="dxa"/>
            <w:bottom w:w="15" w:type="dxa"/>
            <w:right w:w="15" w:type="dxa"/>
          </w:tblCellMar>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rPr>
            </w:pPr>
            <w:r>
              <w:rPr>
                <w:rFonts w:hint="eastAsia"/>
                <w:b w:val="0"/>
                <w:bCs w:val="0"/>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rPr>
            </w:pPr>
            <w:r>
              <w:rPr>
                <w:rFonts w:hint="eastAsia"/>
                <w:b w:val="0"/>
                <w:bCs w:val="0"/>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rPr>
            </w:pPr>
            <w:r>
              <w:rPr>
                <w:rFonts w:hint="eastAsia"/>
                <w:b w:val="0"/>
                <w:bCs w:val="0"/>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rPr>
            </w:pPr>
            <w:r>
              <w:rPr>
                <w:rFonts w:asciiTheme="minorEastAsia" w:hAnsiTheme="minorEastAsia" w:hint="eastAsia"/>
                <w:b w:val="0"/>
                <w:bCs w:val="0"/>
                <w:sz w:val="24"/>
                <w:szCs w:val="24"/>
              </w:rPr>
              <w:t>财政预算限额（元）</w:t>
            </w:r>
          </w:p>
        </w:tc>
      </w:tr>
      <w:tr>
        <w:tblPrEx>
          <w:tblW w:w="8931" w:type="dxa"/>
          <w:jc w:val="center"/>
          <w:tblLayout w:type="fixed"/>
          <w:tblCellMar>
            <w:top w:w="15" w:type="dxa"/>
            <w:left w:w="15" w:type="dxa"/>
            <w:bottom w:w="15" w:type="dxa"/>
            <w:right w:w="15" w:type="dxa"/>
          </w:tblCellMar>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1</w:t>
            </w:r>
          </w:p>
        </w:tc>
        <w:tc>
          <w:tcPr>
            <w:tcW w:w="269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hint="default"/>
                <w:b w:val="0"/>
                <w:bCs w:val="0"/>
                <w:sz w:val="24"/>
                <w:szCs w:val="24"/>
                <w:highlight w:val="none"/>
                <w:lang w:val="en-US" w:eastAsia="zh-CN"/>
              </w:rPr>
              <w:t>PLAN-2024-440306000-112025-02609</w:t>
            </w:r>
          </w:p>
        </w:tc>
        <w:tc>
          <w:tcPr>
            <w:tcW w:w="2906" w:type="dxa"/>
            <w:tcBorders>
              <w:top w:val="single" w:sz="4" w:space="0" w:color="000000"/>
              <w:left w:val="single" w:sz="4" w:space="0" w:color="000000"/>
              <w:right w:val="single" w:sz="4" w:space="0" w:color="000000"/>
            </w:tcBorders>
            <w:vAlign w:val="center"/>
          </w:tcPr>
          <w:p>
            <w:pPr>
              <w:jc w:val="center"/>
              <w:rPr>
                <w:rFonts w:asciiTheme="minorEastAsia" w:eastAsiaTheme="minorEastAsia" w:hAnsiTheme="minorEastAsia" w:hint="eastAsia"/>
                <w:b w:val="0"/>
                <w:bCs w:val="0"/>
                <w:sz w:val="24"/>
                <w:szCs w:val="24"/>
                <w:highlight w:val="none"/>
                <w:lang w:eastAsia="zh-CN"/>
              </w:rPr>
            </w:pPr>
            <w:r>
              <w:rPr>
                <w:rFonts w:asciiTheme="minorEastAsia" w:hAnsiTheme="minorEastAsia" w:hint="eastAsia"/>
                <w:b w:val="0"/>
                <w:bCs w:val="0"/>
                <w:sz w:val="24"/>
                <w:szCs w:val="24"/>
                <w:highlight w:val="none"/>
                <w:lang w:eastAsia="zh-CN"/>
              </w:rPr>
              <w:t>宝安中学（集团）实验学校理科实验考试设备采购项目</w:t>
            </w:r>
          </w:p>
          <w:p>
            <w:pPr>
              <w:jc w:val="center"/>
              <w:rPr>
                <w:b w:val="0"/>
                <w:bCs w:val="0"/>
                <w:highlight w:val="none"/>
              </w:rPr>
            </w:pPr>
            <w:r>
              <w:rPr>
                <w:rFonts w:asciiTheme="minorEastAsia" w:hAnsiTheme="minorEastAsia" w:hint="eastAsia"/>
                <w:b w:val="0"/>
                <w:bCs w:val="0"/>
                <w:sz w:val="24"/>
                <w:szCs w:val="24"/>
                <w:highlight w:val="none"/>
              </w:rPr>
              <w:t>（</w:t>
            </w:r>
            <w:r>
              <w:rPr>
                <w:rFonts w:asciiTheme="minorEastAsia" w:hAnsiTheme="minorEastAsia" w:cs="Times New Roman" w:hint="eastAsia"/>
                <w:b w:val="0"/>
                <w:bCs w:val="0"/>
                <w:sz w:val="24"/>
                <w:szCs w:val="24"/>
                <w:highlight w:val="none"/>
              </w:rPr>
              <w:t>A包</w:t>
            </w:r>
            <w:r>
              <w:rPr>
                <w:rFonts w:asciiTheme="minorEastAsia" w:hAnsiTheme="minorEastAsia" w:hint="eastAsia"/>
                <w:b w:val="0"/>
                <w:bCs w:val="0"/>
                <w:sz w:val="24"/>
                <w:szCs w:val="24"/>
                <w:highlight w:val="none"/>
              </w:rPr>
              <w:t>）</w:t>
            </w:r>
          </w:p>
        </w:tc>
        <w:tc>
          <w:tcPr>
            <w:tcW w:w="2622"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EastAsia" w:hAnsiTheme="minorEastAsia" w:hint="eastAsia"/>
                <w:b w:val="0"/>
                <w:bCs w:val="0"/>
                <w:sz w:val="24"/>
                <w:szCs w:val="24"/>
                <w:highlight w:val="yellow"/>
              </w:rPr>
            </w:pPr>
            <w:r>
              <w:rPr>
                <w:rFonts w:asciiTheme="minorEastAsia" w:hAnsiTheme="minorEastAsia" w:hint="eastAsia"/>
                <w:b w:val="0"/>
                <w:bCs w:val="0"/>
                <w:sz w:val="24"/>
                <w:szCs w:val="24"/>
                <w:highlight w:val="yellow"/>
                <w:lang w:val="en-US" w:eastAsia="zh-CN"/>
              </w:rPr>
              <w:t>1,500,000.00</w:t>
            </w:r>
          </w:p>
        </w:tc>
      </w:tr>
      <w:tr>
        <w:tblPrEx>
          <w:tblW w:w="8931" w:type="dxa"/>
          <w:jc w:val="center"/>
          <w:tblLayout w:type="fixed"/>
          <w:tblCellMar>
            <w:top w:w="15" w:type="dxa"/>
            <w:left w:w="15" w:type="dxa"/>
            <w:bottom w:w="15" w:type="dxa"/>
            <w:right w:w="15" w:type="dxa"/>
          </w:tblCellMar>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pPr>
              <w:jc w:val="center"/>
              <w:rPr>
                <w:rFonts w:eastAsiaTheme="minorEastAsia" w:hint="eastAsia"/>
                <w:b w:val="0"/>
                <w:bCs w:val="0"/>
                <w:highlight w:val="none"/>
                <w:lang w:val="en-US" w:eastAsia="zh-CN"/>
              </w:rPr>
            </w:pPr>
            <w:r>
              <w:rPr>
                <w:rFonts w:hint="eastAsia"/>
                <w:b w:val="0"/>
                <w:bCs w:val="0"/>
                <w:highlight w:val="none"/>
                <w:lang w:val="en-US" w:eastAsia="zh-CN"/>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EastAsia" w:hAnsiTheme="minorEastAsia" w:hint="eastAsia"/>
                <w:b w:val="0"/>
                <w:bCs w:val="0"/>
                <w:sz w:val="24"/>
                <w:szCs w:val="24"/>
                <w:highlight w:val="yellow"/>
              </w:rPr>
            </w:pPr>
            <w:r>
              <w:rPr>
                <w:rFonts w:asciiTheme="minorEastAsia" w:hAnsiTheme="minorEastAsia" w:hint="eastAsia"/>
                <w:b w:val="0"/>
                <w:bCs w:val="0"/>
                <w:sz w:val="24"/>
                <w:szCs w:val="24"/>
                <w:highlight w:val="yellow"/>
                <w:lang w:val="en-US" w:eastAsia="zh-CN"/>
              </w:rPr>
              <w:t>1,500,000.00</w:t>
            </w:r>
          </w:p>
        </w:tc>
      </w:tr>
    </w:tbl>
    <w:p>
      <w:pPr>
        <w:jc w:val="both"/>
        <w:rPr>
          <w:rFonts w:ascii="宋体" w:eastAsia="宋体" w:hAnsi="宋体" w:cs="宋体" w:hint="eastAsia"/>
          <w:sz w:val="32"/>
          <w:szCs w:val="32"/>
          <w:highlight w:val="yellow"/>
        </w:rPr>
      </w:pPr>
      <w:r>
        <w:rPr>
          <w:rFonts w:ascii="宋体" w:eastAsia="宋体" w:hAnsi="宋体" w:cs="宋体" w:hint="eastAsia"/>
          <w:b/>
          <w:color w:val="FF0000"/>
          <w:sz w:val="32"/>
          <w:szCs w:val="32"/>
          <w:highlight w:val="yellow"/>
        </w:rPr>
        <w:t>本项目</w:t>
      </w:r>
      <w:r>
        <w:rPr>
          <w:rFonts w:ascii="宋体" w:eastAsia="宋体" w:hAnsi="宋体" w:cs="宋体" w:hint="eastAsia"/>
          <w:b/>
          <w:color w:val="FF0000"/>
          <w:sz w:val="32"/>
          <w:szCs w:val="32"/>
          <w:highlight w:val="yellow"/>
          <w:lang w:val="en-US" w:eastAsia="zh-CN"/>
        </w:rPr>
        <w:t>预算金额为</w:t>
      </w:r>
      <w:r>
        <w:rPr>
          <w:rFonts w:ascii="宋体" w:eastAsia="宋体" w:hAnsi="宋体" w:cs="宋体" w:hint="eastAsia"/>
          <w:b/>
          <w:color w:val="FF0000"/>
          <w:sz w:val="32"/>
          <w:szCs w:val="32"/>
          <w:highlight w:val="yellow"/>
        </w:rPr>
        <w:t>人民币</w:t>
      </w:r>
      <w:r>
        <w:rPr>
          <w:rFonts w:ascii="宋体" w:eastAsia="宋体" w:hAnsi="宋体" w:cs="宋体" w:hint="eastAsia"/>
          <w:b/>
          <w:color w:val="0000FF"/>
          <w:sz w:val="32"/>
          <w:szCs w:val="32"/>
          <w:highlight w:val="yellow"/>
          <w:lang w:val="en-US" w:eastAsia="zh-CN"/>
        </w:rPr>
        <w:t>1,500,000.00元，</w:t>
      </w:r>
      <w:r>
        <w:rPr>
          <w:rFonts w:ascii="宋体" w:eastAsia="宋体" w:hAnsi="宋体" w:cs="宋体" w:hint="eastAsia"/>
          <w:b/>
          <w:color w:val="FF0000"/>
          <w:sz w:val="32"/>
          <w:szCs w:val="32"/>
          <w:highlight w:val="yellow"/>
        </w:rPr>
        <w:t>控制金额为人民币</w:t>
      </w:r>
      <w:r>
        <w:rPr>
          <w:rFonts w:ascii="宋体" w:eastAsia="宋体" w:hAnsi="宋体" w:cs="宋体" w:hint="eastAsia"/>
          <w:b/>
          <w:color w:val="0000FF"/>
          <w:sz w:val="32"/>
          <w:szCs w:val="32"/>
          <w:highlight w:val="yellow"/>
          <w:lang w:val="en-US" w:eastAsia="zh-CN"/>
        </w:rPr>
        <w:t>1,499,420.00元</w:t>
      </w:r>
      <w:r>
        <w:rPr>
          <w:rFonts w:ascii="宋体" w:eastAsia="宋体" w:hAnsi="宋体" w:cs="宋体" w:hint="eastAsia"/>
          <w:b/>
          <w:color w:val="FF0000"/>
          <w:sz w:val="32"/>
          <w:szCs w:val="32"/>
          <w:highlight w:val="yellow"/>
        </w:rPr>
        <w:t>，投标报价超出控制金额将作投标无效处理。</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二、货物需求明细</w:t>
      </w:r>
    </w:p>
    <w:p>
      <w:pPr>
        <w:rPr>
          <w:highlight w:val="none"/>
        </w:rPr>
      </w:pPr>
      <w:r>
        <w:rPr>
          <w:rFonts w:ascii="宋体" w:hAnsi="宋体" w:hint="eastAsia"/>
          <w:b/>
          <w:color w:val="FF0000"/>
          <w:sz w:val="32"/>
          <w:szCs w:val="32"/>
          <w:highlight w:val="none"/>
        </w:rPr>
        <w:t>本项目核心产品为：</w:t>
      </w:r>
      <w:r>
        <w:rPr>
          <w:rFonts w:ascii="宋体" w:hAnsi="宋体" w:hint="eastAsia"/>
          <w:b/>
          <w:color w:val="FF0000"/>
          <w:sz w:val="32"/>
          <w:szCs w:val="32"/>
          <w:highlight w:val="none"/>
          <w:u w:val="single"/>
        </w:rPr>
        <w:t xml:space="preserve">    </w:t>
      </w:r>
      <w:r>
        <w:rPr>
          <w:rFonts w:ascii="宋体" w:hAnsi="宋体" w:hint="eastAsia"/>
          <w:b/>
          <w:color w:val="FF0000"/>
          <w:sz w:val="32"/>
          <w:szCs w:val="32"/>
          <w:highlight w:val="none"/>
          <w:u w:val="single"/>
          <w:lang w:val="en-US" w:eastAsia="zh-CN"/>
        </w:rPr>
        <w:t xml:space="preserve"> 实验信息采集终端    </w:t>
      </w:r>
      <w:r>
        <w:rPr>
          <w:rFonts w:ascii="宋体" w:hAnsi="宋体" w:hint="eastAsia"/>
          <w:b/>
          <w:color w:val="FF0000"/>
          <w:sz w:val="32"/>
          <w:szCs w:val="32"/>
          <w:highlight w:val="none"/>
          <w:u w:val="single"/>
        </w:rPr>
        <w:t xml:space="preserve">   </w:t>
      </w:r>
    </w:p>
    <w:tbl>
      <w:tblPr>
        <w:tblStyle w:val="TableNormal"/>
        <w:tblW w:w="8712" w:type="dxa"/>
        <w:jc w:val="center"/>
        <w:tblLayout w:type="fixed"/>
        <w:tblCellMar>
          <w:top w:w="15" w:type="dxa"/>
          <w:left w:w="15" w:type="dxa"/>
          <w:bottom w:w="15" w:type="dxa"/>
          <w:right w:w="15" w:type="dxa"/>
        </w:tblCellMar>
      </w:tblPr>
      <w:tblGrid>
        <w:gridCol w:w="639"/>
        <w:gridCol w:w="3750"/>
        <w:gridCol w:w="709"/>
        <w:gridCol w:w="780"/>
        <w:gridCol w:w="1417"/>
        <w:gridCol w:w="1417"/>
      </w:tblGrid>
      <w:tr>
        <w:tblPrEx>
          <w:tblW w:w="8712" w:type="dxa"/>
          <w:jc w:val="center"/>
          <w:tblLayout w:type="fixed"/>
          <w:tblCellMar>
            <w:top w:w="15" w:type="dxa"/>
            <w:left w:w="15" w:type="dxa"/>
            <w:bottom w:w="15" w:type="dxa"/>
            <w:right w:w="15" w:type="dxa"/>
          </w:tblCellMar>
        </w:tblPrEx>
        <w:trPr>
          <w:trHeight w:val="552"/>
          <w:jc w:val="center"/>
        </w:trPr>
        <w:tc>
          <w:tcPr>
            <w:tcW w:w="639"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序号</w:t>
            </w:r>
          </w:p>
        </w:tc>
        <w:tc>
          <w:tcPr>
            <w:tcW w:w="3750"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highlight w:val="green"/>
              </w:rPr>
            </w:pPr>
            <w:r>
              <w:rPr>
                <w:rFonts w:ascii="宋体" w:eastAsia="宋体" w:hAnsi="宋体" w:cs="宋体" w:hint="eastAsia"/>
                <w:b w:val="0"/>
                <w:bCs w:val="0"/>
                <w:sz w:val="21"/>
                <w:szCs w:val="21"/>
                <w:lang w:val="en-US" w:eastAsia="zh-CN"/>
              </w:rPr>
              <w:t>货物</w:t>
            </w:r>
            <w:r>
              <w:rPr>
                <w:rFonts w:ascii="宋体" w:eastAsia="宋体" w:hAnsi="宋体" w:cs="宋体" w:hint="eastAsia"/>
                <w:b w:val="0"/>
                <w:bCs w:val="0"/>
                <w:sz w:val="21"/>
                <w:szCs w:val="21"/>
              </w:rPr>
              <w:t>名称（标的名称）</w:t>
            </w:r>
          </w:p>
        </w:tc>
        <w:tc>
          <w:tcPr>
            <w:tcW w:w="709"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数量</w:t>
            </w:r>
          </w:p>
        </w:tc>
        <w:tc>
          <w:tcPr>
            <w:tcW w:w="780"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单位</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备注</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rFonts w:ascii="宋体" w:eastAsia="宋体" w:hAnsi="宋体" w:cs="宋体" w:hint="eastAsia"/>
                <w:b w:val="0"/>
                <w:bCs w:val="0"/>
                <w:sz w:val="21"/>
                <w:szCs w:val="21"/>
                <w:highlight w:val="yellow"/>
              </w:rPr>
            </w:pPr>
            <w:r>
              <w:rPr>
                <w:rFonts w:ascii="宋体" w:eastAsia="宋体" w:hAnsi="宋体" w:cs="宋体" w:hint="eastAsia"/>
                <w:b w:val="0"/>
                <w:bCs w:val="0"/>
                <w:sz w:val="21"/>
                <w:szCs w:val="21"/>
                <w:highlight w:val="none"/>
              </w:rPr>
              <w:t>所属行业</w:t>
            </w:r>
          </w:p>
        </w:tc>
      </w:tr>
      <w:tr>
        <w:tblPrEx>
          <w:tblW w:w="8712" w:type="dxa"/>
          <w:jc w:val="center"/>
          <w:tblLayout w:type="fixed"/>
          <w:tblCellMar>
            <w:top w:w="15" w:type="dxa"/>
            <w:left w:w="15" w:type="dxa"/>
            <w:bottom w:w="15" w:type="dxa"/>
            <w:right w:w="15" w:type="dxa"/>
          </w:tblCellMar>
        </w:tblPrEx>
        <w:trPr>
          <w:trHeight w:val="317"/>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lang w:val="en-US" w:eastAsia="zh-CN"/>
              </w:rPr>
            </w:pPr>
            <w:r>
              <w:rPr>
                <w:rFonts w:ascii="宋体" w:eastAsia="宋体" w:hAnsi="宋体" w:cs="宋体" w:hint="eastAsia"/>
                <w:color w:val="000000"/>
                <w:kern w:val="0"/>
                <w:sz w:val="21"/>
                <w:szCs w:val="21"/>
              </w:rPr>
              <w:t>1</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green"/>
              </w:rPr>
            </w:pPr>
            <w:r>
              <w:rPr>
                <w:rFonts w:ascii="宋体" w:eastAsia="宋体" w:hAnsi="宋体" w:cs="宋体" w:hint="eastAsia"/>
                <w:color w:val="000000"/>
                <w:kern w:val="0"/>
                <w:sz w:val="21"/>
                <w:szCs w:val="21"/>
              </w:rPr>
              <w:t>考试专用服务器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2</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rPr>
                <w:rFonts w:ascii="宋体" w:eastAsia="宋体" w:hAnsi="宋体" w:cs="宋体" w:hint="eastAsia"/>
                <w:b w:val="0"/>
                <w:bCs w:val="0"/>
                <w:sz w:val="21"/>
                <w:szCs w:val="21"/>
              </w:rPr>
            </w:pPr>
          </w:p>
        </w:tc>
        <w:tc>
          <w:tcPr>
            <w:tcW w:w="1417" w:type="dxa"/>
            <w:vMerge w:val="restart"/>
            <w:tcBorders>
              <w:top w:val="single" w:sz="4" w:space="0" w:color="000000"/>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r>
              <w:rPr>
                <w:rFonts w:ascii="宋体" w:eastAsia="宋体" w:hAnsi="宋体" w:cs="宋体" w:hint="eastAsia"/>
                <w:bCs/>
                <w:color w:val="000000"/>
                <w:kern w:val="0"/>
                <w:sz w:val="21"/>
                <w:szCs w:val="21"/>
              </w:rPr>
              <w:t>软件和信息技术服务业</w:t>
            </w: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lang w:val="en-US" w:eastAsia="zh-CN"/>
              </w:rPr>
            </w:pPr>
            <w:r>
              <w:rPr>
                <w:rFonts w:ascii="宋体" w:eastAsia="宋体" w:hAnsi="宋体" w:cs="宋体" w:hint="eastAsia"/>
                <w:color w:val="000000"/>
                <w:kern w:val="0"/>
                <w:sz w:val="21"/>
                <w:szCs w:val="21"/>
              </w:rPr>
              <w:t>2</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green"/>
              </w:rPr>
            </w:pPr>
            <w:r>
              <w:rPr>
                <w:rFonts w:ascii="宋体" w:eastAsia="宋体" w:hAnsi="宋体" w:cs="宋体" w:hint="eastAsia"/>
                <w:color w:val="000000"/>
                <w:kern w:val="0"/>
                <w:sz w:val="21"/>
                <w:szCs w:val="21"/>
              </w:rPr>
              <w:t>移动硬盘</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3</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交换机</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4</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考场监考管理主机</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5</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校级管理平台</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6</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实验信息采集终端</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7</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电子目镜</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25</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8</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AI算力服务器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90"/>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9</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UPS</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10</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机柜</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color w:val="000000"/>
                <w:kern w:val="0"/>
                <w:sz w:val="21"/>
                <w:szCs w:val="21"/>
              </w:rPr>
              <w:t>11</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综合布线</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r>
        <w:tblPrEx>
          <w:tblW w:w="8712"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ascii="宋体" w:eastAsia="宋体" w:hAnsi="宋体" w:cs="宋体" w:hint="eastAsia"/>
                <w:b w:val="0"/>
                <w:bCs w:val="0"/>
                <w:sz w:val="21"/>
                <w:szCs w:val="21"/>
                <w:highlight w:val="none"/>
                <w:lang w:val="en-US" w:eastAsia="zh-CN"/>
              </w:rPr>
            </w:pPr>
            <w:r>
              <w:rPr>
                <w:rFonts w:ascii="宋体" w:eastAsia="宋体" w:hAnsi="宋体" w:cs="宋体" w:hint="eastAsia"/>
                <w:bCs/>
                <w:kern w:val="0"/>
                <w:sz w:val="21"/>
                <w:szCs w:val="21"/>
              </w:rPr>
              <w:t>12</w:t>
            </w:r>
          </w:p>
        </w:tc>
        <w:tc>
          <w:tcPr>
            <w:tcW w:w="3750" w:type="dxa"/>
            <w:tcBorders>
              <w:top w:val="single" w:sz="4" w:space="0" w:color="000000"/>
              <w:left w:val="single" w:sz="4" w:space="0" w:color="auto"/>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highlight w:val="none"/>
                <w:lang w:eastAsia="zh-CN"/>
              </w:rPr>
            </w:pPr>
            <w:r>
              <w:rPr>
                <w:rFonts w:ascii="宋体" w:eastAsia="宋体" w:hAnsi="宋体" w:cs="宋体" w:hint="eastAsia"/>
                <w:color w:val="000000"/>
                <w:kern w:val="0"/>
                <w:sz w:val="21"/>
                <w:szCs w:val="21"/>
              </w:rPr>
              <w:t>电源布线</w:t>
            </w:r>
          </w:p>
        </w:tc>
        <w:tc>
          <w:tcPr>
            <w:tcW w:w="709"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eastAsia="宋体" w:hAnsi="宋体" w:cs="宋体" w:hint="eastAsia"/>
                <w:b w:val="0"/>
                <w:bCs w:val="0"/>
                <w:sz w:val="21"/>
                <w:szCs w:val="21"/>
              </w:rPr>
            </w:pPr>
            <w:r>
              <w:rPr>
                <w:rFonts w:ascii="宋体" w:eastAsia="宋体" w:hAnsi="宋体" w:cs="宋体" w:hint="eastAsia"/>
                <w:color w:val="000000"/>
                <w:kern w:val="0"/>
                <w:sz w:val="21"/>
                <w:szCs w:val="21"/>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widowControl/>
              <w:spacing w:line="360" w:lineRule="exact"/>
              <w:jc w:val="center"/>
              <w:rPr>
                <w:rFonts w:ascii="宋体" w:eastAsia="宋体" w:hAnsi="宋体" w:cs="宋体" w:hint="eastAsia"/>
                <w:b w:val="0"/>
                <w:bCs w:val="0"/>
                <w:sz w:val="21"/>
                <w:szCs w:val="21"/>
              </w:rPr>
            </w:pPr>
          </w:p>
        </w:tc>
        <w:tc>
          <w:tcPr>
            <w:tcW w:w="1417" w:type="dxa"/>
            <w:vMerge/>
            <w:tcBorders>
              <w:left w:val="single" w:sz="4" w:space="0" w:color="000000"/>
              <w:right w:val="single" w:sz="4" w:space="0" w:color="000000"/>
            </w:tcBorders>
            <w:vAlign w:val="center"/>
          </w:tcPr>
          <w:p>
            <w:pPr>
              <w:jc w:val="center"/>
              <w:rPr>
                <w:rFonts w:ascii="宋体" w:eastAsia="宋体" w:hAnsi="宋体" w:cs="宋体" w:hint="eastAsia"/>
                <w:b w:val="0"/>
                <w:bCs w:val="0"/>
                <w:sz w:val="21"/>
                <w:szCs w:val="21"/>
              </w:rPr>
            </w:pPr>
          </w:p>
        </w:tc>
      </w:tr>
    </w:tbl>
    <w:p>
      <w:pPr>
        <w:rPr>
          <w:color w:val="FF0000"/>
        </w:rPr>
      </w:pPr>
      <w:r>
        <w:rPr>
          <w:rFonts w:hint="eastAsia"/>
          <w:color w:val="FF0000"/>
        </w:rPr>
        <w:t>备注：</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1、</w:t>
      </w:r>
      <w:r>
        <w:rPr>
          <w:rFonts w:hint="eastAsia"/>
          <w:color w:val="FF0000"/>
        </w:rPr>
        <w:t>“备注”栏注明有“接受进口”或“允许进口”的产品允许投标人选用进口产品参与投标，但不排斥国内产品投标；未注明“接受进口”或“允许进口”的产品均不接受进口产品投标。</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color w:val="FF0000"/>
        </w:rPr>
      </w:pPr>
      <w:r>
        <w:rPr>
          <w:rFonts w:hint="eastAsia"/>
          <w:color w:val="FF0000"/>
          <w:lang w:val="en-US" w:eastAsia="zh-CN"/>
        </w:rPr>
        <w:t>2、</w:t>
      </w:r>
      <w:r>
        <w:rPr>
          <w:rFonts w:hint="eastAsia"/>
          <w:color w:val="FF0000"/>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3、</w:t>
      </w:r>
      <w:r>
        <w:rPr>
          <w:rFonts w:hint="eastAsia"/>
          <w:color w:val="FF0000"/>
        </w:rPr>
        <w:t>如注明有单价控制金额的产品，投标人对该产品的报价不得超过控制金额，否则将作投标无效处理。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4、</w:t>
      </w:r>
      <w:r>
        <w:rPr>
          <w:rFonts w:hint="eastAsia"/>
          <w:color w:val="FF0000"/>
        </w:rPr>
        <w:t>根据《政府采购货物和服务招标投标管理办法》（财政部令第87号）第三十一条规定，单一产品项目或非单一产品项目中的核心产品均应明确品牌，投标人未填报品牌的将作投标无效处理。</w:t>
      </w:r>
    </w:p>
    <w:p>
      <w:pPr>
        <w:ind w:firstLine="420" w:firstLineChars="200"/>
        <w:rPr>
          <w:color w:val="FF0000"/>
        </w:rPr>
      </w:pPr>
    </w:p>
    <w:p>
      <w:pPr>
        <w:ind w:firstLine="420" w:firstLineChars="200"/>
        <w:rPr>
          <w:color w:val="FF0000"/>
        </w:rPr>
      </w:pPr>
    </w:p>
    <w:p>
      <w:pPr>
        <w:keepNext/>
        <w:keepLines/>
        <w:tabs>
          <w:tab w:val="left" w:pos="1680"/>
        </w:tabs>
        <w:spacing w:before="260" w:after="78" w:afterLines="25"/>
        <w:jc w:val="center"/>
        <w:outlineLvl w:val="2"/>
        <w:rPr>
          <w:rFonts w:ascii="Arial" w:eastAsia="宋体" w:hAnsi="Arial" w:cs="Times New Roman"/>
          <w:b/>
          <w:bCs/>
          <w:color w:val="FF0000"/>
          <w:sz w:val="32"/>
          <w:szCs w:val="32"/>
          <w:highlight w:val="none"/>
        </w:rPr>
      </w:pPr>
      <w:r>
        <w:rPr>
          <w:rFonts w:hint="eastAsia"/>
          <w:b/>
          <w:color w:val="FF0000"/>
          <w:sz w:val="32"/>
          <w:szCs w:val="32"/>
          <w:highlight w:val="none"/>
        </w:rPr>
        <w:t>★</w:t>
      </w:r>
      <w:r>
        <w:rPr>
          <w:rFonts w:ascii="Arial" w:eastAsia="宋体" w:hAnsi="Arial" w:cs="Times New Roman" w:hint="eastAsia"/>
          <w:b/>
          <w:bCs/>
          <w:color w:val="FF0000"/>
          <w:sz w:val="32"/>
          <w:szCs w:val="32"/>
          <w:highlight w:val="none"/>
        </w:rPr>
        <w:t>三、商务和服务条款部分</w:t>
      </w:r>
    </w:p>
    <w:p>
      <w:pPr>
        <w:jc w:val="both"/>
        <w:rPr>
          <w:rFonts w:hint="eastAsia"/>
          <w:b/>
          <w:color w:val="FF0000"/>
        </w:rPr>
      </w:pPr>
      <w:r>
        <w:rPr>
          <w:rFonts w:hint="eastAsia"/>
          <w:b/>
          <w:color w:val="FF0000"/>
        </w:rPr>
        <w:t>1.本部分内容为项目正常开展的基本要求，均为★号条款要求，投标人必须完全响应满足本部分的全部内容，否则将导致投标无效。投标人是否满足本部分带★号条款要求，以《商务（服务）条款偏离表》响应为准。</w:t>
      </w:r>
    </w:p>
    <w:p>
      <w:pPr>
        <w:jc w:val="both"/>
        <w:rPr>
          <w:rFonts w:hint="eastAsia"/>
          <w:b/>
          <w:color w:val="FF0000"/>
        </w:rPr>
      </w:pPr>
      <w:r>
        <w:rPr>
          <w:rFonts w:hint="eastAsia"/>
          <w:b/>
          <w:color w:val="FF0000"/>
        </w:rPr>
        <w:t>2.如投标人中标后被发现不能满足本部分带★号条款要求的，采购单位有权拒绝签订合同，一切后果由投标人承担。</w:t>
      </w:r>
    </w:p>
    <w:tbl>
      <w:tblPr>
        <w:tblStyle w:val="TableNormal"/>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43"/>
        <w:gridCol w:w="7797"/>
      </w:tblGrid>
      <w:tr>
        <w:tblPrEx>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hint="eastAsia"/>
                <w:b/>
                <w:color w:val="FF0000"/>
                <w:sz w:val="21"/>
                <w:szCs w:val="21"/>
                <w:highlight w:val="none"/>
              </w:rPr>
            </w:pPr>
            <w:r>
              <w:rPr>
                <w:rFonts w:ascii="宋体" w:eastAsia="宋体" w:hAnsi="宋体" w:cs="宋体" w:hint="eastAsia"/>
                <w:b/>
                <w:color w:val="FF0000"/>
                <w:sz w:val="21"/>
                <w:szCs w:val="21"/>
                <w:highlight w:val="none"/>
              </w:rPr>
              <w:t>报价要求</w:t>
            </w:r>
          </w:p>
        </w:tc>
        <w:tc>
          <w:tcPr>
            <w:tcW w:w="7797" w:type="dxa"/>
            <w:tcBorders>
              <w:top w:val="single" w:sz="4" w:space="0" w:color="auto"/>
              <w:left w:val="single" w:sz="4" w:space="0" w:color="auto"/>
              <w:bottom w:val="single" w:sz="4" w:space="0" w:color="auto"/>
              <w:right w:val="single" w:sz="4" w:space="0" w:color="auto"/>
            </w:tcBorders>
            <w:vAlign w:val="center"/>
          </w:tcPr>
          <w:p>
            <w:pPr>
              <w:snapToGrid w:val="0"/>
              <w:ind w:firstLine="420"/>
              <w:jc w:val="both"/>
              <w:rPr>
                <w:rFonts w:ascii="宋体" w:eastAsia="宋体" w:hAnsi="宋体" w:cs="宋体" w:hint="eastAsia"/>
                <w:color w:val="FF0000"/>
                <w:sz w:val="21"/>
                <w:szCs w:val="21"/>
                <w:highlight w:val="none"/>
              </w:rPr>
            </w:pPr>
            <w:r>
              <w:rPr>
                <w:rFonts w:ascii="宋体" w:eastAsia="宋体" w:hAnsi="宋体" w:cs="宋体" w:hint="eastAsia"/>
                <w:color w:val="FF0000"/>
                <w:sz w:val="21"/>
                <w:szCs w:val="21"/>
                <w:highlight w:val="none"/>
              </w:rPr>
              <w:t>投标报价以人民币报价，为工地交货价。货物总价内包含但不限于的相关的费用有：原材料和配件费、深化设计、生产加工、安装、调试，通过有关主管部门的验收，运至合同指定地点的包装、运输、装卸、安装，技术培训，检查、检验，及保修、利润、风险金、国家规定的各项税费。</w:t>
            </w:r>
          </w:p>
        </w:tc>
      </w:tr>
      <w:tr>
        <w:tblPrEx>
          <w:tblW w:w="9640" w:type="dxa"/>
          <w:jc w:val="center"/>
          <w:tblCellMar>
            <w:top w:w="0" w:type="dxa"/>
            <w:left w:w="108" w:type="dxa"/>
            <w:bottom w:w="0" w:type="dxa"/>
            <w:right w:w="108" w:type="dxa"/>
          </w:tblCellMar>
        </w:tblPrEx>
        <w:trPr>
          <w:trHeight w:val="294"/>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hint="eastAsia"/>
                <w:b/>
                <w:color w:val="FF0000"/>
                <w:sz w:val="21"/>
                <w:szCs w:val="21"/>
                <w:highlight w:val="none"/>
              </w:rPr>
            </w:pPr>
            <w:r>
              <w:rPr>
                <w:rFonts w:ascii="宋体" w:eastAsia="宋体" w:hAnsi="宋体" w:cs="宋体" w:hint="eastAsia"/>
                <w:b/>
                <w:color w:val="FF0000"/>
                <w:sz w:val="21"/>
                <w:szCs w:val="21"/>
                <w:highlight w:val="none"/>
              </w:rPr>
              <w:t>交货地点</w:t>
            </w:r>
          </w:p>
        </w:tc>
        <w:tc>
          <w:tcPr>
            <w:tcW w:w="7797" w:type="dxa"/>
            <w:tcBorders>
              <w:top w:val="single" w:sz="4" w:space="0" w:color="auto"/>
              <w:left w:val="single" w:sz="4" w:space="0" w:color="auto"/>
              <w:bottom w:val="single" w:sz="4" w:space="0" w:color="auto"/>
              <w:right w:val="single" w:sz="4" w:space="0" w:color="auto"/>
            </w:tcBorders>
            <w:vAlign w:val="center"/>
          </w:tcPr>
          <w:p>
            <w:pPr>
              <w:spacing w:line="440" w:lineRule="exact"/>
              <w:jc w:val="both"/>
              <w:rPr>
                <w:rFonts w:ascii="宋体" w:eastAsia="宋体" w:hAnsi="宋体" w:cs="宋体" w:hint="eastAsia"/>
                <w:color w:val="FF0000"/>
                <w:sz w:val="21"/>
                <w:szCs w:val="21"/>
                <w:highlight w:val="none"/>
                <w:lang w:eastAsia="zh-CN"/>
              </w:rPr>
            </w:pPr>
            <w:r>
              <w:rPr>
                <w:rFonts w:ascii="宋体" w:eastAsia="宋体" w:hAnsi="宋体" w:cs="宋体" w:hint="eastAsia"/>
                <w:color w:val="FF0000"/>
                <w:sz w:val="21"/>
                <w:szCs w:val="21"/>
                <w:highlight w:val="none"/>
                <w:lang w:eastAsia="zh-CN"/>
              </w:rPr>
              <w:t>深圳市宝安中学（集团）实验学校</w:t>
            </w:r>
          </w:p>
        </w:tc>
      </w:tr>
      <w:tr>
        <w:tblPrEx>
          <w:tblW w:w="9640" w:type="dxa"/>
          <w:jc w:val="center"/>
          <w:tblCellMar>
            <w:top w:w="0" w:type="dxa"/>
            <w:left w:w="108" w:type="dxa"/>
            <w:bottom w:w="0" w:type="dxa"/>
            <w:right w:w="108" w:type="dxa"/>
          </w:tblCellMar>
        </w:tblPrEx>
        <w:trPr>
          <w:trHeight w:val="39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hint="eastAsia"/>
                <w:b/>
                <w:bCs/>
                <w:color w:val="FF0000"/>
                <w:sz w:val="21"/>
                <w:szCs w:val="21"/>
                <w:highlight w:val="none"/>
              </w:rPr>
            </w:pPr>
            <w:r>
              <w:rPr>
                <w:rFonts w:ascii="宋体" w:eastAsia="宋体" w:hAnsi="宋体" w:cs="宋体" w:hint="eastAsia"/>
                <w:b/>
                <w:bCs/>
                <w:color w:val="FF0000"/>
                <w:sz w:val="21"/>
                <w:szCs w:val="21"/>
                <w:highlight w:val="none"/>
              </w:rPr>
              <w:t>交货期或完工期</w:t>
            </w:r>
          </w:p>
        </w:tc>
        <w:tc>
          <w:tcPr>
            <w:tcW w:w="7797"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both"/>
              <w:rPr>
                <w:rFonts w:ascii="宋体" w:eastAsia="宋体" w:hAnsi="宋体" w:cs="宋体" w:hint="eastAsia"/>
                <w:color w:val="FF0000"/>
                <w:sz w:val="21"/>
                <w:szCs w:val="21"/>
                <w:highlight w:val="none"/>
                <w:lang w:eastAsia="zh-CN"/>
              </w:rPr>
            </w:pPr>
            <w:r>
              <w:rPr>
                <w:rFonts w:ascii="宋体" w:eastAsia="宋体" w:hAnsi="宋体" w:cs="宋体" w:hint="eastAsia"/>
                <w:color w:val="FF0000"/>
                <w:sz w:val="21"/>
                <w:szCs w:val="21"/>
                <w:highlight w:val="none"/>
              </w:rPr>
              <w:t>本项目要求在合同签订日起30个日历日内完工</w:t>
            </w:r>
            <w:r>
              <w:rPr>
                <w:rFonts w:ascii="宋体" w:eastAsia="宋体" w:hAnsi="宋体" w:cs="宋体" w:hint="eastAsia"/>
                <w:color w:val="FF0000"/>
                <w:sz w:val="21"/>
                <w:szCs w:val="21"/>
                <w:highlight w:val="none"/>
                <w:lang w:eastAsia="zh-CN"/>
              </w:rPr>
              <w:t>。</w:t>
            </w:r>
          </w:p>
        </w:tc>
      </w:tr>
      <w:tr>
        <w:tblPrEx>
          <w:tblW w:w="9640" w:type="dxa"/>
          <w:jc w:val="center"/>
          <w:tblCellMar>
            <w:top w:w="0" w:type="dxa"/>
            <w:left w:w="108" w:type="dxa"/>
            <w:bottom w:w="0" w:type="dxa"/>
            <w:right w:w="108" w:type="dxa"/>
          </w:tblCellMar>
        </w:tblPrEx>
        <w:trPr>
          <w:trHeight w:val="660"/>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hint="eastAsia"/>
                <w:b/>
                <w:bCs/>
                <w:color w:val="FF0000"/>
                <w:sz w:val="21"/>
                <w:szCs w:val="21"/>
                <w:highlight w:val="none"/>
              </w:rPr>
            </w:pPr>
            <w:r>
              <w:rPr>
                <w:rFonts w:ascii="宋体" w:eastAsia="宋体" w:hAnsi="宋体" w:cs="宋体" w:hint="eastAsia"/>
                <w:b/>
                <w:color w:val="FF0000"/>
                <w:sz w:val="21"/>
                <w:szCs w:val="21"/>
                <w:highlight w:val="none"/>
              </w:rPr>
              <w:t>付款方式</w:t>
            </w:r>
          </w:p>
        </w:tc>
        <w:tc>
          <w:tcPr>
            <w:tcW w:w="7797"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both"/>
              <w:rPr>
                <w:rFonts w:ascii="宋体" w:eastAsia="宋体" w:hAnsi="宋体" w:cs="宋体" w:hint="eastAsia"/>
                <w:color w:val="FF0000"/>
                <w:kern w:val="0"/>
                <w:sz w:val="21"/>
                <w:szCs w:val="21"/>
                <w:highlight w:val="none"/>
              </w:rPr>
            </w:pPr>
            <w:r>
              <w:rPr>
                <w:rFonts w:ascii="宋体" w:eastAsia="宋体" w:hAnsi="宋体" w:cs="宋体" w:hint="eastAsia"/>
                <w:color w:val="FF0000"/>
                <w:kern w:val="0"/>
                <w:sz w:val="21"/>
                <w:szCs w:val="21"/>
                <w:highlight w:val="none"/>
              </w:rPr>
              <w:t>本项目完成并经验收合格后，对于满足合同约定支付条件的，采购人应当自收到发票后30日内将资金支付到合同约定的中标供应商账户。</w:t>
            </w:r>
          </w:p>
        </w:tc>
      </w:tr>
      <w:tr>
        <w:tblPrEx>
          <w:tblW w:w="9640" w:type="dxa"/>
          <w:jc w:val="center"/>
          <w:tblCellMar>
            <w:top w:w="0" w:type="dxa"/>
            <w:left w:w="108" w:type="dxa"/>
            <w:bottom w:w="0" w:type="dxa"/>
            <w:right w:w="108" w:type="dxa"/>
          </w:tblCellMar>
        </w:tblPrEx>
        <w:trPr>
          <w:trHeight w:val="466"/>
          <w:jc w:val="center"/>
        </w:trPr>
        <w:tc>
          <w:tcPr>
            <w:tcW w:w="1843" w:type="dxa"/>
            <w:tcBorders>
              <w:top w:val="single" w:sz="4" w:space="0" w:color="auto"/>
              <w:left w:val="single" w:sz="4" w:space="0" w:color="auto"/>
              <w:right w:val="single" w:sz="4" w:space="0" w:color="auto"/>
            </w:tcBorders>
            <w:vAlign w:val="center"/>
          </w:tcPr>
          <w:p>
            <w:pPr>
              <w:spacing w:after="78" w:afterLines="25" w:line="300" w:lineRule="auto"/>
              <w:jc w:val="center"/>
              <w:rPr>
                <w:rFonts w:ascii="宋体" w:eastAsia="宋体" w:hAnsi="宋体" w:cs="宋体" w:hint="eastAsia"/>
                <w:b/>
                <w:bCs/>
                <w:color w:val="FF0000"/>
                <w:sz w:val="21"/>
                <w:szCs w:val="21"/>
                <w:highlight w:val="none"/>
              </w:rPr>
            </w:pPr>
            <w:r>
              <w:rPr>
                <w:rFonts w:ascii="宋体" w:eastAsia="宋体" w:hAnsi="宋体" w:cs="宋体" w:hint="eastAsia"/>
                <w:b/>
                <w:color w:val="FF0000"/>
                <w:sz w:val="21"/>
                <w:szCs w:val="21"/>
                <w:highlight w:val="none"/>
              </w:rPr>
              <w:t>验收方式</w:t>
            </w:r>
          </w:p>
        </w:tc>
        <w:tc>
          <w:tcPr>
            <w:tcW w:w="7797" w:type="dxa"/>
            <w:tcBorders>
              <w:top w:val="single" w:sz="4" w:space="0" w:color="auto"/>
              <w:left w:val="single" w:sz="4" w:space="0" w:color="auto"/>
              <w:right w:val="single" w:sz="4" w:space="0" w:color="auto"/>
            </w:tcBorders>
            <w:vAlign w:val="center"/>
          </w:tcPr>
          <w:p>
            <w:pPr>
              <w:spacing w:after="78" w:afterLines="25" w:line="300" w:lineRule="auto"/>
              <w:jc w:val="both"/>
              <w:rPr>
                <w:rFonts w:ascii="宋体" w:eastAsia="宋体" w:hAnsi="宋体" w:cs="宋体" w:hint="eastAsia"/>
                <w:bCs/>
                <w:color w:val="FF0000"/>
                <w:sz w:val="21"/>
                <w:szCs w:val="21"/>
                <w:highlight w:val="none"/>
              </w:rPr>
            </w:pPr>
            <w:r>
              <w:rPr>
                <w:rFonts w:ascii="宋体" w:eastAsia="宋体" w:hAnsi="宋体" w:cs="宋体" w:hint="eastAsia"/>
                <w:color w:val="FF0000"/>
                <w:sz w:val="21"/>
                <w:szCs w:val="21"/>
                <w:highlight w:val="none"/>
              </w:rPr>
              <w:t>由监理单位协助学校、中标单位进行验收。</w:t>
            </w:r>
          </w:p>
        </w:tc>
      </w:tr>
      <w:tr>
        <w:tblPrEx>
          <w:tblW w:w="9640" w:type="dxa"/>
          <w:jc w:val="center"/>
          <w:tblCellMar>
            <w:top w:w="0" w:type="dxa"/>
            <w:left w:w="108" w:type="dxa"/>
            <w:bottom w:w="0" w:type="dxa"/>
            <w:right w:w="108" w:type="dxa"/>
          </w:tblCellMar>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宋体" w:hint="eastAsia"/>
                <w:bCs/>
                <w:color w:val="FF0000"/>
                <w:sz w:val="21"/>
                <w:szCs w:val="21"/>
                <w:highlight w:val="none"/>
              </w:rPr>
            </w:pPr>
            <w:r>
              <w:rPr>
                <w:rFonts w:ascii="宋体" w:eastAsia="宋体" w:hAnsi="宋体" w:cs="宋体" w:hint="eastAsia"/>
                <w:b/>
                <w:bCs/>
                <w:color w:val="FF0000"/>
                <w:sz w:val="21"/>
                <w:szCs w:val="21"/>
                <w:highlight w:val="none"/>
              </w:rPr>
              <w:t>售后服务要求</w:t>
            </w:r>
          </w:p>
        </w:tc>
        <w:tc>
          <w:tcPr>
            <w:tcW w:w="7797" w:type="dxa"/>
            <w:tcBorders>
              <w:top w:val="single" w:sz="4" w:space="0" w:color="auto"/>
              <w:left w:val="single" w:sz="4" w:space="0" w:color="auto"/>
              <w:bottom w:val="single" w:sz="4" w:space="0" w:color="auto"/>
              <w:right w:val="single" w:sz="4" w:space="0" w:color="auto"/>
            </w:tcBorders>
            <w:vAlign w:val="center"/>
          </w:tcPr>
          <w:p>
            <w:pPr>
              <w:ind w:firstLine="210" w:firstLineChars="100"/>
              <w:jc w:val="both"/>
              <w:rPr>
                <w:rFonts w:ascii="宋体" w:eastAsia="宋体" w:hAnsi="宋体" w:cs="宋体" w:hint="eastAsia"/>
                <w:color w:val="FF0000"/>
                <w:sz w:val="21"/>
                <w:szCs w:val="21"/>
                <w:highlight w:val="none"/>
              </w:rPr>
            </w:pPr>
            <w:r>
              <w:rPr>
                <w:rFonts w:ascii="宋体" w:eastAsia="宋体" w:hAnsi="宋体" w:cs="宋体" w:hint="eastAsia"/>
                <w:color w:val="FF0000"/>
                <w:sz w:val="21"/>
                <w:szCs w:val="21"/>
                <w:highlight w:val="none"/>
              </w:rPr>
              <w:t>（1）所有货物及系统集成免费保修期三年，时间自最终验收合格并交付使用之日起计算。免费保修期内，所有服务及配件全部免费。（有注明的除外）。</w:t>
            </w:r>
          </w:p>
          <w:p>
            <w:pPr>
              <w:ind w:firstLine="210" w:firstLineChars="100"/>
              <w:jc w:val="both"/>
              <w:rPr>
                <w:rFonts w:ascii="宋体" w:eastAsia="宋体" w:hAnsi="宋体" w:cs="宋体" w:hint="eastAsia"/>
                <w:color w:val="FF0000"/>
                <w:sz w:val="21"/>
                <w:szCs w:val="21"/>
                <w:highlight w:val="none"/>
              </w:rPr>
            </w:pPr>
            <w:r>
              <w:rPr>
                <w:rFonts w:ascii="宋体" w:eastAsia="宋体" w:hAnsi="宋体" w:cs="宋体" w:hint="eastAsia"/>
                <w:color w:val="FF0000"/>
                <w:sz w:val="21"/>
                <w:szCs w:val="21"/>
                <w:highlight w:val="none"/>
              </w:rPr>
              <w:t>（2）在保修期内，一旦发生质量问题，投标人保证在接到通知4小时内赶到现场进行修理或更换，并承诺24小时内修复。</w:t>
            </w:r>
          </w:p>
          <w:p>
            <w:pPr>
              <w:ind w:firstLine="210" w:firstLineChars="100"/>
              <w:jc w:val="both"/>
              <w:rPr>
                <w:rFonts w:ascii="宋体" w:eastAsia="宋体" w:hAnsi="宋体" w:cs="宋体" w:hint="eastAsia"/>
                <w:color w:val="FF0000"/>
                <w:sz w:val="21"/>
                <w:szCs w:val="21"/>
                <w:highlight w:val="none"/>
              </w:rPr>
            </w:pPr>
            <w:r>
              <w:rPr>
                <w:rFonts w:ascii="宋体" w:eastAsia="宋体" w:hAnsi="宋体" w:cs="宋体" w:hint="eastAsia"/>
                <w:color w:val="FF0000"/>
                <w:sz w:val="21"/>
                <w:szCs w:val="21"/>
                <w:highlight w:val="none"/>
              </w:rPr>
              <w:t>（3）对保修期外采购方设备发生故障需更换的，投标人免收上门服务费，并以优惠价格提供配件。</w:t>
            </w:r>
          </w:p>
        </w:tc>
      </w:tr>
      <w:tr>
        <w:tblPrEx>
          <w:tblW w:w="9640" w:type="dxa"/>
          <w:jc w:val="center"/>
          <w:tblCellMar>
            <w:top w:w="0" w:type="dxa"/>
            <w:left w:w="108" w:type="dxa"/>
            <w:bottom w:w="0" w:type="dxa"/>
            <w:right w:w="108" w:type="dxa"/>
          </w:tblCellMar>
        </w:tblPrEx>
        <w:trPr>
          <w:trHeight w:val="694"/>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宋体" w:hint="eastAsia"/>
                <w:b/>
                <w:bCs/>
                <w:color w:val="FF0000"/>
                <w:sz w:val="21"/>
                <w:szCs w:val="21"/>
                <w:highlight w:val="none"/>
              </w:rPr>
            </w:pPr>
            <w:r>
              <w:rPr>
                <w:rFonts w:ascii="宋体" w:eastAsia="宋体" w:hAnsi="宋体" w:cs="宋体" w:hint="eastAsia"/>
                <w:b/>
                <w:bCs/>
                <w:color w:val="FF0000"/>
                <w:sz w:val="21"/>
                <w:szCs w:val="21"/>
                <w:highlight w:val="none"/>
              </w:rPr>
              <w:t>其他要求</w:t>
            </w:r>
          </w:p>
        </w:tc>
        <w:tc>
          <w:tcPr>
            <w:tcW w:w="7797" w:type="dxa"/>
            <w:tcBorders>
              <w:top w:val="single" w:sz="4" w:space="0" w:color="auto"/>
              <w:left w:val="single" w:sz="4" w:space="0" w:color="auto"/>
              <w:bottom w:val="single" w:sz="4" w:space="0" w:color="auto"/>
              <w:right w:val="single" w:sz="4" w:space="0" w:color="auto"/>
            </w:tcBorders>
            <w:vAlign w:val="center"/>
          </w:tcPr>
          <w:p>
            <w:pPr>
              <w:ind w:firstLine="420" w:firstLineChars="200"/>
              <w:jc w:val="both"/>
              <w:rPr>
                <w:rFonts w:ascii="宋体" w:eastAsia="宋体" w:hAnsi="宋体" w:cs="宋体" w:hint="eastAsia"/>
                <w:bCs/>
                <w:color w:val="FF0000"/>
                <w:sz w:val="21"/>
                <w:szCs w:val="21"/>
                <w:highlight w:val="none"/>
              </w:rPr>
            </w:pPr>
            <w:r>
              <w:rPr>
                <w:rFonts w:ascii="宋体" w:eastAsia="宋体" w:hAnsi="宋体" w:cs="宋体" w:hint="eastAsia"/>
                <w:bCs/>
                <w:color w:val="FF0000"/>
                <w:sz w:val="21"/>
                <w:szCs w:val="21"/>
                <w:highlight w:val="none"/>
              </w:rPr>
              <w:t>(1) 上报验收报告时，除了表格中写明的材料外，还需要验收记录表、产品三证（指产品合格证、供货凭证（含生产厂家或代理商证明））、产品检测证明（含第三方有资质检测机构出具的含有设备核心参数的有效检测报告、软件产品的软件测试报告和软件著作权证书）、合同及附件。</w:t>
            </w:r>
          </w:p>
          <w:p>
            <w:pPr>
              <w:ind w:firstLine="420" w:firstLineChars="200"/>
              <w:jc w:val="both"/>
              <w:rPr>
                <w:rFonts w:ascii="宋体" w:eastAsia="宋体" w:hAnsi="宋体" w:cs="宋体" w:hint="eastAsia"/>
                <w:bCs/>
                <w:color w:val="FF0000"/>
                <w:sz w:val="21"/>
                <w:szCs w:val="21"/>
                <w:highlight w:val="none"/>
              </w:rPr>
            </w:pPr>
            <w:r>
              <w:rPr>
                <w:rFonts w:ascii="宋体" w:eastAsia="宋体" w:hAnsi="宋体" w:cs="宋体" w:hint="eastAsia"/>
                <w:bCs/>
                <w:color w:val="FF0000"/>
                <w:sz w:val="21"/>
                <w:szCs w:val="21"/>
                <w:highlight w:val="none"/>
              </w:rPr>
              <w:t>(2）投标商必须确保中标后提供的货物为正规渠道供货，不存在违反国家法律法规的情况。</w:t>
            </w:r>
          </w:p>
          <w:p>
            <w:pPr>
              <w:ind w:firstLine="420" w:firstLineChars="200"/>
              <w:jc w:val="both"/>
              <w:rPr>
                <w:rFonts w:ascii="宋体" w:eastAsia="宋体" w:hAnsi="宋体" w:cs="宋体" w:hint="eastAsia"/>
                <w:bCs/>
                <w:color w:val="FF0000"/>
                <w:sz w:val="21"/>
                <w:szCs w:val="21"/>
                <w:highlight w:val="none"/>
              </w:rPr>
            </w:pPr>
            <w:r>
              <w:rPr>
                <w:rFonts w:ascii="宋体" w:eastAsia="宋体" w:hAnsi="宋体" w:cs="宋体" w:hint="eastAsia"/>
                <w:bCs/>
                <w:color w:val="FF0000"/>
                <w:sz w:val="21"/>
                <w:szCs w:val="21"/>
                <w:highlight w:val="none"/>
                <w:lang w:val="en-US" w:eastAsia="zh-CN"/>
              </w:rPr>
              <w:t>（3）投标人必须在</w:t>
            </w:r>
            <w:r>
              <w:rPr>
                <w:rFonts w:ascii="宋体" w:eastAsia="宋体" w:hAnsi="宋体" w:cs="宋体" w:hint="eastAsia"/>
                <w:bCs/>
                <w:color w:val="FF0000"/>
                <w:sz w:val="21"/>
                <w:szCs w:val="21"/>
                <w:highlight w:val="none"/>
              </w:rPr>
              <w:t>区级平台建设好后与区级平台对接，接受区级平台的考务编排、统一阅卷、考题下发、新增实验教案、成绩查询统计和上传答卷数据等管理。其中上传答卷数据满足以下要求：视频格式：标准的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万像素，单张图片大小不大于 5MB，支持 4:3 长宽比。</w:t>
            </w:r>
          </w:p>
        </w:tc>
      </w:tr>
    </w:tbl>
    <w:p>
      <w:pPr>
        <w:spacing w:after="78" w:afterLines="25" w:line="300" w:lineRule="auto"/>
        <w:rPr>
          <w:rFonts w:ascii="Arial" w:eastAsia="宋体" w:hAnsi="Arial" w:cs="Times New Roman"/>
          <w:szCs w:val="24"/>
        </w:rPr>
      </w:pPr>
    </w:p>
    <w:p>
      <w:pPr>
        <w:keepNext/>
        <w:keepLines/>
        <w:tabs>
          <w:tab w:val="left" w:pos="1680"/>
        </w:tabs>
        <w:spacing w:before="260" w:after="78" w:afterLines="25"/>
        <w:jc w:val="center"/>
        <w:outlineLvl w:val="2"/>
        <w:rPr>
          <w:rFonts w:ascii="Arial" w:eastAsia="宋体" w:hAnsi="Arial" w:cs="Times New Roman"/>
          <w:b/>
          <w:bCs/>
          <w:sz w:val="32"/>
          <w:szCs w:val="32"/>
        </w:rPr>
      </w:pPr>
      <w:r>
        <w:rPr>
          <w:rFonts w:ascii="Arial" w:eastAsia="宋体" w:hAnsi="Arial" w:cs="Times New Roman" w:hint="eastAsia"/>
          <w:b/>
          <w:bCs/>
          <w:sz w:val="32"/>
          <w:szCs w:val="32"/>
        </w:rPr>
        <w:t>四、技术</w:t>
      </w:r>
      <w:r>
        <w:rPr>
          <w:rFonts w:ascii="Arial" w:eastAsia="宋体" w:hAnsi="Arial" w:cs="Times New Roman" w:hint="eastAsia"/>
          <w:b/>
          <w:bCs/>
          <w:sz w:val="32"/>
          <w:szCs w:val="32"/>
          <w:lang w:val="en-US" w:eastAsia="zh-CN"/>
        </w:rPr>
        <w:t>要求</w:t>
      </w:r>
      <w:r>
        <w:rPr>
          <w:rFonts w:ascii="Arial" w:eastAsia="宋体" w:hAnsi="Arial" w:cs="Times New Roman" w:hint="eastAsia"/>
          <w:b/>
          <w:bCs/>
          <w:sz w:val="32"/>
          <w:szCs w:val="32"/>
        </w:rPr>
        <w:t>部分</w:t>
      </w:r>
    </w:p>
    <w:p>
      <w:pPr>
        <w:rPr>
          <w:rFonts w:ascii="宋体" w:eastAsia="宋体" w:hAnsi="宋体" w:cs="Times New Roman"/>
          <w:b/>
          <w:color w:val="FF0000"/>
          <w:szCs w:val="21"/>
          <w:highlight w:val="none"/>
        </w:rPr>
      </w:pP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号要求为不可偏离要求，如出现负偏离，将导致投标无效。带▲号参数为重要参数，其他参数（非▲号参数）为普通参数，如出现负偏离，将按照评分准</w:t>
      </w:r>
      <w:r>
        <w:rPr>
          <w:rFonts w:ascii="宋体" w:eastAsia="宋体" w:hAnsi="宋体" w:cs="Times New Roman" w:hint="eastAsia"/>
          <w:b/>
          <w:color w:val="FF0000"/>
          <w:szCs w:val="21"/>
          <w:highlight w:val="none"/>
        </w:rPr>
        <w:t>则做扣分处理。如注明要求提供相关佐证材料的，需以佐证材料作为是否偏离的依据。</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2、所列的技术</w:t>
      </w:r>
      <w:r>
        <w:rPr>
          <w:rFonts w:ascii="Calibri" w:eastAsia="宋体" w:hAnsi="Calibri" w:cs="Times New Roman"/>
          <w:color w:val="FF0000"/>
          <w:szCs w:val="21"/>
        </w:rPr>
        <w:t>参数</w:t>
      </w:r>
      <w:r>
        <w:rPr>
          <w:rFonts w:ascii="Calibri" w:eastAsia="宋体" w:hAnsi="Calibri" w:cs="Times New Roman" w:hint="eastAsia"/>
          <w:color w:val="FF0000"/>
          <w:szCs w:val="21"/>
        </w:rPr>
        <w:t>需求中如出现品牌信息仅供参考，不作为参数要求，目的只为投标人更清楚地了解采购需求，投标人可提供其他品牌设备投标。</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3、如有</w:t>
      </w:r>
      <w:r>
        <w:rPr>
          <w:rFonts w:ascii="Calibri" w:eastAsia="宋体" w:hAnsi="Calibri" w:cs="Times New Roman"/>
          <w:color w:val="FF0000"/>
          <w:szCs w:val="21"/>
        </w:rPr>
        <w:t>方案表述中有出现类似可实现、</w:t>
      </w:r>
      <w:r>
        <w:rPr>
          <w:rFonts w:ascii="Calibri" w:eastAsia="宋体" w:hAnsi="Calibri" w:cs="Times New Roman" w:hint="eastAsia"/>
          <w:color w:val="FF0000"/>
          <w:szCs w:val="21"/>
        </w:rPr>
        <w:t>实现</w:t>
      </w:r>
      <w:r>
        <w:rPr>
          <w:rFonts w:ascii="Calibri" w:eastAsia="宋体" w:hAnsi="Calibri" w:cs="Times New Roman"/>
          <w:color w:val="FF0000"/>
          <w:szCs w:val="21"/>
        </w:rPr>
        <w:t>、</w:t>
      </w:r>
      <w:r>
        <w:rPr>
          <w:rFonts w:ascii="Calibri" w:eastAsia="宋体" w:hAnsi="Calibri" w:cs="Times New Roman" w:hint="eastAsia"/>
          <w:color w:val="FF0000"/>
          <w:szCs w:val="21"/>
        </w:rPr>
        <w:t>可</w:t>
      </w:r>
      <w:r>
        <w:rPr>
          <w:rFonts w:ascii="Calibri" w:eastAsia="宋体" w:hAnsi="Calibri" w:cs="Times New Roman"/>
          <w:color w:val="FF0000"/>
          <w:szCs w:val="21"/>
        </w:rPr>
        <w:t>支持、支持</w:t>
      </w:r>
      <w:r>
        <w:rPr>
          <w:rFonts w:ascii="Calibri" w:eastAsia="宋体" w:hAnsi="Calibri" w:cs="Times New Roman" w:hint="eastAsia"/>
          <w:color w:val="FF0000"/>
          <w:szCs w:val="21"/>
        </w:rPr>
        <w:t>等</w:t>
      </w:r>
      <w:r>
        <w:rPr>
          <w:rFonts w:ascii="Calibri" w:eastAsia="宋体" w:hAnsi="Calibri" w:cs="Times New Roman"/>
          <w:color w:val="FF0000"/>
          <w:szCs w:val="21"/>
        </w:rPr>
        <w:t>描述的，均表示方案需要实现的功能或</w:t>
      </w:r>
      <w:r>
        <w:rPr>
          <w:rFonts w:ascii="Calibri" w:eastAsia="宋体" w:hAnsi="Calibri" w:cs="Times New Roman" w:hint="eastAsia"/>
          <w:color w:val="FF0000"/>
          <w:szCs w:val="21"/>
        </w:rPr>
        <w:t>应满足的</w:t>
      </w:r>
      <w:r>
        <w:rPr>
          <w:rFonts w:ascii="Calibri" w:eastAsia="宋体" w:hAnsi="Calibri" w:cs="Times New Roman"/>
          <w:color w:val="FF0000"/>
          <w:szCs w:val="21"/>
        </w:rPr>
        <w:t>要求，即项目在验收时无须增加其他</w:t>
      </w:r>
      <w:r>
        <w:rPr>
          <w:rFonts w:ascii="Calibri" w:eastAsia="宋体" w:hAnsi="Calibri" w:cs="Times New Roman" w:hint="eastAsia"/>
          <w:color w:val="FF0000"/>
          <w:szCs w:val="21"/>
        </w:rPr>
        <w:t>额外</w:t>
      </w:r>
      <w:r>
        <w:rPr>
          <w:rFonts w:ascii="Calibri" w:eastAsia="宋体" w:hAnsi="Calibri" w:cs="Times New Roman"/>
          <w:color w:val="FF0000"/>
          <w:szCs w:val="21"/>
        </w:rPr>
        <w:t>设备</w:t>
      </w:r>
      <w:r>
        <w:rPr>
          <w:rFonts w:ascii="Calibri" w:eastAsia="宋体" w:hAnsi="Calibri" w:cs="Times New Roman" w:hint="eastAsia"/>
          <w:color w:val="FF0000"/>
          <w:szCs w:val="21"/>
        </w:rPr>
        <w:t>或</w:t>
      </w:r>
      <w:r>
        <w:rPr>
          <w:rFonts w:ascii="Calibri" w:eastAsia="宋体" w:hAnsi="Calibri" w:cs="Times New Roman"/>
          <w:color w:val="FF0000"/>
          <w:szCs w:val="21"/>
        </w:rPr>
        <w:t>系统</w:t>
      </w:r>
      <w:r>
        <w:rPr>
          <w:rFonts w:ascii="Calibri" w:eastAsia="宋体" w:hAnsi="Calibri" w:cs="Times New Roman" w:hint="eastAsia"/>
          <w:color w:val="FF0000"/>
          <w:szCs w:val="21"/>
        </w:rPr>
        <w:t>，</w:t>
      </w:r>
      <w:r>
        <w:rPr>
          <w:rFonts w:ascii="Calibri" w:eastAsia="宋体" w:hAnsi="Calibri" w:cs="Times New Roman"/>
          <w:color w:val="FF0000"/>
          <w:szCs w:val="21"/>
        </w:rPr>
        <w:t>使用本项目中的设备或</w:t>
      </w:r>
      <w:r>
        <w:rPr>
          <w:rFonts w:ascii="Calibri" w:eastAsia="宋体" w:hAnsi="Calibri" w:cs="Times New Roman" w:hint="eastAsia"/>
          <w:color w:val="FF0000"/>
          <w:szCs w:val="21"/>
        </w:rPr>
        <w:t>系统</w:t>
      </w:r>
      <w:r>
        <w:rPr>
          <w:rFonts w:ascii="Calibri" w:eastAsia="宋体" w:hAnsi="Calibri" w:cs="Times New Roman"/>
          <w:color w:val="FF0000"/>
          <w:szCs w:val="21"/>
        </w:rPr>
        <w:t>即能实现</w:t>
      </w:r>
      <w:r>
        <w:rPr>
          <w:rFonts w:ascii="Calibri" w:eastAsia="宋体" w:hAnsi="Calibri" w:cs="Times New Roman" w:hint="eastAsia"/>
          <w:color w:val="FF0000"/>
          <w:szCs w:val="21"/>
        </w:rPr>
        <w:t>相应功能</w:t>
      </w:r>
      <w:r>
        <w:rPr>
          <w:rFonts w:ascii="Calibri" w:eastAsia="宋体" w:hAnsi="Calibri" w:cs="Times New Roman"/>
          <w:color w:val="FF0000"/>
          <w:szCs w:val="21"/>
        </w:rPr>
        <w:t>或</w:t>
      </w:r>
      <w:r>
        <w:rPr>
          <w:rFonts w:ascii="Calibri" w:eastAsia="宋体" w:hAnsi="Calibri" w:cs="Times New Roman" w:hint="eastAsia"/>
          <w:color w:val="FF0000"/>
          <w:szCs w:val="21"/>
        </w:rPr>
        <w:t>满足相关</w:t>
      </w:r>
      <w:r>
        <w:rPr>
          <w:rFonts w:ascii="Calibri" w:eastAsia="宋体" w:hAnsi="Calibri" w:cs="Times New Roman"/>
          <w:color w:val="FF0000"/>
          <w:szCs w:val="21"/>
        </w:rPr>
        <w:t>要求。</w:t>
      </w:r>
    </w:p>
    <w:p>
      <w:pPr>
        <w:spacing w:after="78"/>
        <w:jc w:val="left"/>
        <w:rPr>
          <w:rFonts w:ascii="Calibri" w:eastAsia="宋体" w:hAnsi="Calibri" w:cs="Times New Roman" w:hint="eastAsia"/>
          <w:color w:val="FF0000"/>
          <w:szCs w:val="21"/>
          <w:lang w:val="en-US" w:eastAsia="zh-CN"/>
        </w:rPr>
      </w:pPr>
      <w:r>
        <w:rPr>
          <w:rFonts w:ascii="Calibri" w:eastAsia="宋体" w:hAnsi="Calibri" w:cs="Times New Roman" w:hint="eastAsia"/>
          <w:color w:val="FF0000"/>
          <w:szCs w:val="21"/>
          <w:lang w:val="en-US" w:eastAsia="zh-CN"/>
        </w:rPr>
        <w:t>4、除有特别注明的以外，招标技术参数要求为区间范围值的，投标技术参数响应招标技术参数区间范围内的任意值或响应招标技术参数区间范围都视为符合招标文件要求（</w:t>
      </w:r>
      <w:r>
        <w:rPr>
          <w:rFonts w:ascii="Calibri" w:eastAsia="宋体" w:hAnsi="Calibri" w:cs="Times New Roman" w:hint="eastAsia"/>
          <w:color w:val="FF0000"/>
          <w:szCs w:val="21"/>
        </w:rPr>
        <w:t>例：</w:t>
      </w:r>
      <w:r>
        <w:rPr>
          <w:rFonts w:ascii="Calibri" w:eastAsia="宋体" w:hAnsi="Calibri" w:cs="Times New Roman" w:hint="eastAsia"/>
          <w:color w:val="FF0000"/>
          <w:szCs w:val="21"/>
          <w:lang w:val="en-US" w:eastAsia="zh-CN"/>
        </w:rPr>
        <w:t>如招标技术参数</w:t>
      </w:r>
      <w:r>
        <w:rPr>
          <w:rFonts w:ascii="Calibri" w:eastAsia="宋体" w:hAnsi="Calibri" w:cs="Times New Roman" w:hint="eastAsia"/>
          <w:color w:val="FF0000"/>
          <w:szCs w:val="21"/>
        </w:rPr>
        <w:t>区间要求为0-20ML</w:t>
      </w:r>
      <w:r>
        <w:rPr>
          <w:rFonts w:ascii="Calibri" w:eastAsia="宋体" w:hAnsi="Calibri" w:cs="Times New Roman" w:hint="eastAsia"/>
          <w:color w:val="FF0000"/>
          <w:szCs w:val="21"/>
          <w:lang w:eastAsia="zh-CN"/>
        </w:rPr>
        <w:t>，</w:t>
      </w:r>
      <w:r>
        <w:rPr>
          <w:rFonts w:ascii="Calibri" w:eastAsia="宋体" w:hAnsi="Calibri" w:cs="Times New Roman" w:hint="eastAsia"/>
          <w:color w:val="FF0000"/>
          <w:szCs w:val="21"/>
          <w:lang w:val="en-US" w:eastAsia="zh-CN"/>
        </w:rPr>
        <w:t>如投标技术参数响应为15ML或0-20ML的，视为符合招标文件要求）。</w:t>
      </w:r>
    </w:p>
    <w:tbl>
      <w:tblPr>
        <w:tblStyle w:val="TableNormal"/>
        <w:tblW w:w="9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6"/>
        <w:gridCol w:w="1470"/>
        <w:gridCol w:w="7175"/>
      </w:tblGrid>
      <w:tr>
        <w:tblPrEx>
          <w:tblW w:w="9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02"/>
          <w:jc w:val="center"/>
        </w:trPr>
        <w:tc>
          <w:tcPr>
            <w:tcW w:w="456"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b/>
                <w:bCs/>
                <w:color w:val="000000"/>
                <w:kern w:val="0"/>
                <w:sz w:val="21"/>
                <w:szCs w:val="21"/>
              </w:rPr>
            </w:pPr>
            <w:bookmarkStart w:id="16" w:name="RANGE!B2"/>
            <w:r>
              <w:rPr>
                <w:rFonts w:ascii="宋体" w:eastAsia="宋体" w:hAnsi="宋体" w:cs="宋体" w:hint="eastAsia"/>
                <w:b/>
                <w:bCs/>
                <w:color w:val="000000"/>
                <w:kern w:val="0"/>
                <w:sz w:val="21"/>
                <w:szCs w:val="21"/>
              </w:rPr>
              <w:t>序号</w:t>
            </w:r>
            <w:bookmarkEnd w:id="16"/>
          </w:p>
        </w:tc>
        <w:tc>
          <w:tcPr>
            <w:tcW w:w="1470"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b/>
                <w:bCs/>
                <w:color w:val="000000"/>
                <w:kern w:val="0"/>
                <w:sz w:val="21"/>
                <w:szCs w:val="21"/>
              </w:rPr>
            </w:pPr>
            <w:r>
              <w:rPr>
                <w:rFonts w:ascii="宋体" w:eastAsia="宋体" w:hAnsi="宋体" w:cs="宋体" w:hint="eastAsia"/>
                <w:b/>
                <w:bCs/>
                <w:color w:val="000000"/>
                <w:kern w:val="0"/>
                <w:sz w:val="21"/>
                <w:szCs w:val="21"/>
              </w:rPr>
              <w:t>设备名称</w:t>
            </w:r>
          </w:p>
        </w:tc>
        <w:tc>
          <w:tcPr>
            <w:tcW w:w="7175"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b/>
                <w:bCs/>
                <w:color w:val="000000"/>
                <w:kern w:val="0"/>
                <w:sz w:val="21"/>
                <w:szCs w:val="21"/>
              </w:rPr>
            </w:pPr>
            <w:r>
              <w:rPr>
                <w:rFonts w:ascii="宋体" w:eastAsia="宋体" w:hAnsi="宋体" w:cs="宋体" w:hint="eastAsia"/>
                <w:b/>
                <w:bCs/>
                <w:color w:val="000000"/>
                <w:kern w:val="0"/>
                <w:sz w:val="21"/>
                <w:szCs w:val="21"/>
              </w:rPr>
              <w:t>技术参数要求</w:t>
            </w: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w:t>
            </w:r>
          </w:p>
        </w:tc>
        <w:tc>
          <w:tcPr>
            <w:tcW w:w="1470" w:type="dxa"/>
            <w:noWrap/>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考试专用服务器</w:t>
            </w:r>
          </w:p>
        </w:tc>
        <w:tc>
          <w:tcPr>
            <w:tcW w:w="7175" w:type="dxa"/>
            <w:noWrap w:val="0"/>
            <w:vAlign w:val="center"/>
          </w:tcPr>
          <w:p>
            <w:pPr>
              <w:pStyle w:val="Heading3"/>
              <w:keepNext w:val="0"/>
              <w:keepLines w:val="0"/>
              <w:pageBreakBefore w:val="0"/>
              <w:kinsoku/>
              <w:wordWrap/>
              <w:overflowPunct/>
              <w:topLinePunct w:val="0"/>
              <w:autoSpaceDE/>
              <w:autoSpaceDN/>
              <w:bidi w:val="0"/>
              <w:adjustRightInd/>
              <w:snapToGrid/>
              <w:spacing w:before="0" w:after="0" w:line="320" w:lineRule="exact"/>
              <w:ind w:left="0" w:firstLine="0"/>
              <w:textAlignment w:val="auto"/>
              <w:rPr>
                <w:rFonts w:ascii="宋体" w:eastAsia="宋体" w:hAnsi="宋体" w:cs="宋体" w:hint="eastAsia"/>
                <w:color w:val="000000"/>
                <w:kern w:val="0"/>
                <w:sz w:val="21"/>
                <w:szCs w:val="21"/>
                <w:lang w:eastAsia="zh-CN"/>
              </w:rPr>
            </w:pPr>
            <w:r>
              <w:rPr>
                <w:rFonts w:ascii="宋体" w:eastAsia="宋体" w:hAnsi="宋体" w:cs="宋体" w:hint="eastAsia"/>
                <w:color w:val="000000"/>
                <w:sz w:val="21"/>
                <w:szCs w:val="21"/>
                <w:lang w:val="en-US" w:eastAsia="zh-CN"/>
              </w:rPr>
              <w:t>1.</w:t>
            </w:r>
            <w:r>
              <w:rPr>
                <w:rFonts w:ascii="宋体" w:eastAsia="宋体" w:hAnsi="宋体" w:cs="宋体" w:hint="eastAsia"/>
                <w:color w:val="000000"/>
                <w:sz w:val="21"/>
                <w:szCs w:val="21"/>
              </w:rPr>
              <w:t>CPU：主频</w:t>
            </w:r>
            <w:r>
              <w:rPr>
                <w:rFonts w:ascii="宋体" w:eastAsia="宋体" w:hAnsi="宋体" w:cs="宋体" w:hint="eastAsia"/>
                <w:color w:val="000000"/>
                <w:kern w:val="0"/>
                <w:sz w:val="21"/>
                <w:szCs w:val="21"/>
              </w:rPr>
              <w:t>≥</w:t>
            </w:r>
            <w:r>
              <w:rPr>
                <w:rFonts w:ascii="宋体" w:eastAsia="宋体" w:hAnsi="宋体" w:cs="宋体" w:hint="eastAsia"/>
                <w:color w:val="000000"/>
                <w:sz w:val="21"/>
                <w:szCs w:val="21"/>
              </w:rPr>
              <w:t>于2.4GHZ，</w:t>
            </w:r>
            <w:r>
              <w:rPr>
                <w:rFonts w:ascii="宋体" w:eastAsia="宋体" w:hAnsi="宋体" w:cs="宋体" w:hint="eastAsia"/>
                <w:color w:val="000000"/>
                <w:kern w:val="0"/>
                <w:sz w:val="21"/>
                <w:szCs w:val="21"/>
              </w:rPr>
              <w:t>≥</w:t>
            </w:r>
            <w:r>
              <w:rPr>
                <w:rFonts w:ascii="宋体" w:eastAsia="宋体" w:hAnsi="宋体" w:cs="宋体" w:hint="eastAsia"/>
                <w:color w:val="000000"/>
                <w:sz w:val="21"/>
                <w:szCs w:val="21"/>
              </w:rPr>
              <w:t>10核20线程，单核缓存</w:t>
            </w:r>
            <w:r>
              <w:rPr>
                <w:rFonts w:ascii="宋体" w:eastAsia="宋体" w:hAnsi="宋体" w:cs="宋体" w:hint="eastAsia"/>
                <w:color w:val="000000"/>
                <w:kern w:val="0"/>
                <w:sz w:val="21"/>
                <w:szCs w:val="21"/>
              </w:rPr>
              <w:t>≥</w:t>
            </w:r>
            <w:r>
              <w:rPr>
                <w:rFonts w:ascii="宋体" w:eastAsia="宋体" w:hAnsi="宋体" w:cs="宋体" w:hint="eastAsia"/>
                <w:color w:val="000000"/>
                <w:sz w:val="21"/>
                <w:szCs w:val="21"/>
              </w:rPr>
              <w:t>11MB。内存：</w:t>
            </w:r>
            <w:r>
              <w:rPr>
                <w:rFonts w:ascii="宋体" w:eastAsia="宋体" w:hAnsi="宋体" w:cs="宋体" w:hint="eastAsia"/>
                <w:color w:val="000000"/>
                <w:kern w:val="0"/>
                <w:sz w:val="21"/>
                <w:szCs w:val="21"/>
              </w:rPr>
              <w:t>≥</w:t>
            </w:r>
            <w:r>
              <w:rPr>
                <w:rFonts w:ascii="宋体" w:eastAsia="宋体" w:hAnsi="宋体" w:cs="宋体" w:hint="eastAsia"/>
                <w:color w:val="000000"/>
                <w:sz w:val="21"/>
                <w:szCs w:val="21"/>
              </w:rPr>
              <w:t>64GB</w:t>
            </w:r>
            <w:r>
              <w:rPr>
                <w:rFonts w:ascii="宋体" w:eastAsia="宋体" w:hAnsi="宋体" w:cs="宋体" w:hint="eastAsia"/>
                <w:color w:val="000000"/>
                <w:sz w:val="21"/>
                <w:szCs w:val="21"/>
                <w:lang w:eastAsia="zh-CN"/>
              </w:rPr>
              <w:t>；</w:t>
            </w:r>
            <w:r>
              <w:rPr>
                <w:rFonts w:ascii="宋体" w:eastAsia="宋体" w:hAnsi="宋体" w:cs="宋体" w:hint="eastAsia"/>
                <w:color w:val="000000"/>
                <w:sz w:val="21"/>
                <w:szCs w:val="21"/>
                <w:lang w:val="en-US" w:eastAsia="zh-CN"/>
              </w:rPr>
              <w:t>2.</w:t>
            </w:r>
            <w:r>
              <w:rPr>
                <w:rFonts w:ascii="宋体" w:eastAsia="宋体" w:hAnsi="宋体" w:cs="宋体" w:hint="eastAsia"/>
                <w:color w:val="000000"/>
                <w:sz w:val="21"/>
                <w:szCs w:val="21"/>
              </w:rPr>
              <w:t>硬盘支持RAID0,1,5等</w:t>
            </w:r>
            <w:r>
              <w:rPr>
                <w:rFonts w:ascii="宋体" w:eastAsia="宋体" w:hAnsi="宋体" w:cs="宋体" w:hint="eastAsia"/>
                <w:color w:val="000000"/>
                <w:sz w:val="21"/>
                <w:szCs w:val="21"/>
                <w:lang w:eastAsia="zh-CN"/>
              </w:rPr>
              <w:t>，</w:t>
            </w:r>
            <w:r>
              <w:rPr>
                <w:rFonts w:ascii="宋体" w:eastAsia="宋体" w:hAnsi="宋体" w:cs="宋体" w:hint="eastAsia"/>
                <w:color w:val="000000"/>
                <w:sz w:val="21"/>
                <w:szCs w:val="21"/>
              </w:rPr>
              <w:t>具有</w:t>
            </w:r>
            <w:r>
              <w:rPr>
                <w:rFonts w:ascii="宋体" w:eastAsia="宋体" w:hAnsi="宋体" w:cs="宋体" w:hint="eastAsia"/>
                <w:color w:val="000000"/>
                <w:kern w:val="0"/>
                <w:sz w:val="21"/>
                <w:szCs w:val="21"/>
              </w:rPr>
              <w:t>≥</w:t>
            </w:r>
            <w:r>
              <w:rPr>
                <w:rFonts w:ascii="宋体" w:eastAsia="宋体" w:hAnsi="宋体" w:cs="宋体" w:hint="eastAsia"/>
                <w:color w:val="000000"/>
                <w:sz w:val="21"/>
                <w:szCs w:val="21"/>
              </w:rPr>
              <w:t>8个热插拔硬盘仓：</w:t>
            </w:r>
            <w:r>
              <w:rPr>
                <w:rFonts w:ascii="宋体" w:eastAsia="宋体" w:hAnsi="宋体" w:cs="宋体" w:hint="eastAsia"/>
                <w:color w:val="000000"/>
                <w:kern w:val="0"/>
                <w:sz w:val="21"/>
                <w:szCs w:val="21"/>
              </w:rPr>
              <w:t>≥</w:t>
            </w:r>
            <w:r>
              <w:rPr>
                <w:rFonts w:ascii="宋体" w:eastAsia="宋体" w:hAnsi="宋体" w:cs="宋体" w:hint="eastAsia"/>
                <w:color w:val="000000"/>
                <w:sz w:val="21"/>
                <w:szCs w:val="21"/>
              </w:rPr>
              <w:t>10TB。网卡：</w:t>
            </w:r>
            <w:r>
              <w:rPr>
                <w:rFonts w:ascii="宋体" w:eastAsia="宋体" w:hAnsi="宋体" w:cs="宋体" w:hint="eastAsia"/>
                <w:sz w:val="21"/>
                <w:szCs w:val="21"/>
              </w:rPr>
              <w:t>双口千兆</w:t>
            </w:r>
            <w:r>
              <w:rPr>
                <w:rFonts w:ascii="宋体" w:eastAsia="宋体" w:hAnsi="宋体" w:cs="宋体" w:hint="eastAsia"/>
                <w:sz w:val="21"/>
                <w:szCs w:val="21"/>
                <w:lang w:eastAsia="zh-CN"/>
              </w:rPr>
              <w:t>；</w:t>
            </w:r>
            <w:r>
              <w:rPr>
                <w:rFonts w:ascii="宋体" w:eastAsia="宋体" w:hAnsi="宋体" w:cs="宋体" w:hint="eastAsia"/>
                <w:color w:val="000000"/>
                <w:sz w:val="21"/>
                <w:szCs w:val="21"/>
              </w:rPr>
              <w:t>支持网络流媒体存储，可同时存储</w:t>
            </w:r>
            <w:r>
              <w:rPr>
                <w:rFonts w:ascii="宋体" w:eastAsia="宋体" w:hAnsi="宋体" w:cs="宋体" w:hint="eastAsia"/>
                <w:color w:val="000000"/>
                <w:sz w:val="21"/>
                <w:szCs w:val="21"/>
                <w:lang w:eastAsia="zh-CN"/>
              </w:rPr>
              <w:t>≥</w:t>
            </w:r>
            <w:r>
              <w:rPr>
                <w:rFonts w:ascii="宋体" w:eastAsia="宋体" w:hAnsi="宋体" w:cs="宋体" w:hint="eastAsia"/>
                <w:color w:val="000000"/>
                <w:sz w:val="21"/>
                <w:szCs w:val="21"/>
              </w:rPr>
              <w:t>144路1080P实时视频流</w:t>
            </w:r>
            <w:r>
              <w:rPr>
                <w:rFonts w:ascii="宋体" w:eastAsia="宋体" w:hAnsi="宋体" w:cs="宋体" w:hint="eastAsia"/>
                <w:color w:val="000000"/>
                <w:sz w:val="21"/>
                <w:szCs w:val="21"/>
                <w:lang w:eastAsia="zh-CN"/>
              </w:rPr>
              <w:t>。</w:t>
            </w: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w:t>
            </w:r>
          </w:p>
        </w:tc>
        <w:tc>
          <w:tcPr>
            <w:tcW w:w="1470" w:type="dxa"/>
            <w:noWrap/>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移动硬盘</w:t>
            </w:r>
          </w:p>
        </w:tc>
        <w:tc>
          <w:tcPr>
            <w:tcW w:w="7175" w:type="dxa"/>
            <w:noWrap/>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≥4TB固态硬盘，支持 USB2.0/3.0接口，防震，超薄。</w:t>
            </w: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w:t>
            </w:r>
          </w:p>
        </w:tc>
        <w:tc>
          <w:tcPr>
            <w:tcW w:w="1470" w:type="dxa"/>
            <w:noWrap/>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交换机</w:t>
            </w:r>
          </w:p>
        </w:tc>
        <w:tc>
          <w:tcPr>
            <w:tcW w:w="7175" w:type="dxa"/>
            <w:noWrap w:val="0"/>
            <w:vAlign w:val="center"/>
          </w:tcPr>
          <w:p>
            <w:pPr>
              <w:keepNext w:val="0"/>
              <w:keepLines w:val="0"/>
              <w:pageBreakBefore w:val="0"/>
              <w:widowControl/>
              <w:numPr>
                <w:ilvl w:val="0"/>
                <w:numId w:val="0"/>
              </w:numPr>
              <w:kinsoku/>
              <w:wordWrap/>
              <w:overflowPunct/>
              <w:topLinePunct w:val="0"/>
              <w:autoSpaceDE/>
              <w:autoSpaceDN/>
              <w:bidi w:val="0"/>
              <w:adjustRightInd/>
              <w:snapToGrid/>
              <w:spacing w:line="320" w:lineRule="exact"/>
              <w:jc w:val="left"/>
              <w:textAlignment w:val="auto"/>
              <w:rPr>
                <w:rFonts w:ascii="宋体" w:eastAsia="宋体" w:hAnsi="宋体" w:cs="宋体" w:hint="eastAsia"/>
                <w:sz w:val="21"/>
                <w:szCs w:val="21"/>
                <w:lang w:eastAsia="zh-CN"/>
              </w:rPr>
            </w:pPr>
            <w:r>
              <w:rPr>
                <w:rFonts w:ascii="宋体" w:eastAsia="宋体" w:hAnsi="宋体" w:cs="宋体" w:hint="eastAsia"/>
                <w:color w:val="000000"/>
                <w:kern w:val="0"/>
                <w:sz w:val="21"/>
                <w:szCs w:val="21"/>
                <w:lang w:val="en-US" w:eastAsia="zh-CN"/>
              </w:rPr>
              <w:t>1.</w:t>
            </w:r>
            <w:r>
              <w:rPr>
                <w:rFonts w:ascii="宋体" w:eastAsia="宋体" w:hAnsi="宋体" w:cs="宋体" w:hint="eastAsia"/>
                <w:color w:val="000000"/>
                <w:kern w:val="0"/>
                <w:sz w:val="21"/>
                <w:szCs w:val="21"/>
              </w:rPr>
              <w:t>接口：</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48个10/100/1000 base-T以太网端口，</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2个万兆SFP</w:t>
            </w:r>
            <w:r>
              <w:rPr>
                <w:rFonts w:ascii="宋体" w:eastAsia="宋体" w:hAnsi="宋体" w:cs="宋体" w:hint="eastAsia"/>
                <w:color w:val="000000"/>
                <w:kern w:val="0"/>
                <w:sz w:val="21"/>
                <w:szCs w:val="21"/>
                <w:lang w:val="en-US" w:eastAsia="zh-CN"/>
              </w:rPr>
              <w:t>+</w:t>
            </w:r>
            <w:r>
              <w:rPr>
                <w:rFonts w:ascii="宋体" w:eastAsia="宋体" w:hAnsi="宋体" w:cs="宋体" w:hint="eastAsia"/>
                <w:color w:val="000000"/>
                <w:kern w:val="0"/>
                <w:sz w:val="21"/>
                <w:szCs w:val="21"/>
              </w:rPr>
              <w:t>接口</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lang w:val="en-US" w:eastAsia="zh-CN"/>
              </w:rPr>
              <w:t>2.</w:t>
            </w:r>
            <w:r>
              <w:rPr>
                <w:rFonts w:ascii="宋体" w:eastAsia="宋体" w:hAnsi="宋体" w:cs="宋体" w:hint="eastAsia"/>
                <w:color w:val="000000"/>
                <w:kern w:val="0"/>
                <w:sz w:val="21"/>
                <w:szCs w:val="21"/>
              </w:rPr>
              <w:t>容量：≥432Gbps</w:t>
            </w:r>
            <w:r>
              <w:rPr>
                <w:rFonts w:ascii="宋体" w:eastAsia="宋体" w:hAnsi="宋体" w:cs="宋体" w:hint="eastAsia"/>
                <w:color w:val="000000"/>
                <w:kern w:val="0"/>
                <w:sz w:val="21"/>
                <w:szCs w:val="21"/>
                <w:lang w:eastAsia="zh-CN"/>
              </w:rPr>
              <w:t>；</w:t>
            </w:r>
            <w:r>
              <w:rPr>
                <w:rFonts w:ascii="宋体" w:eastAsia="宋体" w:hAnsi="宋体" w:cs="宋体" w:hint="eastAsia"/>
                <w:sz w:val="21"/>
                <w:szCs w:val="21"/>
              </w:rPr>
              <w:t>包转发率：≥132Mpps</w:t>
            </w:r>
            <w:r>
              <w:rPr>
                <w:rFonts w:ascii="宋体" w:eastAsia="宋体" w:hAnsi="宋体" w:cs="宋体" w:hint="eastAsia"/>
                <w:sz w:val="21"/>
                <w:szCs w:val="21"/>
                <w:lang w:eastAsia="zh-CN"/>
              </w:rPr>
              <w:t>。</w:t>
            </w: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w:t>
            </w:r>
          </w:p>
        </w:tc>
        <w:tc>
          <w:tcPr>
            <w:tcW w:w="1470" w:type="dxa"/>
            <w:noWrap/>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考场监考管理主机</w:t>
            </w:r>
          </w:p>
        </w:tc>
        <w:tc>
          <w:tcPr>
            <w:tcW w:w="7175" w:type="dxa"/>
            <w:noWrap/>
            <w:vAlign w:val="center"/>
          </w:tcPr>
          <w:p>
            <w:pPr>
              <w:keepNext w:val="0"/>
              <w:keepLines w:val="0"/>
              <w:pageBreakBefore w:val="0"/>
              <w:numPr>
                <w:ilvl w:val="0"/>
                <w:numId w:val="1"/>
              </w:numPr>
              <w:kinsoku/>
              <w:wordWrap/>
              <w:overflowPunct/>
              <w:topLinePunct w:val="0"/>
              <w:autoSpaceDE/>
              <w:autoSpaceDN/>
              <w:bidi w:val="0"/>
              <w:adjustRightInd/>
              <w:snapToGrid/>
              <w:spacing w:line="320" w:lineRule="exact"/>
              <w:textAlignment w:val="auto"/>
              <w:rPr>
                <w:rFonts w:ascii="宋体" w:eastAsia="宋体" w:hAnsi="宋体" w:cs="宋体" w:hint="eastAsia"/>
                <w:color w:val="000000"/>
                <w:sz w:val="21"/>
                <w:szCs w:val="21"/>
              </w:rPr>
            </w:pPr>
            <w:r>
              <w:rPr>
                <w:rFonts w:ascii="宋体" w:eastAsia="宋体" w:hAnsi="宋体" w:cs="宋体" w:hint="eastAsia"/>
                <w:color w:val="000000"/>
                <w:kern w:val="0"/>
                <w:sz w:val="21"/>
                <w:szCs w:val="21"/>
              </w:rPr>
              <w:t>硬盘≥1TB 固态，内存≥16GB，带操作系统，显示器≥23.8英寸</w:t>
            </w:r>
            <w:r>
              <w:rPr>
                <w:rFonts w:ascii="宋体" w:eastAsia="宋体" w:hAnsi="宋体" w:cs="宋体" w:hint="eastAsia"/>
                <w:color w:val="000000"/>
                <w:kern w:val="0"/>
                <w:sz w:val="21"/>
                <w:szCs w:val="21"/>
                <w:lang w:eastAsia="zh-CN"/>
              </w:rPr>
              <w:t>；</w:t>
            </w:r>
            <w:r>
              <w:rPr>
                <w:rFonts w:ascii="宋体" w:eastAsia="宋体" w:hAnsi="宋体" w:cs="宋体" w:hint="eastAsia"/>
                <w:color w:val="000000"/>
                <w:sz w:val="21"/>
                <w:szCs w:val="21"/>
              </w:rPr>
              <w:t>CPU：主频≥2.50GHz 、≥6核心12线程</w:t>
            </w:r>
            <w:r>
              <w:rPr>
                <w:rFonts w:ascii="宋体" w:eastAsia="宋体" w:hAnsi="宋体" w:cs="宋体" w:hint="eastAsia"/>
                <w:color w:val="000000"/>
                <w:sz w:val="21"/>
                <w:szCs w:val="21"/>
                <w:lang w:eastAsia="zh-CN"/>
              </w:rPr>
              <w:t>；</w:t>
            </w:r>
            <w:r>
              <w:rPr>
                <w:rFonts w:ascii="宋体" w:eastAsia="宋体" w:hAnsi="宋体" w:cs="宋体" w:hint="eastAsia"/>
                <w:color w:val="000000"/>
                <w:sz w:val="21"/>
                <w:szCs w:val="21"/>
              </w:rPr>
              <w:t>USB3.0≥6个；TypeC≥1个；HDMI输出≥1；VGA输出≥1；DP输出≥1；音频接口≥2；麦克风输入≥1；RJ45≥2；</w:t>
            </w:r>
          </w:p>
          <w:p>
            <w:pPr>
              <w:pStyle w:val="BodyText"/>
              <w:keepNext w:val="0"/>
              <w:keepLines w:val="0"/>
              <w:pageBreakBefore w:val="0"/>
              <w:numPr>
                <w:ilvl w:val="0"/>
                <w:numId w:val="1"/>
              </w:numPr>
              <w:kinsoku/>
              <w:wordWrap/>
              <w:overflowPunct/>
              <w:topLinePunct w:val="0"/>
              <w:autoSpaceDE/>
              <w:autoSpaceDN/>
              <w:bidi w:val="0"/>
              <w:adjustRightInd/>
              <w:snapToGrid/>
              <w:spacing w:line="320" w:lineRule="exact"/>
              <w:textAlignment w:val="auto"/>
              <w:rPr>
                <w:rFonts w:ascii="宋体" w:eastAsia="宋体" w:hAnsi="宋体" w:cs="宋体" w:hint="eastAsia"/>
                <w:b w:val="0"/>
                <w:bCs w:val="0"/>
                <w:color w:val="0000FF"/>
                <w:sz w:val="21"/>
                <w:szCs w:val="21"/>
              </w:rPr>
            </w:pPr>
            <w:r>
              <w:rPr>
                <w:rFonts w:ascii="宋体" w:eastAsia="宋体" w:hAnsi="宋体" w:cs="宋体" w:hint="eastAsia"/>
                <w:b w:val="0"/>
                <w:bCs w:val="0"/>
                <w:color w:val="0000FF"/>
                <w:sz w:val="21"/>
                <w:szCs w:val="21"/>
              </w:rPr>
              <w:t>▲网络特性：支持1000Mbps，网口支持wake on LAN。</w:t>
            </w:r>
          </w:p>
          <w:p>
            <w:pPr>
              <w:pStyle w:val="BodyText"/>
              <w:keepNext w:val="0"/>
              <w:keepLines w:val="0"/>
              <w:pageBreakBefore w:val="0"/>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FF"/>
                <w:sz w:val="21"/>
                <w:szCs w:val="21"/>
              </w:rPr>
            </w:pPr>
            <w:r>
              <w:rPr>
                <w:rFonts w:ascii="宋体" w:eastAsia="宋体" w:hAnsi="宋体" w:cs="宋体" w:hint="eastAsia"/>
                <w:color w:val="0000FF"/>
                <w:sz w:val="21"/>
                <w:szCs w:val="21"/>
              </w:rPr>
              <w:t>（投标时提供第三方检验检测机构出具并加盖（或带有）CMA标志的检验检测报告扫描件，原件备查。注：对应参数（检验检测项）在检验检测报告中进行标注。上述检验检测报告在全国认证认可信息公共服务平台（认e云）（http://cx.cnca.cn/）的信息查询记录截图</w:t>
            </w:r>
            <w:r>
              <w:rPr>
                <w:rFonts w:ascii="宋体" w:eastAsia="宋体" w:hAnsi="宋体" w:cs="宋体" w:hint="eastAsia"/>
                <w:color w:val="0000FF"/>
                <w:sz w:val="21"/>
                <w:szCs w:val="21"/>
              </w:rPr>
              <w:t>）</w:t>
            </w:r>
          </w:p>
          <w:p>
            <w:pPr>
              <w:pStyle w:val="BodyText"/>
              <w:keepNext w:val="0"/>
              <w:keepLines w:val="0"/>
              <w:pageBreakBefore w:val="0"/>
              <w:numPr>
                <w:ilvl w:val="0"/>
                <w:numId w:val="1"/>
              </w:numPr>
              <w:kinsoku/>
              <w:wordWrap/>
              <w:overflowPunct/>
              <w:topLinePunct w:val="0"/>
              <w:autoSpaceDE/>
              <w:autoSpaceDN/>
              <w:bidi w:val="0"/>
              <w:adjustRightInd/>
              <w:snapToGrid/>
              <w:spacing w:line="320" w:lineRule="exact"/>
              <w:textAlignment w:val="auto"/>
              <w:rPr>
                <w:rFonts w:ascii="宋体" w:eastAsia="宋体" w:hAnsi="宋体" w:cs="宋体" w:hint="eastAsia"/>
                <w:b w:val="0"/>
                <w:bCs w:val="0"/>
                <w:color w:val="000000"/>
                <w:kern w:val="0"/>
                <w:sz w:val="21"/>
                <w:szCs w:val="21"/>
              </w:rPr>
            </w:pPr>
            <w:r>
              <w:rPr>
                <w:rFonts w:ascii="宋体" w:eastAsia="宋体" w:hAnsi="宋体" w:cs="宋体" w:hint="eastAsia"/>
                <w:b w:val="0"/>
                <w:bCs w:val="0"/>
                <w:color w:val="000000"/>
                <w:kern w:val="0"/>
                <w:sz w:val="21"/>
                <w:szCs w:val="21"/>
              </w:rPr>
              <w:t>具有扩声麦克风，每个室配置</w:t>
            </w:r>
            <w:r>
              <w:rPr>
                <w:rFonts w:ascii="宋体" w:eastAsia="宋体" w:hAnsi="宋体" w:cs="宋体" w:hint="eastAsia"/>
                <w:b w:val="0"/>
                <w:bCs w:val="0"/>
                <w:color w:val="000000"/>
                <w:kern w:val="0"/>
                <w:sz w:val="21"/>
                <w:szCs w:val="21"/>
                <w:lang w:eastAsia="zh-CN"/>
              </w:rPr>
              <w:t>≥</w:t>
            </w:r>
            <w:r>
              <w:rPr>
                <w:rFonts w:ascii="宋体" w:eastAsia="宋体" w:hAnsi="宋体" w:cs="宋体" w:hint="eastAsia"/>
                <w:b w:val="0"/>
                <w:bCs w:val="0"/>
                <w:color w:val="000000"/>
                <w:kern w:val="0"/>
                <w:sz w:val="21"/>
                <w:szCs w:val="21"/>
              </w:rPr>
              <w:t>2套</w:t>
            </w:r>
          </w:p>
          <w:p>
            <w:pPr>
              <w:pStyle w:val="BodyText"/>
              <w:keepNext w:val="0"/>
              <w:keepLines w:val="0"/>
              <w:pageBreakBefore w:val="0"/>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00"/>
                <w:kern w:val="0"/>
                <w:sz w:val="21"/>
                <w:szCs w:val="21"/>
              </w:rPr>
            </w:pPr>
            <w:r>
              <w:rPr>
                <w:rFonts w:ascii="宋体" w:eastAsia="宋体" w:hAnsi="宋体" w:cs="宋体" w:hint="eastAsia"/>
                <w:color w:val="FF0000"/>
                <w:kern w:val="0"/>
                <w:sz w:val="21"/>
                <w:szCs w:val="21"/>
              </w:rPr>
              <w:t>★投标时提供所投产品获得国家认可的认证机构出具的处于有效期内的节能产品认证证书</w:t>
            </w:r>
          </w:p>
        </w:tc>
      </w:tr>
      <w:tr>
        <w:tblPrEx>
          <w:tblW w:w="9101" w:type="dxa"/>
          <w:jc w:val="center"/>
          <w:tblLayout w:type="fixed"/>
          <w:tblCellMar>
            <w:top w:w="0" w:type="dxa"/>
            <w:left w:w="108" w:type="dxa"/>
            <w:bottom w:w="0" w:type="dxa"/>
            <w:right w:w="108" w:type="dxa"/>
          </w:tblCellMar>
        </w:tblPrEx>
        <w:trPr>
          <w:trHeight w:val="468"/>
          <w:jc w:val="center"/>
        </w:trPr>
        <w:tc>
          <w:tcPr>
            <w:tcW w:w="456" w:type="dxa"/>
            <w:vMerge w:val="restart"/>
            <w:noWrap/>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w:t>
            </w:r>
          </w:p>
        </w:tc>
        <w:tc>
          <w:tcPr>
            <w:tcW w:w="1470" w:type="dxa"/>
            <w:vMerge w:val="restart"/>
            <w:noWrap/>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校级管理平台</w:t>
            </w:r>
          </w:p>
        </w:tc>
        <w:tc>
          <w:tcPr>
            <w:tcW w:w="7175" w:type="dxa"/>
            <w:vMerge w:val="restart"/>
            <w:noWrap w:val="0"/>
            <w:vAlign w:val="center"/>
          </w:tcPr>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00"/>
                <w:kern w:val="0"/>
                <w:sz w:val="21"/>
                <w:szCs w:val="21"/>
              </w:rPr>
            </w:pPr>
            <w:r>
              <w:rPr>
                <w:rFonts w:ascii="宋体" w:eastAsia="宋体" w:hAnsi="宋体" w:cs="宋体" w:hint="eastAsia"/>
                <w:sz w:val="21"/>
                <w:szCs w:val="21"/>
              </w:rPr>
              <w:t>【基础要求】</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lang w:eastAsia="zh-CN"/>
              </w:rPr>
            </w:pPr>
            <w:r>
              <w:rPr>
                <w:rFonts w:ascii="宋体" w:eastAsia="宋体" w:hAnsi="宋体" w:cs="宋体" w:hint="eastAsia"/>
                <w:color w:val="000000"/>
                <w:kern w:val="0"/>
                <w:sz w:val="21"/>
                <w:szCs w:val="21"/>
              </w:rPr>
              <w:t>平台支持学校理、化、生实验考务管理、阅卷管理、题库管理、新增实验教案和成绩查询统计</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具备理、化、生实验AI赋分功能：支持查看实验的AI评分成绩，支持查看AI出具对实验考评点的扣分理由</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具备实验AI评分准确率统计功能，支持对比实验AI评分与教师评分得到AI评分准确率</w:t>
            </w:r>
            <w:r>
              <w:rPr>
                <w:rFonts w:ascii="宋体" w:eastAsia="宋体" w:hAnsi="宋体" w:cs="宋体" w:hint="eastAsia"/>
                <w:color w:val="000000"/>
                <w:kern w:val="0"/>
                <w:sz w:val="21"/>
                <w:szCs w:val="21"/>
                <w:lang w:eastAsia="zh-CN"/>
              </w:rPr>
              <w:t>；</w:t>
            </w:r>
            <w:r>
              <w:rPr>
                <w:rFonts w:ascii="宋体" w:eastAsia="宋体" w:hAnsi="宋体" w:cs="宋体" w:hint="eastAsia"/>
                <w:sz w:val="21"/>
                <w:szCs w:val="21"/>
              </w:rPr>
              <w:t>校级运维监控：能够实时监控校内与本考试相关的服务器的实时运维数据，包括存储、网卡、CPU、内存占用、网络请求等情况</w:t>
            </w:r>
            <w:r>
              <w:rPr>
                <w:rFonts w:ascii="宋体" w:eastAsia="宋体" w:hAnsi="宋体" w:cs="宋体" w:hint="eastAsia"/>
                <w:sz w:val="21"/>
                <w:szCs w:val="21"/>
                <w:lang w:eastAsia="zh-CN"/>
              </w:rPr>
              <w:t>；</w:t>
            </w:r>
          </w:p>
          <w:p>
            <w:pPr>
              <w:keepNext w:val="0"/>
              <w:keepLines w:val="0"/>
              <w:pageBreakBefore w:val="0"/>
              <w:widowControl/>
              <w:kinsoku/>
              <w:wordWrap/>
              <w:overflowPunct/>
              <w:topLinePunct w:val="0"/>
              <w:autoSpaceDE/>
              <w:autoSpaceDN/>
              <w:bidi w:val="0"/>
              <w:adjustRightInd/>
              <w:snapToGrid/>
              <w:spacing w:line="320" w:lineRule="exact"/>
              <w:ind w:left="0" w:firstLine="0"/>
              <w:textAlignment w:val="auto"/>
              <w:rPr>
                <w:rFonts w:ascii="宋体" w:eastAsia="宋体" w:hAnsi="宋体" w:cs="宋体" w:hint="eastAsia"/>
                <w:sz w:val="21"/>
                <w:szCs w:val="21"/>
              </w:rPr>
            </w:pP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【校级实验教学测评平台】</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考务管理：应具有信息管理及考场记录、抽签管理、场次管理、座位管理功能；可以根据评分项设置评分值标准，支持启用电子试卷，可以自定义电子实验报告，报告填写内容可设置填空题、简答题及选择题等；</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考试模式：支持多科联考模式，安排考试时，可选择联考科目，在规定时间内，学生可任意选择优先考试的科目，完成当前科目后，可继续选择下一科目进行考试，根据学生切换科目的时间节点，自动保存不同科目的考试视频；支持每个考位固定考题、固定实验器材、固定座位号，学生进场前抽签决定座位。支持特定考试模式下进行现场报到，当学生完成报道时，系统将进行语音播报学生报道信息；</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结果预览：支持排考数据填写完毕后，具有数据检测功能，检测通过方可发布考试，可以以文字方式指出错误原因；排考成功后，系统可以显示本次考试各端设备预计需要占用的磁盘空间，便于老师快速判断是否需要清理磁盘。</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三端校验：可以通过 MD5 加密算法生成序列码，平台服务端、监考端考生端视频文件使用 MD5 进行校验；</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kern w:val="0"/>
                <w:sz w:val="21"/>
                <w:szCs w:val="21"/>
              </w:rPr>
            </w:pPr>
            <w:r>
              <w:rPr>
                <w:rFonts w:ascii="宋体" w:eastAsia="宋体" w:hAnsi="宋体" w:cs="宋体" w:hint="eastAsia"/>
                <w:color w:val="0000FF"/>
                <w:kern w:val="0"/>
                <w:sz w:val="21"/>
                <w:szCs w:val="21"/>
              </w:rPr>
              <w:t>▲考试监控管理：可管理播放多个考场的巡考摄像机，支持切换二分屏、四分屏、九分屏等画面布局</w:t>
            </w: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FF"/>
                <w:kern w:val="0"/>
                <w:sz w:val="21"/>
                <w:szCs w:val="21"/>
              </w:rPr>
            </w:pPr>
            <w:r>
              <w:rPr>
                <w:rFonts w:ascii="宋体" w:eastAsia="宋体" w:hAnsi="宋体" w:cs="宋体" w:hint="eastAsia"/>
                <w:b/>
                <w:bCs/>
                <w:color w:val="0000FF"/>
                <w:kern w:val="0"/>
                <w:sz w:val="21"/>
                <w:szCs w:val="21"/>
              </w:rPr>
              <w:t>（投标时提供第三方检验检测机构出具并加盖（或带有）CMA标志的检验检测报告扫描件，原件备查。注：对应参数（检验检测项）在检验检测报告中进行标注。上述检验检测报告在全国认证认可信息公共服务平台（认e云）（http://cx.cnca.cn/）的信息查询记录截图）</w:t>
            </w:r>
            <w:r>
              <w:rPr>
                <w:rFonts w:ascii="宋体" w:eastAsia="宋体" w:hAnsi="宋体" w:cs="宋体" w:hint="eastAsia"/>
                <w:color w:val="0000FF"/>
                <w:kern w:val="0"/>
                <w:sz w:val="21"/>
                <w:szCs w:val="21"/>
              </w:rPr>
              <w:t>；</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阅卷及评分管理：支持在线视频阅卷评分、支持成绩查询和导出，在线阅卷时可以任意设置0.5X、1X、2X、4X、8X倍速播放、暂停、查看考卷实验报告等操作，两个画面之间没有明显延迟。支持展示整体阅卷进度，包括阅卷的百分比、已阅卷份数、剩余考卷份数、待仲裁考卷数量、剩余考卷数量等；成绩异议复核：对评阅的成绩有异议时，可由老师账号申请成绩异议。该场的阅卷组长可对其提出的申请进行审核，审核通过则发还视频重新阅卷；审核驳回则维持原来评分；</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阅卷规则：持单评制、多评制，多评制可以设定阈值。可以在正式阅卷工作之前试评卷，随机选取部分考卷发放给阅卷老师进行评阅，以便阅卷组长统一评分标准；阅卷老师可以选择分配到自己的任何一场考试进行阅卷，但无法查看其他的考试阅卷情况。</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highlight w:val="none"/>
              </w:rPr>
            </w:pPr>
            <w:r>
              <w:rPr>
                <w:rFonts w:ascii="宋体" w:eastAsia="宋体" w:hAnsi="宋体" w:cs="宋体" w:hint="eastAsia"/>
                <w:color w:val="000000"/>
                <w:kern w:val="0"/>
                <w:sz w:val="21"/>
                <w:szCs w:val="21"/>
              </w:rPr>
              <w:t>数据核验及统计：（a）数据核验：支持对从考场上传的数据进行核验核验内容包括电子实验报告、显微镜截图、考卷视频数据；输出核验结果，可以显示核查考卷数、存在问题，支持跳转至异常考卷列表，可以补充上传；（b）数据统计：可查看每一场考试的数据统计，包括报考人数、考点数量、考试进</w:t>
            </w:r>
            <w:r>
              <w:rPr>
                <w:rFonts w:ascii="宋体" w:eastAsia="宋体" w:hAnsi="宋体" w:cs="宋体" w:hint="eastAsia"/>
                <w:color w:val="000000"/>
                <w:kern w:val="0"/>
                <w:sz w:val="21"/>
                <w:szCs w:val="21"/>
                <w:highlight w:val="none"/>
              </w:rPr>
              <w:t>度历史同类考试平均分对比曲线图、各考点现场监控等。</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highlight w:val="none"/>
              </w:rPr>
            </w:pPr>
            <w:r>
              <w:rPr>
                <w:rFonts w:ascii="宋体" w:eastAsia="宋体" w:hAnsi="宋体" w:cs="宋体" w:hint="eastAsia"/>
                <w:color w:val="000000"/>
                <w:kern w:val="0"/>
                <w:sz w:val="21"/>
                <w:szCs w:val="21"/>
                <w:highlight w:val="none"/>
              </w:rPr>
              <w:t>支持用户不需要设置具体的考生批次、考试时长、考试间隔时长，用户可根据实际学生到场情况，在签到页面为学生进行签到并生成考试批次，每个批次的考生有序进行抽签后即可进入考场，考场老师根据学生入场情况实时在监考管理软件上开始考试和结束考试即可，可根据考务要求配置规则，定时结束考试。考试结束前具有提示功能，监考老师可根据实际情况选择是否延长考试；</w:t>
            </w: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00"/>
                <w:kern w:val="0"/>
                <w:sz w:val="21"/>
                <w:szCs w:val="21"/>
                <w:highlight w:val="yellow"/>
              </w:rPr>
            </w:pP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sz w:val="21"/>
                <w:szCs w:val="21"/>
              </w:rPr>
            </w:pPr>
            <w:r>
              <w:rPr>
                <w:rFonts w:ascii="宋体" w:eastAsia="宋体" w:hAnsi="宋体" w:cs="宋体" w:hint="eastAsia"/>
                <w:color w:val="000000"/>
                <w:kern w:val="0"/>
                <w:sz w:val="21"/>
                <w:szCs w:val="21"/>
              </w:rPr>
              <w:t>【AI实验评分】</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具有AI课堂助手，支持AI练习及AI教学模式；支持管理AI算力服务器设备，实现对其进行配置与状态监控。支持管理AI评分实验，展示实验列表，回顾评分实验；</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可根据实验题目评分标准，通过AI对物体进行智能判别与分析，并通过AI辅助学生实验操作过程，对其完成情况进行全自动评价；支持查看实验的AI评分成绩，支持实验操作评价点关键帧自动标记时间标签，方便人工复核成绩、提升成绩复核效率；支持实验操作评价点关键帧截图，支持跳转至关键帧时间点，快速复核；</w:t>
            </w:r>
          </w:p>
          <w:p>
            <w:pPr>
              <w:keepNext w:val="0"/>
              <w:keepLines w:val="0"/>
              <w:pageBreakBefore w:val="0"/>
              <w:widowControl/>
              <w:kinsoku/>
              <w:wordWrap/>
              <w:overflowPunct/>
              <w:topLinePunct w:val="0"/>
              <w:autoSpaceDE/>
              <w:autoSpaceDN/>
              <w:bidi w:val="0"/>
              <w:adjustRightInd/>
              <w:snapToGrid/>
              <w:spacing w:line="320" w:lineRule="exact"/>
              <w:ind w:left="0" w:firstLine="0"/>
              <w:textAlignment w:val="auto"/>
              <w:rPr>
                <w:rFonts w:ascii="宋体" w:eastAsia="宋体" w:hAnsi="宋体" w:cs="宋体" w:hint="eastAsia"/>
                <w:color w:val="000000"/>
                <w:kern w:val="0"/>
                <w:sz w:val="21"/>
                <w:szCs w:val="21"/>
              </w:rPr>
            </w:pP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w:t>
            </w:r>
            <w:r>
              <w:rPr>
                <w:rFonts w:ascii="宋体" w:eastAsia="宋体" w:hAnsi="宋体" w:cs="宋体" w:hint="eastAsia"/>
                <w:sz w:val="21"/>
                <w:szCs w:val="21"/>
              </w:rPr>
              <w:t>教学测评监考】</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kern w:val="0"/>
                <w:sz w:val="21"/>
                <w:szCs w:val="21"/>
              </w:rPr>
            </w:pPr>
            <w:r>
              <w:rPr>
                <w:rFonts w:ascii="宋体" w:eastAsia="宋体" w:hAnsi="宋体" w:cs="宋体" w:hint="eastAsia"/>
                <w:color w:val="0000FF"/>
                <w:kern w:val="0"/>
                <w:sz w:val="21"/>
                <w:szCs w:val="21"/>
              </w:rPr>
              <w:t>▲可以同时监看考场内考生视频采集情况，可支持同时监看24/12/6名考生的两个操作画面，最高可同时显示24个座位即48路学生端的直播画面</w:t>
            </w: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FF"/>
                <w:kern w:val="0"/>
                <w:sz w:val="21"/>
                <w:szCs w:val="21"/>
              </w:rPr>
            </w:pPr>
            <w:r>
              <w:rPr>
                <w:rFonts w:ascii="宋体" w:eastAsia="宋体" w:hAnsi="宋体" w:cs="宋体" w:hint="eastAsia"/>
                <w:b/>
                <w:bCs/>
                <w:color w:val="0000FF"/>
                <w:kern w:val="0"/>
                <w:sz w:val="21"/>
                <w:szCs w:val="21"/>
              </w:rPr>
              <w:t>（投标时提供第三方检验检测机构出具并加盖（或带有）CMA标志的检验检测报告扫描件，原件备查。注：对应参数（检验检测项）在检验检测报告中进行标注。上述检验检测报告在全国认证认可信息公共服务平台（认e云）（http://cx.cnca.cn/）的信息查询记录截图）</w:t>
            </w:r>
            <w:r>
              <w:rPr>
                <w:rFonts w:ascii="宋体" w:eastAsia="宋体" w:hAnsi="宋体" w:cs="宋体" w:hint="eastAsia"/>
                <w:color w:val="0000FF"/>
                <w:kern w:val="0"/>
                <w:sz w:val="21"/>
                <w:szCs w:val="21"/>
              </w:rPr>
              <w:t>；</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负责处理校级平台数据中心和学生套件之间网络数据同步管理和交换服务（下发学生信息、下发实验操作指令、上传实验视频等）；</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监考管理：支持调节监看窗口的数量，可选择只看主画面或只看副画面，也可以选择同时观看主画面、副画面；支持监考界面显示每个座位考生的考试状态，包括确认无误、人工核验、提前交卷、考生报错、取消考试等，每个状态可以显示为不同色块。考试期间可设定同时上传至校级服务器的视频数量并限制上传带宽，以减少资源占用，确保考试顺利进行；</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管理系统调试：可以统一管理考试系统设备，可以远程关闭考生套件，可在监考端查看学生端的软件版本和在线状态，支持远程升级、关机、清理磁盘空间等批量操作；可对故障设备进行管理，支持更换实验信息采集终端套件。更换套件时无需在本系统上做任何配置，只需在考生套件端修改座位号即可，系统后台全自动配对；</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异常处理：当考生在考位上人脸登录失败后，可以在监考界面进行人工比对核验。通过后考生可以继续考试。可以在教室电脑上取消某个考生的本场考试，并决定是否安排补考（执行该操作时可输入监考组长的账号和密码）。若选择安排补考，则该生会进入补考名单，在网页端可查；</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监考数据：系统显示当前考试的名称和考场信息，同时显示考试结束倒计时，当进入考试准备过程中，可以显示下一场考试开始倒计时。考情统计：可以统计并显示当前批次考试显微镜截图提交情况（生物考试）、电子试卷填写提交；</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 xml:space="preserve">考试控制：当考试方式为灵活定点或随到随考时，监考老师可以根据考场情况控制考试的开启与结束。当考试设置了定时任务时，到达预设的考试时间后，系统将提示用户是否延长考试，延长考试后，考生可以继续作答；  </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考试视频可以在本地视频备份存储功能；视频录制：记录实验操作过程并形成视频文件,支持传输至上级平台；录制的视频文件格式满足H.264格式，可以在大部分播放器中直接播放；</w:t>
            </w:r>
          </w:p>
          <w:p>
            <w:pPr>
              <w:keepNext w:val="0"/>
              <w:keepLines w:val="0"/>
              <w:pageBreakBefore w:val="0"/>
              <w:widowControl/>
              <w:numPr>
                <w:ilvl w:val="0"/>
                <w:numId w:val="2"/>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教学模式：支持对学生端进行智能控制，点击进入教学模式后可进行示范教学和课堂练习，选择模式后将智能控制所有学生端自动进入对应模式；（a）示范教学：将一套学生套件转为教学套件，老师能够使用教学套件进行操作演示、操作录制等；（b）课堂练习：进入后可以直接进行学生端录制，可自定义录制时间，录制完成后能够编辑本次练习的名称，并可进行点播回看。</w:t>
            </w:r>
          </w:p>
        </w:tc>
      </w:tr>
      <w:tr>
        <w:tblPrEx>
          <w:tblW w:w="9101" w:type="dxa"/>
          <w:jc w:val="center"/>
          <w:tblLayout w:type="fixed"/>
          <w:tblCellMar>
            <w:top w:w="0" w:type="dxa"/>
            <w:left w:w="108" w:type="dxa"/>
            <w:bottom w:w="0" w:type="dxa"/>
            <w:right w:w="108" w:type="dxa"/>
          </w:tblCellMar>
        </w:tblPrEx>
        <w:trPr>
          <w:trHeight w:val="468"/>
          <w:jc w:val="center"/>
        </w:trPr>
        <w:tc>
          <w:tcPr>
            <w:tcW w:w="456" w:type="dxa"/>
            <w:vMerge/>
            <w:noWrap w:val="0"/>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p>
        </w:tc>
        <w:tc>
          <w:tcPr>
            <w:tcW w:w="1470" w:type="dxa"/>
            <w:vMerge/>
            <w:noWrap w:val="0"/>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p>
        </w:tc>
        <w:tc>
          <w:tcPr>
            <w:tcW w:w="7175" w:type="dxa"/>
            <w:vMerge/>
            <w:noWrap w:val="0"/>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p>
        </w:tc>
      </w:tr>
      <w:tr>
        <w:tblPrEx>
          <w:tblW w:w="9101" w:type="dxa"/>
          <w:jc w:val="center"/>
          <w:tblLayout w:type="fixed"/>
          <w:tblCellMar>
            <w:top w:w="0" w:type="dxa"/>
            <w:left w:w="108" w:type="dxa"/>
            <w:bottom w:w="0" w:type="dxa"/>
            <w:right w:w="108" w:type="dxa"/>
          </w:tblCellMar>
        </w:tblPrEx>
        <w:trPr>
          <w:trHeight w:val="468"/>
          <w:jc w:val="center"/>
        </w:trPr>
        <w:tc>
          <w:tcPr>
            <w:tcW w:w="456" w:type="dxa"/>
            <w:vMerge/>
            <w:noWrap w:val="0"/>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p>
        </w:tc>
        <w:tc>
          <w:tcPr>
            <w:tcW w:w="1470" w:type="dxa"/>
            <w:vMerge/>
            <w:noWrap w:val="0"/>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p>
        </w:tc>
        <w:tc>
          <w:tcPr>
            <w:tcW w:w="7175" w:type="dxa"/>
            <w:vMerge/>
            <w:noWrap w:val="0"/>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p>
        </w:tc>
      </w:tr>
      <w:tr>
        <w:tblPrEx>
          <w:tblW w:w="9101" w:type="dxa"/>
          <w:jc w:val="center"/>
          <w:tblLayout w:type="fixed"/>
          <w:tblCellMar>
            <w:top w:w="0" w:type="dxa"/>
            <w:left w:w="108" w:type="dxa"/>
            <w:bottom w:w="0" w:type="dxa"/>
            <w:right w:w="108" w:type="dxa"/>
          </w:tblCellMar>
        </w:tblPrEx>
        <w:trPr>
          <w:trHeight w:val="468"/>
          <w:jc w:val="center"/>
        </w:trPr>
        <w:tc>
          <w:tcPr>
            <w:tcW w:w="456" w:type="dxa"/>
            <w:vMerge w:val="restart"/>
            <w:noWrap/>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w:t>
            </w:r>
          </w:p>
        </w:tc>
        <w:tc>
          <w:tcPr>
            <w:tcW w:w="1470" w:type="dxa"/>
            <w:vMerge w:val="restart"/>
            <w:noWrap/>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实验信息采集终端</w:t>
            </w:r>
          </w:p>
        </w:tc>
        <w:tc>
          <w:tcPr>
            <w:tcW w:w="7175" w:type="dxa"/>
            <w:vMerge w:val="restart"/>
            <w:noWrap w:val="0"/>
            <w:vAlign w:val="center"/>
          </w:tcPr>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kern w:val="0"/>
                <w:sz w:val="21"/>
                <w:szCs w:val="21"/>
              </w:rPr>
            </w:pPr>
            <w:r>
              <w:rPr>
                <w:rFonts w:ascii="宋体" w:eastAsia="宋体" w:hAnsi="宋体" w:cs="宋体" w:hint="eastAsia"/>
                <w:color w:val="0000FF"/>
                <w:kern w:val="0"/>
                <w:sz w:val="21"/>
                <w:szCs w:val="21"/>
              </w:rPr>
              <w:t>1.一体化支架：▲使用过程中应稳定维持固定拍摄角度，不可自由伸缩和旋转，至少一个摄像头可调整垂直高度并在可调范围内任意位置悬停，可调范围≥10cm，可调范围具有明确的刻度标识</w:t>
            </w: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FF"/>
                <w:kern w:val="0"/>
                <w:sz w:val="21"/>
                <w:szCs w:val="21"/>
              </w:rPr>
            </w:pPr>
            <w:r>
              <w:rPr>
                <w:rFonts w:ascii="宋体" w:eastAsia="宋体" w:hAnsi="宋体" w:cs="宋体" w:hint="eastAsia"/>
                <w:b/>
                <w:bCs/>
                <w:color w:val="0000FF"/>
                <w:kern w:val="0"/>
                <w:sz w:val="21"/>
                <w:szCs w:val="21"/>
              </w:rPr>
              <w:t>（投标时提供第三方检验检测机构出具并加盖（或带有）CMA标志的检验检测报告扫描件，原件备查。注：对应参数（检验检测项）在检验检测报告中进行标注。上述检验检测报告在全国认证认可信息公共服务平台（认e云）（http://cx.cnca.cn/）的信息查询记录截图）</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kern w:val="0"/>
                <w:sz w:val="21"/>
                <w:szCs w:val="21"/>
              </w:rPr>
              <w:t>支架底座具备固定功能；支架线材不可完全外露；可用于标准实验桌；支持折叠收纳。</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kern w:val="0"/>
                <w:sz w:val="21"/>
                <w:szCs w:val="21"/>
              </w:rPr>
            </w:pPr>
            <w:r>
              <w:rPr>
                <w:rFonts w:ascii="宋体" w:eastAsia="宋体" w:hAnsi="宋体" w:cs="宋体" w:hint="eastAsia"/>
                <w:color w:val="0000FF"/>
                <w:kern w:val="0"/>
                <w:sz w:val="21"/>
                <w:szCs w:val="21"/>
              </w:rPr>
              <w:t>▲具备显示器（显示终端）托架，可以支持</w:t>
            </w:r>
            <w:r>
              <w:rPr>
                <w:rFonts w:ascii="宋体" w:eastAsia="宋体" w:hAnsi="宋体" w:cs="宋体" w:hint="eastAsia"/>
                <w:color w:val="0000FF"/>
                <w:sz w:val="21"/>
                <w:szCs w:val="21"/>
                <w:lang w:val="en-US" w:eastAsia="zh-CN"/>
              </w:rPr>
              <w:t>≥</w:t>
            </w:r>
            <w:r>
              <w:rPr>
                <w:rFonts w:ascii="宋体" w:eastAsia="宋体" w:hAnsi="宋体" w:cs="宋体" w:hint="eastAsia"/>
                <w:color w:val="0000FF"/>
                <w:kern w:val="0"/>
                <w:sz w:val="21"/>
                <w:szCs w:val="21"/>
              </w:rPr>
              <w:t>150°翻转，并在任意角度悬停</w:t>
            </w: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FF"/>
                <w:kern w:val="0"/>
                <w:sz w:val="21"/>
                <w:szCs w:val="21"/>
              </w:rPr>
            </w:pPr>
            <w:r>
              <w:rPr>
                <w:rFonts w:ascii="宋体" w:eastAsia="宋体" w:hAnsi="宋体" w:cs="宋体" w:hint="eastAsia"/>
                <w:b/>
                <w:bCs/>
                <w:color w:val="0000FF"/>
                <w:kern w:val="0"/>
                <w:sz w:val="21"/>
                <w:szCs w:val="21"/>
              </w:rPr>
              <w:t>（投标时提供第三方检验检测机构出具并加盖（或带有）CMA标志的检验检测报告扫描件，原件备查。注：对应参数（检验检测项）在检验检测报告中进行标注。上述检验检测报告在全国认证认可信息公共服务平台（认e云）（http://cx.cnca.cn/）的信息查询记录截图）</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kern w:val="0"/>
                <w:sz w:val="21"/>
                <w:szCs w:val="21"/>
              </w:rPr>
              <w:t>视频采集摄像头：每套终端配备2个摄像头，其中1个为俯视角；自动白平衡；支持多码流传输；帧率</w:t>
            </w:r>
            <w:r>
              <w:rPr>
                <w:rFonts w:ascii="宋体" w:eastAsia="宋体" w:hAnsi="宋体" w:cs="宋体" w:hint="eastAsia"/>
                <w:kern w:val="0"/>
                <w:sz w:val="21"/>
                <w:szCs w:val="21"/>
                <w:lang w:eastAsia="zh-CN"/>
              </w:rPr>
              <w:t>≥</w:t>
            </w:r>
            <w:r>
              <w:rPr>
                <w:rFonts w:ascii="宋体" w:eastAsia="宋体" w:hAnsi="宋体" w:cs="宋体" w:hint="eastAsia"/>
                <w:kern w:val="0"/>
                <w:sz w:val="21"/>
                <w:szCs w:val="21"/>
              </w:rPr>
              <w:t>25fps；支持3D数字降噪；其中一个俯视角摄像头需能在一个画面内拍摄整个实验台，其中一个侧视角摄像头需支持拍摄核心操作区内操作和刻度细节</w:t>
            </w:r>
            <w:r>
              <w:rPr>
                <w:rFonts w:ascii="宋体" w:eastAsia="宋体" w:hAnsi="宋体" w:cs="宋体" w:hint="eastAsia"/>
                <w:kern w:val="0"/>
                <w:sz w:val="21"/>
                <w:szCs w:val="21"/>
                <w:lang w:eastAsia="zh-CN"/>
              </w:rPr>
              <w:t>；</w:t>
            </w:r>
            <w:r>
              <w:rPr>
                <w:rFonts w:ascii="宋体" w:eastAsia="宋体" w:hAnsi="宋体" w:cs="宋体" w:hint="eastAsia"/>
                <w:kern w:val="0"/>
                <w:sz w:val="21"/>
                <w:szCs w:val="21"/>
                <w:lang w:val="en-US" w:eastAsia="zh-CN"/>
              </w:rPr>
              <w:t>提供</w:t>
            </w:r>
            <w:r>
              <w:rPr>
                <w:rFonts w:ascii="宋体" w:eastAsia="宋体" w:hAnsi="宋体" w:cs="宋体" w:hint="eastAsia"/>
                <w:kern w:val="0"/>
                <w:sz w:val="21"/>
                <w:szCs w:val="21"/>
              </w:rPr>
              <w:t>核心操作区标识，引导学生在核心区域完成实验</w:t>
            </w:r>
            <w:r>
              <w:rPr>
                <w:rFonts w:ascii="宋体" w:eastAsia="宋体" w:hAnsi="宋体" w:cs="宋体" w:hint="eastAsia"/>
                <w:kern w:val="0"/>
                <w:sz w:val="21"/>
                <w:szCs w:val="21"/>
                <w:lang w:val="en-US" w:eastAsia="zh-CN"/>
              </w:rPr>
              <w:t>操作</w:t>
            </w:r>
            <w:r>
              <w:rPr>
                <w:rFonts w:ascii="宋体" w:eastAsia="宋体" w:hAnsi="宋体" w:cs="宋体" w:hint="eastAsia"/>
                <w:kern w:val="0"/>
                <w:sz w:val="21"/>
                <w:szCs w:val="21"/>
              </w:rPr>
              <w:t>；</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kern w:val="0"/>
                <w:sz w:val="21"/>
                <w:szCs w:val="21"/>
              </w:rPr>
            </w:pPr>
            <w:r>
              <w:rPr>
                <w:rFonts w:ascii="宋体" w:eastAsia="宋体" w:hAnsi="宋体" w:cs="宋体" w:hint="eastAsia"/>
                <w:color w:val="0000FF"/>
                <w:kern w:val="0"/>
                <w:sz w:val="21"/>
                <w:szCs w:val="21"/>
              </w:rPr>
              <w:t>▲两路摄像头均</w:t>
            </w:r>
            <w:r>
              <w:rPr>
                <w:rFonts w:ascii="宋体" w:eastAsia="宋体" w:hAnsi="宋体" w:cs="宋体" w:hint="eastAsia"/>
                <w:color w:val="0000FF"/>
                <w:kern w:val="0"/>
                <w:sz w:val="21"/>
                <w:szCs w:val="21"/>
                <w:lang w:val="en-US" w:eastAsia="zh-CN"/>
              </w:rPr>
              <w:t>＞400</w:t>
            </w:r>
            <w:r>
              <w:rPr>
                <w:rFonts w:ascii="宋体" w:eastAsia="宋体" w:hAnsi="宋体" w:cs="宋体" w:hint="eastAsia"/>
                <w:color w:val="0000FF"/>
                <w:kern w:val="0"/>
                <w:sz w:val="21"/>
                <w:szCs w:val="21"/>
              </w:rPr>
              <w:t>万像素,支持≥2880*1620分辨率</w:t>
            </w: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FF"/>
                <w:kern w:val="0"/>
                <w:sz w:val="21"/>
                <w:szCs w:val="21"/>
              </w:rPr>
            </w:pPr>
            <w:r>
              <w:rPr>
                <w:rFonts w:ascii="宋体" w:eastAsia="宋体" w:hAnsi="宋体" w:cs="宋体" w:hint="eastAsia"/>
                <w:b/>
                <w:bCs/>
                <w:color w:val="0000FF"/>
                <w:kern w:val="0"/>
                <w:sz w:val="21"/>
                <w:szCs w:val="21"/>
              </w:rPr>
              <w:t>（投标时提供第三方检验检测机构出具并加盖（或带有）CMA标志的检验检测报告扫描件，原件备查。注：对应参数（检验检测项）在检验检测报告中进行标注。上述检验检测报告在全国认证认可信息公共服务平台（认e云）（http://cx.cnca.cn/）的信息查询记录截图）；</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各摄像头视频同步偏差不高于80ms；支持H.265/H.264/MJPEG视频压缩编码；自动曝光，支持宽动态，宽动态范围126dB。</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显示器（显示终端）：尺寸</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12.7英寸；分辨率</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1920*1080，支持多点(</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10点）触控。WIFI：支持WiFi；具有人脸识别前置摄像头；可通过多功能Type-C口连接，实现充电与数据通信，获取2个摄像机画面及电子目镜画面；处理器：CPU：≥8核，其中</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4个单核最高主频≥2.4GHz；内存：</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8G；存储：</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128GB。</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供电</w:t>
            </w:r>
            <w:r>
              <w:rPr>
                <w:rFonts w:ascii="宋体" w:eastAsia="宋体" w:hAnsi="宋体" w:cs="宋体" w:hint="eastAsia"/>
                <w:color w:val="000000"/>
                <w:kern w:val="0"/>
                <w:sz w:val="21"/>
                <w:szCs w:val="21"/>
                <w:lang w:val="en-US" w:eastAsia="zh-CN"/>
              </w:rPr>
              <w:t>方式</w:t>
            </w:r>
            <w:r>
              <w:rPr>
                <w:rFonts w:ascii="宋体" w:eastAsia="宋体" w:hAnsi="宋体" w:cs="宋体" w:hint="eastAsia"/>
                <w:color w:val="000000"/>
                <w:kern w:val="0"/>
                <w:sz w:val="21"/>
                <w:szCs w:val="21"/>
              </w:rPr>
              <w:t>：220V转DC持续供电，且支持“POE”供电；</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kern w:val="0"/>
                <w:sz w:val="21"/>
                <w:szCs w:val="21"/>
              </w:rPr>
            </w:pPr>
            <w:r>
              <w:rPr>
                <w:rFonts w:ascii="宋体" w:eastAsia="宋体" w:hAnsi="宋体" w:cs="宋体" w:hint="eastAsia"/>
                <w:color w:val="0000FF"/>
                <w:kern w:val="0"/>
                <w:sz w:val="21"/>
                <w:szCs w:val="21"/>
              </w:rPr>
              <w:t>▲</w:t>
            </w:r>
            <w:r>
              <w:rPr>
                <w:rFonts w:ascii="宋体" w:eastAsia="宋体" w:hAnsi="宋体" w:cs="宋体" w:hint="eastAsia"/>
                <w:color w:val="0000FF"/>
                <w:kern w:val="0"/>
                <w:sz w:val="21"/>
                <w:szCs w:val="21"/>
                <w:lang w:val="en-US" w:eastAsia="zh-CN"/>
              </w:rPr>
              <w:t>网络接口：</w:t>
            </w:r>
            <w:r>
              <w:rPr>
                <w:rFonts w:ascii="宋体" w:eastAsia="宋体" w:hAnsi="宋体" w:cs="宋体" w:hint="eastAsia"/>
                <w:color w:val="0000FF"/>
                <w:kern w:val="0"/>
                <w:sz w:val="21"/>
                <w:szCs w:val="21"/>
              </w:rPr>
              <w:t>支持有线联网，≥100M网卡，支持单网口双 IP，两台摄像机独立设置 IP 地址，可独立管理</w:t>
            </w:r>
            <w:r>
              <w:rPr>
                <w:rFonts w:ascii="宋体" w:eastAsia="宋体" w:hAnsi="宋体" w:cs="宋体" w:hint="eastAsia"/>
                <w:color w:val="0000FF"/>
                <w:kern w:val="0"/>
                <w:sz w:val="21"/>
                <w:szCs w:val="21"/>
                <w:lang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FF"/>
                <w:kern w:val="0"/>
                <w:sz w:val="21"/>
                <w:szCs w:val="21"/>
              </w:rPr>
            </w:pPr>
            <w:r>
              <w:rPr>
                <w:rFonts w:ascii="宋体" w:eastAsia="宋体" w:hAnsi="宋体" w:cs="宋体" w:hint="eastAsia"/>
                <w:b/>
                <w:bCs/>
                <w:color w:val="0000FF"/>
                <w:kern w:val="0"/>
                <w:sz w:val="21"/>
                <w:szCs w:val="21"/>
              </w:rPr>
              <w:t>（投标时提供第三方检验检测机构出具并加盖（或带有）CMA标志的检验检测报告扫描件，原件备查。注：对应参数（检验检测项）在检验检测报告中进行标注。上述检验检测报告在全国认证认可信息公共服务平台（认e云）（http://cx.cnca.cn/）的信息查询记录截图）</w:t>
            </w:r>
            <w:r>
              <w:rPr>
                <w:rFonts w:ascii="宋体" w:eastAsia="宋体" w:hAnsi="宋体" w:cs="宋体" w:hint="eastAsia"/>
                <w:color w:val="0000FF"/>
                <w:kern w:val="0"/>
                <w:sz w:val="21"/>
                <w:szCs w:val="21"/>
              </w:rPr>
              <w:t>；</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kern w:val="0"/>
                <w:sz w:val="21"/>
                <w:szCs w:val="21"/>
              </w:rPr>
            </w:pPr>
            <w:r>
              <w:rPr>
                <w:rFonts w:ascii="宋体" w:eastAsia="宋体" w:hAnsi="宋体" w:cs="宋体" w:hint="eastAsia"/>
                <w:color w:val="0000FF"/>
                <w:kern w:val="0"/>
                <w:sz w:val="21"/>
                <w:szCs w:val="21"/>
              </w:rPr>
              <w:t>▲外设接口：≥1个USB 2.0接口，用于接入电子目镜或数码显微镜图像，具有≥1个POE 网口、≥1个DC12~13V 宽电压充电口、≥1个多功能type-C口、≥1个reset 键、≥1个航空接口</w:t>
            </w:r>
          </w:p>
          <w:p>
            <w:pPr>
              <w:keepNext w:val="0"/>
              <w:keepLines w:val="0"/>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ascii="宋体" w:eastAsia="宋体" w:hAnsi="宋体" w:cs="宋体" w:hint="eastAsia"/>
                <w:color w:val="0000FF"/>
                <w:kern w:val="0"/>
                <w:sz w:val="21"/>
                <w:szCs w:val="21"/>
              </w:rPr>
            </w:pPr>
            <w:r>
              <w:rPr>
                <w:rFonts w:ascii="宋体" w:eastAsia="宋体" w:hAnsi="宋体" w:cs="宋体" w:hint="eastAsia"/>
                <w:b/>
                <w:bCs/>
                <w:color w:val="0000FF"/>
                <w:kern w:val="0"/>
                <w:sz w:val="21"/>
                <w:szCs w:val="21"/>
              </w:rPr>
              <w:t>（投标时提供第三方检验检测机构出具并加盖（或带有）CMA标志的检验检测报告扫描件，原件备查。注：对应参数（检验检测项）在检验检测报告中进行标注。上述检验检测报告在全国认证认可信息公共服务平台（认e云）（http://cx.cnca.cn/）的信息查询记录截图）</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终端操作系统：使用通用的开放互联的操作系统；内置开机自启动的操作系统。</w:t>
            </w:r>
          </w:p>
          <w:p>
            <w:pPr>
              <w:keepNext w:val="0"/>
              <w:keepLines w:val="0"/>
              <w:pageBreakBefore w:val="0"/>
              <w:widowControl/>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kern w:val="0"/>
                <w:sz w:val="21"/>
                <w:szCs w:val="21"/>
              </w:rPr>
            </w:pPr>
            <w:r>
              <w:rPr>
                <w:rFonts w:ascii="宋体" w:eastAsia="宋体" w:hAnsi="宋体" w:cs="宋体" w:hint="eastAsia"/>
                <w:color w:val="0000FF"/>
                <w:kern w:val="0"/>
                <w:sz w:val="21"/>
                <w:szCs w:val="21"/>
              </w:rPr>
              <w:t>▲多功能Type-C口相关要求：a.具有1个多功能Type-C口，支持充电、USB数据传输、网络传输；b.支持通过多功能Type-C口输出10W PD快充；</w:t>
            </w:r>
          </w:p>
          <w:p>
            <w:pPr>
              <w:keepNext w:val="0"/>
              <w:keepLines w:val="0"/>
              <w:pageBreakBefore w:val="0"/>
              <w:widowControl/>
              <w:numPr>
                <w:ilvl w:val="255"/>
                <w:numId w:val="0"/>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kern w:val="0"/>
                <w:sz w:val="21"/>
                <w:szCs w:val="21"/>
              </w:rPr>
            </w:pPr>
            <w:r>
              <w:rPr>
                <w:rFonts w:ascii="宋体" w:eastAsia="宋体" w:hAnsi="宋体" w:cs="宋体" w:hint="eastAsia"/>
                <w:color w:val="0000FF"/>
                <w:kern w:val="0"/>
                <w:sz w:val="21"/>
                <w:szCs w:val="21"/>
              </w:rPr>
              <w:t>c.支持通过多功能Type-C口输出USB电子目镜画面或者U盘数据或者鼠标键盘信号；d.支持通过多功能Type-C口输出100M有线网络信号。</w:t>
            </w:r>
          </w:p>
          <w:p>
            <w:pPr>
              <w:keepNext w:val="0"/>
              <w:keepLines w:val="0"/>
              <w:pageBreakBefore w:val="0"/>
              <w:widowControl/>
              <w:numPr>
                <w:ilvl w:val="255"/>
                <w:numId w:val="0"/>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color w:val="0000FF"/>
                <w:sz w:val="21"/>
                <w:szCs w:val="21"/>
              </w:rPr>
            </w:pPr>
            <w:r>
              <w:rPr>
                <w:rFonts w:ascii="宋体" w:eastAsia="宋体" w:hAnsi="宋体" w:cs="宋体" w:hint="eastAsia"/>
                <w:b/>
                <w:bCs/>
                <w:color w:val="0000FF"/>
                <w:kern w:val="0"/>
                <w:sz w:val="21"/>
                <w:szCs w:val="21"/>
              </w:rPr>
              <w:t>（投标时需提供第三方检验检测机构出具并加盖（或带有）CMA标志的检验检测报告扫描件，原件备查。注：对应参数（检验检测项）在检验检测报告中进行标注。上述检验检测报告在全国认证认可信息公共服务平台（认e云）（http://cx.cnca.cn/）的信息查询记录截图）</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rPr>
            </w:pPr>
            <w:r>
              <w:rPr>
                <w:rFonts w:ascii="宋体" w:eastAsia="宋体" w:hAnsi="宋体" w:cs="宋体" w:hint="eastAsia"/>
                <w:sz w:val="21"/>
                <w:szCs w:val="21"/>
              </w:rPr>
              <w:t>与考场监考端通讯地址绑定使用，修改绑定监考端通讯地址后既自动接收其他考场的信息；不间断向监考端上报自身运行状态，包括：磁盘使用率，版本号，座位号，版本号等；拥有考试、教学模式，用户可在不同模式之间自由切换，但是以监考端的统一指令为最高优先级指令；</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rPr>
            </w:pPr>
            <w:r>
              <w:rPr>
                <w:rFonts w:ascii="宋体" w:eastAsia="宋体" w:hAnsi="宋体" w:cs="宋体" w:hint="eastAsia"/>
                <w:sz w:val="21"/>
                <w:szCs w:val="21"/>
              </w:rPr>
              <w:t>跨网通信：学生终端只与考场监考端通信，不与市级平台、校级平台进行通信，实现网络隔离，可以在完全不连接外网或者完全不连接学校网络的情况下，通过监考端转发信息实现视频录制；；</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rPr>
            </w:pPr>
            <w:r>
              <w:rPr>
                <w:rFonts w:ascii="宋体" w:eastAsia="宋体" w:hAnsi="宋体" w:cs="宋体" w:hint="eastAsia"/>
                <w:sz w:val="21"/>
                <w:szCs w:val="21"/>
              </w:rPr>
              <w:t>系统配置：开机自动启动考试软件，且不可以随意退出，输入密码才可退出软件；支持显示启动器加载进度条，实时显示加载状态；支持通过DHCP修改自动获取IP；在自动获取IP的状态下，仅需配置监考端IP和本机座位号即可开启考试；软件具备流媒体转发功能，可对两路摄像机画面进行视屏流的转发，外部系统通过与本地系统的IP地址通讯，即可获取两路摄像机的画面；</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rPr>
            </w:pPr>
            <w:r>
              <w:rPr>
                <w:rFonts w:ascii="宋体" w:eastAsia="宋体" w:hAnsi="宋体" w:cs="宋体" w:hint="eastAsia"/>
                <w:sz w:val="21"/>
                <w:szCs w:val="21"/>
              </w:rPr>
              <w:t>支持多类摄像机接入，支持接入网络摄像机，可以配置主摄和副摄的主副码流地址；支持接入数码显微镜、电子目镜；</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rPr>
            </w:pPr>
            <w:r>
              <w:rPr>
                <w:rFonts w:ascii="宋体" w:eastAsia="宋体" w:hAnsi="宋体" w:cs="宋体" w:hint="eastAsia"/>
                <w:sz w:val="21"/>
                <w:szCs w:val="21"/>
              </w:rPr>
              <w:t>考前检测：在考试和互动教学的过程中，实时显示2个摄像头的画面，每个摄像头画面可提供双流（高清主流+标清辅流）模式，双击画面即可播放高清主流；考试前，学生核对摄像头角度、清晰度无误后，才可进行考试；考试过程中实时显示日期、剩余时间、考试科目、姓名和考试题目；支持显示每个摄像头的状态，包括连接状态、直播状态和录制状态；当有实验信息采集终端发生故障时，备用考生设备仅需改动座位号即可快速替换使用，其他配置无需改动；</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rPr>
            </w:pPr>
            <w:r>
              <w:rPr>
                <w:rFonts w:ascii="宋体" w:eastAsia="宋体" w:hAnsi="宋体" w:cs="宋体" w:hint="eastAsia"/>
                <w:sz w:val="21"/>
                <w:szCs w:val="21"/>
              </w:rPr>
              <w:t>独立录制：软件可实现本地录制时同步生成直播流供考试管理系统和监考端进行录制，且当考试管理系统或监考端崩溃时，不影响本地录制；考试过程中，可对学生屏幕进行自动录制，并保存到学生端本地；</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rPr>
            </w:pPr>
            <w:r>
              <w:rPr>
                <w:rFonts w:ascii="宋体" w:eastAsia="宋体" w:hAnsi="宋体" w:cs="宋体" w:hint="eastAsia"/>
                <w:sz w:val="21"/>
                <w:szCs w:val="21"/>
              </w:rPr>
              <w:t>显微镜及答题卡截图：生物考试时，考生终端屏幕可以显示显微镜画面，并支持学生进行截图以便于生物考试评分。支持提供软件答题卡供考生作答，考生交卷后，系统自动抓屏保存答题卡截图，格式满足《深圳市教育局关于做好 2024 年初中学业水平生物学实验操作考试工作的通知》的相关要求。</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rPr>
            </w:pPr>
            <w:r>
              <w:rPr>
                <w:rFonts w:ascii="宋体" w:eastAsia="宋体" w:hAnsi="宋体" w:cs="宋体" w:hint="eastAsia"/>
                <w:sz w:val="21"/>
                <w:szCs w:val="21"/>
              </w:rPr>
              <w:t>多科联考：多科联考模式下，学生可自主选择优先考试的科目，完成当前考试科目后，可继续选择下一个考试科目，不同科目的视频分开保存，便于进行考试视频的调阅；</w:t>
            </w:r>
          </w:p>
          <w:p>
            <w:pPr>
              <w:keepNext w:val="0"/>
              <w:keepLines w:val="0"/>
              <w:pageBreakBefore w:val="0"/>
              <w:numPr>
                <w:ilvl w:val="0"/>
                <w:numId w:val="3"/>
              </w:numPr>
              <w:kinsoku/>
              <w:wordWrap/>
              <w:overflowPunct/>
              <w:topLinePunct w:val="0"/>
              <w:autoSpaceDE/>
              <w:autoSpaceDN/>
              <w:bidi w:val="0"/>
              <w:adjustRightInd/>
              <w:snapToGrid/>
              <w:spacing w:line="320" w:lineRule="exact"/>
              <w:ind w:left="0" w:firstLine="0" w:leftChars="0" w:firstLineChars="0"/>
              <w:textAlignment w:val="auto"/>
              <w:rPr>
                <w:rFonts w:ascii="宋体" w:eastAsia="宋体" w:hAnsi="宋体" w:cs="宋体" w:hint="eastAsia"/>
                <w:sz w:val="21"/>
                <w:szCs w:val="21"/>
              </w:rPr>
            </w:pPr>
            <w:r>
              <w:rPr>
                <w:rFonts w:ascii="宋体" w:eastAsia="宋体" w:hAnsi="宋体" w:cs="宋体" w:hint="eastAsia"/>
                <w:sz w:val="21"/>
                <w:szCs w:val="21"/>
              </w:rPr>
              <w:t>实训实操测评：支持学生自主开展实训实操，能与校级平台AI系统对接。</w:t>
            </w:r>
          </w:p>
        </w:tc>
      </w:tr>
      <w:tr>
        <w:tblPrEx>
          <w:tblW w:w="9101" w:type="dxa"/>
          <w:jc w:val="center"/>
          <w:tblLayout w:type="fixed"/>
          <w:tblCellMar>
            <w:top w:w="0" w:type="dxa"/>
            <w:left w:w="108" w:type="dxa"/>
            <w:bottom w:w="0" w:type="dxa"/>
            <w:right w:w="108" w:type="dxa"/>
          </w:tblCellMar>
        </w:tblPrEx>
        <w:trPr>
          <w:trHeight w:val="468"/>
          <w:jc w:val="center"/>
        </w:trPr>
        <w:tc>
          <w:tcPr>
            <w:tcW w:w="456" w:type="dxa"/>
            <w:vMerge/>
            <w:noWrap w:val="0"/>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p>
        </w:tc>
        <w:tc>
          <w:tcPr>
            <w:tcW w:w="1470" w:type="dxa"/>
            <w:vMerge/>
            <w:noWrap w:val="0"/>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p>
        </w:tc>
        <w:tc>
          <w:tcPr>
            <w:tcW w:w="7175" w:type="dxa"/>
            <w:vMerge/>
            <w:noWrap w:val="0"/>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7</w:t>
            </w:r>
          </w:p>
        </w:tc>
        <w:tc>
          <w:tcPr>
            <w:tcW w:w="1470"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电子目镜</w:t>
            </w:r>
          </w:p>
        </w:tc>
        <w:tc>
          <w:tcPr>
            <w:tcW w:w="7175" w:type="dxa"/>
            <w:noWrap/>
            <w:vAlign w:val="center"/>
          </w:tcPr>
          <w:p>
            <w:pPr>
              <w:keepNext w:val="0"/>
              <w:keepLines w:val="0"/>
              <w:pageBreakBefore w:val="0"/>
              <w:widowControl/>
              <w:numPr>
                <w:ilvl w:val="0"/>
                <w:numId w:val="0"/>
              </w:numPr>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信号输出接口为USB接口；自动曝光；自动白平衡；图像传感器像素</w:t>
            </w:r>
            <w:r>
              <w:rPr>
                <w:rFonts w:ascii="宋体" w:eastAsia="宋体" w:hAnsi="宋体" w:cs="宋体" w:hint="eastAsia"/>
                <w:color w:val="000000"/>
                <w:kern w:val="0"/>
                <w:sz w:val="21"/>
                <w:szCs w:val="21"/>
                <w:lang w:val="en-US" w:eastAsia="zh-CN"/>
              </w:rPr>
              <w:t>＞400</w:t>
            </w:r>
            <w:r>
              <w:rPr>
                <w:rFonts w:ascii="宋体" w:eastAsia="宋体" w:hAnsi="宋体" w:cs="宋体" w:hint="eastAsia"/>
                <w:color w:val="000000"/>
                <w:kern w:val="0"/>
                <w:sz w:val="21"/>
                <w:szCs w:val="21"/>
              </w:rPr>
              <w:t>万像素,支持≥2880*1620分辨率</w:t>
            </w:r>
            <w:r>
              <w:rPr>
                <w:rFonts w:ascii="宋体" w:eastAsia="宋体" w:hAnsi="宋体" w:cs="宋体" w:hint="eastAsia"/>
                <w:b/>
                <w:bCs/>
                <w:color w:val="000000"/>
                <w:kern w:val="0"/>
                <w:sz w:val="21"/>
                <w:szCs w:val="21"/>
              </w:rPr>
              <w:t>。</w:t>
            </w: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8</w:t>
            </w:r>
          </w:p>
        </w:tc>
        <w:tc>
          <w:tcPr>
            <w:tcW w:w="1470"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AI算力服务器</w:t>
            </w:r>
          </w:p>
        </w:tc>
        <w:tc>
          <w:tcPr>
            <w:tcW w:w="7175" w:type="dxa"/>
            <w:noWrap w:val="0"/>
            <w:vAlign w:val="center"/>
          </w:tcPr>
          <w:p>
            <w:pPr>
              <w:keepNext w:val="0"/>
              <w:keepLines w:val="0"/>
              <w:pageBreakBefore w:val="0"/>
              <w:numPr>
                <w:ilvl w:val="0"/>
                <w:numId w:val="4"/>
              </w:numPr>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2个2.5GHz 20核40线程CPU；</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8个32GB内存；</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2个960GB SSD硬盘；</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2个千兆网口。</w:t>
            </w:r>
          </w:p>
          <w:p>
            <w:pPr>
              <w:keepNext w:val="0"/>
              <w:keepLines w:val="0"/>
              <w:pageBreakBefore w:val="0"/>
              <w:numPr>
                <w:ilvl w:val="0"/>
                <w:numId w:val="4"/>
              </w:numPr>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4个GeForce RTX 3090 GPU（或提供同等算力的国产推理卡，算力指标以半数精度FP16值为基准，</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4个GeForce RTX 3090的FP16指标值之和，且支持INT8/FP16/BF16/FP32混合精度处理，支持70路1080P高清视频全流程处理。支持8K视频解码分辨率。深度学习框架支持TensorFlow、Pytorch、PaddlePaddle、Caffe、ONNX、MXNet、DarkNet）；</w:t>
            </w: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9</w:t>
            </w:r>
          </w:p>
        </w:tc>
        <w:tc>
          <w:tcPr>
            <w:tcW w:w="1470"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UPS</w:t>
            </w:r>
          </w:p>
        </w:tc>
        <w:tc>
          <w:tcPr>
            <w:tcW w:w="7175" w:type="dxa"/>
            <w:noWrap w:val="0"/>
            <w:vAlign w:val="center"/>
          </w:tcPr>
          <w:p>
            <w:pPr>
              <w:keepNext w:val="0"/>
              <w:keepLines w:val="0"/>
              <w:pageBreakBefore w:val="0"/>
              <w:numPr>
                <w:ilvl w:val="0"/>
                <w:numId w:val="5"/>
              </w:numPr>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输出/入电压220V/220V；</w:t>
            </w:r>
          </w:p>
          <w:p>
            <w:pPr>
              <w:keepNext w:val="0"/>
              <w:keepLines w:val="0"/>
              <w:pageBreakBefore w:val="0"/>
              <w:numPr>
                <w:ilvl w:val="0"/>
                <w:numId w:val="5"/>
              </w:numPr>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额定功率</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lang w:val="en-US" w:eastAsia="zh-CN"/>
              </w:rPr>
              <w:t>4.5</w:t>
            </w:r>
            <w:r>
              <w:rPr>
                <w:rFonts w:ascii="宋体" w:eastAsia="宋体" w:hAnsi="宋体" w:cs="宋体" w:hint="eastAsia"/>
                <w:color w:val="000000"/>
                <w:kern w:val="0"/>
                <w:sz w:val="21"/>
                <w:szCs w:val="21"/>
              </w:rPr>
              <w:t>KW；</w:t>
            </w:r>
          </w:p>
          <w:p>
            <w:pPr>
              <w:keepNext w:val="0"/>
              <w:keepLines w:val="0"/>
              <w:pageBreakBefore w:val="0"/>
              <w:numPr>
                <w:ilvl w:val="0"/>
                <w:numId w:val="5"/>
              </w:numPr>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90%负载应急供电时间</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1小时；</w:t>
            </w: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10</w:t>
            </w:r>
          </w:p>
        </w:tc>
        <w:tc>
          <w:tcPr>
            <w:tcW w:w="1470"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机柜</w:t>
            </w:r>
          </w:p>
        </w:tc>
        <w:tc>
          <w:tcPr>
            <w:tcW w:w="7175" w:type="dxa"/>
            <w:noWrap/>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标准19英寸服务器机柜，高度</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32U。</w:t>
            </w: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11</w:t>
            </w:r>
          </w:p>
        </w:tc>
        <w:tc>
          <w:tcPr>
            <w:tcW w:w="1470"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综合布线</w:t>
            </w:r>
          </w:p>
        </w:tc>
        <w:tc>
          <w:tcPr>
            <w:tcW w:w="7175" w:type="dxa"/>
            <w:noWrap/>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sz w:val="21"/>
                <w:szCs w:val="21"/>
              </w:rPr>
            </w:pPr>
            <w:r>
              <w:rPr>
                <w:rFonts w:ascii="宋体" w:eastAsia="宋体" w:hAnsi="宋体" w:cs="宋体" w:hint="eastAsia"/>
                <w:color w:val="000000"/>
                <w:kern w:val="0"/>
                <w:sz w:val="21"/>
                <w:szCs w:val="21"/>
              </w:rPr>
              <w:t>含六类双绞线、面板/插座、跳线、配线架等安装配件，面板带两个信息口。</w:t>
            </w:r>
            <w:r>
              <w:rPr>
                <w:rFonts w:ascii="宋体" w:eastAsia="宋体" w:hAnsi="宋体" w:cs="宋体" w:hint="eastAsia"/>
                <w:sz w:val="21"/>
                <w:szCs w:val="21"/>
              </w:rPr>
              <w:t>含每个室布置监控摄像头设备（</w:t>
            </w:r>
            <w:r>
              <w:rPr>
                <w:rFonts w:ascii="宋体" w:eastAsia="宋体" w:hAnsi="宋体" w:cs="宋体" w:hint="eastAsia"/>
                <w:sz w:val="21"/>
                <w:szCs w:val="21"/>
                <w:lang w:eastAsia="zh-CN"/>
              </w:rPr>
              <w:t>≥</w:t>
            </w:r>
            <w:r>
              <w:rPr>
                <w:rFonts w:ascii="宋体" w:eastAsia="宋体" w:hAnsi="宋体" w:cs="宋体" w:hint="eastAsia"/>
                <w:sz w:val="21"/>
                <w:szCs w:val="21"/>
              </w:rPr>
              <w:t>2套/室）及线路，满足监控考场环境要求。含每个室布置扩声音箱设备（</w:t>
            </w:r>
            <w:r>
              <w:rPr>
                <w:rFonts w:ascii="宋体" w:eastAsia="宋体" w:hAnsi="宋体" w:cs="宋体" w:hint="eastAsia"/>
                <w:sz w:val="21"/>
                <w:szCs w:val="21"/>
                <w:lang w:eastAsia="zh-CN"/>
              </w:rPr>
              <w:t>≥</w:t>
            </w:r>
            <w:r>
              <w:rPr>
                <w:rFonts w:ascii="宋体" w:eastAsia="宋体" w:hAnsi="宋体" w:cs="宋体" w:hint="eastAsia"/>
                <w:sz w:val="21"/>
                <w:szCs w:val="21"/>
              </w:rPr>
              <w:t>1套/室）及线路。</w:t>
            </w:r>
          </w:p>
        </w:tc>
      </w:tr>
      <w:tr>
        <w:tblPrEx>
          <w:tblW w:w="9101" w:type="dxa"/>
          <w:jc w:val="center"/>
          <w:tblLayout w:type="fixed"/>
          <w:tblCellMar>
            <w:top w:w="0" w:type="dxa"/>
            <w:left w:w="108" w:type="dxa"/>
            <w:bottom w:w="0" w:type="dxa"/>
            <w:right w:w="108" w:type="dxa"/>
          </w:tblCellMar>
        </w:tblPrEx>
        <w:trPr>
          <w:trHeight w:val="402"/>
          <w:jc w:val="center"/>
        </w:trPr>
        <w:tc>
          <w:tcPr>
            <w:tcW w:w="456"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12</w:t>
            </w:r>
          </w:p>
        </w:tc>
        <w:tc>
          <w:tcPr>
            <w:tcW w:w="1470" w:type="dxa"/>
            <w:noWrap w:val="0"/>
            <w:vAlign w:val="center"/>
          </w:tcPr>
          <w:p>
            <w:pPr>
              <w:keepNext w:val="0"/>
              <w:keepLines w:val="0"/>
              <w:pageBreakBefore w:val="0"/>
              <w:widowControl/>
              <w:kinsoku/>
              <w:wordWrap/>
              <w:overflowPunct/>
              <w:topLinePunct w:val="0"/>
              <w:autoSpaceDE/>
              <w:autoSpaceDN/>
              <w:bidi w:val="0"/>
              <w:adjustRightInd/>
              <w:snapToGrid/>
              <w:spacing w:line="320" w:lineRule="exact"/>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电源布线</w:t>
            </w:r>
          </w:p>
        </w:tc>
        <w:tc>
          <w:tcPr>
            <w:tcW w:w="7175" w:type="dxa"/>
            <w:noWrap/>
            <w:vAlign w:val="center"/>
          </w:tcPr>
          <w:p>
            <w:pPr>
              <w:keepNext w:val="0"/>
              <w:keepLines w:val="0"/>
              <w:pageBreakBefore w:val="0"/>
              <w:widowControl/>
              <w:kinsoku/>
              <w:wordWrap/>
              <w:overflowPunct/>
              <w:topLinePunct w:val="0"/>
              <w:autoSpaceDE/>
              <w:autoSpaceDN/>
              <w:bidi w:val="0"/>
              <w:adjustRightInd/>
              <w:snapToGrid/>
              <w:spacing w:line="320" w:lineRule="exact"/>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含室内配电箱主电源接入（主线</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国标</w:t>
            </w:r>
            <w:r>
              <w:rPr>
                <w:rFonts w:ascii="宋体" w:eastAsia="宋体" w:hAnsi="宋体" w:cs="宋体" w:hint="eastAsia"/>
                <w:color w:val="000000"/>
                <w:kern w:val="0"/>
                <w:sz w:val="21"/>
                <w:szCs w:val="21"/>
                <w:lang w:val="en-US" w:eastAsia="zh-CN"/>
              </w:rPr>
              <w:t>3×</w:t>
            </w:r>
            <w:r>
              <w:rPr>
                <w:rFonts w:ascii="宋体" w:eastAsia="宋体" w:hAnsi="宋体" w:cs="宋体" w:hint="eastAsia"/>
                <w:color w:val="000000"/>
                <w:kern w:val="0"/>
                <w:sz w:val="21"/>
                <w:szCs w:val="21"/>
              </w:rPr>
              <w:t>6</w:t>
            </w:r>
            <w:r>
              <w:rPr>
                <w:rStyle w:val="Strong"/>
                <w:rFonts w:ascii="宋体" w:eastAsia="宋体" w:hAnsi="宋体" w:cs="宋体" w:hint="eastAsia"/>
                <w:i w:val="0"/>
                <w:iCs w:val="0"/>
                <w:caps w:val="0"/>
                <w:color w:val="333333"/>
                <w:spacing w:val="0"/>
                <w:sz w:val="21"/>
                <w:szCs w:val="21"/>
                <w:shd w:val="clear" w:color="auto" w:fill="FFFFFF"/>
              </w:rPr>
              <w:t>mm²</w:t>
            </w:r>
            <w:r>
              <w:rPr>
                <w:rFonts w:ascii="宋体" w:eastAsia="宋体" w:hAnsi="宋体" w:cs="宋体" w:hint="eastAsia"/>
                <w:color w:val="000000"/>
                <w:kern w:val="0"/>
                <w:sz w:val="21"/>
                <w:szCs w:val="21"/>
              </w:rPr>
              <w:t>电线）；UPS输出电源线</w:t>
            </w:r>
            <w:r>
              <w:rPr>
                <w:rFonts w:ascii="宋体" w:eastAsia="宋体" w:hAnsi="宋体" w:cs="宋体" w:hint="eastAsia"/>
                <w:color w:val="000000"/>
                <w:kern w:val="0"/>
                <w:sz w:val="21"/>
                <w:szCs w:val="21"/>
                <w:lang w:eastAsia="zh-CN"/>
              </w:rPr>
              <w:t>≥</w:t>
            </w:r>
            <w:r>
              <w:rPr>
                <w:rFonts w:ascii="宋体" w:eastAsia="宋体" w:hAnsi="宋体" w:cs="宋体" w:hint="eastAsia"/>
                <w:color w:val="000000"/>
                <w:kern w:val="0"/>
                <w:sz w:val="21"/>
                <w:szCs w:val="21"/>
              </w:rPr>
              <w:t>国标</w:t>
            </w:r>
            <w:r>
              <w:rPr>
                <w:rFonts w:ascii="宋体" w:eastAsia="宋体" w:hAnsi="宋体" w:cs="宋体" w:hint="eastAsia"/>
                <w:color w:val="000000"/>
                <w:kern w:val="0"/>
                <w:sz w:val="21"/>
                <w:szCs w:val="21"/>
                <w:lang w:val="en-US" w:eastAsia="zh-CN"/>
              </w:rPr>
              <w:t>3×</w:t>
            </w:r>
            <w:r>
              <w:rPr>
                <w:rFonts w:ascii="宋体" w:eastAsia="宋体" w:hAnsi="宋体" w:cs="宋体" w:hint="eastAsia"/>
                <w:color w:val="000000"/>
                <w:kern w:val="0"/>
                <w:sz w:val="21"/>
                <w:szCs w:val="21"/>
              </w:rPr>
              <w:t>1.5</w:t>
            </w:r>
            <w:r>
              <w:rPr>
                <w:rStyle w:val="Strong"/>
                <w:rFonts w:ascii="宋体" w:eastAsia="宋体" w:hAnsi="宋体" w:cs="宋体" w:hint="eastAsia"/>
                <w:i w:val="0"/>
                <w:iCs w:val="0"/>
                <w:caps w:val="0"/>
                <w:color w:val="333333"/>
                <w:spacing w:val="0"/>
                <w:sz w:val="21"/>
                <w:szCs w:val="21"/>
                <w:shd w:val="clear" w:color="auto" w:fill="FFFFFF"/>
              </w:rPr>
              <w:t>mm²</w:t>
            </w:r>
            <w:r>
              <w:rPr>
                <w:rFonts w:ascii="宋体" w:eastAsia="宋体" w:hAnsi="宋体" w:cs="宋体" w:hint="eastAsia"/>
                <w:color w:val="000000"/>
                <w:kern w:val="0"/>
                <w:sz w:val="21"/>
                <w:szCs w:val="21"/>
              </w:rPr>
              <w:t>电线，含线槽、插座和开关等安装配件。</w:t>
            </w:r>
          </w:p>
        </w:tc>
      </w:tr>
    </w:tbl>
    <w:p>
      <w:pPr>
        <w:spacing w:after="78"/>
        <w:jc w:val="left"/>
        <w:rPr>
          <w:rFonts w:ascii="Calibri" w:eastAsia="宋体" w:hAnsi="Calibri" w:cs="Times New Roman" w:hint="default"/>
          <w:color w:val="FF0000"/>
          <w:szCs w:val="21"/>
          <w:lang w:val="en-US" w:eastAsia="zh-CN"/>
        </w:rPr>
      </w:pPr>
    </w:p>
    <w:p>
      <w:pPr>
        <w:pStyle w:val="Heading3"/>
        <w:keepNext/>
        <w:keepLines/>
        <w:pageBreakBefore w:val="0"/>
        <w:widowControl w:val="0"/>
        <w:kinsoku/>
        <w:wordWrap/>
        <w:overflowPunct/>
        <w:topLinePunct w:val="0"/>
        <w:autoSpaceDE/>
        <w:autoSpaceDN/>
        <w:bidi w:val="0"/>
        <w:adjustRightInd/>
        <w:snapToGrid/>
        <w:spacing w:before="156" w:beforeLines="50" w:after="156" w:afterLines="50" w:line="416" w:lineRule="auto"/>
        <w:jc w:val="center"/>
        <w:textAlignment w:val="auto"/>
        <w:outlineLvl w:val="2"/>
        <w:rPr>
          <w:sz w:val="28"/>
          <w:szCs w:val="28"/>
        </w:rPr>
      </w:pPr>
      <w:r>
        <w:br w:type="page"/>
      </w:r>
      <w:r>
        <w:rPr>
          <w:rFonts w:hint="eastAsia"/>
          <w:sz w:val="28"/>
          <w:szCs w:val="28"/>
          <w:lang w:val="en-US" w:eastAsia="zh-CN"/>
        </w:rPr>
        <w:t>五</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rFonts w:hint="eastAsia"/>
          <w:bCs/>
          <w:szCs w:val="21"/>
        </w:rPr>
      </w:pPr>
      <w:r>
        <w:rPr>
          <w:bCs/>
          <w:szCs w:val="21"/>
        </w:rPr>
        <w:t>6</w:t>
      </w:r>
      <w:r>
        <w:rPr>
          <w:rFonts w:hint="eastAsia"/>
          <w:bCs/>
          <w:szCs w:val="21"/>
        </w:rPr>
        <w:t>、“信用中国”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widowControl/>
        <w:jc w:val="left"/>
        <w:rPr>
          <w:rFonts w:ascii="宋体" w:eastAsia="黑体" w:hAnsi="宋体" w:cs="Times New Roman"/>
          <w:bCs/>
          <w:kern w:val="44"/>
          <w:sz w:val="28"/>
          <w:szCs w:val="44"/>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w:t>
      </w:r>
      <w:r>
        <w:rPr>
          <w:rFonts w:ascii="宋体" w:eastAsia="宋体" w:hAnsi="宋体" w:cs="Times New Roman"/>
          <w:b/>
          <w:bCs/>
          <w:kern w:val="0"/>
          <w:sz w:val="28"/>
          <w:szCs w:val="28"/>
        </w:rPr>
        <w:t xml:space="preserve"> </w:t>
      </w:r>
      <w:r>
        <w:rPr>
          <w:rFonts w:ascii="宋体" w:eastAsia="宋体" w:hAnsi="宋体" w:cs="Times New Roman" w:hint="eastAsia"/>
          <w:b/>
          <w:bCs/>
          <w:kern w:val="0"/>
          <w:sz w:val="28"/>
          <w:szCs w:val="28"/>
        </w:rPr>
        <w:t xml:space="preserve"> 投标文件组成要求及格式</w:t>
      </w:r>
    </w:p>
    <w:p>
      <w:pPr>
        <w:outlineLvl w:val="2"/>
        <w:rPr>
          <w:rFonts w:ascii="黑体" w:eastAsia="黑体"/>
          <w:b/>
          <w:bCs/>
          <w:color w:val="FF0000"/>
          <w:sz w:val="28"/>
        </w:rPr>
      </w:pPr>
      <w:r>
        <w:rPr>
          <w:rFonts w:ascii="黑体" w:eastAsia="黑体" w:hint="eastAsia"/>
          <w:b/>
          <w:bCs/>
          <w:color w:val="FF0000"/>
          <w:sz w:val="28"/>
        </w:rPr>
        <w:t>特别提醒：</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pPr>
        <w:jc w:val="center"/>
        <w:rPr>
          <w:rFonts w:ascii="黑体" w:eastAsia="黑体"/>
          <w:b/>
          <w:bCs/>
          <w:color w:val="FF0000"/>
          <w:sz w:val="28"/>
        </w:rPr>
      </w:pPr>
      <w: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pPr>
        <w:numPr>
          <w:ilvl w:val="0"/>
          <w:numId w:val="6"/>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 xml:space="preserve">投标函； </w:t>
      </w:r>
    </w:p>
    <w:p>
      <w:pPr>
        <w:numPr>
          <w:ilvl w:val="0"/>
          <w:numId w:val="6"/>
        </w:numPr>
        <w:snapToGrid w:val="0"/>
        <w:spacing w:after="78" w:afterLines="25"/>
        <w:jc w:val="left"/>
        <w:rPr>
          <w:rFonts w:ascii="宋体" w:eastAsia="宋体" w:hAnsi="宋体" w:cs="Times New Roman"/>
          <w:sz w:val="30"/>
          <w:szCs w:val="30"/>
        </w:rPr>
      </w:pPr>
      <w:bookmarkStart w:id="17" w:name="_Hlk72062521"/>
      <w:r>
        <w:rPr>
          <w:rFonts w:ascii="宋体" w:eastAsia="宋体" w:hAnsi="宋体" w:cs="Times New Roman" w:hint="eastAsia"/>
          <w:sz w:val="30"/>
          <w:szCs w:val="30"/>
        </w:rPr>
        <w:t>政府采购投标及履约承诺函</w:t>
      </w:r>
      <w:bookmarkEnd w:id="17"/>
      <w:r>
        <w:rPr>
          <w:rFonts w:ascii="宋体" w:eastAsia="宋体" w:hAnsi="宋体" w:cs="Times New Roman" w:hint="eastAsia"/>
          <w:sz w:val="30"/>
          <w:szCs w:val="30"/>
        </w:rPr>
        <w:t>；</w:t>
      </w:r>
    </w:p>
    <w:p>
      <w:pPr>
        <w:numPr>
          <w:ilvl w:val="0"/>
          <w:numId w:val="6"/>
        </w:numPr>
        <w:snapToGrid w:val="0"/>
        <w:spacing w:after="78" w:afterLines="25"/>
        <w:jc w:val="left"/>
        <w:rPr>
          <w:rFonts w:ascii="宋体" w:eastAsia="宋体" w:hAnsi="宋体" w:cs="Times New Roman"/>
          <w:sz w:val="30"/>
          <w:szCs w:val="30"/>
        </w:rPr>
      </w:pPr>
      <w:r>
        <w:rPr>
          <w:rFonts w:ascii="宋体" w:eastAsia="宋体" w:hAnsi="宋体" w:cs="Times New Roman" w:hint="eastAsia"/>
          <w:bCs/>
          <w:sz w:val="30"/>
          <w:szCs w:val="30"/>
        </w:rPr>
        <w:t>营业执照或事业单位法人证书等；</w:t>
      </w:r>
    </w:p>
    <w:p>
      <w:pPr>
        <w:numPr>
          <w:ilvl w:val="0"/>
          <w:numId w:val="6"/>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中小企业相关声明函</w:t>
      </w:r>
      <w:r>
        <w:rPr>
          <w:rFonts w:ascii="宋体" w:eastAsia="宋体" w:hAnsi="宋体" w:cs="Times New Roman" w:hint="eastAsia"/>
          <w:bCs/>
          <w:sz w:val="30"/>
          <w:szCs w:val="30"/>
          <w:lang w:eastAsia="zh-CN"/>
        </w:rPr>
        <w:t>（</w:t>
      </w:r>
      <w:r>
        <w:rPr>
          <w:rFonts w:ascii="宋体" w:eastAsia="宋体" w:hAnsi="宋体" w:cs="Times New Roman" w:hint="eastAsia"/>
          <w:bCs/>
          <w:sz w:val="30"/>
          <w:szCs w:val="30"/>
          <w:lang w:val="en-US" w:eastAsia="zh-CN"/>
        </w:rPr>
        <w:t>如有</w:t>
      </w:r>
      <w:r>
        <w:rPr>
          <w:rFonts w:ascii="宋体" w:eastAsia="宋体" w:hAnsi="宋体" w:cs="Times New Roman" w:hint="eastAsia"/>
          <w:bCs/>
          <w:sz w:val="30"/>
          <w:szCs w:val="30"/>
          <w:lang w:eastAsia="zh-CN"/>
        </w:rPr>
        <w:t>）</w:t>
      </w:r>
      <w:r>
        <w:rPr>
          <w:rFonts w:ascii="宋体" w:eastAsia="宋体" w:hAnsi="宋体" w:cs="Times New Roman" w:hint="eastAsia"/>
          <w:bCs/>
          <w:sz w:val="30"/>
          <w:szCs w:val="30"/>
        </w:rPr>
        <w:t>；</w:t>
      </w:r>
    </w:p>
    <w:p>
      <w:pPr>
        <w:numPr>
          <w:ilvl w:val="0"/>
          <w:numId w:val="6"/>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分项报价清单；</w:t>
      </w:r>
    </w:p>
    <w:p>
      <w:pPr>
        <w:numPr>
          <w:ilvl w:val="0"/>
          <w:numId w:val="6"/>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同类项目经验</w:t>
      </w:r>
      <w:r>
        <w:rPr>
          <w:rFonts w:ascii="宋体" w:eastAsia="宋体" w:hAnsi="宋体" w:cs="Times New Roman" w:hint="eastAsia"/>
          <w:bCs/>
          <w:sz w:val="30"/>
          <w:szCs w:val="30"/>
          <w:lang w:eastAsia="zh-CN"/>
        </w:rPr>
        <w:t>；</w:t>
      </w:r>
    </w:p>
    <w:p>
      <w:pPr>
        <w:numPr>
          <w:ilvl w:val="0"/>
          <w:numId w:val="6"/>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政府采购节能环保产品</w:t>
      </w:r>
      <w:r>
        <w:rPr>
          <w:rFonts w:ascii="宋体" w:eastAsia="宋体" w:hAnsi="宋体" w:cs="Times New Roman" w:hint="eastAsia"/>
          <w:bCs/>
          <w:sz w:val="30"/>
          <w:szCs w:val="30"/>
          <w:lang w:eastAsia="zh-CN"/>
        </w:rPr>
        <w:t>；</w:t>
      </w:r>
    </w:p>
    <w:p>
      <w:pPr>
        <w:numPr>
          <w:ilvl w:val="0"/>
          <w:numId w:val="6"/>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bCs/>
          <w:sz w:val="30"/>
          <w:szCs w:val="30"/>
        </w:rPr>
        <w:t>绿色采购</w:t>
      </w:r>
      <w:r>
        <w:rPr>
          <w:rFonts w:ascii="宋体" w:eastAsia="宋体" w:hAnsi="宋体" w:cs="Times New Roman" w:hint="eastAsia"/>
          <w:bCs/>
          <w:sz w:val="30"/>
          <w:szCs w:val="30"/>
          <w:lang w:eastAsia="zh-CN"/>
        </w:rPr>
        <w:t>；</w:t>
      </w:r>
    </w:p>
    <w:p>
      <w:pPr>
        <w:numPr>
          <w:ilvl w:val="0"/>
          <w:numId w:val="6"/>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sz w:val="30"/>
          <w:szCs w:val="30"/>
        </w:rPr>
        <w:t>“校级管理平台”</w:t>
      </w:r>
      <w:r>
        <w:rPr>
          <w:rFonts w:ascii="宋体" w:eastAsia="宋体" w:hAnsi="宋体" w:cs="Times New Roman" w:hint="eastAsia"/>
          <w:sz w:val="30"/>
          <w:szCs w:val="30"/>
          <w:lang w:val="en-US" w:eastAsia="zh-CN"/>
        </w:rPr>
        <w:t>知识产权证书；</w:t>
      </w:r>
    </w:p>
    <w:p>
      <w:pPr>
        <w:numPr>
          <w:ilvl w:val="0"/>
          <w:numId w:val="6"/>
        </w:numPr>
        <w:snapToGrid w:val="0"/>
        <w:spacing w:after="78" w:afterLines="25"/>
        <w:ind w:left="1456"/>
        <w:rPr>
          <w:rFonts w:ascii="宋体" w:eastAsia="宋体" w:hAnsi="宋体" w:cs="Times New Roman" w:hint="eastAsia"/>
          <w:bCs/>
          <w:sz w:val="30"/>
          <w:szCs w:val="30"/>
        </w:rPr>
      </w:pPr>
      <w:r>
        <w:rPr>
          <w:rFonts w:ascii="宋体" w:eastAsia="宋体" w:hAnsi="宋体" w:cs="Times New Roman" w:hint="eastAsia"/>
          <w:sz w:val="30"/>
          <w:szCs w:val="30"/>
        </w:rPr>
        <w:t>“实验信息采集终端”</w:t>
      </w:r>
      <w:r>
        <w:rPr>
          <w:rFonts w:ascii="宋体" w:eastAsia="宋体" w:hAnsi="宋体" w:cs="Times New Roman" w:hint="eastAsia"/>
          <w:sz w:val="30"/>
          <w:szCs w:val="30"/>
          <w:lang w:val="en-US" w:eastAsia="zh-CN"/>
        </w:rPr>
        <w:t>知识产权证书；</w:t>
      </w:r>
    </w:p>
    <w:p>
      <w:pPr>
        <w:numPr>
          <w:ilvl w:val="0"/>
          <w:numId w:val="6"/>
        </w:numPr>
        <w:snapToGrid w:val="0"/>
        <w:spacing w:after="78" w:afterLines="25"/>
        <w:ind w:left="1456"/>
        <w:rPr>
          <w:rFonts w:ascii="宋体" w:eastAsia="宋体" w:hAnsi="宋体" w:cs="Times New Roman"/>
          <w:sz w:val="30"/>
          <w:szCs w:val="30"/>
        </w:rPr>
      </w:pPr>
      <w:r>
        <w:rPr>
          <w:rFonts w:ascii="宋体" w:eastAsia="宋体" w:hAnsi="宋体" w:cs="Times New Roman" w:hint="eastAsia"/>
          <w:bCs/>
          <w:sz w:val="30"/>
          <w:szCs w:val="30"/>
        </w:rPr>
        <w:t>其他招标文件要</w:t>
      </w:r>
      <w:r>
        <w:rPr>
          <w:rFonts w:ascii="宋体" w:eastAsia="宋体" w:hAnsi="宋体" w:cs="Times New Roman" w:hint="eastAsia"/>
          <w:sz w:val="30"/>
          <w:szCs w:val="30"/>
        </w:rPr>
        <w:t>求或投标人认为需要补充的内容（公开）。</w:t>
      </w:r>
    </w:p>
    <w:p>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pPr>
        <w:numPr>
          <w:ilvl w:val="0"/>
          <w:numId w:val="7"/>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pPr>
        <w:numPr>
          <w:ilvl w:val="0"/>
          <w:numId w:val="7"/>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pPr>
        <w:numPr>
          <w:ilvl w:val="0"/>
          <w:numId w:val="7"/>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商务（服务）条款偏离表；</w:t>
      </w:r>
    </w:p>
    <w:p>
      <w:pPr>
        <w:numPr>
          <w:ilvl w:val="0"/>
          <w:numId w:val="7"/>
        </w:numPr>
        <w:snapToGrid w:val="0"/>
        <w:spacing w:after="78" w:afterLines="25"/>
        <w:rPr>
          <w:rFonts w:ascii="宋体" w:eastAsia="宋体" w:hAnsi="宋体" w:cs="Times New Roman" w:hint="eastAsia"/>
          <w:sz w:val="30"/>
          <w:szCs w:val="30"/>
        </w:rPr>
      </w:pPr>
      <w:r>
        <w:rPr>
          <w:rFonts w:ascii="宋体" w:eastAsia="宋体" w:hAnsi="宋体" w:cs="Times New Roman" w:hint="eastAsia"/>
          <w:bCs/>
          <w:sz w:val="30"/>
          <w:szCs w:val="30"/>
          <w:lang w:eastAsia="zh-CN"/>
        </w:rPr>
        <w:t>“</w:t>
      </w:r>
      <w:r>
        <w:rPr>
          <w:rFonts w:ascii="宋体" w:eastAsia="宋体" w:hAnsi="宋体" w:cs="Times New Roman" w:hint="eastAsia"/>
          <w:bCs/>
          <w:sz w:val="30"/>
          <w:szCs w:val="30"/>
        </w:rPr>
        <w:t>考场监考管理主机</w:t>
      </w:r>
      <w:r>
        <w:rPr>
          <w:rFonts w:ascii="宋体" w:eastAsia="宋体" w:hAnsi="宋体" w:cs="Times New Roman" w:hint="eastAsia"/>
          <w:bCs/>
          <w:sz w:val="30"/>
          <w:szCs w:val="30"/>
          <w:lang w:eastAsia="zh-CN"/>
        </w:rPr>
        <w:t>”</w:t>
      </w:r>
      <w:r>
        <w:rPr>
          <w:rFonts w:ascii="宋体" w:eastAsia="宋体" w:hAnsi="宋体" w:cs="Times New Roman" w:hint="eastAsia"/>
          <w:bCs/>
          <w:sz w:val="30"/>
          <w:szCs w:val="30"/>
        </w:rPr>
        <w:t>节能产品认证证书</w:t>
      </w:r>
      <w:r>
        <w:rPr>
          <w:rFonts w:ascii="宋体" w:eastAsia="宋体" w:hAnsi="宋体" w:cs="Times New Roman" w:hint="eastAsia"/>
          <w:bCs/>
          <w:sz w:val="30"/>
          <w:szCs w:val="30"/>
          <w:lang w:eastAsia="zh-CN"/>
        </w:rPr>
        <w:t>；</w:t>
      </w:r>
    </w:p>
    <w:p>
      <w:pPr>
        <w:numPr>
          <w:ilvl w:val="0"/>
          <w:numId w:val="7"/>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技术</w:t>
      </w:r>
      <w:r>
        <w:rPr>
          <w:rFonts w:ascii="宋体" w:eastAsia="宋体" w:hAnsi="宋体" w:cs="Times New Roman" w:hint="eastAsia"/>
          <w:sz w:val="30"/>
          <w:szCs w:val="30"/>
          <w:lang w:val="en-US" w:eastAsia="zh-CN"/>
        </w:rPr>
        <w:t>要求</w:t>
      </w:r>
      <w:r>
        <w:rPr>
          <w:rFonts w:ascii="宋体" w:eastAsia="宋体" w:hAnsi="宋体" w:cs="Times New Roman" w:hint="eastAsia"/>
          <w:sz w:val="30"/>
          <w:szCs w:val="30"/>
        </w:rPr>
        <w:t>偏离表；</w:t>
      </w:r>
    </w:p>
    <w:p>
      <w:pPr>
        <w:numPr>
          <w:ilvl w:val="0"/>
          <w:numId w:val="7"/>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售后服务方案</w:t>
      </w:r>
      <w:r>
        <w:rPr>
          <w:rFonts w:ascii="宋体" w:eastAsia="宋体" w:hAnsi="宋体" w:cs="Times New Roman" w:hint="eastAsia"/>
          <w:sz w:val="30"/>
          <w:szCs w:val="30"/>
          <w:lang w:eastAsia="zh-CN"/>
        </w:rPr>
        <w:t>；</w:t>
      </w:r>
    </w:p>
    <w:p>
      <w:pPr>
        <w:numPr>
          <w:ilvl w:val="0"/>
          <w:numId w:val="7"/>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“考场监考管理主机”</w:t>
      </w:r>
      <w:r>
        <w:rPr>
          <w:rFonts w:ascii="宋体" w:eastAsia="宋体" w:hAnsi="宋体" w:cs="Times New Roman" w:hint="eastAsia"/>
          <w:sz w:val="30"/>
          <w:szCs w:val="30"/>
        </w:rPr>
        <w:t>检测报告</w:t>
      </w:r>
      <w:r>
        <w:rPr>
          <w:rFonts w:ascii="宋体" w:eastAsia="宋体" w:hAnsi="宋体" w:cs="Times New Roman" w:hint="eastAsia"/>
          <w:sz w:val="30"/>
          <w:szCs w:val="30"/>
          <w:lang w:eastAsia="zh-CN"/>
        </w:rPr>
        <w:t>；</w:t>
      </w:r>
    </w:p>
    <w:p>
      <w:pPr>
        <w:numPr>
          <w:ilvl w:val="0"/>
          <w:numId w:val="7"/>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w:t>
      </w:r>
      <w:r>
        <w:rPr>
          <w:rFonts w:ascii="宋体" w:eastAsia="宋体" w:hAnsi="宋体" w:cs="Times New Roman" w:hint="eastAsia"/>
          <w:sz w:val="30"/>
          <w:szCs w:val="30"/>
        </w:rPr>
        <w:t>校级管理平台</w:t>
      </w:r>
      <w:r>
        <w:rPr>
          <w:rFonts w:ascii="宋体" w:eastAsia="宋体" w:hAnsi="宋体" w:cs="Times New Roman" w:hint="eastAsia"/>
          <w:sz w:val="30"/>
          <w:szCs w:val="30"/>
          <w:lang w:eastAsia="zh-CN"/>
        </w:rPr>
        <w:t>”</w:t>
      </w:r>
      <w:r>
        <w:rPr>
          <w:rFonts w:ascii="宋体" w:eastAsia="宋体" w:hAnsi="宋体" w:cs="Times New Roman" w:hint="eastAsia"/>
          <w:sz w:val="30"/>
          <w:szCs w:val="30"/>
        </w:rPr>
        <w:t>检测报告</w:t>
      </w:r>
      <w:r>
        <w:rPr>
          <w:rFonts w:ascii="宋体" w:eastAsia="宋体" w:hAnsi="宋体" w:cs="Times New Roman" w:hint="eastAsia"/>
          <w:sz w:val="30"/>
          <w:szCs w:val="30"/>
          <w:lang w:eastAsia="zh-CN"/>
        </w:rPr>
        <w:t>；</w:t>
      </w:r>
    </w:p>
    <w:p>
      <w:pPr>
        <w:numPr>
          <w:ilvl w:val="0"/>
          <w:numId w:val="7"/>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“实验信息采集终端”</w:t>
      </w:r>
      <w:r>
        <w:rPr>
          <w:rFonts w:ascii="宋体" w:eastAsia="宋体" w:hAnsi="宋体" w:cs="Times New Roman" w:hint="eastAsia"/>
          <w:sz w:val="30"/>
          <w:szCs w:val="30"/>
        </w:rPr>
        <w:t>检测报告</w:t>
      </w:r>
      <w:r>
        <w:rPr>
          <w:rFonts w:ascii="宋体" w:eastAsia="宋体" w:hAnsi="宋体" w:cs="Times New Roman" w:hint="eastAsia"/>
          <w:sz w:val="30"/>
          <w:szCs w:val="30"/>
          <w:lang w:eastAsia="zh-CN"/>
        </w:rPr>
        <w:t>；</w:t>
      </w:r>
    </w:p>
    <w:p>
      <w:pPr>
        <w:numPr>
          <w:ilvl w:val="0"/>
          <w:numId w:val="7"/>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pPr>
        <w:rPr>
          <w:rFonts w:ascii="宋体" w:hAnsi="宋体"/>
          <w:b/>
          <w:sz w:val="24"/>
          <w:szCs w:val="28"/>
        </w:rPr>
      </w:pPr>
      <w:bookmarkStart w:id="18" w:name="_Hlk72257771"/>
      <w:r>
        <w:rPr>
          <w:rFonts w:ascii="宋体" w:hAnsi="宋体" w:hint="eastAsia"/>
          <w:b/>
          <w:sz w:val="24"/>
          <w:szCs w:val="28"/>
        </w:rPr>
        <w:t>备注：</w:t>
      </w:r>
    </w:p>
    <w:p>
      <w:pPr>
        <w:snapToGrid w:val="0"/>
        <w:spacing w:after="78" w:afterLines="25"/>
        <w:ind w:firstLine="420" w:firstLineChars="200"/>
        <w:rPr>
          <w:rFonts w:ascii="宋体" w:hAnsi="宋体"/>
          <w:b/>
          <w:sz w:val="24"/>
          <w:szCs w:val="28"/>
        </w:rPr>
      </w:pPr>
      <w:r>
        <w:rPr>
          <w:rFonts w:ascii="宋体" w:hAnsi="宋体" w:hint="eastAsia"/>
          <w:b/>
          <w:sz w:val="24"/>
          <w:szCs w:val="28"/>
        </w:rPr>
        <w:t>1.本项目为网上电子投标项目，投标文件不需法人或授权委托人另行签字，无需加盖单位公章，招标文件专用条款另有规定的除外。</w:t>
      </w:r>
    </w:p>
    <w:p>
      <w:pPr>
        <w:snapToGrid w:val="0"/>
        <w:spacing w:after="78" w:afterLines="25"/>
        <w:ind w:firstLine="420" w:firstLineChars="200"/>
        <w:rPr>
          <w:rFonts w:ascii="宋体" w:eastAsia="黑体" w:hAnsi="宋体" w:cs="Times New Roman"/>
          <w:bCs/>
          <w:kern w:val="44"/>
          <w:sz w:val="32"/>
          <w:szCs w:val="32"/>
        </w:rPr>
      </w:pPr>
      <w:bookmarkStart w:id="19" w:name="_Hlk72263559"/>
      <w:r>
        <w:rPr>
          <w:rFonts w:ascii="宋体" w:hAnsi="宋体" w:hint="eastAsia"/>
          <w:b/>
          <w:sz w:val="24"/>
          <w:szCs w:val="28"/>
        </w:rPr>
        <w:t>2.关于填写“开标一览表”的说明：“开标一览表”中除“投标总价”外，其他信息不作评审依据。</w:t>
      </w:r>
      <w:bookmarkEnd w:id="18"/>
      <w:bookmarkEnd w:id="19"/>
      <w:r>
        <w:br w:type="page"/>
      </w:r>
    </w:p>
    <w:p>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30"/>
          <w:szCs w:val="30"/>
        </w:rPr>
        <w:t>1.投标</w:t>
      </w:r>
      <w:r>
        <w:rPr>
          <w:rFonts w:ascii="宋体" w:eastAsia="宋体" w:hAnsi="宋体" w:cs="Times New Roman" w:hint="eastAsia"/>
          <w:b/>
          <w:bCs/>
          <w:kern w:val="0"/>
          <w:sz w:val="30"/>
          <w:szCs w:val="30"/>
        </w:rPr>
        <w:t>函</w:t>
      </w:r>
    </w:p>
    <w:p>
      <w:pPr>
        <w:snapToGrid w:val="0"/>
        <w:spacing w:line="360" w:lineRule="auto"/>
        <w:rPr>
          <w:rFonts w:ascii="Arial" w:eastAsia="宋体" w:hAnsi="Arial" w:cs="Times New Roman"/>
          <w:szCs w:val="24"/>
        </w:rPr>
      </w:pPr>
    </w:p>
    <w:p>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pPr>
        <w:snapToGrid w:val="0"/>
        <w:spacing w:line="360" w:lineRule="auto"/>
        <w:rPr>
          <w:rFonts w:ascii="Arial" w:eastAsia="宋体" w:hAnsi="Arial" w:cs="Arial"/>
          <w:szCs w:val="21"/>
        </w:rPr>
      </w:pPr>
      <w:bookmarkStart w:id="20" w:name="_Hlk73818812"/>
      <w:r>
        <w:rPr>
          <w:rFonts w:ascii="Arial" w:eastAsia="宋体" w:hAnsi="Arial" w:cs="Arial" w:hint="eastAsia"/>
          <w:szCs w:val="21"/>
        </w:rPr>
        <w:t>1、根据已收到贵单位的项目编号为</w:t>
      </w:r>
      <w:r>
        <w:rPr>
          <w:rFonts w:ascii="Arial" w:eastAsia="宋体" w:hAnsi="Arial" w:cs="Arial" w:hint="eastAsia"/>
          <w:szCs w:val="21"/>
          <w:u w:val="single"/>
        </w:rPr>
        <w:t xml:space="preserve"> </w:t>
      </w:r>
      <w:r>
        <w:rPr>
          <w:rFonts w:ascii="Arial" w:eastAsia="宋体" w:hAnsi="Arial" w:cs="Arial" w:hint="eastAsia"/>
          <w:szCs w:val="21"/>
          <w:u w:val="single"/>
          <w:lang w:eastAsia="zh-CN"/>
        </w:rPr>
        <w:t>BACG2024000081</w:t>
      </w:r>
      <w:r>
        <w:rPr>
          <w:rFonts w:ascii="Arial" w:eastAsia="宋体" w:hAnsi="Arial" w:cs="Arial" w:hint="eastAsia"/>
          <w:szCs w:val="21"/>
          <w:u w:val="single"/>
        </w:rPr>
        <w:t xml:space="preserve"> </w:t>
      </w:r>
      <w:r>
        <w:rPr>
          <w:rFonts w:ascii="Arial" w:eastAsia="宋体" w:hAnsi="Arial" w:cs="Arial" w:hint="eastAsia"/>
          <w:szCs w:val="21"/>
        </w:rPr>
        <w:t>的</w:t>
      </w:r>
      <w:r>
        <w:rPr>
          <w:rFonts w:ascii="Arial" w:eastAsia="宋体" w:hAnsi="Arial" w:cs="Arial" w:hint="eastAsia"/>
          <w:szCs w:val="21"/>
          <w:u w:val="single"/>
        </w:rPr>
        <w:t xml:space="preserve">  </w:t>
      </w:r>
      <w:r>
        <w:rPr>
          <w:rFonts w:ascii="Arial" w:eastAsia="宋体" w:hAnsi="Arial" w:cs="Arial" w:hint="eastAsia"/>
          <w:szCs w:val="21"/>
          <w:u w:val="single"/>
          <w:lang w:eastAsia="zh-CN"/>
        </w:rPr>
        <w:t>宝安中学（集团）实验学校理科实验考试设备采购项目</w:t>
      </w:r>
      <w:r>
        <w:rPr>
          <w:rFonts w:ascii="Arial" w:eastAsia="宋体" w:hAnsi="Arial" w:cs="Arial" w:hint="eastAsia"/>
          <w:szCs w:val="21"/>
          <w:u w:val="single"/>
        </w:rPr>
        <w:t xml:space="preserve"> </w:t>
      </w:r>
      <w:r>
        <w:rPr>
          <w:rFonts w:ascii="Arial" w:eastAsia="宋体" w:hAnsi="Arial" w:cs="Arial" w:hint="eastAsia"/>
          <w:szCs w:val="21"/>
        </w:rPr>
        <w:t>项目的招标文件，遵照《深圳经济特区政府采购条例》和《深圳网上政府采购管理暂行办法》等有关规定，我单位经研究上述招标文件的专用条款及通用条款后，</w:t>
      </w:r>
      <w:bookmarkStart w:id="21" w:name="_Hlk72263588"/>
      <w:r>
        <w:rPr>
          <w:rFonts w:ascii="Arial" w:eastAsia="宋体" w:hAnsi="Arial" w:cs="Arial" w:hint="eastAsia"/>
          <w:szCs w:val="21"/>
        </w:rPr>
        <w:t>愿意按照招标文件要求承包上述项目并修补其任何缺陷。</w:t>
      </w:r>
      <w:bookmarkEnd w:id="21"/>
    </w:p>
    <w:p>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pPr>
        <w:snapToGrid w:val="0"/>
        <w:spacing w:line="360" w:lineRule="auto"/>
        <w:rPr>
          <w:rFonts w:ascii="Arial" w:eastAsia="宋体" w:hAnsi="Arial" w:cs="Arial"/>
          <w:szCs w:val="21"/>
        </w:rPr>
      </w:pPr>
      <w:r>
        <w:rPr>
          <w:rFonts w:ascii="Arial" w:eastAsia="宋体" w:hAnsi="Arial" w:cs="Arial" w:hint="eastAsia"/>
          <w:szCs w:val="21"/>
        </w:rPr>
        <w:t>3、如果我单位中标，我单位将按照招标文件的要求足额提交履约担保。</w:t>
      </w:r>
    </w:p>
    <w:p>
      <w:pPr>
        <w:snapToGrid w:val="0"/>
        <w:spacing w:line="360" w:lineRule="auto"/>
        <w:rPr>
          <w:rFonts w:ascii="Arial" w:eastAsia="宋体" w:hAnsi="Arial" w:cs="Arial"/>
          <w:szCs w:val="21"/>
        </w:rPr>
      </w:pPr>
      <w:r>
        <w:rPr>
          <w:rFonts w:ascii="Arial" w:eastAsia="宋体" w:hAnsi="Arial" w:cs="Arial" w:hint="eastAsia"/>
          <w:szCs w:val="21"/>
        </w:rPr>
        <w:t>4、我单位同意所递交的投标文件在“对通用条款的补充内容”中明确的投标有效期内有效，在此期间内我单位的投标有可能中标，我方将受此约束。</w:t>
      </w:r>
    </w:p>
    <w:p>
      <w:pPr>
        <w:snapToGrid w:val="0"/>
        <w:spacing w:line="360" w:lineRule="auto"/>
        <w:rPr>
          <w:rFonts w:ascii="Arial" w:eastAsia="宋体" w:hAnsi="Arial" w:cs="Arial"/>
          <w:szCs w:val="21"/>
        </w:rPr>
      </w:pPr>
      <w:r>
        <w:rPr>
          <w:rFonts w:ascii="Arial" w:eastAsia="宋体" w:hAnsi="Arial" w:cs="Arial" w:hint="eastAsia"/>
          <w:szCs w:val="21"/>
        </w:rPr>
        <w:t>5、除非另外达成协议并生效，贵单位的中标通知书和本投标文件将构成合同的重要内容。</w:t>
      </w:r>
    </w:p>
    <w:p>
      <w:pPr>
        <w:snapToGrid w:val="0"/>
        <w:spacing w:line="360" w:lineRule="auto"/>
        <w:rPr>
          <w:rFonts w:ascii="Arial" w:eastAsia="宋体" w:hAnsi="Arial" w:cs="Arial"/>
          <w:szCs w:val="21"/>
        </w:rPr>
      </w:pPr>
      <w:r>
        <w:rPr>
          <w:rFonts w:ascii="Arial" w:eastAsia="宋体" w:hAnsi="Arial" w:cs="Arial" w:hint="eastAsia"/>
          <w:szCs w:val="21"/>
        </w:rPr>
        <w:t>6、我单位理解贵单位将不受必须接受所收到的最低报价或其它任何投标文件的约束。</w:t>
      </w:r>
      <w:bookmarkEnd w:id="20"/>
    </w:p>
    <w:p>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pPr>
        <w:snapToGrid w:val="0"/>
        <w:spacing w:line="360" w:lineRule="auto"/>
        <w:rPr>
          <w:rFonts w:ascii="Arial" w:eastAsia="宋体" w:hAnsi="Arial" w:cs="Arial"/>
          <w:b/>
          <w:szCs w:val="21"/>
        </w:rPr>
      </w:pPr>
    </w:p>
    <w:p>
      <w:pPr>
        <w:snapToGrid w:val="0"/>
        <w:spacing w:line="360" w:lineRule="auto"/>
        <w:rPr>
          <w:rFonts w:ascii="Arial" w:eastAsia="宋体" w:hAnsi="Arial" w:cs="Arial"/>
          <w:szCs w:val="21"/>
          <w:u w:val="single"/>
        </w:rPr>
      </w:pPr>
      <w:r>
        <w:rPr>
          <w:rFonts w:ascii="Arial" w:eastAsia="宋体" w:hAnsi="Arial" w:cs="Arial" w:hint="eastAsia"/>
          <w:szCs w:val="21"/>
        </w:rPr>
        <w:t>投标人：</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单位地址：</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法定代表人（负责人）或其代理人：</w:t>
      </w:r>
      <w:r>
        <w:rPr>
          <w:rFonts w:ascii="Arial" w:eastAsia="宋体" w:hAnsi="Arial" w:cs="Arial" w:hint="eastAsia"/>
          <w:szCs w:val="21"/>
          <w:u w:val="single"/>
        </w:rPr>
        <w:t xml:space="preserve">           </w:t>
      </w:r>
    </w:p>
    <w:p>
      <w:pPr>
        <w:pStyle w:val="BodyText"/>
        <w:rPr>
          <w:rFonts w:ascii="Arial" w:eastAsia="宋体" w:hAnsi="Arial" w:cs="Arial" w:hint="default"/>
          <w:b w:val="0"/>
          <w:bCs w:val="0"/>
          <w:szCs w:val="21"/>
          <w:u w:val="single"/>
          <w:lang w:val="en-US" w:eastAsia="zh-CN"/>
        </w:rPr>
      </w:pPr>
      <w:r>
        <w:rPr>
          <w:rFonts w:ascii="Arial" w:eastAsia="宋体" w:hAnsi="Arial" w:cs="Arial" w:hint="eastAsia"/>
          <w:b w:val="0"/>
          <w:bCs w:val="0"/>
          <w:szCs w:val="21"/>
          <w:u w:val="none"/>
          <w:lang w:val="en-US" w:eastAsia="zh-CN"/>
        </w:rPr>
        <w:t>开户银行名称：</w:t>
      </w:r>
      <w:r>
        <w:rPr>
          <w:rFonts w:ascii="Arial" w:eastAsia="宋体" w:hAnsi="Arial" w:cs="Arial" w:hint="eastAsia"/>
          <w:szCs w:val="21"/>
          <w:u w:val="single"/>
        </w:rPr>
        <w:t xml:space="preserve">           </w:t>
      </w:r>
    </w:p>
    <w:p>
      <w:pPr>
        <w:pStyle w:val="BodyText2"/>
        <w:rPr>
          <w:rFonts w:hint="default"/>
          <w:b w:val="0"/>
          <w:bCs w:val="0"/>
          <w:u w:val="single"/>
          <w:lang w:val="en-US" w:eastAsia="zh-CN"/>
        </w:rPr>
      </w:pPr>
      <w:r>
        <w:rPr>
          <w:rFonts w:ascii="Arial" w:eastAsia="宋体" w:hAnsi="Arial" w:cs="Arial" w:hint="eastAsia"/>
          <w:b w:val="0"/>
          <w:bCs w:val="0"/>
          <w:szCs w:val="21"/>
          <w:u w:val="none"/>
          <w:lang w:val="en-US" w:eastAsia="zh-CN"/>
        </w:rPr>
        <w:t>开户银行账号：</w:t>
      </w:r>
      <w:r>
        <w:rPr>
          <w:rFonts w:ascii="Arial" w:eastAsia="宋体" w:hAnsi="Arial" w:cs="Arial" w:hint="eastAsia"/>
          <w:b w:val="0"/>
          <w:bCs w:val="0"/>
          <w:szCs w:val="21"/>
          <w:u w:val="single"/>
          <w:lang w:val="en-US" w:eastAsia="zh-CN"/>
        </w:rPr>
        <w:t xml:space="preserve">           </w:t>
      </w:r>
    </w:p>
    <w:p>
      <w:pPr>
        <w:snapToGrid w:val="0"/>
        <w:spacing w:line="360" w:lineRule="auto"/>
        <w:rPr>
          <w:rFonts w:ascii="Arial" w:eastAsia="宋体" w:hAnsi="Arial" w:cs="Arial"/>
          <w:szCs w:val="21"/>
        </w:rPr>
      </w:pPr>
      <w:r>
        <w:rPr>
          <w:rFonts w:ascii="Arial" w:eastAsia="宋体" w:hAnsi="Arial" w:cs="Arial" w:hint="eastAsia"/>
          <w:szCs w:val="21"/>
        </w:rPr>
        <w:t>邮政编码：</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电话：</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传真：</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szCs w:val="21"/>
        </w:rPr>
        <w:t>邮箱：</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日期： 年  月  日</w:t>
      </w:r>
    </w:p>
    <w:p>
      <w:pPr>
        <w:snapToGrid w:val="0"/>
        <w:spacing w:line="360" w:lineRule="auto"/>
        <w:rPr>
          <w:rFonts w:ascii="Arial" w:eastAsia="宋体" w:hAnsi="Arial" w:cs="Arial"/>
          <w:szCs w:val="21"/>
        </w:rPr>
      </w:pPr>
    </w:p>
    <w:p>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ww.zfcg.sz.gov.cn）信息公开栏目或深圳政府采购网（www.cgzx.sz.gov.cn）政府采购订单融资栏目。如需解决融资难题，请投标人填写财务负责人或企业负责人联系方式，以便金融机构提供更精准的融资服务。财务负责人/企业负责人的联系方式（可选填项）：</w:t>
      </w:r>
      <w:r>
        <w:rPr>
          <w:rFonts w:ascii="Arial" w:eastAsia="宋体" w:hAnsi="Arial" w:cs="Arial" w:hint="eastAsia"/>
          <w:szCs w:val="24"/>
          <w:u w:val="single"/>
        </w:rPr>
        <w:t xml:space="preserve">                 </w:t>
      </w:r>
      <w:r>
        <w:rPr>
          <w:rFonts w:ascii="Arial" w:eastAsia="宋体" w:hAnsi="Arial" w:cs="Arial" w:hint="eastAsia"/>
          <w:szCs w:val="24"/>
        </w:rPr>
        <w:t>。</w:t>
      </w:r>
    </w:p>
    <w:p>
      <w:pPr>
        <w:widowControl/>
        <w:snapToGrid w:val="0"/>
        <w:spacing w:line="360" w:lineRule="auto"/>
        <w:jc w:val="left"/>
        <w:rPr>
          <w:rFonts w:ascii="Arial" w:eastAsia="宋体" w:hAnsi="Arial" w:cs="Times New Roman"/>
          <w:szCs w:val="24"/>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2.政府采购投标及履约承诺函</w:t>
      </w:r>
    </w:p>
    <w:p>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5.</w:t>
      </w:r>
      <w:bookmarkStart w:id="22" w:name="_Hlk72587269"/>
      <w:bookmarkStart w:id="23"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22"/>
      <w:r>
        <w:rPr>
          <w:rFonts w:ascii="宋体" w:hAnsi="宋体" w:hint="eastAsia"/>
          <w:szCs w:val="21"/>
        </w:rPr>
        <w:t>。</w:t>
      </w:r>
      <w:bookmarkEnd w:id="23"/>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w:t>
      </w:r>
      <w:r>
        <w:rPr>
          <w:rFonts w:ascii="宋体" w:hAnsi="宋体" w:hint="default"/>
        </w:rPr>
        <w:t>（财办库〔2023〕7号）要求。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highlight w:val="none"/>
          <w:lang w:val="en-US" w:eastAsia="zh-CN"/>
        </w:rPr>
        <w:t>如</w:t>
      </w:r>
      <w:r>
        <w:rPr>
          <w:rFonts w:ascii="宋体" w:hAnsi="宋体" w:hint="eastAsia"/>
          <w:b w:val="0"/>
          <w:bCs/>
          <w:highlight w:val="none"/>
        </w:rPr>
        <w:t>存在“不同供应商的董事、股东或其他高级管理人员为同一人的”情形的，承诺不存在串通投标、恶意串通或者视为串通投标的情形</w:t>
      </w:r>
      <w:r>
        <w:rPr>
          <w:rFonts w:ascii="宋体" w:hAnsi="宋体" w:hint="eastAsia"/>
          <w:b w:val="0"/>
          <w:bCs/>
          <w:highlight w:val="none"/>
          <w:lang w:eastAsia="zh-CN"/>
        </w:rPr>
        <w:t>。</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pPr>
        <w:ind w:firstLine="420" w:firstLineChars="200"/>
        <w:rPr>
          <w:rFonts w:ascii="宋体" w:eastAsia="宋体" w:hAnsi="宋体" w:cs="Times New Roman" w:hint="eastAsia"/>
          <w:szCs w:val="21"/>
        </w:rPr>
      </w:pPr>
      <w:r>
        <w:rPr>
          <w:rFonts w:ascii="宋体" w:eastAsia="宋体" w:hAnsi="宋体" w:cs="Times New Roman" w:hint="eastAsia"/>
          <w:sz w:val="24"/>
          <w:szCs w:val="24"/>
        </w:rPr>
        <w:t xml:space="preserve">                        </w:t>
      </w:r>
      <w:r>
        <w:rPr>
          <w:rFonts w:ascii="宋体" w:eastAsia="宋体" w:hAnsi="宋体" w:cs="Times New Roman" w:hint="eastAsia"/>
          <w:szCs w:val="21"/>
        </w:rPr>
        <w:t>投标单位（投标人）名称：</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 xml:space="preserve">                </w:t>
      </w:r>
    </w:p>
    <w:p>
      <w:pPr>
        <w:ind w:firstLine="420" w:firstLineChars="200"/>
        <w:rPr>
          <w:rFonts w:ascii="宋体" w:eastAsia="宋体" w:hAnsi="宋体" w:cs="Times New Roman" w:hint="eastAsia"/>
          <w:szCs w:val="21"/>
        </w:rPr>
      </w:pPr>
      <w:r>
        <w:rPr>
          <w:rFonts w:ascii="宋体" w:eastAsia="宋体" w:hAnsi="宋体" w:cs="Times New Roman" w:hint="eastAsia"/>
          <w:szCs w:val="21"/>
        </w:rPr>
        <w:t xml:space="preserve">                                  </w:t>
      </w:r>
      <w:r>
        <w:rPr>
          <w:rFonts w:ascii="宋体" w:eastAsia="宋体" w:hAnsi="宋体" w:cs="Times New Roman" w:hint="eastAsia"/>
          <w:szCs w:val="21"/>
          <w:lang w:val="en-US" w:eastAsia="zh-CN"/>
        </w:rPr>
        <w:t xml:space="preserve">                    </w:t>
      </w:r>
      <w:r>
        <w:rPr>
          <w:rFonts w:ascii="宋体" w:eastAsia="宋体" w:hAnsi="宋体" w:cs="Times New Roman" w:hint="eastAsia"/>
          <w:szCs w:val="21"/>
        </w:rPr>
        <w:t xml:space="preserve">  </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pPr>
        <w:widowControl/>
        <w:rPr>
          <w:rFonts w:ascii="宋体" w:eastAsia="宋体" w:hAnsi="宋体" w:cs="Times New Roman"/>
          <w:b/>
          <w:color w:val="FF0000"/>
          <w:kern w:val="0"/>
          <w:sz w:val="18"/>
          <w:szCs w:val="18"/>
        </w:rPr>
      </w:pPr>
      <w:r>
        <w:rPr>
          <w:rFonts w:ascii="宋体" w:eastAsia="宋体" w:hAnsi="宋体" w:cs="Times New Roman" w:hint="eastAsia"/>
          <w:b/>
          <w:color w:val="FF0000"/>
          <w:kern w:val="0"/>
          <w:sz w:val="18"/>
          <w:szCs w:val="18"/>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3</w:t>
      </w:r>
      <w:r>
        <w:rPr>
          <w:rFonts w:ascii="宋体" w:eastAsia="宋体" w:hAnsi="宋体" w:cs="Times New Roman"/>
          <w:b/>
          <w:bCs/>
          <w:kern w:val="0"/>
          <w:sz w:val="30"/>
          <w:szCs w:val="30"/>
        </w:rPr>
        <w:t>.</w:t>
      </w:r>
      <w:r>
        <w:rPr>
          <w:rFonts w:ascii="宋体" w:eastAsia="宋体" w:hAnsi="宋体" w:cs="Times New Roman" w:hint="eastAsia"/>
          <w:b/>
          <w:bCs/>
          <w:kern w:val="0"/>
          <w:sz w:val="30"/>
          <w:szCs w:val="30"/>
        </w:rPr>
        <w:t>分项报价清单</w:t>
      </w:r>
    </w:p>
    <w:p>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r>
        <w:rPr>
          <w:rFonts w:ascii="Arial" w:eastAsia="宋体" w:hAnsi="Arial" w:cs="Arial"/>
          <w:color w:val="000000"/>
          <w:szCs w:val="24"/>
          <w:u w:val="single"/>
        </w:rPr>
        <w:t xml:space="preserve">                          </w:t>
      </w:r>
    </w:p>
    <w:p>
      <w:pPr>
        <w:tabs>
          <w:tab w:val="left" w:pos="720"/>
        </w:tabs>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（一）项目报价表</w:t>
      </w:r>
    </w:p>
    <w:tbl>
      <w:tblPr>
        <w:tblStyle w:val="TableNormal"/>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5"/>
          <w:jc w:val="center"/>
        </w:trPr>
        <w:tc>
          <w:tcPr>
            <w:tcW w:w="672"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序号</w:t>
            </w:r>
          </w:p>
        </w:tc>
        <w:tc>
          <w:tcPr>
            <w:tcW w:w="226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货物名称</w:t>
            </w:r>
          </w:p>
        </w:tc>
        <w:tc>
          <w:tcPr>
            <w:tcW w:w="1281"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规格</w:t>
            </w:r>
            <w:r>
              <w:rPr>
                <w:rFonts w:ascii="Arial" w:eastAsia="宋体" w:hAnsi="Arial" w:cs="Times New Roman" w:hint="eastAsia"/>
                <w:szCs w:val="24"/>
                <w:highlight w:val="none"/>
                <w:lang w:val="en-US" w:eastAsia="zh-CN"/>
              </w:rPr>
              <w:t>/品牌/</w:t>
            </w:r>
            <w:r>
              <w:rPr>
                <w:rFonts w:ascii="Arial" w:eastAsia="宋体" w:hAnsi="Arial" w:cs="Times New Roman" w:hint="eastAsia"/>
                <w:szCs w:val="24"/>
                <w:highlight w:val="none"/>
              </w:rPr>
              <w:t>型号</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b/>
                <w:szCs w:val="24"/>
                <w:highlight w:val="none"/>
              </w:rPr>
            </w:pPr>
            <w:r>
              <w:rPr>
                <w:rFonts w:ascii="Arial" w:eastAsia="宋体" w:hAnsi="Arial" w:cs="Times New Roman" w:hint="eastAsia"/>
                <w:b w:val="0"/>
                <w:bCs/>
                <w:szCs w:val="24"/>
                <w:highlight w:val="none"/>
              </w:rPr>
              <w:t>制造商名称</w:t>
            </w:r>
          </w:p>
        </w:tc>
        <w:tc>
          <w:tcPr>
            <w:tcW w:w="99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原产地</w:t>
            </w:r>
          </w:p>
        </w:tc>
        <w:tc>
          <w:tcPr>
            <w:tcW w:w="709"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数量</w:t>
            </w:r>
          </w:p>
        </w:tc>
        <w:tc>
          <w:tcPr>
            <w:tcW w:w="708"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单位</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单价(元)</w:t>
            </w:r>
          </w:p>
        </w:tc>
        <w:tc>
          <w:tcPr>
            <w:tcW w:w="132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合价(元)</w:t>
            </w:r>
          </w:p>
        </w:tc>
      </w:tr>
      <w:tr>
        <w:tblPrEx>
          <w:tblW w:w="9933" w:type="dxa"/>
          <w:jc w:val="center"/>
          <w:tblLayout w:type="fixed"/>
          <w:tblCellMar>
            <w:top w:w="0" w:type="dxa"/>
            <w:left w:w="108" w:type="dxa"/>
            <w:bottom w:w="0" w:type="dxa"/>
            <w:right w:w="108" w:type="dxa"/>
          </w:tblCellMar>
        </w:tblPrEx>
        <w:trPr>
          <w:trHeight w:val="90"/>
          <w:jc w:val="center"/>
        </w:trPr>
        <w:tc>
          <w:tcPr>
            <w:tcW w:w="672" w:type="dxa"/>
            <w:vAlign w:val="center"/>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1</w:t>
            </w:r>
          </w:p>
        </w:tc>
        <w:tc>
          <w:tcPr>
            <w:tcW w:w="2263" w:type="dxa"/>
            <w:vAlign w:val="center"/>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2</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0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3</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32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201" w:type="dxa"/>
            <w:gridSpan w:val="5"/>
          </w:tcPr>
          <w:p>
            <w:pPr>
              <w:spacing w:after="78" w:afterLines="25" w:line="300" w:lineRule="auto"/>
              <w:jc w:val="center"/>
              <w:rPr>
                <w:rFonts w:ascii="Arial" w:eastAsia="宋体" w:hAnsi="Arial" w:cs="Times New Roman"/>
                <w:szCs w:val="24"/>
              </w:rPr>
            </w:pPr>
            <w:r>
              <w:rPr>
                <w:rFonts w:ascii="Arial" w:eastAsia="宋体" w:hAnsi="Arial" w:cs="Times New Roman" w:hint="eastAsia"/>
                <w:b/>
                <w:szCs w:val="24"/>
              </w:rPr>
              <w:t>投标总价</w:t>
            </w:r>
            <w:r>
              <w:rPr>
                <w:rFonts w:ascii="Arial" w:eastAsia="宋体" w:hAnsi="Arial" w:cs="Times New Roman" w:hint="eastAsia"/>
                <w:szCs w:val="24"/>
              </w:rPr>
              <w:t>（</w:t>
            </w:r>
            <w:r>
              <w:rPr>
                <w:rFonts w:ascii="Arial" w:eastAsia="宋体" w:hAnsi="Arial" w:cs="Times New Roman" w:hint="eastAsia"/>
                <w:szCs w:val="24"/>
                <w:lang w:val="en-US" w:eastAsia="zh-CN"/>
              </w:rPr>
              <w:t>以上各项之和；</w:t>
            </w:r>
            <w:r>
              <w:rPr>
                <w:rFonts w:ascii="Arial" w:eastAsia="宋体" w:hAnsi="Arial" w:cs="Times New Roman" w:hint="eastAsia"/>
                <w:szCs w:val="24"/>
              </w:rPr>
              <w:t>币种：人民币；单位：元）</w:t>
            </w:r>
          </w:p>
        </w:tc>
        <w:tc>
          <w:tcPr>
            <w:tcW w:w="3732" w:type="dxa"/>
            <w:gridSpan w:val="4"/>
          </w:tcPr>
          <w:p>
            <w:pPr>
              <w:spacing w:after="78" w:afterLines="25" w:line="300" w:lineRule="auto"/>
              <w:rPr>
                <w:rFonts w:ascii="Arial" w:eastAsia="宋体" w:hAnsi="Arial" w:cs="Times New Roman"/>
                <w:szCs w:val="24"/>
              </w:rPr>
            </w:pPr>
          </w:p>
        </w:tc>
      </w:tr>
    </w:tbl>
    <w:p>
      <w:pPr>
        <w:snapToGrid w:val="0"/>
        <w:rPr>
          <w:rFonts w:asciiTheme="minorEastAsia" w:hAnsiTheme="minorEastAsia" w:cs="Times New Roman"/>
          <w:b/>
          <w:szCs w:val="24"/>
        </w:rPr>
      </w:pPr>
      <w:r>
        <w:rPr>
          <w:rFonts w:asciiTheme="minorEastAsia" w:hAnsiTheme="minorEastAsia" w:cs="Times New Roman" w:hint="eastAsia"/>
          <w:b/>
          <w:szCs w:val="24"/>
        </w:rPr>
        <w:t>填写说明：</w:t>
      </w:r>
    </w:p>
    <w:p>
      <w:pPr>
        <w:snapToGrid w:val="0"/>
        <w:rPr>
          <w:rFonts w:asciiTheme="minorEastAsia" w:hAnsiTheme="minorEastAsia" w:cs="Times New Roman" w:hint="eastAsia"/>
          <w:b/>
          <w:szCs w:val="24"/>
        </w:rPr>
      </w:pPr>
      <w:r>
        <w:rPr>
          <w:rFonts w:asciiTheme="minorEastAsia" w:hAnsiTheme="minorEastAsia" w:cs="Times New Roman" w:hint="eastAsia"/>
          <w:b/>
          <w:szCs w:val="24"/>
        </w:rPr>
        <w:t>1.本表可按同样格式扩展。</w:t>
      </w:r>
    </w:p>
    <w:p>
      <w:pPr>
        <w:snapToGrid w:val="0"/>
        <w:rPr>
          <w:rFonts w:asciiTheme="minorEastAsia" w:hAnsiTheme="minorEastAsia" w:cs="Times New Roman" w:hint="eastAsia"/>
          <w:b/>
          <w:szCs w:val="24"/>
        </w:rPr>
      </w:pPr>
      <w:r>
        <w:rPr>
          <w:rFonts w:asciiTheme="minorEastAsia" w:hAnsiTheme="minorEastAsia" w:cs="Times New Roman" w:hint="eastAsia"/>
          <w:b/>
          <w:szCs w:val="24"/>
        </w:rPr>
        <w:t>2. 如所投货物属于定制类的非量产货物或无具体品牌、型号的货物，可以在“规格/品牌/型号”一栏仅填写规格信息而不填写品牌、型号等信息（品牌、型号信息用“定制”描述即可）；</w:t>
      </w:r>
      <w:bookmarkStart w:id="24" w:name="_Hlk73646428"/>
      <w:r>
        <w:rPr>
          <w:rFonts w:asciiTheme="minorEastAsia" w:hAnsiTheme="minorEastAsia" w:cs="Times New Roman" w:hint="eastAsia"/>
          <w:b/>
          <w:szCs w:val="24"/>
        </w:rPr>
        <w:t>此类填写错误（所投货物为定制类的非量产货物但供应商却错误填报了品牌、型号）</w:t>
      </w:r>
      <w:r>
        <w:rPr>
          <w:rFonts w:asciiTheme="minorEastAsia" w:hAnsiTheme="minorEastAsia" w:cs="Times New Roman" w:hint="eastAsia"/>
          <w:b/>
          <w:szCs w:val="24"/>
          <w:lang w:val="en-US" w:eastAsia="zh-CN"/>
        </w:rPr>
        <w:t>可能</w:t>
      </w:r>
      <w:r>
        <w:rPr>
          <w:rFonts w:asciiTheme="minorEastAsia" w:hAnsiTheme="minorEastAsia" w:cs="Times New Roman" w:hint="eastAsia"/>
          <w:b/>
          <w:szCs w:val="24"/>
        </w:rPr>
        <w:t>的不利后果由供应商承担。</w:t>
      </w:r>
      <w:bookmarkEnd w:id="24"/>
    </w:p>
    <w:p>
      <w:pPr>
        <w:snapToGrid w:val="0"/>
        <w:rPr>
          <w:rFonts w:asciiTheme="minorEastAsia" w:hAnsiTheme="minorEastAsia" w:cs="Times New Roman" w:hint="eastAsia"/>
          <w:b/>
          <w:szCs w:val="24"/>
        </w:rPr>
      </w:pPr>
      <w:r>
        <w:rPr>
          <w:rFonts w:asciiTheme="minorEastAsia" w:hAnsiTheme="minorEastAsia" w:cs="Times New Roman" w:hint="eastAsia"/>
          <w:b/>
          <w:szCs w:val="24"/>
        </w:rPr>
        <w:t>3.</w:t>
      </w:r>
      <w:bookmarkStart w:id="25" w:name="_Hlk72074795"/>
      <w:r>
        <w:rPr>
          <w:rFonts w:asciiTheme="minorEastAsia" w:hAnsiTheme="minorEastAsia" w:cs="Times New Roman" w:hint="eastAsia"/>
          <w:b/>
          <w:szCs w:val="24"/>
        </w:rPr>
        <w:t>“原产地”是指该货物的实际生产加工地，而非品牌总公司所在地</w:t>
      </w:r>
      <w:bookmarkEnd w:id="25"/>
      <w:r>
        <w:rPr>
          <w:rFonts w:asciiTheme="minorEastAsia" w:hAnsiTheme="minorEastAsia" w:cs="Times New Roman" w:hint="eastAsia"/>
          <w:b/>
          <w:szCs w:val="24"/>
        </w:rPr>
        <w:t>。</w:t>
      </w:r>
    </w:p>
    <w:p>
      <w:pPr>
        <w:snapToGrid w:val="0"/>
        <w:rPr>
          <w:rFonts w:asciiTheme="minorEastAsia" w:hAnsiTheme="minorEastAsia" w:cs="Times New Roman" w:hint="eastAsia"/>
          <w:b/>
          <w:szCs w:val="24"/>
        </w:rPr>
      </w:pPr>
      <w:r>
        <w:rPr>
          <w:rFonts w:asciiTheme="minorEastAsia" w:hAnsiTheme="minorEastAsia" w:cs="Times New Roman" w:hint="eastAsia"/>
          <w:b/>
          <w:szCs w:val="24"/>
        </w:rPr>
        <w:t>4.所投货物均应填写制造商名称。</w:t>
      </w:r>
    </w:p>
    <w:p>
      <w:pPr>
        <w:snapToGrid w:val="0"/>
        <w:rPr>
          <w:rFonts w:asciiTheme="minorEastAsia" w:hAnsiTheme="minorEastAsia" w:cs="Times New Roman" w:hint="eastAsia"/>
          <w:b/>
          <w:szCs w:val="24"/>
        </w:rPr>
      </w:pPr>
      <w:r>
        <w:rPr>
          <w:rFonts w:asciiTheme="minorEastAsia" w:hAnsiTheme="minorEastAsia" w:cs="Times New Roman" w:hint="eastAsia"/>
          <w:b/>
          <w:szCs w:val="24"/>
        </w:rPr>
        <w:t>5.以上分项报价表的投标总价应当与开标一览表的投标总价一致。</w:t>
      </w:r>
    </w:p>
    <w:p>
      <w:pPr>
        <w:snapToGrid w:val="0"/>
        <w:rPr>
          <w:rFonts w:asciiTheme="minorEastAsia" w:hAnsiTheme="minorEastAsia" w:cs="Times New Roman" w:hint="eastAsia"/>
          <w:b/>
          <w:szCs w:val="24"/>
        </w:rPr>
      </w:pPr>
      <w:r>
        <w:rPr>
          <w:rFonts w:asciiTheme="minorEastAsia" w:hAnsiTheme="minorEastAsia" w:cs="Times New Roman" w:hint="eastAsia"/>
          <w:b/>
          <w:szCs w:val="24"/>
        </w:rPr>
        <w:t>6.单价、合价和投标总价为包干价，即三者均应包含货物的价款、包装、运输、装卸、安装、调试、技术指导、培训、咨询、服务、保险、税费、检测、验收合格交付使用之前以及技术和售后服务等其他各项有关费用。</w:t>
      </w:r>
    </w:p>
    <w:p>
      <w:pPr>
        <w:snapToGrid w:val="0"/>
        <w:rPr>
          <w:rFonts w:asciiTheme="minorEastAsia" w:hAnsiTheme="minorEastAsia" w:cs="Times New Roman" w:hint="eastAsia"/>
          <w:b/>
          <w:szCs w:val="24"/>
        </w:rPr>
      </w:pPr>
      <w:r>
        <w:rPr>
          <w:rFonts w:asciiTheme="minorEastAsia" w:hAnsiTheme="minorEastAsia" w:cs="Times New Roman" w:hint="eastAsia"/>
          <w:b/>
          <w:szCs w:val="24"/>
        </w:rPr>
        <w:t>7.所有价格应按“招标文件”中规定的货币单位填写；投标总价应为以上各分项价格之和；投标总价和项目报价表中单个采购预算条目报价均不得超过对应的财政预算限额，否则将导致投标无效。</w:t>
      </w:r>
    </w:p>
    <w:p>
      <w:pPr>
        <w:snapToGrid w:val="0"/>
        <w:rPr>
          <w:rFonts w:asciiTheme="minorEastAsia" w:hAnsiTheme="minorEastAsia" w:cs="Times New Roman" w:hint="eastAsia"/>
          <w:b/>
          <w:szCs w:val="24"/>
        </w:rPr>
      </w:pPr>
    </w:p>
    <w:p>
      <w:pPr>
        <w:snapToGrid w:val="0"/>
        <w:rPr>
          <w:rFonts w:asciiTheme="minorEastAsia" w:hAnsiTheme="minorEastAsia" w:cs="Times New Roman"/>
          <w:b/>
          <w:color w:val="FF0000"/>
          <w:szCs w:val="24"/>
        </w:rPr>
      </w:pPr>
      <w:r>
        <w:rPr>
          <w:rFonts w:asciiTheme="minorEastAsia" w:hAnsiTheme="minorEastAsia" w:cs="Times New Roman" w:hint="eastAsia"/>
          <w:bCs/>
          <w:color w:val="FF0000"/>
          <w:szCs w:val="24"/>
        </w:rPr>
        <w:t>★</w:t>
      </w:r>
      <w:r>
        <w:rPr>
          <w:rFonts w:asciiTheme="minorEastAsia" w:hAnsiTheme="minorEastAsia" w:cs="Times New Roman" w:hint="eastAsia"/>
          <w:b/>
          <w:color w:val="FF0000"/>
          <w:szCs w:val="24"/>
        </w:rPr>
        <w:t>填写</w:t>
      </w:r>
      <w:r>
        <w:rPr>
          <w:rFonts w:asciiTheme="minorEastAsia" w:hAnsiTheme="minorEastAsia" w:cs="Times New Roman"/>
          <w:b/>
          <w:color w:val="FF0000"/>
          <w:szCs w:val="24"/>
        </w:rPr>
        <w:t>要求：</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1.</w:t>
      </w:r>
      <w:r>
        <w:rPr>
          <w:rFonts w:asciiTheme="minorEastAsia" w:hAnsiTheme="minorEastAsia" w:cs="Times New Roman" w:hint="eastAsia"/>
          <w:b/>
          <w:color w:val="FF0000"/>
          <w:szCs w:val="24"/>
        </w:rPr>
        <w:t>《分项报价清单》</w:t>
      </w:r>
      <w:r>
        <w:rPr>
          <w:rFonts w:asciiTheme="minorEastAsia" w:hAnsiTheme="minorEastAsia" w:cs="Times New Roman"/>
          <w:b/>
          <w:color w:val="FF0000"/>
          <w:szCs w:val="24"/>
        </w:rPr>
        <w:t>所有价格应</w:t>
      </w:r>
      <w:r>
        <w:rPr>
          <w:rFonts w:asciiTheme="minorEastAsia" w:hAnsiTheme="minorEastAsia" w:cs="Times New Roman" w:hint="eastAsia"/>
          <w:b/>
          <w:color w:val="FF0000"/>
          <w:szCs w:val="24"/>
        </w:rPr>
        <w:t>以人民币为结算单位填写</w:t>
      </w:r>
      <w:r>
        <w:rPr>
          <w:rFonts w:asciiTheme="minorEastAsia" w:hAnsiTheme="minorEastAsia" w:cs="Times New Roman"/>
          <w:b/>
          <w:color w:val="FF0000"/>
          <w:szCs w:val="24"/>
        </w:rPr>
        <w:t>；</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2.</w:t>
      </w:r>
      <w:r>
        <w:rPr>
          <w:rFonts w:asciiTheme="minorEastAsia" w:hAnsiTheme="minorEastAsia" w:cs="Times New Roman" w:hint="eastAsia"/>
          <w:b/>
          <w:color w:val="FF0000"/>
          <w:szCs w:val="24"/>
        </w:rPr>
        <w:t>《（一）项目报价表》</w:t>
      </w:r>
      <w:r>
        <w:rPr>
          <w:rFonts w:asciiTheme="minorEastAsia" w:hAnsiTheme="minorEastAsia" w:cs="Times New Roman"/>
          <w:b/>
          <w:color w:val="FF0000"/>
          <w:szCs w:val="24"/>
        </w:rPr>
        <w:t>可根据</w:t>
      </w:r>
      <w:r>
        <w:rPr>
          <w:rFonts w:asciiTheme="minorEastAsia" w:hAnsiTheme="minorEastAsia" w:cs="Times New Roman" w:hint="eastAsia"/>
          <w:b/>
          <w:color w:val="FF0000"/>
          <w:szCs w:val="24"/>
        </w:rPr>
        <w:t>实际需要</w:t>
      </w:r>
      <w:r>
        <w:rPr>
          <w:rFonts w:asciiTheme="minorEastAsia" w:hAnsiTheme="minorEastAsia" w:cs="Times New Roman"/>
          <w:b/>
          <w:color w:val="FF0000"/>
          <w:szCs w:val="24"/>
        </w:rPr>
        <w:t>增加</w:t>
      </w:r>
      <w:r>
        <w:rPr>
          <w:rFonts w:asciiTheme="minorEastAsia" w:hAnsiTheme="minorEastAsia" w:cs="Times New Roman" w:hint="eastAsia"/>
          <w:b/>
          <w:color w:val="FF0000"/>
          <w:szCs w:val="24"/>
        </w:rPr>
        <w:t>相关</w:t>
      </w:r>
      <w:r>
        <w:rPr>
          <w:rFonts w:asciiTheme="minorEastAsia" w:hAnsiTheme="minorEastAsia" w:cs="Times New Roman"/>
          <w:b/>
          <w:color w:val="FF0000"/>
          <w:szCs w:val="24"/>
        </w:rPr>
        <w:t>内容，但原</w:t>
      </w:r>
      <w:r>
        <w:rPr>
          <w:rFonts w:asciiTheme="minorEastAsia" w:hAnsiTheme="minorEastAsia" w:cs="Times New Roman" w:hint="eastAsia"/>
          <w:b/>
          <w:color w:val="FF0000"/>
          <w:szCs w:val="24"/>
        </w:rPr>
        <w:t>有</w:t>
      </w:r>
      <w:r>
        <w:rPr>
          <w:rFonts w:asciiTheme="minorEastAsia" w:hAnsiTheme="minorEastAsia" w:cs="Times New Roman"/>
          <w:b/>
          <w:color w:val="FF0000"/>
          <w:szCs w:val="24"/>
        </w:rPr>
        <w:t>的格式</w:t>
      </w:r>
      <w:r>
        <w:rPr>
          <w:rFonts w:asciiTheme="minorEastAsia" w:hAnsiTheme="minorEastAsia" w:cs="Times New Roman" w:hint="eastAsia"/>
          <w:b/>
          <w:color w:val="FF0000"/>
          <w:szCs w:val="24"/>
        </w:rPr>
        <w:t>内容</w:t>
      </w:r>
      <w:r>
        <w:rPr>
          <w:rFonts w:asciiTheme="minorEastAsia" w:hAnsiTheme="minorEastAsia" w:cs="Times New Roman"/>
          <w:b/>
          <w:color w:val="FF0000"/>
          <w:szCs w:val="24"/>
        </w:rPr>
        <w:t>不得删减；</w:t>
      </w:r>
    </w:p>
    <w:p>
      <w:pPr>
        <w:snapToGrid w:val="0"/>
        <w:rPr>
          <w:rFonts w:asciiTheme="minorEastAsia" w:hAnsiTheme="minorEastAsia" w:cs="Times New Roman"/>
          <w:b/>
          <w:color w:val="FF0000"/>
          <w:szCs w:val="24"/>
        </w:rPr>
      </w:pPr>
      <w:r>
        <w:rPr>
          <w:rFonts w:asciiTheme="minorEastAsia" w:hAnsiTheme="minorEastAsia" w:cs="Times New Roman" w:hint="eastAsia"/>
          <w:b/>
          <w:color w:val="FF0000"/>
          <w:szCs w:val="24"/>
        </w:rPr>
        <w:t>3.</w:t>
      </w:r>
      <w:r>
        <w:rPr>
          <w:rFonts w:asciiTheme="minorEastAsia" w:hAnsiTheme="minorEastAsia" w:cs="Times New Roman"/>
          <w:b/>
          <w:color w:val="FF0000"/>
          <w:szCs w:val="24"/>
        </w:rPr>
        <w:t>如</w:t>
      </w:r>
      <w:r>
        <w:rPr>
          <w:rFonts w:asciiTheme="minorEastAsia" w:hAnsiTheme="minorEastAsia" w:cs="Times New Roman" w:hint="eastAsia"/>
          <w:b/>
          <w:color w:val="FF0000"/>
          <w:szCs w:val="24"/>
        </w:rPr>
        <w:t>未提供《（一）项目报价表》或者</w:t>
      </w:r>
      <w:r>
        <w:rPr>
          <w:rFonts w:asciiTheme="minorEastAsia" w:hAnsiTheme="minorEastAsia" w:cs="Times New Roman"/>
          <w:b/>
          <w:color w:val="FF0000"/>
          <w:szCs w:val="24"/>
        </w:rPr>
        <w:t>不按</w:t>
      </w:r>
      <w:r>
        <w:rPr>
          <w:rFonts w:asciiTheme="minorEastAsia" w:hAnsiTheme="minorEastAsia" w:cs="Times New Roman" w:hint="eastAsia"/>
          <w:b/>
          <w:color w:val="FF0000"/>
          <w:szCs w:val="24"/>
          <w:highlight w:val="none"/>
        </w:rPr>
        <w:t>《第三章 用户需求书：二、货物需求明细》</w:t>
      </w:r>
      <w:r>
        <w:rPr>
          <w:rFonts w:asciiTheme="minorEastAsia" w:hAnsiTheme="minorEastAsia" w:cs="Times New Roman"/>
          <w:b/>
          <w:color w:val="FF0000"/>
          <w:szCs w:val="24"/>
        </w:rPr>
        <w:t>要求填报、漏报或错报</w:t>
      </w:r>
      <w:r>
        <w:rPr>
          <w:rFonts w:asciiTheme="minorEastAsia" w:hAnsiTheme="minorEastAsia" w:cs="Times New Roman" w:hint="eastAsia"/>
          <w:b/>
          <w:color w:val="FF0000"/>
          <w:szCs w:val="24"/>
        </w:rPr>
        <w:t>的将作</w:t>
      </w:r>
      <w:r>
        <w:rPr>
          <w:rFonts w:asciiTheme="minorEastAsia" w:hAnsiTheme="minorEastAsia" w:cs="Times New Roman"/>
          <w:b/>
          <w:color w:val="FF0000"/>
          <w:szCs w:val="24"/>
        </w:rPr>
        <w:t>投标无效处理。</w:t>
      </w:r>
    </w:p>
    <w:p>
      <w:pPr>
        <w:tabs>
          <w:tab w:val="left" w:pos="720"/>
        </w:tabs>
        <w:rPr>
          <w:rFonts w:ascii="Times New Roman" w:eastAsia="宋体" w:hAnsi="Times New Roman" w:cs="Times New Roman"/>
          <w:b/>
          <w:sz w:val="24"/>
          <w:szCs w:val="24"/>
        </w:rPr>
      </w:pPr>
    </w:p>
    <w:p>
      <w:pPr>
        <w:tabs>
          <w:tab w:val="left" w:pos="720"/>
        </w:tabs>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（二）核心产品品牌</w:t>
      </w:r>
    </w:p>
    <w:p>
      <w:pPr>
        <w:rPr>
          <w:rFonts w:ascii="Times New Roman" w:eastAsia="宋体" w:hAnsi="Times New Roman" w:cs="Times New Roman" w:hint="eastAsia"/>
          <w:color w:val="FF0000"/>
          <w:sz w:val="24"/>
          <w:szCs w:val="24"/>
        </w:rPr>
      </w:pPr>
      <w:r>
        <w:rPr>
          <w:rFonts w:ascii="Times New Roman" w:eastAsia="宋体" w:hAnsi="Times New Roman" w:cs="Times New Roman" w:hint="eastAsia"/>
          <w:b/>
          <w:color w:val="FF0000"/>
          <w:sz w:val="24"/>
          <w:szCs w:val="24"/>
        </w:rPr>
        <w:t>我单位所投核心产品的品牌为：</w:t>
      </w:r>
      <w:r>
        <w:rPr>
          <w:rFonts w:ascii="Times New Roman" w:eastAsia="宋体" w:hAnsi="Times New Roman" w:cs="Times New Roman" w:hint="eastAsia"/>
          <w:color w:val="FF0000"/>
          <w:sz w:val="24"/>
          <w:szCs w:val="24"/>
          <w:u w:val="single"/>
        </w:rPr>
        <w:t xml:space="preserve">               </w:t>
      </w:r>
      <w:r>
        <w:rPr>
          <w:rFonts w:ascii="Times New Roman" w:eastAsia="宋体" w:hAnsi="Times New Roman" w:cs="Times New Roman" w:hint="eastAsia"/>
          <w:color w:val="FF0000"/>
          <w:sz w:val="24"/>
          <w:szCs w:val="24"/>
        </w:rPr>
        <w:t>。</w:t>
      </w:r>
    </w:p>
    <w:p>
      <w:pPr>
        <w:rPr>
          <w:rFonts w:ascii="Arial" w:eastAsia="宋体" w:hAnsi="Arial" w:cs="Times New Roman"/>
          <w:b/>
          <w:szCs w:val="24"/>
        </w:rPr>
      </w:pPr>
      <w:r>
        <w:rPr>
          <w:rFonts w:ascii="宋体" w:eastAsia="宋体" w:hAnsi="宋体" w:cs="Times New Roman" w:hint="eastAsia"/>
          <w:color w:val="FF0000"/>
          <w:sz w:val="24"/>
          <w:szCs w:val="24"/>
        </w:rPr>
        <w:t>备注：如招标文件未列明核心产品的，无需填写该项。</w:t>
      </w:r>
    </w:p>
    <w:p>
      <w:pPr>
        <w:spacing w:after="78" w:afterLines="25" w:line="300" w:lineRule="auto"/>
        <w:rPr>
          <w:rFonts w:ascii="Arial" w:eastAsia="宋体" w:hAnsi="Arial" w:cs="Times New Roman"/>
          <w:b/>
          <w:szCs w:val="24"/>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（三）可选配件报价清单（非项目需求要求的必备配件，此部分不包括在总报价内）</w:t>
      </w:r>
    </w:p>
    <w:p>
      <w:pPr>
        <w:ind w:firstLine="420" w:firstLineChars="200"/>
        <w:rPr>
          <w:rFonts w:hAnsi="宋体" w:hint="eastAsia"/>
          <w:b/>
          <w:bCs/>
          <w:szCs w:val="21"/>
        </w:rPr>
      </w:pPr>
      <w:r>
        <w:rPr>
          <w:rFonts w:hAnsi="宋体" w:hint="eastAsia"/>
          <w:b/>
          <w:bCs/>
          <w:szCs w:val="21"/>
        </w:rPr>
        <w:t>注：格式可以参照《（一）</w:t>
      </w:r>
      <w:r>
        <w:rPr>
          <w:rFonts w:hAnsi="宋体" w:hint="eastAsia"/>
          <w:b/>
          <w:bCs/>
          <w:szCs w:val="21"/>
          <w:lang w:val="en-US" w:eastAsia="zh-CN"/>
        </w:rPr>
        <w:t>项目</w:t>
      </w:r>
      <w:r>
        <w:rPr>
          <w:rFonts w:hAnsi="宋体" w:hint="eastAsia"/>
          <w:b/>
          <w:bCs/>
          <w:szCs w:val="21"/>
        </w:rPr>
        <w:t>报价表》表格，并提供相应的品牌/规格/型号、原产地、制造商信息（没有品牌、型号的，用“定制”描述即可）、单价等详细信息</w:t>
      </w:r>
    </w:p>
    <w:p>
      <w:pPr>
        <w:ind w:firstLine="420" w:firstLineChars="200"/>
        <w:rPr>
          <w:rFonts w:hAnsi="宋体" w:hint="eastAsia"/>
          <w:b/>
          <w:bCs/>
          <w:szCs w:val="21"/>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（四）供应商认为需要涉及的其他内容报价清单</w:t>
      </w:r>
    </w:p>
    <w:p>
      <w:pPr>
        <w:keepNext/>
        <w:keepLines/>
        <w:pageBreakBefore/>
        <w:adjustRightInd w:val="0"/>
        <w:snapToGrid w:val="0"/>
        <w:spacing w:line="360" w:lineRule="auto"/>
        <w:jc w:val="center"/>
        <w:textAlignment w:val="baseline"/>
        <w:outlineLvl w:val="3"/>
        <w:rPr>
          <w:rFonts w:ascii="宋体" w:eastAsia="宋体" w:hAnsi="宋体" w:cs="Times New Roman" w:hint="default"/>
          <w:b/>
          <w:bCs/>
          <w:kern w:val="0"/>
          <w:sz w:val="30"/>
          <w:szCs w:val="30"/>
          <w:lang w:val="en-US"/>
        </w:rPr>
      </w:pPr>
      <w:r>
        <w:rPr>
          <w:rFonts w:ascii="宋体" w:eastAsia="宋体" w:hAnsi="宋体" w:cs="Times New Roman" w:hint="eastAsia"/>
          <w:b/>
          <w:bCs/>
          <w:kern w:val="0"/>
          <w:sz w:val="30"/>
          <w:szCs w:val="30"/>
        </w:rPr>
        <w:t>4.</w:t>
      </w:r>
      <w:r>
        <w:rPr>
          <w:rFonts w:ascii="宋体" w:eastAsia="宋体" w:hAnsi="宋体" w:cs="Times New Roman" w:hint="eastAsia"/>
          <w:b/>
          <w:bCs/>
          <w:kern w:val="0"/>
          <w:sz w:val="30"/>
          <w:szCs w:val="30"/>
          <w:lang w:val="en-US" w:eastAsia="zh-CN"/>
        </w:rPr>
        <w:t>中小企业相关声明函</w:t>
      </w:r>
    </w:p>
    <w:p>
      <w:pPr>
        <w:snapToGrid w:val="0"/>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填写指引：</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2、该部分内容填写需要参考的相关文件：</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(1)财政部《政府采购促进中小企业发展管理办法》（财库〔2020〕46号）；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(2)《工业和信息化部、国家统计局、国家发展和改革委员会、财政部关于印发中小企业划型标准规定的通知》（工信部联企业〔2011〕300 号，以下简称300号文）</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(3)《统计上大中小微型企业划分办法(2017)》（国统字〔2017〕213 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(4)《关于促进残疾人就业政府采购政策的通知》（财库〔2017〕141号）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(5)《关于政府采购支持监狱企业发展有关问题的通知》（财库〔2014〕68号）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3、请依照提供的格式和内容填写声明函，不要随意变更格式；声明函不需要盖章或签字；满足多项优惠政策的投标人，不重复享受多项价格扣除政策。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4、声明函具体填写要求：</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（1）声明是中小企业须填写《中小企业声明函》的以下内容：</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第一处，在“单位名称”下划线处如实填写采购人名称（深圳公共资源交易中心不是本项目的采购人，而是组织实施机构）；</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第二处，在“项目名称”下划线处如实填写采购项目名称；</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第三处，在“标的名称”下划线处填写所采购货物（标的）的具体名称</w:t>
      </w:r>
      <w:r>
        <w:rPr>
          <w:rFonts w:ascii="黑体" w:eastAsia="黑体" w:hAnsi="黑体" w:cs="黑体" w:hint="eastAsia"/>
          <w:b w:val="0"/>
          <w:bCs/>
          <w:color w:val="0000FF"/>
          <w:sz w:val="25"/>
          <w:szCs w:val="25"/>
        </w:rPr>
        <w:t>（以招标文件第一册第三章用户需求书“货物</w:t>
      </w:r>
      <w:r>
        <w:rPr>
          <w:rFonts w:ascii="黑体" w:eastAsia="黑体" w:hAnsi="黑体" w:cs="黑体" w:hint="eastAsia"/>
          <w:b w:val="0"/>
          <w:bCs/>
          <w:color w:val="0000FF"/>
          <w:sz w:val="25"/>
          <w:szCs w:val="25"/>
          <w:lang w:val="en-US" w:eastAsia="zh-CN"/>
        </w:rPr>
        <w:t>需求</w:t>
      </w:r>
      <w:r>
        <w:rPr>
          <w:rFonts w:ascii="黑体" w:eastAsia="黑体" w:hAnsi="黑体" w:cs="黑体" w:hint="eastAsia"/>
          <w:b w:val="0"/>
          <w:bCs/>
          <w:color w:val="0000FF"/>
          <w:sz w:val="25"/>
          <w:szCs w:val="25"/>
        </w:rPr>
        <w:t>明细”的“货物名称”一栏为准）</w:t>
      </w:r>
      <w:r>
        <w:rPr>
          <w:rFonts w:ascii="黑体" w:eastAsia="黑体" w:hAnsi="黑体" w:cs="黑体" w:hint="eastAsia"/>
          <w:b w:val="0"/>
          <w:bCs/>
          <w:color w:val="FF0000"/>
          <w:sz w:val="25"/>
          <w:szCs w:val="25"/>
        </w:rPr>
        <w:t>；如果涉及多项货物（标的）为同一企业制造，“标的名称”下划线处可以如实填写多项货物；</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第四处，在“招标文件中明确的所属行业”下划线处填写采购标的对应的中小企业划分标准所属行业</w:t>
      </w:r>
      <w:r>
        <w:rPr>
          <w:rFonts w:ascii="黑体" w:eastAsia="黑体" w:hAnsi="黑体" w:cs="黑体" w:hint="eastAsia"/>
          <w:b w:val="0"/>
          <w:bCs w:val="0"/>
          <w:color w:val="0000FF"/>
          <w:sz w:val="25"/>
          <w:szCs w:val="25"/>
        </w:rPr>
        <w:t>（所属行业</w:t>
      </w:r>
      <w:r>
        <w:rPr>
          <w:rFonts w:ascii="黑体" w:eastAsia="黑体" w:hAnsi="黑体" w:cs="黑体" w:hint="eastAsia"/>
          <w:b w:val="0"/>
          <w:bCs w:val="0"/>
          <w:color w:val="0000FF"/>
          <w:sz w:val="25"/>
          <w:szCs w:val="25"/>
          <w:lang w:val="en-US" w:eastAsia="zh-CN"/>
        </w:rPr>
        <w:t>详见</w:t>
      </w:r>
      <w:r>
        <w:rPr>
          <w:rFonts w:ascii="黑体" w:eastAsia="黑体" w:hAnsi="黑体" w:cs="黑体" w:hint="eastAsia"/>
          <w:b w:val="0"/>
          <w:bCs w:val="0"/>
          <w:color w:val="0000FF"/>
          <w:sz w:val="25"/>
          <w:szCs w:val="25"/>
        </w:rPr>
        <w:t>招标文件第一册第二章“对通用条款的补充内容及其他关键信息”章节</w:t>
      </w:r>
      <w:r>
        <w:rPr>
          <w:rFonts w:ascii="黑体" w:eastAsia="黑体" w:hAnsi="黑体" w:cs="黑体" w:hint="eastAsia"/>
          <w:b w:val="0"/>
          <w:bCs w:val="0"/>
          <w:color w:val="0000FF"/>
          <w:sz w:val="25"/>
          <w:szCs w:val="25"/>
          <w:lang w:val="en-US" w:eastAsia="zh-CN"/>
        </w:rPr>
        <w:t>或</w:t>
      </w:r>
      <w:r>
        <w:rPr>
          <w:rFonts w:ascii="黑体" w:eastAsia="黑体" w:hAnsi="黑体" w:cs="黑体" w:hint="eastAsia"/>
          <w:b w:val="0"/>
          <w:bCs w:val="0"/>
          <w:color w:val="0000FF"/>
          <w:sz w:val="25"/>
          <w:szCs w:val="25"/>
        </w:rPr>
        <w:t>第三章用户需求书“</w:t>
      </w:r>
      <w:r>
        <w:rPr>
          <w:rFonts w:ascii="黑体" w:eastAsia="黑体" w:hAnsi="黑体" w:cs="黑体" w:hint="eastAsia"/>
          <w:b w:val="0"/>
          <w:bCs w:val="0"/>
          <w:color w:val="0000FF"/>
          <w:sz w:val="25"/>
          <w:szCs w:val="25"/>
          <w:lang w:val="en-US" w:eastAsia="zh-CN"/>
        </w:rPr>
        <w:t>货物需求</w:t>
      </w:r>
      <w:r>
        <w:rPr>
          <w:rFonts w:ascii="黑体" w:eastAsia="黑体" w:hAnsi="黑体" w:cs="黑体" w:hint="eastAsia"/>
          <w:b w:val="0"/>
          <w:bCs w:val="0"/>
          <w:color w:val="0000FF"/>
          <w:sz w:val="25"/>
          <w:szCs w:val="25"/>
        </w:rPr>
        <w:t>明细”</w:t>
      </w:r>
      <w:r>
        <w:rPr>
          <w:rFonts w:ascii="黑体" w:eastAsia="黑体" w:hAnsi="黑体" w:cs="黑体" w:hint="eastAsia"/>
          <w:b w:val="0"/>
          <w:bCs w:val="0"/>
          <w:color w:val="0000FF"/>
          <w:sz w:val="25"/>
          <w:szCs w:val="25"/>
          <w:lang w:val="en-US" w:eastAsia="zh-CN"/>
        </w:rPr>
        <w:t>中的所属行业信息</w:t>
      </w:r>
      <w:r>
        <w:rPr>
          <w:rFonts w:ascii="黑体" w:eastAsia="黑体" w:hAnsi="黑体" w:cs="黑体" w:hint="eastAsia"/>
          <w:b w:val="0"/>
          <w:bCs w:val="0"/>
          <w:color w:val="0000FF"/>
          <w:sz w:val="25"/>
          <w:szCs w:val="25"/>
        </w:rPr>
        <w:t>）</w:t>
      </w:r>
      <w:r>
        <w:rPr>
          <w:rFonts w:ascii="黑体" w:eastAsia="黑体" w:hAnsi="黑体" w:cs="黑体" w:hint="eastAsia"/>
          <w:b w:val="0"/>
          <w:bCs/>
          <w:color w:val="FF0000"/>
          <w:sz w:val="25"/>
          <w:szCs w:val="25"/>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（2）声明是残疾人福利性单位须填写《残疾人福利性单位声明函》的相关内容，具体参照以上《中小企业声明函》填写要求执行。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（3）声明是监狱企业须填写《监狱企业声明函》的三项内容（填写位置的字体已加粗），具体参照以上《中小企业声明函》填写要求执行。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5、声明函的有效性最终由评审委员会判定；如评审委员会判定声明函无效，相关供应商不享受价格扣除（但不作投标无效处理）。</w:t>
      </w: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widowControl/>
        <w:jc w:val="center"/>
        <w:outlineLvl w:val="4"/>
        <w:rPr>
          <w:rFonts w:ascii="Arial" w:eastAsia="宋体" w:hAnsi="Arial" w:cs="Times New Roman"/>
          <w:b/>
          <w:sz w:val="24"/>
          <w:szCs w:val="24"/>
        </w:rPr>
      </w:pPr>
      <w:r>
        <w:rPr>
          <w:rFonts w:ascii="宋体" w:eastAsia="宋体" w:hAnsi="宋体" w:cs="Times New Roman"/>
          <w:b/>
          <w:sz w:val="24"/>
          <w:szCs w:val="24"/>
        </w:rPr>
        <w:fldChar w:fldCharType="begin"/>
      </w:r>
      <w:r>
        <w:rPr>
          <w:rFonts w:ascii="宋体" w:eastAsia="宋体" w:hAnsi="宋体" w:cs="Times New Roman"/>
          <w:b/>
          <w:sz w:val="24"/>
          <w:szCs w:val="24"/>
        </w:rPr>
        <w:instrText xml:space="preserve"> = 1 \* GB3 </w:instrText>
      </w:r>
      <w:r>
        <w:rPr>
          <w:rFonts w:ascii="宋体" w:eastAsia="宋体" w:hAnsi="宋体" w:cs="Times New Roman"/>
          <w:b/>
          <w:bCs/>
          <w:sz w:val="24"/>
          <w:szCs w:val="24"/>
        </w:rPr>
        <w:fldChar w:fldCharType="separate"/>
      </w:r>
      <w:r>
        <w:rPr>
          <w:rFonts w:ascii="宋体" w:eastAsia="宋体" w:hAnsi="宋体" w:cs="Times New Roman" w:hint="eastAsia"/>
          <w:b/>
          <w:sz w:val="24"/>
          <w:szCs w:val="24"/>
        </w:rPr>
        <w:t>①</w:t>
      </w:r>
      <w:r>
        <w:rPr>
          <w:rFonts w:ascii="宋体" w:eastAsia="宋体" w:hAnsi="宋体" w:cs="Times New Roman"/>
          <w:b/>
          <w:bCs/>
          <w:sz w:val="24"/>
          <w:szCs w:val="24"/>
        </w:rPr>
        <w:fldChar w:fldCharType="end"/>
      </w:r>
      <w:r>
        <w:rPr>
          <w:rFonts w:ascii="Arial" w:eastAsia="宋体" w:hAnsi="Arial" w:cs="Times New Roman" w:hint="eastAsia"/>
          <w:b/>
          <w:sz w:val="24"/>
          <w:szCs w:val="24"/>
        </w:rPr>
        <w:t>中小企业声明函（货物）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郑重声明，根据《政府采购促进中小企业发展管理办法》（财库</w:t>
      </w:r>
      <w:r>
        <w:rPr>
          <w:rFonts w:ascii="Arial" w:eastAsia="宋体" w:hAnsi="Arial" w:cs="Times New Roman" w:hint="eastAsia"/>
          <w:szCs w:val="21"/>
        </w:rPr>
        <w:t>﹝</w:t>
      </w:r>
      <w:r>
        <w:rPr>
          <w:rFonts w:ascii="Arial" w:eastAsia="宋体" w:hAnsi="Arial" w:cs="Times New Roman"/>
          <w:szCs w:val="21"/>
        </w:rPr>
        <w:t>2020</w:t>
      </w:r>
      <w:r>
        <w:rPr>
          <w:rFonts w:ascii="Arial" w:eastAsia="宋体" w:hAnsi="Arial" w:cs="Times New Roman" w:hint="eastAsia"/>
          <w:szCs w:val="21"/>
        </w:rPr>
        <w:t>﹞</w:t>
      </w:r>
      <w:r>
        <w:rPr>
          <w:rFonts w:ascii="Arial" w:eastAsia="宋体" w:hAnsi="Arial" w:cs="Times New Roman"/>
          <w:szCs w:val="21"/>
        </w:rPr>
        <w:t>46 号）的规定，本</w:t>
      </w:r>
      <w:r>
        <w:rPr>
          <w:rFonts w:ascii="Arial" w:eastAsia="宋体" w:hAnsi="Arial" w:cs="Times New Roman" w:hint="eastAsia"/>
          <w:szCs w:val="21"/>
        </w:rPr>
        <w:t>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采购活动，提供的货物全部由符合政策要求的中小企业制造。相关企业的具体情况如下：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u w:val="single"/>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以上企业，不属于大企业的分支机构，不存在控股股东为大企业的情形，也不存在与大企业的负责人为同一人的情形。</w:t>
      </w:r>
    </w:p>
    <w:p>
      <w:pPr>
        <w:spacing w:after="78" w:afterLines="25" w:line="300" w:lineRule="auto"/>
        <w:ind w:firstLine="420" w:firstLineChars="200"/>
        <w:rPr>
          <w:rFonts w:ascii="Arial" w:eastAsia="宋体" w:hAnsi="Arial" w:cs="Times New Roman"/>
          <w:szCs w:val="21"/>
        </w:rPr>
      </w:pPr>
      <w:bookmarkStart w:id="26" w:name="_Hlk73562203"/>
      <w:r>
        <w:rPr>
          <w:rFonts w:ascii="Arial" w:eastAsia="宋体" w:hAnsi="Arial" w:cs="Times New Roman" w:hint="eastAsia"/>
          <w:szCs w:val="21"/>
        </w:rPr>
        <w:t>本</w:t>
      </w:r>
      <w:r>
        <w:rPr>
          <w:rFonts w:ascii="Arial" w:eastAsia="宋体" w:hAnsi="Arial" w:cs="Times New Roman"/>
          <w:szCs w:val="21"/>
        </w:rPr>
        <w:t>投标人已知悉《政府采购促进中小企业发展管理办法》（财库〔2020〕46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ascii="Arial" w:eastAsia="宋体" w:hAnsi="Arial" w:cs="Times New Roman" w:hint="eastAsia"/>
          <w:szCs w:val="21"/>
        </w:rPr>
        <w:t>投标人</w:t>
      </w:r>
      <w:r>
        <w:rPr>
          <w:rFonts w:ascii="Arial" w:eastAsia="宋体" w:hAnsi="Arial" w:cs="Times New Roman"/>
          <w:szCs w:val="21"/>
        </w:rPr>
        <w:t>按照本办法规定提供声明函内容不实的，属于提供虚假材料谋取中标，依照《政府采购法》等政府采购有关法律法规规定追究相应责任</w:t>
      </w:r>
      <w:r>
        <w:rPr>
          <w:rFonts w:ascii="Arial" w:eastAsia="宋体" w:hAnsi="Arial" w:cs="Times New Roman" w:hint="eastAsia"/>
          <w:szCs w:val="21"/>
        </w:rPr>
        <w:t>。</w:t>
      </w:r>
      <w:bookmarkEnd w:id="26"/>
    </w:p>
    <w:p>
      <w:pPr>
        <w:spacing w:after="78" w:afterLines="25" w:line="300" w:lineRule="auto"/>
        <w:ind w:firstLine="630" w:firstLineChars="300"/>
        <w:rPr>
          <w:rFonts w:ascii="Arial" w:eastAsia="宋体" w:hAnsi="Arial" w:cs="Times New Roman"/>
          <w:szCs w:val="21"/>
        </w:rPr>
      </w:pPr>
    </w:p>
    <w:p>
      <w:pPr>
        <w:spacing w:after="78" w:afterLines="25" w:line="300" w:lineRule="auto"/>
        <w:ind w:right="420" w:firstLine="4200" w:firstLineChars="2000"/>
        <w:rPr>
          <w:rFonts w:ascii="Arial" w:eastAsia="宋体" w:hAnsi="Arial" w:cs="Times New Roman"/>
          <w:szCs w:val="21"/>
        </w:rPr>
      </w:pPr>
      <w:r>
        <w:rPr>
          <w:rFonts w:ascii="Arial" w:eastAsia="宋体" w:hAnsi="Arial" w:cs="Times New Roman" w:hint="eastAsia"/>
          <w:szCs w:val="21"/>
        </w:rPr>
        <w:t>投标人（投标单位）：</w:t>
      </w:r>
    </w:p>
    <w:p>
      <w:pPr>
        <w:spacing w:after="78" w:afterLines="25" w:line="300" w:lineRule="auto"/>
        <w:ind w:right="420" w:firstLine="5565" w:firstLineChars="2650"/>
        <w:rPr>
          <w:rFonts w:ascii="Arial" w:eastAsia="宋体" w:hAnsi="Arial" w:cs="Times New Roman"/>
          <w:szCs w:val="21"/>
        </w:rPr>
      </w:pPr>
      <w:r>
        <w:rPr>
          <w:rFonts w:ascii="Arial" w:eastAsia="宋体" w:hAnsi="Arial" w:cs="Times New Roman" w:hint="eastAsia"/>
          <w:szCs w:val="21"/>
        </w:rPr>
        <w:t>日期：</w:t>
      </w: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right="420" w:firstLine="5565" w:firstLineChars="2650"/>
        <w:rPr>
          <w:rFonts w:ascii="Arial" w:eastAsia="宋体" w:hAnsi="Arial" w:cs="Times New Roman"/>
          <w:b/>
          <w:szCs w:val="21"/>
          <w:highlight w:val="none"/>
        </w:rPr>
      </w:pPr>
    </w:p>
    <w:p>
      <w:pPr>
        <w:spacing w:after="78" w:afterLines="25" w:line="300" w:lineRule="auto"/>
        <w:ind w:firstLine="420" w:firstLineChars="200"/>
        <w:jc w:val="left"/>
        <w:rPr>
          <w:rFonts w:ascii="宋体" w:eastAsia="宋体" w:hAnsi="宋体" w:cs="Times New Roman"/>
          <w:sz w:val="24"/>
          <w:szCs w:val="24"/>
          <w:highlight w:val="none"/>
        </w:rPr>
      </w:pPr>
      <w:r>
        <w:rPr>
          <w:rFonts w:ascii="宋体" w:eastAsia="宋体" w:hAnsi="宋体" w:cs="Times New Roman" w:hint="eastAsia"/>
          <w:b/>
          <w:sz w:val="24"/>
          <w:szCs w:val="24"/>
          <w:highlight w:val="none"/>
        </w:rPr>
        <w:t>说明：</w:t>
      </w:r>
      <w:r>
        <w:rPr>
          <w:rFonts w:ascii="宋体" w:eastAsia="宋体" w:hAnsi="宋体" w:cs="Times New Roman" w:hint="eastAsia"/>
          <w:sz w:val="24"/>
          <w:szCs w:val="24"/>
          <w:highlight w:val="none"/>
        </w:rPr>
        <w:t>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pPr>
        <w:widowControl/>
        <w:jc w:val="left"/>
        <w:rPr>
          <w:rFonts w:ascii="宋体" w:eastAsia="宋体" w:hAnsi="宋体" w:cs="Times New Roman"/>
          <w:b/>
          <w:sz w:val="24"/>
          <w:szCs w:val="24"/>
          <w:highlight w:val="none"/>
        </w:rPr>
      </w:pPr>
      <w:r>
        <w:rPr>
          <w:highlight w:val="none"/>
        </w:rPr>
        <w:br w:type="page"/>
      </w:r>
    </w:p>
    <w:p>
      <w:pPr>
        <w:spacing w:after="78" w:afterLines="25" w:line="300" w:lineRule="auto"/>
        <w:jc w:val="center"/>
        <w:outlineLvl w:val="4"/>
        <w:rPr>
          <w:rFonts w:ascii="Arial" w:eastAsia="宋体" w:hAnsi="Arial" w:cs="Times New Roman"/>
          <w:b/>
          <w:sz w:val="24"/>
          <w:szCs w:val="24"/>
          <w:highlight w:val="none"/>
        </w:rPr>
      </w:pPr>
      <w:r>
        <w:rPr>
          <w:rFonts w:ascii="宋体" w:eastAsia="宋体" w:hAnsi="宋体" w:cs="Times New Roman" w:hint="eastAsia"/>
          <w:b/>
          <w:sz w:val="24"/>
          <w:szCs w:val="24"/>
          <w:highlight w:val="none"/>
        </w:rPr>
        <w:t>②</w:t>
      </w:r>
      <w:r>
        <w:rPr>
          <w:rFonts w:ascii="Arial" w:eastAsia="宋体" w:hAnsi="Arial" w:cs="Times New Roman" w:hint="eastAsia"/>
          <w:b/>
          <w:sz w:val="24"/>
          <w:szCs w:val="24"/>
          <w:highlight w:val="none"/>
        </w:rPr>
        <w:t>残疾人福利性单位声明函（货物）</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本</w:t>
      </w:r>
      <w:r>
        <w:rPr>
          <w:rFonts w:asciiTheme="minorEastAsia" w:hAnsiTheme="minorEastAsia" w:cs="Times New Roman" w:hint="eastAsia"/>
          <w:szCs w:val="21"/>
          <w:highlight w:val="none"/>
        </w:rPr>
        <w:t>投标人郑重声明，根据《财政部民政部中国残疾人联合会关于促进残疾人就业政府采购政策的通知》（财库〔</w:t>
      </w:r>
      <w:r>
        <w:rPr>
          <w:rFonts w:asciiTheme="minorEastAsia" w:hAnsiTheme="minorEastAsia" w:cs="Times New Roman"/>
          <w:szCs w:val="21"/>
          <w:highlight w:val="none"/>
        </w:rPr>
        <w:t>2017</w:t>
      </w:r>
      <w:r>
        <w:rPr>
          <w:rFonts w:asciiTheme="minorEastAsia" w:hAnsiTheme="minorEastAsia" w:cs="Times New Roman" w:hint="eastAsia"/>
          <w:szCs w:val="21"/>
          <w:highlight w:val="none"/>
        </w:rPr>
        <w:t>〕</w:t>
      </w:r>
      <w:r>
        <w:rPr>
          <w:rFonts w:asciiTheme="minorEastAsia" w:hAnsiTheme="minorEastAsia" w:cs="Times New Roman"/>
          <w:szCs w:val="21"/>
          <w:highlight w:val="none"/>
        </w:rPr>
        <w:t xml:space="preserve">141 </w:t>
      </w:r>
      <w:r>
        <w:rPr>
          <w:rFonts w:asciiTheme="minorEastAsia" w:hAnsiTheme="minorEastAsia" w:cs="Times New Roman" w:hint="eastAsia"/>
          <w:szCs w:val="21"/>
          <w:highlight w:val="none"/>
        </w:rPr>
        <w:t>号）的规定，本投标人</w:t>
      </w:r>
      <w:r>
        <w:rPr>
          <w:rFonts w:asciiTheme="minorEastAsia" w:hAnsiTheme="minorEastAsia" w:cs="Times New Roman"/>
          <w:szCs w:val="21"/>
          <w:highlight w:val="none"/>
        </w:rPr>
        <w:t>参加</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采购人</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的</w:t>
      </w:r>
      <w:r>
        <w:rPr>
          <w:rFonts w:asciiTheme="minorEastAsia" w:hAnsiTheme="minorEastAsia" w:cs="Times New Roman"/>
          <w:b/>
          <w:bCs/>
          <w:szCs w:val="21"/>
          <w:highlight w:val="none"/>
          <w:u w:val="single"/>
        </w:rPr>
        <w:t>（项目名称）</w:t>
      </w:r>
      <w:r>
        <w:rPr>
          <w:rFonts w:asciiTheme="minorEastAsia" w:hAnsiTheme="minorEastAsia" w:cs="Times New Roman"/>
          <w:szCs w:val="21"/>
          <w:highlight w:val="none"/>
        </w:rPr>
        <w:t>采购活动，提供的货物全部由符合政策要求的</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制造。相关</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的具体情况如下：</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1.</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2.</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hint="eastAsia"/>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 xml:space="preserve">…… </w:t>
      </w:r>
    </w:p>
    <w:p>
      <w:pPr>
        <w:spacing w:after="78" w:afterLines="25" w:line="300" w:lineRule="auto"/>
        <w:ind w:firstLine="420" w:firstLineChars="200"/>
        <w:rPr>
          <w:rFonts w:asciiTheme="minorEastAsia" w:hAnsiTheme="minorEastAsia" w:cs="Times New Roman"/>
          <w:szCs w:val="21"/>
          <w:highlight w:val="none"/>
        </w:rPr>
      </w:pPr>
      <w:bookmarkStart w:id="27" w:name="_Hlk73562331"/>
      <w:r>
        <w:rPr>
          <w:rFonts w:asciiTheme="minorEastAsia" w:hAnsiTheme="minorEastAsia" w:cs="Times New Roman" w:hint="eastAsia"/>
          <w:szCs w:val="21"/>
          <w:highlight w:val="none"/>
        </w:rPr>
        <w:t>本</w:t>
      </w:r>
      <w:r>
        <w:rPr>
          <w:rFonts w:asciiTheme="minorEastAsia" w:hAnsiTheme="minorEastAsia" w:cs="Times New Roman"/>
          <w:szCs w:val="21"/>
          <w:highlight w:val="none"/>
        </w:rPr>
        <w:t>投标人</w:t>
      </w:r>
      <w:r>
        <w:rPr>
          <w:rFonts w:asciiTheme="minorEastAsia" w:hAnsiTheme="minorEastAsia" w:cs="Times New Roman" w:hint="eastAsia"/>
          <w:szCs w:val="21"/>
          <w:highlight w:val="none"/>
        </w:rPr>
        <w:t>已</w:t>
      </w:r>
      <w:r>
        <w:rPr>
          <w:rFonts w:asciiTheme="minorEastAsia" w:hAnsiTheme="minorEastAsia" w:cs="Times New Roman"/>
          <w:szCs w:val="21"/>
          <w:highlight w:val="none"/>
        </w:rPr>
        <w:t>知悉</w:t>
      </w:r>
      <w:r>
        <w:rPr>
          <w:rFonts w:asciiTheme="minorEastAsia" w:hAnsiTheme="minorEastAsia" w:cs="Times New Roman" w:hint="eastAsia"/>
          <w:szCs w:val="21"/>
          <w:highlight w:val="none"/>
        </w:rPr>
        <w:t>《财政部民政部中国残疾人联合会关于促进残疾人就业政府采购政策的通知》（财库〔2017〕141 号）</w:t>
      </w:r>
      <w:r>
        <w:rPr>
          <w:rFonts w:asciiTheme="minorEastAsia" w:hAnsiTheme="minorEastAsia" w:cs="Times New Roman"/>
          <w:szCs w:val="21"/>
          <w:highlight w:val="none"/>
        </w:rPr>
        <w:t>的规定，承诺提供的声明函内容是真实的，如提供声明函内容不实，则依法追究相关法律责任</w:t>
      </w:r>
      <w:r>
        <w:rPr>
          <w:rFonts w:asciiTheme="minorEastAsia" w:hAnsiTheme="minorEastAsia" w:cs="Times New Roman" w:hint="eastAsia"/>
          <w:szCs w:val="21"/>
          <w:highlight w:val="none"/>
        </w:rPr>
        <w:t>。</w:t>
      </w:r>
      <w:bookmarkEnd w:id="27"/>
    </w:p>
    <w:p>
      <w:pPr>
        <w:spacing w:after="78" w:afterLines="25" w:line="300" w:lineRule="auto"/>
        <w:jc w:val="right"/>
        <w:rPr>
          <w:rFonts w:asciiTheme="minorEastAsia" w:hAnsiTheme="minorEastAsia" w:cs="Times New Roman"/>
          <w:szCs w:val="21"/>
          <w:highlight w:val="none"/>
        </w:rPr>
      </w:pPr>
    </w:p>
    <w:p>
      <w:pPr>
        <w:spacing w:after="78" w:afterLines="25" w:line="300" w:lineRule="auto"/>
        <w:ind w:right="420" w:firstLine="4410" w:firstLineChars="2100"/>
        <w:rPr>
          <w:rFonts w:asciiTheme="minorEastAsia" w:hAnsiTheme="minorEastAsia" w:cs="Times New Roman"/>
          <w:szCs w:val="21"/>
          <w:highlight w:val="none"/>
        </w:rPr>
      </w:pPr>
      <w:r>
        <w:rPr>
          <w:rFonts w:asciiTheme="minorEastAsia" w:hAnsiTheme="minorEastAsia" w:cs="Times New Roman" w:hint="eastAsia"/>
          <w:szCs w:val="21"/>
          <w:highlight w:val="none"/>
        </w:rPr>
        <w:t>投标人（投标单位）：</w:t>
      </w:r>
    </w:p>
    <w:p>
      <w:pPr>
        <w:spacing w:after="78" w:afterLines="25" w:line="300" w:lineRule="auto"/>
        <w:ind w:right="420" w:firstLine="5775" w:firstLineChars="2750"/>
        <w:rPr>
          <w:rFonts w:asciiTheme="minorEastAsia" w:hAnsiTheme="minorEastAsia" w:cs="Times New Roman"/>
          <w:szCs w:val="21"/>
          <w:highlight w:val="none"/>
        </w:rPr>
      </w:pPr>
      <w:r>
        <w:rPr>
          <w:rFonts w:asciiTheme="minorEastAsia" w:hAnsiTheme="minorEastAsia" w:cs="Times New Roman" w:hint="eastAsia"/>
          <w:szCs w:val="21"/>
          <w:highlight w:val="none"/>
        </w:rPr>
        <w:t>日期：</w:t>
      </w:r>
    </w:p>
    <w:p>
      <w:pPr>
        <w:spacing w:after="78" w:afterLines="25" w:line="300" w:lineRule="auto"/>
        <w:jc w:val="right"/>
        <w:rPr>
          <w:rFonts w:asciiTheme="minorEastAsia" w:hAnsiTheme="minorEastAsia" w:cs="Times New Roman"/>
          <w:b/>
          <w:color w:val="FF0000"/>
          <w:sz w:val="28"/>
          <w:szCs w:val="28"/>
          <w:highlight w:val="none"/>
        </w:rPr>
      </w:pPr>
    </w:p>
    <w:p>
      <w:pPr>
        <w:spacing w:after="78" w:afterLines="25" w:line="300" w:lineRule="auto"/>
        <w:jc w:val="right"/>
        <w:rPr>
          <w:rFonts w:ascii="Arial" w:eastAsia="宋体" w:hAnsi="Arial" w:cs="Times New Roman"/>
          <w:b/>
          <w:color w:val="FF0000"/>
          <w:sz w:val="28"/>
          <w:szCs w:val="28"/>
          <w:highlight w:val="none"/>
        </w:rPr>
      </w:pP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b/>
          <w:szCs w:val="21"/>
          <w:highlight w:val="none"/>
        </w:rPr>
        <w:t>说明：</w:t>
      </w:r>
      <w:r>
        <w:rPr>
          <w:rFonts w:ascii="宋体" w:eastAsia="宋体" w:hAnsi="宋体" w:cs="Times New Roman" w:hint="eastAsia"/>
          <w:szCs w:val="21"/>
          <w:highlight w:val="none"/>
        </w:rPr>
        <w:t>根据财库〔2017〕141号文件的规定,享受政府采购支持政策的残疾人福利性单位应当同时满足以下条件：</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（一）</w:t>
      </w:r>
      <w:r>
        <w:rPr>
          <w:rFonts w:ascii="宋体" w:eastAsia="宋体" w:hAnsi="宋体" w:cs="Times New Roman" w:hint="eastAsia"/>
          <w:b/>
          <w:szCs w:val="21"/>
          <w:highlight w:val="none"/>
        </w:rPr>
        <w:t>安置的残疾人占本单位在职职工人数的比例不低于25%（含25%），并且安置的残疾人人数不少于10人（含10人）</w:t>
      </w:r>
      <w:r>
        <w:rPr>
          <w:rFonts w:ascii="宋体" w:eastAsia="宋体" w:hAnsi="宋体" w:cs="Times New Roman" w:hint="eastAsia"/>
          <w:szCs w:val="21"/>
          <w:highlight w:val="none"/>
        </w:rPr>
        <w:t>；</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（二）依法与安置的每位残疾人签订了一年以上（含一年）的劳动合同或服务协议；</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（三）为安置的每位残疾人按月足额缴纳了基本养老保险、基本医疗保险、失业保险、工伤保险和生育保险等社会保险费；</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（四）通过银行等金融机构向安置的每位残疾人，按月支付了不低于单位所在区县适用的经省级人民政府批准的月最低工资标准的工资；</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五）提供本单位制造的货物、承担的工程或者服务（以下简称产品），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pPr>
        <w:widowControl/>
        <w:jc w:val="center"/>
        <w:outlineLvl w:val="4"/>
        <w:rPr>
          <w:rFonts w:ascii="Arial" w:eastAsia="宋体" w:hAnsi="Arial" w:cs="Times New Roman"/>
          <w:b/>
          <w:sz w:val="24"/>
          <w:szCs w:val="24"/>
        </w:rPr>
      </w:pPr>
      <w:r>
        <w:br w:type="page"/>
      </w:r>
      <w:r>
        <w:rPr>
          <w:rFonts w:ascii="宋体" w:eastAsia="宋体" w:hAnsi="宋体" w:cs="Times New Roman" w:hint="eastAsia"/>
          <w:b/>
          <w:sz w:val="24"/>
          <w:szCs w:val="24"/>
        </w:rPr>
        <w:t>③</w:t>
      </w:r>
      <w:r>
        <w:rPr>
          <w:rFonts w:ascii="Arial" w:eastAsia="宋体" w:hAnsi="Arial" w:cs="Times New Roman" w:hint="eastAsia"/>
          <w:b/>
          <w:sz w:val="24"/>
          <w:szCs w:val="24"/>
        </w:rPr>
        <w:t>监狱企业声明函（货物）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hint="eastAsia"/>
          <w:szCs w:val="21"/>
        </w:rPr>
        <w:t>本投标人郑重声明，根据《财政部司法部关于政府采购支持监狱企业发展有关问题的通知》（财库〔</w:t>
      </w:r>
      <w:r>
        <w:rPr>
          <w:rFonts w:ascii="Arial" w:eastAsia="宋体" w:hAnsi="Arial" w:cs="Times New Roman"/>
          <w:szCs w:val="21"/>
        </w:rPr>
        <w:t>2014</w:t>
      </w:r>
      <w:r>
        <w:rPr>
          <w:rFonts w:ascii="Arial" w:eastAsia="宋体" w:hAnsi="Arial" w:cs="Times New Roman" w:hint="eastAsia"/>
          <w:szCs w:val="21"/>
        </w:rPr>
        <w:t>〕</w:t>
      </w:r>
      <w:r>
        <w:rPr>
          <w:rFonts w:ascii="Arial" w:eastAsia="宋体" w:hAnsi="Arial" w:cs="Times New Roman"/>
          <w:szCs w:val="21"/>
        </w:rPr>
        <w:t>68</w:t>
      </w:r>
      <w:r>
        <w:rPr>
          <w:rFonts w:ascii="Arial" w:eastAsia="宋体" w:hAnsi="Arial" w:cs="Times New Roman" w:hint="eastAsia"/>
          <w:szCs w:val="21"/>
        </w:rPr>
        <w:t>号）的规定，本投标人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w:t>
      </w:r>
      <w:r>
        <w:rPr>
          <w:rFonts w:ascii="Arial" w:eastAsia="宋体" w:hAnsi="Arial" w:cs="Times New Roman" w:hint="eastAsia"/>
          <w:szCs w:val="21"/>
        </w:rPr>
        <w:t>监狱企业</w:t>
      </w:r>
      <w:r>
        <w:rPr>
          <w:rFonts w:ascii="Arial" w:eastAsia="宋体" w:hAnsi="Arial" w:cs="Times New Roman"/>
          <w:szCs w:val="21"/>
        </w:rPr>
        <w:t>制造。相关</w:t>
      </w:r>
      <w:r>
        <w:rPr>
          <w:rFonts w:ascii="Arial" w:eastAsia="宋体" w:hAnsi="Arial" w:cs="Times New Roman" w:hint="eastAsia"/>
          <w:szCs w:val="21"/>
        </w:rPr>
        <w:t>监狱企业</w:t>
      </w:r>
      <w:r>
        <w:rPr>
          <w:rFonts w:ascii="Arial" w:eastAsia="宋体" w:hAnsi="Arial" w:cs="Times New Roman"/>
          <w:szCs w:val="21"/>
        </w:rPr>
        <w:t>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对上述声明内容的真实性负责。如有虚假，将依法承担相应责任。</w:t>
      </w:r>
    </w:p>
    <w:p>
      <w:pPr>
        <w:spacing w:after="78" w:afterLines="25" w:line="300" w:lineRule="auto"/>
        <w:ind w:firstLine="420" w:firstLineChars="200"/>
        <w:rPr>
          <w:rFonts w:ascii="Arial" w:eastAsia="宋体" w:hAnsi="Arial" w:cs="Times New Roman"/>
          <w:b/>
          <w:color w:val="FF0000"/>
          <w:szCs w:val="21"/>
        </w:rPr>
      </w:pPr>
    </w:p>
    <w:p>
      <w:pPr>
        <w:spacing w:after="78" w:afterLines="25" w:line="300" w:lineRule="auto"/>
        <w:ind w:firstLine="420" w:firstLineChars="200"/>
        <w:rPr>
          <w:rFonts w:ascii="Arial" w:eastAsia="宋体" w:hAnsi="Arial" w:cs="Times New Roman"/>
          <w:b/>
          <w:color w:val="FF0000"/>
          <w:szCs w:val="21"/>
        </w:rPr>
      </w:pPr>
      <w:r>
        <w:rPr>
          <w:rFonts w:ascii="Arial" w:eastAsia="宋体" w:hAnsi="Arial" w:cs="Times New Roman" w:hint="eastAsia"/>
          <w:b/>
          <w:color w:val="FF0000"/>
          <w:szCs w:val="21"/>
        </w:rPr>
        <w:t>附：省级以上监狱管理局、戒毒管理局（含新疆生产建设兵团）出具的监狱企业证明文件。</w:t>
      </w:r>
    </w:p>
    <w:p>
      <w:pPr>
        <w:spacing w:after="78" w:afterLines="25" w:line="300" w:lineRule="auto"/>
        <w:ind w:firstLine="420" w:firstLineChars="200"/>
        <w:rPr>
          <w:rFonts w:ascii="Arial" w:eastAsia="宋体" w:hAnsi="Arial" w:cs="Times New Roman"/>
          <w:b/>
          <w:color w:val="FF0000"/>
          <w:szCs w:val="21"/>
        </w:rPr>
      </w:pPr>
    </w:p>
    <w:p>
      <w:pPr>
        <w:spacing w:after="78" w:afterLines="25" w:line="300" w:lineRule="auto"/>
        <w:ind w:firstLine="420" w:firstLineChars="200"/>
        <w:rPr>
          <w:rFonts w:ascii="Arial" w:eastAsia="宋体" w:hAnsi="Arial" w:cs="Times New Roman"/>
          <w:b/>
          <w:color w:val="FF0000"/>
          <w:szCs w:val="21"/>
        </w:rPr>
      </w:pP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 xml:space="preserve">投标人（投标单位）：     </w:t>
      </w: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 xml:space="preserve">日期：     </w:t>
      </w:r>
    </w:p>
    <w:p>
      <w:pPr>
        <w:widowControl/>
        <w:jc w:val="left"/>
        <w:rPr>
          <w:rFonts w:ascii="Arial" w:eastAsia="宋体" w:hAnsi="Arial" w:cs="Arial"/>
          <w:color w:val="000000"/>
          <w:szCs w:val="24"/>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5.经验情况表</w:t>
      </w:r>
    </w:p>
    <w:tbl>
      <w:tblPr>
        <w:tblStyle w:val="TableNormal"/>
        <w:tblW w:w="4905"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
      <w:tblGrid>
        <w:gridCol w:w="804"/>
        <w:gridCol w:w="1854"/>
        <w:gridCol w:w="2287"/>
        <w:gridCol w:w="1269"/>
        <w:gridCol w:w="1557"/>
        <w:gridCol w:w="1341"/>
      </w:tblGrid>
      <w:tr>
        <w:tblPrEx>
          <w:tblW w:w="4905"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Ex>
        <w:trPr>
          <w:jc w:val="center"/>
        </w:trPr>
        <w:tc>
          <w:tcPr>
            <w:tcW w:w="441"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序号</w:t>
            </w:r>
          </w:p>
        </w:tc>
        <w:tc>
          <w:tcPr>
            <w:tcW w:w="1017"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tc>
        <w:tc>
          <w:tcPr>
            <w:tcW w:w="1254" w:type="pct"/>
            <w:vAlign w:val="center"/>
          </w:tcPr>
          <w:p>
            <w:pPr>
              <w:snapToGrid w:val="0"/>
              <w:jc w:val="center"/>
              <w:rPr>
                <w:rFonts w:ascii="宋体" w:eastAsia="宋体" w:hAnsi="宋体" w:cs="Times New Roman"/>
                <w:b/>
                <w:sz w:val="24"/>
                <w:szCs w:val="24"/>
              </w:rPr>
            </w:pPr>
            <w:r>
              <w:rPr>
                <w:rFonts w:ascii="Arial" w:eastAsia="宋体" w:hAnsi="Arial" w:cs="Arial" w:hint="eastAsia"/>
                <w:b/>
                <w:sz w:val="24"/>
                <w:szCs w:val="24"/>
              </w:rPr>
              <w:t>项目</w:t>
            </w:r>
            <w:r>
              <w:rPr>
                <w:rFonts w:ascii="宋体" w:eastAsia="宋体" w:hAnsi="宋体" w:cs="Times New Roman" w:hint="eastAsia"/>
                <w:b/>
                <w:sz w:val="24"/>
                <w:szCs w:val="24"/>
              </w:rPr>
              <w:t>名称</w:t>
            </w:r>
          </w:p>
        </w:tc>
        <w:tc>
          <w:tcPr>
            <w:tcW w:w="696"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合同签订时间</w:t>
            </w:r>
          </w:p>
        </w:tc>
        <w:tc>
          <w:tcPr>
            <w:tcW w:w="854"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p>
            <w:pPr>
              <w:snapToGrid w:val="0"/>
              <w:jc w:val="center"/>
              <w:rPr>
                <w:rFonts w:ascii="宋体" w:eastAsia="宋体" w:hAnsi="宋体" w:cs="Times New Roman"/>
                <w:b/>
                <w:sz w:val="24"/>
                <w:szCs w:val="24"/>
              </w:rPr>
            </w:pPr>
            <w:r>
              <w:rPr>
                <w:rFonts w:ascii="宋体" w:eastAsia="宋体" w:hAnsi="宋体" w:cs="Times New Roman" w:hint="eastAsia"/>
                <w:b/>
                <w:sz w:val="24"/>
                <w:szCs w:val="24"/>
              </w:rPr>
              <w:t>联系人</w:t>
            </w:r>
          </w:p>
        </w:tc>
        <w:tc>
          <w:tcPr>
            <w:tcW w:w="735"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用户单位联系电话</w:t>
            </w:r>
          </w:p>
        </w:tc>
      </w:tr>
      <w:tr>
        <w:tblPrEx>
          <w:tblW w:w="4905"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4" w:type="pct"/>
          </w:tcPr>
          <w:p>
            <w:pPr>
              <w:spacing w:after="78" w:afterLines="25" w:line="300" w:lineRule="auto"/>
              <w:rPr>
                <w:rFonts w:ascii="宋体" w:eastAsia="宋体" w:hAnsi="宋体" w:cs="Arial"/>
                <w:sz w:val="24"/>
                <w:szCs w:val="24"/>
              </w:rPr>
            </w:pPr>
          </w:p>
        </w:tc>
        <w:tc>
          <w:tcPr>
            <w:tcW w:w="696" w:type="pct"/>
          </w:tcPr>
          <w:p>
            <w:pPr>
              <w:spacing w:after="78" w:afterLines="25" w:line="300" w:lineRule="auto"/>
              <w:rPr>
                <w:rFonts w:ascii="宋体" w:eastAsia="宋体" w:hAnsi="宋体" w:cs="Arial"/>
                <w:sz w:val="24"/>
                <w:szCs w:val="24"/>
              </w:rPr>
            </w:pPr>
          </w:p>
        </w:tc>
        <w:tc>
          <w:tcPr>
            <w:tcW w:w="854" w:type="pct"/>
          </w:tcPr>
          <w:p>
            <w:pPr>
              <w:spacing w:after="78" w:afterLines="25" w:line="300" w:lineRule="auto"/>
              <w:rPr>
                <w:rFonts w:ascii="宋体" w:eastAsia="宋体" w:hAnsi="宋体" w:cs="Arial"/>
                <w:sz w:val="24"/>
                <w:szCs w:val="24"/>
              </w:rPr>
            </w:pPr>
          </w:p>
        </w:tc>
        <w:tc>
          <w:tcPr>
            <w:tcW w:w="735" w:type="pct"/>
          </w:tcPr>
          <w:p>
            <w:pPr>
              <w:spacing w:after="78" w:afterLines="25" w:line="300" w:lineRule="auto"/>
              <w:rPr>
                <w:rFonts w:ascii="宋体" w:eastAsia="宋体" w:hAnsi="宋体" w:cs="Arial"/>
                <w:sz w:val="24"/>
                <w:szCs w:val="24"/>
              </w:rPr>
            </w:pPr>
          </w:p>
        </w:tc>
      </w:tr>
      <w:tr>
        <w:tblPrEx>
          <w:tblW w:w="4905"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4" w:type="pct"/>
          </w:tcPr>
          <w:p>
            <w:pPr>
              <w:spacing w:after="78" w:afterLines="25" w:line="300" w:lineRule="auto"/>
              <w:rPr>
                <w:rFonts w:ascii="宋体" w:eastAsia="宋体" w:hAnsi="宋体" w:cs="Arial"/>
                <w:sz w:val="24"/>
                <w:szCs w:val="24"/>
              </w:rPr>
            </w:pPr>
          </w:p>
        </w:tc>
        <w:tc>
          <w:tcPr>
            <w:tcW w:w="696" w:type="pct"/>
          </w:tcPr>
          <w:p>
            <w:pPr>
              <w:spacing w:after="78" w:afterLines="25" w:line="300" w:lineRule="auto"/>
              <w:rPr>
                <w:rFonts w:ascii="宋体" w:eastAsia="宋体" w:hAnsi="宋体" w:cs="Arial"/>
                <w:sz w:val="24"/>
                <w:szCs w:val="24"/>
              </w:rPr>
            </w:pPr>
          </w:p>
        </w:tc>
        <w:tc>
          <w:tcPr>
            <w:tcW w:w="854" w:type="pct"/>
          </w:tcPr>
          <w:p>
            <w:pPr>
              <w:spacing w:after="78" w:afterLines="25" w:line="300" w:lineRule="auto"/>
              <w:rPr>
                <w:rFonts w:ascii="宋体" w:eastAsia="宋体" w:hAnsi="宋体" w:cs="Arial"/>
                <w:sz w:val="24"/>
                <w:szCs w:val="24"/>
              </w:rPr>
            </w:pPr>
          </w:p>
        </w:tc>
        <w:tc>
          <w:tcPr>
            <w:tcW w:w="735" w:type="pct"/>
          </w:tcPr>
          <w:p>
            <w:pPr>
              <w:spacing w:after="78" w:afterLines="25" w:line="300" w:lineRule="auto"/>
              <w:rPr>
                <w:rFonts w:ascii="宋体" w:eastAsia="宋体" w:hAnsi="宋体" w:cs="Arial"/>
                <w:sz w:val="24"/>
                <w:szCs w:val="24"/>
              </w:rPr>
            </w:pPr>
          </w:p>
        </w:tc>
      </w:tr>
      <w:tr>
        <w:tblPrEx>
          <w:tblW w:w="4905"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4" w:type="pct"/>
          </w:tcPr>
          <w:p>
            <w:pPr>
              <w:spacing w:after="78" w:afterLines="25" w:line="300" w:lineRule="auto"/>
              <w:rPr>
                <w:rFonts w:ascii="宋体" w:eastAsia="宋体" w:hAnsi="宋体" w:cs="Arial"/>
                <w:sz w:val="24"/>
                <w:szCs w:val="24"/>
              </w:rPr>
            </w:pPr>
          </w:p>
        </w:tc>
        <w:tc>
          <w:tcPr>
            <w:tcW w:w="696" w:type="pct"/>
          </w:tcPr>
          <w:p>
            <w:pPr>
              <w:spacing w:after="78" w:afterLines="25" w:line="300" w:lineRule="auto"/>
              <w:rPr>
                <w:rFonts w:ascii="宋体" w:eastAsia="宋体" w:hAnsi="宋体" w:cs="Arial"/>
                <w:sz w:val="24"/>
                <w:szCs w:val="24"/>
              </w:rPr>
            </w:pPr>
          </w:p>
        </w:tc>
        <w:tc>
          <w:tcPr>
            <w:tcW w:w="854" w:type="pct"/>
          </w:tcPr>
          <w:p>
            <w:pPr>
              <w:spacing w:after="78" w:afterLines="25" w:line="300" w:lineRule="auto"/>
              <w:rPr>
                <w:rFonts w:ascii="宋体" w:eastAsia="宋体" w:hAnsi="宋体" w:cs="Arial"/>
                <w:sz w:val="24"/>
                <w:szCs w:val="24"/>
              </w:rPr>
            </w:pPr>
          </w:p>
        </w:tc>
        <w:tc>
          <w:tcPr>
            <w:tcW w:w="735" w:type="pct"/>
          </w:tcPr>
          <w:p>
            <w:pPr>
              <w:spacing w:after="78" w:afterLines="25" w:line="300" w:lineRule="auto"/>
              <w:rPr>
                <w:rFonts w:ascii="宋体" w:eastAsia="宋体" w:hAnsi="宋体" w:cs="Arial"/>
                <w:sz w:val="24"/>
                <w:szCs w:val="24"/>
              </w:rPr>
            </w:pPr>
          </w:p>
        </w:tc>
      </w:tr>
    </w:tbl>
    <w:p>
      <w:pPr>
        <w:spacing w:line="300" w:lineRule="auto"/>
        <w:rPr>
          <w:rFonts w:ascii="Arial" w:eastAsia="宋体" w:hAnsi="Arial" w:cs="Times New Roman"/>
          <w:szCs w:val="24"/>
        </w:rPr>
      </w:pPr>
      <w:r>
        <w:rPr>
          <w:rFonts w:ascii="Arial" w:eastAsia="宋体" w:hAnsi="Arial" w:cs="Times New Roman" w:hint="eastAsia"/>
          <w:sz w:val="24"/>
          <w:szCs w:val="24"/>
        </w:rPr>
        <w:t>此表格式可根据评分准则要求进行调整，并将要求提供的证明材料扫描件附后。</w:t>
      </w: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jc w:val="center"/>
        <w:rPr>
          <w:rFonts w:ascii="Arial" w:eastAsia="宋体" w:hAnsi="Arial" w:cs="Times New Roman" w:hint="eastAsia"/>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jc w:val="center"/>
        <w:rPr>
          <w:rFonts w:ascii="Arial" w:eastAsia="宋体" w:hAnsi="Arial" w:cs="Times New Roman" w:hint="eastAsia"/>
          <w:b/>
          <w:sz w:val="24"/>
          <w:szCs w:val="24"/>
        </w:rPr>
      </w:pPr>
    </w:p>
    <w:p>
      <w:pPr>
        <w:ind w:firstLine="630" w:firstLineChars="300"/>
        <w:jc w:val="center"/>
        <w:rPr>
          <w:b/>
          <w:color w:val="FF0000"/>
          <w:sz w:val="24"/>
        </w:rPr>
      </w:pPr>
      <w:r>
        <w:rPr>
          <w:rFonts w:hint="eastAsia"/>
          <w:b/>
          <w:color w:val="FF0000"/>
          <w:sz w:val="24"/>
        </w:rPr>
        <w:t>（信息公开部分的内容到此为止！以下为信息不公开部分。）</w:t>
      </w:r>
    </w:p>
    <w:p>
      <w:pPr>
        <w:widowControl/>
        <w:jc w:val="left"/>
        <w:rPr>
          <w:rFonts w:ascii="Arial" w:eastAsia="宋体" w:hAnsi="Arial" w:cs="Times New Roman"/>
          <w:szCs w:val="24"/>
        </w:rPr>
      </w:pPr>
      <w:r>
        <w:br w:type="page"/>
      </w:r>
    </w:p>
    <w:p>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pPr>
        <w:spacing w:after="78" w:afterLines="25" w:line="300" w:lineRule="auto"/>
        <w:rPr>
          <w:rFonts w:ascii="Arial" w:eastAsia="宋体" w:hAnsi="Arial" w:cs="Times New Roman"/>
          <w:szCs w:val="24"/>
        </w:rPr>
      </w:pPr>
    </w:p>
    <w:p>
      <w:pPr>
        <w:spacing w:line="300" w:lineRule="auto"/>
        <w:ind w:left="140"/>
        <w:jc w:val="center"/>
        <w:rPr>
          <w:rFonts w:ascii="Arial" w:eastAsia="宋体" w:hAnsi="Arial" w:cs="Arial"/>
          <w:b/>
          <w:sz w:val="30"/>
          <w:szCs w:val="30"/>
        </w:rPr>
      </w:pPr>
    </w:p>
    <w:p>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pPr>
        <w:spacing w:line="300" w:lineRule="auto"/>
        <w:ind w:left="140"/>
        <w:jc w:val="center"/>
        <w:rPr>
          <w:rFonts w:ascii="Arial" w:eastAsia="宋体" w:hAnsi="Arial" w:cs="Arial"/>
          <w:b/>
          <w:sz w:val="24"/>
          <w:szCs w:val="24"/>
        </w:rPr>
      </w:pPr>
    </w:p>
    <w:p>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w:t>
      </w:r>
      <w:r>
        <w:rPr>
          <w:rFonts w:asciiTheme="minorEastAsia" w:hAnsiTheme="minorEastAsia" w:hint="eastAsia"/>
          <w:szCs w:val="21"/>
          <w:u w:val="single"/>
        </w:rPr>
        <w:t xml:space="preserve">       </w:t>
      </w:r>
      <w:r>
        <w:rPr>
          <w:rFonts w:asciiTheme="minorEastAsia" w:hAnsiTheme="minorEastAsia" w:hint="eastAsia"/>
          <w:szCs w:val="21"/>
        </w:rPr>
        <w:t>职务，为我单位法定代表人（负责人）。</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r>
        <w:rPr>
          <w:rFonts w:asciiTheme="minorEastAsia" w:hAnsiTheme="minorEastAsia" w:hint="eastAsia"/>
          <w:szCs w:val="21"/>
          <w:u w:val="single"/>
        </w:rPr>
        <w:t xml:space="preserve">              </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r>
        <w:rPr>
          <w:rFonts w:asciiTheme="minorEastAsia" w:hAnsiTheme="minorEastAsia" w:hint="eastAsia"/>
          <w:szCs w:val="21"/>
          <w:u w:val="single"/>
        </w:rPr>
        <w:t xml:space="preserve">             </w:t>
      </w:r>
    </w:p>
    <w:p>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pPr>
        <w:spacing w:line="300" w:lineRule="auto"/>
        <w:rPr>
          <w:rFonts w:ascii="Arial" w:eastAsia="宋体" w:hAnsi="Arial" w:cs="Times New Roman"/>
          <w:szCs w:val="21"/>
        </w:rPr>
      </w:pPr>
    </w:p>
    <w:p>
      <w:pPr>
        <w:spacing w:line="300" w:lineRule="auto"/>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00" w:lineRule="auto"/>
        <w:rPr>
          <w:rFonts w:ascii="Arial" w:eastAsia="宋体" w:hAnsi="Arial" w:cs="Times New Roman"/>
          <w:szCs w:val="21"/>
        </w:rPr>
      </w:pPr>
      <w:r>
        <w:rPr>
          <w:rFonts w:ascii="Arial" w:eastAsia="宋体" w:hAnsi="Arial" w:cs="Times New Roman" w:hint="eastAsia"/>
          <w:szCs w:val="21"/>
        </w:rPr>
        <w:t>日</w:t>
      </w:r>
      <w:r>
        <w:rPr>
          <w:rFonts w:ascii="Arial" w:eastAsia="宋体" w:hAnsi="Arial" w:cs="Times New Roman"/>
          <w:szCs w:val="21"/>
        </w:rPr>
        <w:t xml:space="preserve">  </w:t>
      </w:r>
      <w:r>
        <w:rPr>
          <w:rFonts w:ascii="Arial" w:eastAsia="宋体" w:hAnsi="Arial" w:cs="Times New Roman" w:hint="eastAsia"/>
          <w:szCs w:val="21"/>
        </w:rPr>
        <w:t>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rPr>
          <w:rFonts w:ascii="Arial" w:eastAsia="宋体" w:hAnsi="Arial" w:cs="Times New Roman"/>
          <w:szCs w:val="24"/>
        </w:rPr>
      </w:pPr>
    </w:p>
    <w:p>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pPr>
        <w:spacing w:line="500" w:lineRule="exact"/>
        <w:rPr>
          <w:rFonts w:ascii="宋体" w:eastAsia="宋体" w:hAnsi="宋体" w:cs="Times New Roman"/>
          <w:b/>
          <w:color w:val="FF0000"/>
          <w:sz w:val="32"/>
          <w:szCs w:val="32"/>
        </w:rPr>
      </w:pP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pPr>
        <w:spacing w:line="500" w:lineRule="exact"/>
        <w:ind w:firstLine="420" w:firstLineChars="200"/>
        <w:rPr>
          <w:rFonts w:ascii="Arial" w:eastAsia="宋体" w:hAnsi="Arial" w:cs="Times New Roman"/>
          <w:szCs w:val="24"/>
        </w:rPr>
      </w:pP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pPr>
        <w:spacing w:line="300" w:lineRule="auto"/>
        <w:jc w:val="center"/>
        <w:rPr>
          <w:rFonts w:ascii="Arial" w:eastAsia="宋体" w:hAnsi="Arial" w:cs="Times New Roman"/>
          <w:b/>
          <w:sz w:val="28"/>
          <w:szCs w:val="28"/>
        </w:rPr>
      </w:pP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系</w:t>
      </w:r>
      <w:r>
        <w:rPr>
          <w:rFonts w:ascii="Arial" w:eastAsia="宋体" w:hAnsi="Arial" w:cs="Times New Roman"/>
          <w:szCs w:val="21"/>
          <w:u w:val="single"/>
        </w:rPr>
        <w:t xml:space="preserve">  </w:t>
      </w:r>
      <w:r>
        <w:rPr>
          <w:rFonts w:ascii="Arial" w:eastAsia="宋体" w:hAnsi="Arial" w:cs="Times New Roman" w:hint="eastAsia"/>
          <w:szCs w:val="21"/>
          <w:u w:val="single"/>
        </w:rPr>
        <w:t>（投标人名称）</w:t>
      </w:r>
      <w:r>
        <w:rPr>
          <w:rFonts w:ascii="Arial" w:eastAsia="宋体" w:hAnsi="Arial" w:cs="Times New Roman"/>
          <w:szCs w:val="21"/>
          <w:u w:val="single"/>
        </w:rPr>
        <w:t xml:space="preserve">   </w:t>
      </w:r>
      <w:r>
        <w:rPr>
          <w:rFonts w:ascii="Arial" w:eastAsia="宋体" w:hAnsi="Arial" w:cs="Times New Roman" w:hint="eastAsia"/>
          <w:szCs w:val="21"/>
        </w:rPr>
        <w:t>的法定代表人（负责人），现授权委托</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pPr>
        <w:spacing w:line="300" w:lineRule="auto"/>
        <w:rPr>
          <w:rFonts w:ascii="Arial" w:eastAsia="宋体" w:hAnsi="Arial" w:cs="Times New Roman"/>
          <w:szCs w:val="21"/>
        </w:rPr>
      </w:pP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性别：</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w:t>
      </w:r>
      <w:r>
        <w:rPr>
          <w:rFonts w:ascii="Arial" w:eastAsia="宋体" w:hAnsi="Arial" w:cs="Times New Roman"/>
          <w:szCs w:val="21"/>
          <w:u w:val="single"/>
        </w:rPr>
        <w:t xml:space="preserve">              </w:t>
      </w:r>
      <w:r>
        <w:rPr>
          <w:rFonts w:ascii="Arial" w:eastAsia="宋体" w:hAnsi="Arial" w:cs="Times New Roman" w:hint="eastAsia"/>
          <w:szCs w:val="21"/>
        </w:rPr>
        <w:t>手机：</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w:t>
      </w:r>
      <w:r>
        <w:rPr>
          <w:rFonts w:ascii="Arial" w:eastAsia="宋体" w:hAnsi="Arial" w:cs="Times New Roman"/>
          <w:szCs w:val="21"/>
          <w:u w:val="single"/>
        </w:rPr>
        <w:t xml:space="preserve">                       </w:t>
      </w:r>
      <w:r>
        <w:rPr>
          <w:rFonts w:ascii="Arial" w:eastAsia="宋体" w:hAnsi="Arial" w:cs="Times New Roman" w:hint="eastAsia"/>
          <w:szCs w:val="21"/>
        </w:rPr>
        <w:t>职务：</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rPr>
        <w:t xml:space="preserve"> </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ind w:firstLine="420" w:firstLineChars="200"/>
        <w:rPr>
          <w:rFonts w:ascii="Arial" w:eastAsia="宋体" w:hAnsi="Arial" w:cs="Times New Roman"/>
          <w:szCs w:val="24"/>
        </w:rPr>
      </w:pPr>
    </w:p>
    <w:p>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pPr>
        <w:spacing w:after="78" w:afterLines="25" w:line="300" w:lineRule="auto"/>
        <w:rPr>
          <w:rFonts w:ascii="宋体" w:eastAsia="宋体" w:hAnsi="宋体" w:cs="Times New Roman"/>
          <w:b/>
          <w:color w:val="FF0000"/>
          <w:sz w:val="32"/>
          <w:szCs w:val="32"/>
        </w:rPr>
      </w:pPr>
    </w:p>
    <w:p>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pPr>
        <w:tabs>
          <w:tab w:val="left" w:pos="651"/>
        </w:tabs>
        <w:snapToGrid w:val="0"/>
        <w:ind w:firstLine="420" w:firstLineChars="20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3</w:t>
      </w:r>
      <w:r>
        <w:rPr>
          <w:rFonts w:ascii="宋体" w:eastAsia="宋体" w:hAnsi="宋体" w:cs="Times New Roman"/>
          <w:b/>
          <w:bCs/>
          <w:kern w:val="0"/>
          <w:sz w:val="30"/>
          <w:szCs w:val="30"/>
        </w:rPr>
        <w:t>.</w:t>
      </w:r>
      <w:r>
        <w:rPr>
          <w:rFonts w:ascii="宋体" w:eastAsia="宋体" w:hAnsi="宋体" w:cs="Times New Roman" w:hint="eastAsia"/>
          <w:b/>
          <w:bCs/>
          <w:kern w:val="0"/>
          <w:sz w:val="30"/>
          <w:szCs w:val="30"/>
        </w:rPr>
        <w:t>商务（服务）条款偏离表</w:t>
      </w:r>
    </w:p>
    <w:p>
      <w:pPr>
        <w:snapToGrid w:val="0"/>
        <w:rPr>
          <w:rFonts w:ascii="Arial" w:eastAsia="宋体" w:hAnsi="Arial" w:cs="Arial" w:hint="eastAsia"/>
          <w:color w:val="000000"/>
          <w:sz w:val="24"/>
          <w:szCs w:val="24"/>
        </w:rPr>
      </w:pPr>
    </w:p>
    <w:p>
      <w:pPr>
        <w:snapToGrid w:val="0"/>
        <w:rPr>
          <w:rFonts w:ascii="Arial" w:eastAsia="宋体" w:hAnsi="Arial" w:cs="Arial"/>
          <w:sz w:val="24"/>
          <w:szCs w:val="24"/>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b/>
          <w:sz w:val="24"/>
          <w:szCs w:val="24"/>
        </w:rPr>
      </w:pPr>
    </w:p>
    <w:tbl>
      <w:tblPr>
        <w:tblStyle w:val="TableNormal"/>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rPr>
          <w:jc w:val="center"/>
        </w:trPr>
        <w:tc>
          <w:tcPr>
            <w:tcW w:w="602" w:type="dxa"/>
            <w:vAlign w:val="center"/>
          </w:tcPr>
          <w:p>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pPr>
              <w:jc w:val="center"/>
              <w:rPr>
                <w:rFonts w:ascii="宋体" w:eastAsia="宋体" w:hAnsi="宋体" w:cs="Arial"/>
                <w:b/>
                <w:szCs w:val="21"/>
              </w:rPr>
            </w:pPr>
            <w:r>
              <w:rPr>
                <w:rFonts w:ascii="宋体" w:eastAsia="宋体" w:hAnsi="宋体" w:cs="Arial" w:hint="eastAsia"/>
                <w:b/>
                <w:szCs w:val="21"/>
              </w:rPr>
              <w:t>说明</w:t>
            </w:r>
          </w:p>
        </w:tc>
      </w:tr>
      <w:tr>
        <w:tblPrEx>
          <w:tblW w:w="9403" w:type="dxa"/>
          <w:jc w:val="center"/>
          <w:tblLayout w:type="fixed"/>
          <w:tblCellMar>
            <w:top w:w="0" w:type="dxa"/>
            <w:left w:w="108" w:type="dxa"/>
            <w:bottom w:w="0" w:type="dxa"/>
            <w:right w:w="108" w:type="dxa"/>
          </w:tblCellMar>
        </w:tblPrEx>
        <w:trPr>
          <w:trHeight w:val="1161"/>
          <w:jc w:val="center"/>
        </w:trPr>
        <w:tc>
          <w:tcPr>
            <w:tcW w:w="602" w:type="dxa"/>
            <w:vAlign w:val="center"/>
          </w:tcPr>
          <w:p>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pPr>
              <w:rPr>
                <w:rFonts w:ascii="宋体" w:eastAsia="宋体" w:hAnsi="宋体" w:cs="Arial"/>
                <w:szCs w:val="21"/>
              </w:rPr>
            </w:pPr>
            <w:r>
              <w:rPr>
                <w:rFonts w:ascii="宋体" w:eastAsia="宋体" w:hAnsi="宋体" w:cs="Arial" w:hint="eastAsia"/>
                <w:szCs w:val="21"/>
              </w:rPr>
              <w:t>我公司完全响应满足招标文件中此项要求。</w:t>
            </w:r>
          </w:p>
        </w:tc>
        <w:tc>
          <w:tcPr>
            <w:tcW w:w="1732" w:type="dxa"/>
          </w:tcPr>
          <w:p>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pPr>
              <w:jc w:val="center"/>
              <w:rPr>
                <w:rFonts w:ascii="宋体" w:eastAsia="宋体" w:hAnsi="宋体" w:cs="Arial"/>
                <w:szCs w:val="21"/>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pPr>
        <w:numPr>
          <w:ilvl w:val="0"/>
          <w:numId w:val="8"/>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pPr>
        <w:widowControl/>
        <w:jc w:val="left"/>
        <w:rPr>
          <w:rFonts w:ascii="宋体" w:eastAsia="宋体" w:hAnsi="宋体" w:cs="Times New Roman"/>
          <w:color w:val="FF0000"/>
          <w:sz w:val="32"/>
          <w:szCs w:val="32"/>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30"/>
          <w:szCs w:val="30"/>
        </w:rPr>
      </w:pPr>
      <w:r>
        <w:rPr>
          <w:rFonts w:ascii="宋体" w:eastAsia="宋体" w:hAnsi="宋体" w:cs="Times New Roman" w:hint="eastAsia"/>
          <w:b/>
          <w:bCs/>
          <w:kern w:val="0"/>
          <w:sz w:val="30"/>
          <w:szCs w:val="30"/>
        </w:rPr>
        <w:t>4.技术</w:t>
      </w:r>
      <w:r>
        <w:rPr>
          <w:rFonts w:ascii="宋体" w:eastAsia="宋体" w:hAnsi="宋体" w:cs="Times New Roman" w:hint="eastAsia"/>
          <w:b/>
          <w:bCs/>
          <w:kern w:val="0"/>
          <w:sz w:val="30"/>
          <w:szCs w:val="30"/>
          <w:lang w:val="en-US" w:eastAsia="zh-CN"/>
        </w:rPr>
        <w:t>要求</w:t>
      </w:r>
      <w:r>
        <w:rPr>
          <w:rFonts w:ascii="宋体" w:eastAsia="宋体" w:hAnsi="宋体" w:cs="Times New Roman" w:hint="eastAsia"/>
          <w:b/>
          <w:bCs/>
          <w:kern w:val="0"/>
          <w:sz w:val="30"/>
          <w:szCs w:val="30"/>
        </w:rPr>
        <w:t>偏离表</w:t>
      </w:r>
    </w:p>
    <w:p>
      <w:pPr>
        <w:snapToGrid w:val="0"/>
        <w:rPr>
          <w:rFonts w:ascii="Arial" w:eastAsia="宋体" w:hAnsi="Arial" w:cs="Arial" w:hint="eastAsia"/>
          <w:color w:val="000000"/>
          <w:sz w:val="24"/>
          <w:szCs w:val="24"/>
        </w:rPr>
      </w:pPr>
    </w:p>
    <w:p>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sz w:val="24"/>
          <w:szCs w:val="24"/>
        </w:rPr>
      </w:pPr>
    </w:p>
    <w:tbl>
      <w:tblPr>
        <w:tblStyle w:val="TableNormal"/>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b/>
                <w:sz w:val="24"/>
                <w:szCs w:val="24"/>
              </w:rPr>
              <w:t>序号</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投标技术响应</w:t>
            </w: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偏离</w:t>
            </w:r>
          </w:p>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情况</w:t>
            </w:r>
          </w:p>
        </w:tc>
        <w:tc>
          <w:tcPr>
            <w:tcW w:w="104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说明</w:t>
            </w:r>
          </w:p>
        </w:tc>
      </w:tr>
      <w:tr>
        <w:tblPrEx>
          <w:tblW w:w="9168" w:type="dxa"/>
          <w:jc w:val="center"/>
          <w:tblLayout w:type="fixed"/>
          <w:tblCellMar>
            <w:top w:w="0" w:type="dxa"/>
            <w:left w:w="108" w:type="dxa"/>
            <w:bottom w:w="0" w:type="dxa"/>
            <w:right w:w="108" w:type="dxa"/>
          </w:tblCellMar>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1</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val="en-US" w:eastAsia="zh-CN"/>
              </w:rPr>
            </w:pPr>
            <w:r>
              <w:rPr>
                <w:rFonts w:asciiTheme="minorEastAsia" w:hAnsiTheme="minorEastAsia" w:cs="Times New Roman" w:hint="eastAsia"/>
                <w:sz w:val="24"/>
                <w:szCs w:val="24"/>
                <w:lang w:val="en-US" w:eastAsia="zh-CN"/>
              </w:rPr>
              <w:t>2</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eastAsia="zh-CN"/>
              </w:rPr>
            </w:pPr>
            <w:r>
              <w:rPr>
                <w:rFonts w:asciiTheme="minorEastAsia" w:hAnsiTheme="minorEastAsia" w:cs="Times New Roman" w:hint="eastAsia"/>
                <w:sz w:val="24"/>
                <w:szCs w:val="24"/>
                <w:lang w:eastAsia="zh-CN"/>
              </w:rPr>
              <w:t>……</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hint="eastAsia"/>
          <w:b/>
          <w:sz w:val="24"/>
          <w:szCs w:val="24"/>
        </w:rPr>
      </w:pPr>
      <w:r>
        <w:rPr>
          <w:rFonts w:asciiTheme="minorEastAsia" w:hAnsiTheme="minorEastAsia" w:cs="Times New Roman" w:hint="eastAsia"/>
          <w:b/>
          <w:sz w:val="24"/>
          <w:szCs w:val="24"/>
        </w:rPr>
        <w:t>填写说明：</w:t>
      </w:r>
    </w:p>
    <w:p>
      <w:pPr>
        <w:ind w:firstLine="420" w:firstLineChars="200"/>
        <w:rPr>
          <w:b/>
          <w:sz w:val="24"/>
        </w:rPr>
      </w:pPr>
      <w:r>
        <w:rPr>
          <w:rFonts w:hint="eastAsia"/>
          <w:b/>
          <w:sz w:val="24"/>
        </w:rPr>
        <w:t>1、技术要求偏离表的序号、货物名称、招标技术要求等栏目</w:t>
      </w:r>
      <w:bookmarkStart w:id="28" w:name="_Hlk72094407"/>
      <w:r>
        <w:rPr>
          <w:rFonts w:hint="eastAsia"/>
          <w:b/>
          <w:sz w:val="24"/>
        </w:rPr>
        <w:t>对应“用户需求书”中的“技术要求</w:t>
      </w:r>
      <w:r>
        <w:rPr>
          <w:rFonts w:hint="eastAsia"/>
          <w:b/>
          <w:sz w:val="24"/>
          <w:lang w:val="en-US" w:eastAsia="zh-CN"/>
        </w:rPr>
        <w:t>部分</w:t>
      </w:r>
      <w:r>
        <w:rPr>
          <w:rFonts w:hint="eastAsia"/>
          <w:b/>
          <w:sz w:val="24"/>
        </w:rPr>
        <w:t>”章节</w:t>
      </w:r>
      <w:bookmarkEnd w:id="28"/>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pPr>
        <w:ind w:firstLine="420" w:firstLineChars="200"/>
        <w:rPr>
          <w:b/>
          <w:sz w:val="24"/>
        </w:rPr>
      </w:pPr>
      <w:r>
        <w:rPr>
          <w:b/>
          <w:sz w:val="24"/>
        </w:rPr>
        <w:t>4</w:t>
      </w:r>
      <w:r>
        <w:rPr>
          <w:rFonts w:hint="eastAsia"/>
          <w:b/>
          <w:sz w:val="24"/>
        </w:rPr>
        <w:t>、未要求提供证明资料的招标技术要求，可以不提供证明资料（如实响应即可）。</w:t>
      </w:r>
    </w:p>
    <w:p>
      <w:pPr>
        <w:ind w:firstLine="420" w:firstLineChars="200"/>
        <w:rPr>
          <w:b/>
          <w:sz w:val="24"/>
        </w:rPr>
      </w:pPr>
      <w:r>
        <w:rPr>
          <w:rFonts w:hint="eastAsia"/>
          <w:b/>
          <w:sz w:val="24"/>
        </w:rPr>
        <w:t>5、</w:t>
      </w:r>
      <w:bookmarkStart w:id="29" w:name="_Hlk72096106"/>
      <w:r>
        <w:rPr>
          <w:rFonts w:hint="eastAsia"/>
          <w:b/>
          <w:sz w:val="24"/>
        </w:rPr>
        <w:t>证明资料条款响应要求</w:t>
      </w:r>
      <w:bookmarkEnd w:id="29"/>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
          <w:sz w:val="24"/>
          <w:lang w:eastAsia="zh-CN"/>
        </w:rPr>
        <w:t>，</w:t>
      </w:r>
      <w:r>
        <w:rPr>
          <w:rFonts w:hint="eastAsia"/>
          <w:b/>
          <w:sz w:val="24"/>
        </w:rPr>
        <w:t>以便评审；</w:t>
      </w:r>
      <w:bookmarkStart w:id="30"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1" w:name="_Hlk73558164"/>
      <w:r>
        <w:rPr>
          <w:rFonts w:hint="eastAsia"/>
          <w:b/>
          <w:sz w:val="24"/>
        </w:rPr>
        <w:t>且投标人在“偏离情况”一栏响应为“正偏离”或“无偏离”的，经评审委员会认定，将判定为负偏离。</w:t>
      </w:r>
      <w:bookmarkEnd w:id="30"/>
      <w:bookmarkEnd w:id="31"/>
    </w:p>
    <w:p>
      <w:pPr>
        <w:ind w:firstLine="420" w:firstLineChars="200"/>
        <w:rPr>
          <w:rFonts w:hint="eastAsia"/>
          <w:b/>
          <w:sz w:val="24"/>
        </w:rPr>
      </w:pPr>
      <w:r>
        <w:rPr>
          <w:rFonts w:hint="eastAsia"/>
          <w:b/>
          <w:sz w:val="24"/>
          <w:lang w:val="en-US" w:eastAsia="zh-CN"/>
        </w:rPr>
        <w:t>6、</w:t>
      </w:r>
      <w:r>
        <w:rPr>
          <w:rFonts w:hint="eastAsia"/>
          <w:b/>
          <w:sz w:val="24"/>
        </w:rPr>
        <w:t>评审委员会有权对投标人是否存在虚假响应予以认定，并视情况经</w:t>
      </w:r>
      <w:r>
        <w:rPr>
          <w:rFonts w:hint="eastAsia"/>
          <w:b/>
          <w:sz w:val="24"/>
          <w:lang w:val="en-US" w:eastAsia="zh-CN"/>
        </w:rPr>
        <w:t>招标</w:t>
      </w:r>
      <w:r>
        <w:rPr>
          <w:rFonts w:hint="eastAsia"/>
          <w:b/>
          <w:sz w:val="24"/>
        </w:rPr>
        <w:t>机构报主管部门进行处理；</w:t>
      </w:r>
    </w:p>
    <w:p>
      <w:pPr>
        <w:ind w:firstLine="420" w:firstLineChars="200"/>
        <w:rPr>
          <w:rFonts w:hint="eastAsia"/>
          <w:b/>
          <w:sz w:val="24"/>
        </w:rPr>
      </w:pPr>
      <w:r>
        <w:rPr>
          <w:rFonts w:hint="eastAsia"/>
          <w:b/>
          <w:sz w:val="24"/>
          <w:lang w:val="en-US" w:eastAsia="zh-CN"/>
        </w:rPr>
        <w:t>7、</w:t>
      </w:r>
      <w:r>
        <w:rPr>
          <w:rFonts w:hint="eastAsia"/>
          <w:b/>
          <w:sz w:val="24"/>
        </w:rPr>
        <w:t>除招标文件另有注明外，投标文件其它位置如出现与本表中投标参数不一致的信息，均以本表信息为准。</w:t>
      </w:r>
    </w:p>
    <w:p>
      <w:pPr>
        <w:keepNext w:val="0"/>
        <w:keepLines w:val="0"/>
        <w:pageBreakBefore w:val="0"/>
        <w:widowControl/>
        <w:kinsoku/>
        <w:wordWrap/>
        <w:overflowPunct/>
        <w:topLinePunct w:val="0"/>
        <w:autoSpaceDE/>
        <w:autoSpaceDN/>
        <w:bidi w:val="0"/>
        <w:adjustRightInd/>
        <w:snapToGrid/>
        <w:jc w:val="center"/>
        <w:textAlignment w:val="auto"/>
        <w:outlineLvl w:val="3"/>
        <w:rPr>
          <w:rFonts w:ascii="黑体" w:eastAsia="黑体" w:hAnsi="宋体"/>
          <w:kern w:val="0"/>
          <w:sz w:val="24"/>
          <w:szCs w:val="20"/>
        </w:rPr>
      </w:pPr>
      <w:r>
        <w:br w:type="page"/>
      </w:r>
      <w:r>
        <w:rPr>
          <w:rFonts w:ascii="宋体" w:eastAsia="宋体" w:hAnsi="宋体" w:cs="Times New Roman" w:hint="eastAsia"/>
          <w:b/>
          <w:bCs/>
          <w:kern w:val="0"/>
          <w:sz w:val="30"/>
          <w:szCs w:val="30"/>
          <w:lang w:val="en-US" w:eastAsia="zh-CN"/>
        </w:rPr>
        <w:t>5.</w:t>
      </w:r>
      <w:r>
        <w:rPr>
          <w:rFonts w:ascii="宋体" w:eastAsia="宋体" w:hAnsi="宋体" w:cs="Times New Roman" w:hint="eastAsia"/>
          <w:b/>
          <w:bCs/>
          <w:kern w:val="0"/>
          <w:sz w:val="30"/>
          <w:szCs w:val="30"/>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rPr>
          <w:highlight w:val="none"/>
        </w:rPr>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w:t>
      </w:r>
      <w:r>
        <w:rPr>
          <w:rFonts w:hint="eastAsia"/>
          <w:highlight w:val="none"/>
        </w:rPr>
        <w:t>购金额千分之二十以上千分之三十以下罚款，并由市场监管部门依法吊销营业执照。</w:t>
      </w:r>
    </w:p>
    <w:p>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负责人/投标授权代表签名：</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知悉人（公章）：</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 xml:space="preserve">     日期：</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highlight w:val="none"/>
        </w:rPr>
      </w:pPr>
      <w:r>
        <w:rPr>
          <w:rFonts w:ascii="宋体" w:hAnsi="宋体" w:eastAsiaTheme="minorEastAsia" w:hint="eastAsia"/>
          <w:spacing w:val="-4"/>
          <w:kern w:val="0"/>
          <w:szCs w:val="21"/>
          <w:highlight w:val="none"/>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1.</w:t>
      </w:r>
      <w:r>
        <w:rPr>
          <w:rFonts w:hint="eastAsia"/>
          <w:highlight w:val="none"/>
        </w:rPr>
        <w:t xml:space="preserve"> </w:t>
      </w:r>
      <w:r>
        <w:rPr>
          <w:rFonts w:ascii="宋体" w:hAnsi="宋体" w:eastAsiaTheme="minorEastAsia" w:hint="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highlight w:val="none"/>
        </w:rPr>
        <w:t>2.投标供应商负责人或投标授权代表签字</w:t>
      </w:r>
      <w:r>
        <w:rPr>
          <w:rFonts w:ascii="宋体" w:hAnsi="宋体" w:eastAsiaTheme="minorEastAsia" w:hint="eastAsia"/>
          <w:b/>
          <w:bCs/>
          <w:color w:val="FF0000"/>
          <w:spacing w:val="-4"/>
          <w:kern w:val="0"/>
          <w:szCs w:val="21"/>
          <w:highlight w:val="none"/>
          <w:u w:val="single"/>
        </w:rPr>
        <w:t>并加盖单位公章</w:t>
      </w:r>
      <w:r>
        <w:rPr>
          <w:rFonts w:ascii="宋体" w:hAnsi="宋体" w:eastAsiaTheme="minorEastAsia" w:hint="eastAsia"/>
          <w:b/>
          <w:bCs/>
          <w:color w:val="FF0000"/>
          <w:spacing w:val="-4"/>
          <w:kern w:val="0"/>
          <w:szCs w:val="21"/>
          <w:highlight w:val="none"/>
        </w:rPr>
        <w:t>后，扫</w:t>
      </w:r>
      <w:r>
        <w:rPr>
          <w:rFonts w:ascii="宋体" w:hAnsi="宋体" w:eastAsiaTheme="minorEastAsia" w:hint="eastAsia"/>
          <w:b/>
          <w:bCs/>
          <w:color w:val="FF0000"/>
          <w:spacing w:val="-4"/>
          <w:kern w:val="0"/>
          <w:szCs w:val="21"/>
        </w:rPr>
        <w:t>描上传至投标文件一并提交。</w:t>
      </w: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jc w:val="center"/>
        <w:rPr>
          <w:rFonts w:ascii="Arial" w:eastAsia="宋体" w:hAnsi="Arial" w:cs="Times New Roman" w:hint="eastAsia"/>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pPr>
        <w:widowControl/>
        <w:jc w:val="center"/>
        <w:rPr>
          <w:rFonts w:ascii="宋体" w:eastAsia="黑体" w:hAnsi="宋体" w:cs="Times New Roman"/>
          <w:bCs/>
          <w:kern w:val="44"/>
          <w:sz w:val="28"/>
          <w:szCs w:val="44"/>
        </w:rPr>
      </w:pPr>
      <w:bookmarkStart w:id="32" w:name="_Hlk72574405"/>
      <w:r>
        <w:rPr>
          <w:rFonts w:hint="eastAsia"/>
          <w:b/>
          <w:sz w:val="24"/>
        </w:rPr>
        <w:t>（仅供参考，具体以项目需求及采购结果为准）</w:t>
      </w:r>
      <w:bookmarkEnd w:id="32"/>
    </w:p>
    <w:p>
      <w:pPr>
        <w:snapToGrid w:val="0"/>
        <w:spacing w:line="300" w:lineRule="auto"/>
        <w:jc w:val="center"/>
        <w:rPr>
          <w:rFonts w:ascii="仿宋" w:eastAsia="仿宋" w:hAnsi="仿宋" w:cs="Times New Roman"/>
          <w:sz w:val="28"/>
          <w:szCs w:val="28"/>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b/>
          <w:bCs/>
        </w:rPr>
      </w:pPr>
      <w:r>
        <w:rPr>
          <w:rFonts w:ascii="宋体" w:hAnsi="宋体" w:hint="eastAsia"/>
          <w:b/>
          <w:bCs/>
        </w:rPr>
        <w:t>甲方：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rPr>
      </w:pPr>
      <w:r>
        <w:rPr>
          <w:rFonts w:ascii="宋体" w:hAnsi="宋体" w:hint="eastAsia"/>
        </w:rPr>
        <w:t>地址：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rPr>
      </w:pPr>
      <w:r>
        <w:rPr>
          <w:rFonts w:ascii="宋体" w:hAnsi="宋体" w:hint="eastAsia"/>
        </w:rPr>
        <w:t>联系人：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b/>
          <w:bCs/>
        </w:rPr>
      </w:pPr>
      <w:r>
        <w:rPr>
          <w:rFonts w:ascii="宋体" w:hAnsi="宋体" w:hint="eastAsia"/>
        </w:rPr>
        <w:t>联系电话：</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b/>
          <w:bCs/>
        </w:rPr>
      </w:pPr>
      <w:r>
        <w:rPr>
          <w:rFonts w:ascii="宋体" w:hAnsi="宋体" w:hint="eastAsia"/>
          <w:b/>
          <w:bCs/>
        </w:rPr>
        <w:t xml:space="preserv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b/>
          <w:bCs/>
        </w:rPr>
      </w:pPr>
      <w:r>
        <w:rPr>
          <w:rFonts w:ascii="宋体" w:hAnsi="宋体" w:hint="eastAsia"/>
          <w:b/>
          <w:bCs/>
        </w:rPr>
        <w:t>乙方：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rPr>
      </w:pPr>
      <w:r>
        <w:rPr>
          <w:rFonts w:ascii="宋体" w:hAnsi="宋体" w:hint="eastAsia"/>
        </w:rPr>
        <w:t>地址：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rPr>
      </w:pPr>
      <w:r>
        <w:rPr>
          <w:rFonts w:ascii="宋体" w:hAnsi="宋体" w:hint="eastAsia"/>
        </w:rPr>
        <w:t>联系人：</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rPr>
      </w:pPr>
      <w:r>
        <w:rPr>
          <w:rFonts w:ascii="宋体" w:hAnsi="宋体" w:hint="eastAsia"/>
        </w:rPr>
        <w:t>联系电话：</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hint="eastAsia"/>
        </w:rPr>
      </w:pPr>
      <w:r>
        <w:rPr>
          <w:rFonts w:ascii="宋体" w:hAnsi="宋体" w:hint="eastAsia"/>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hint="eastAsia"/>
        </w:rPr>
      </w:pPr>
      <w:r>
        <w:rPr>
          <w:rFonts w:ascii="宋体" w:hAnsi="宋体" w:hint="eastAsia"/>
        </w:rPr>
        <w:t>根据深圳公共资源交易中心（深圳交易集团有限公司</w:t>
      </w:r>
      <w:r>
        <w:rPr>
          <w:rFonts w:hint="eastAsia"/>
        </w:rPr>
        <w:t>*</w:t>
      </w:r>
      <w:r>
        <w:t>**</w:t>
      </w:r>
      <w:r>
        <w:rPr>
          <w:rFonts w:ascii="宋体" w:hAnsi="宋体" w:hint="eastAsia"/>
        </w:rPr>
        <w:t>分公司）号项目结果，***单位为中标人。按照《中华人民共和国民法典》（第三编</w:t>
      </w:r>
      <w:r>
        <w:rPr>
          <w:rFonts w:hint="eastAsia"/>
        </w:rPr>
        <w:t xml:space="preserve"> </w:t>
      </w:r>
      <w:r>
        <w:rPr>
          <w:rFonts w:ascii="宋体" w:hAnsi="宋体" w:hint="eastAsia"/>
        </w:rPr>
        <w:t>合同）和《深圳经济特区政府采购条例》，经深圳市（以下简称甲方）和单位（以下简称乙方）协商，达成以下合同条款：</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b/>
        </w:rPr>
      </w:pPr>
      <w:r>
        <w:rPr>
          <w:rFonts w:ascii="宋体" w:hAnsi="宋体" w:hint="eastAsia"/>
          <w:b/>
        </w:rPr>
        <w:t>第一条</w:t>
      </w:r>
      <w:r>
        <w:rPr>
          <w:rFonts w:hint="eastAsia"/>
          <w:b/>
        </w:rPr>
        <w:t xml:space="preserve">  </w:t>
      </w:r>
      <w:r>
        <w:rPr>
          <w:rFonts w:ascii="宋体" w:hAnsi="宋体" w:hint="eastAsia"/>
          <w:b/>
        </w:rPr>
        <w:t>合同标的</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pPr>
      <w:r>
        <w:rPr>
          <w:rFonts w:ascii="宋体" w:hAnsi="宋体" w:hint="eastAsia"/>
        </w:rPr>
        <w:t>乙方根据甲方需求提供下列货物：</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pPr>
      <w:r>
        <w:rPr>
          <w:rFonts w:ascii="宋体" w:hAnsi="宋体" w:hint="eastAsia"/>
        </w:rPr>
        <w:t>货物名称、规格及数量详见。</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b/>
        </w:rPr>
      </w:pPr>
      <w:r>
        <w:rPr>
          <w:rFonts w:ascii="宋体" w:hAnsi="宋体" w:hint="eastAsia"/>
          <w:b/>
        </w:rPr>
        <w:t>第二条</w:t>
      </w:r>
      <w:r>
        <w:rPr>
          <w:rFonts w:hint="eastAsia"/>
          <w:b/>
        </w:rPr>
        <w:t xml:space="preserve">  </w:t>
      </w:r>
      <w:r>
        <w:rPr>
          <w:rFonts w:ascii="宋体" w:hAnsi="宋体" w:hint="eastAsia"/>
          <w:b/>
        </w:rPr>
        <w:t>合同价款</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pPr>
      <w:r>
        <w:rPr>
          <w:rFonts w:ascii="宋体" w:hAnsi="宋体" w:hint="eastAsia"/>
        </w:rPr>
        <w:t>本合同项下总价款为（大写）人民币，分项价款详见。本合同总价款已包括乙方为履行本合同义务所发生的一切费用，系固定不变价格，且不随通货膨胀的影响而波动。</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firstLine="560"/>
        <w:jc w:val="left"/>
        <w:textAlignment w:val="auto"/>
        <w:rPr>
          <w:b/>
        </w:rPr>
      </w:pPr>
      <w:r>
        <w:rPr>
          <w:rFonts w:hint="eastAsia"/>
          <w:b/>
        </w:rPr>
        <w:t xml:space="preserve"> </w:t>
      </w:r>
      <w:r>
        <w:rPr>
          <w:rFonts w:ascii="宋体" w:hAnsi="宋体" w:hint="eastAsia"/>
          <w:b/>
        </w:rPr>
        <w:t>履行期限</w:t>
      </w:r>
    </w:p>
    <w:p>
      <w:pPr>
        <w:keepNext w:val="0"/>
        <w:keepLines w:val="0"/>
        <w:pageBreakBefore w:val="0"/>
        <w:widowControl w:val="0"/>
        <w:kinsoku/>
        <w:wordWrap/>
        <w:overflowPunct/>
        <w:topLinePunct w:val="0"/>
        <w:autoSpaceDE/>
        <w:autoSpaceDN/>
        <w:bidi w:val="0"/>
        <w:adjustRightInd/>
        <w:snapToGrid/>
        <w:spacing w:line="240" w:lineRule="auto"/>
        <w:ind w:firstLine="630" w:firstLineChars="300"/>
        <w:textAlignment w:val="auto"/>
        <w:rPr>
          <w:rFonts w:ascii="宋体" w:hAnsi="宋体"/>
        </w:rPr>
      </w:pPr>
      <w:r>
        <w:rPr>
          <w:rFonts w:ascii="宋体" w:hAnsi="宋体" w:hint="eastAsia"/>
        </w:rPr>
        <w:t>乙方应于本合同签订之日其日内将符合要求的产品向甲方交付（含安装调试），但乙方交付前应向书面通知甲方并征得甲方同意。</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firstLine="560"/>
        <w:jc w:val="left"/>
        <w:textAlignment w:val="auto"/>
        <w:rPr>
          <w:rFonts w:hint="eastAsia"/>
          <w:b/>
        </w:rPr>
      </w:pPr>
      <w:r>
        <w:rPr>
          <w:rFonts w:ascii="宋体" w:hAnsi="宋体" w:hint="eastAsia"/>
          <w:b/>
        </w:rPr>
        <w:t>权利保证</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rPr>
      </w:pPr>
      <w:r>
        <w:rPr>
          <w:rFonts w:ascii="宋体" w:hAnsi="宋体" w:hint="eastAsia"/>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hint="eastAsia"/>
          <w:b/>
        </w:rPr>
      </w:pPr>
      <w:r>
        <w:rPr>
          <w:rFonts w:ascii="宋体" w:hAnsi="宋体" w:hint="eastAsia"/>
          <w:b/>
        </w:rPr>
        <w:t>第五条</w:t>
      </w:r>
      <w:r>
        <w:rPr>
          <w:rFonts w:hint="eastAsia"/>
          <w:b/>
        </w:rPr>
        <w:t xml:space="preserve">  </w:t>
      </w:r>
      <w:r>
        <w:rPr>
          <w:rFonts w:ascii="宋体" w:hAnsi="宋体" w:hint="eastAsia"/>
          <w:b/>
        </w:rPr>
        <w:t>质量保证</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rPr>
      </w:pPr>
      <w:r>
        <w:rPr>
          <w:rFonts w:ascii="宋体" w:hAnsi="宋体" w:hint="eastAsia"/>
        </w:rPr>
        <w:t>1、乙方所提供的货物的技术规格符合招标文件规定的技术规格，货物符合中华人民共和国的设计和制造生产标准或行业标准。</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2、乙方应保证货物是全新、未使用过的原装合格正品（包括零部件），并完全符合甲方要求的质量、规格和性能的要求。如货物安装或配置了软件的，乙方保证相关软件均为正版软件。</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3、乙方保证交货时一并提供货物的质量合格凭证或文件。</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hint="eastAsia"/>
          <w:b/>
        </w:rPr>
      </w:pPr>
      <w:r>
        <w:rPr>
          <w:rFonts w:ascii="宋体" w:hAnsi="宋体" w:hint="eastAsia"/>
          <w:b/>
        </w:rPr>
        <w:t>第六条</w:t>
      </w:r>
      <w:r>
        <w:rPr>
          <w:rFonts w:hint="eastAsia"/>
          <w:b/>
        </w:rPr>
        <w:t xml:space="preserve">  </w:t>
      </w:r>
      <w:r>
        <w:rPr>
          <w:rFonts w:ascii="宋体" w:hAnsi="宋体" w:hint="eastAsia"/>
          <w:b/>
        </w:rPr>
        <w:t>交货和验收</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rPr>
      </w:pPr>
      <w:r>
        <w:rPr>
          <w:rFonts w:ascii="宋体" w:hAnsi="宋体" w:hint="eastAsia"/>
        </w:rPr>
        <w:t>1、乙方应按照本合同或招投标文件规定的时间和方式向甲方交付货物，交货地点由甲方指定。因交货产生的费用由乙方自行承担。</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2、乙方交付的货物应当完全符合招投标文件所规定的货物、数量、质量和规格要求。乙方提供的货物不符合招投标文件和合同规定的，甲方有权拒收货物，由此引起的风险，由乙方承担。</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5、货物的所有权和灭失的风险自乙方将货物交付给甲方时转移。</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hint="eastAsia"/>
          <w:b/>
        </w:rPr>
      </w:pPr>
      <w:r>
        <w:rPr>
          <w:rFonts w:ascii="宋体" w:hAnsi="宋体" w:hint="eastAsia"/>
          <w:b/>
        </w:rPr>
        <w:t>第七条</w:t>
      </w:r>
      <w:r>
        <w:rPr>
          <w:rFonts w:hint="eastAsia"/>
          <w:b/>
        </w:rPr>
        <w:t xml:space="preserve">  </w:t>
      </w:r>
      <w:r>
        <w:rPr>
          <w:rFonts w:ascii="宋体" w:hAnsi="宋体" w:hint="eastAsia"/>
          <w:b/>
        </w:rPr>
        <w:t>保修及其他服务</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rPr>
      </w:pPr>
      <w:r>
        <w:rPr>
          <w:rFonts w:ascii="宋体" w:hAnsi="宋体" w:hint="eastAsia"/>
        </w:rPr>
        <w:t>1、乙方应按照国家有关法律法规规章和“三包”规定和招标文件的要求及乙方在投标文件的相关承诺提供保修及其他服务。</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2、保修期内，乙方负责对其提供的货物进行维修和系统维护，不再收取任何费用。所有货物保修服务方式均为乙方上门保修，即由乙方派员到货物使用现场维修，由此产生的一切费用均由乙方承担。保修期后的货物维护另行协商。</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3、在甲方提出维修要求后，乙方应于  小时内响应，  小时维修到位，并在  小时内消除故障。消耗品和零配件供应及时，特殊情况下可提供备用机。</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hint="eastAsia"/>
          <w:b/>
        </w:rPr>
      </w:pPr>
      <w:r>
        <w:rPr>
          <w:rFonts w:ascii="宋体" w:hAnsi="宋体" w:hint="eastAsia"/>
          <w:b/>
        </w:rPr>
        <w:t>第八条</w:t>
      </w:r>
      <w:r>
        <w:rPr>
          <w:rFonts w:hint="eastAsia"/>
          <w:b/>
        </w:rPr>
        <w:t xml:space="preserve"> </w:t>
      </w:r>
      <w:r>
        <w:rPr>
          <w:rFonts w:ascii="宋体" w:hAnsi="宋体" w:hint="eastAsia"/>
          <w:b/>
        </w:rPr>
        <w:t>保密条款</w:t>
      </w:r>
    </w:p>
    <w:p>
      <w:pPr>
        <w:keepNext w:val="0"/>
        <w:keepLines w:val="0"/>
        <w:pageBreakBefore w:val="0"/>
        <w:widowControl w:val="0"/>
        <w:kinsoku/>
        <w:wordWrap/>
        <w:overflowPunct/>
        <w:topLinePunct w:val="0"/>
        <w:autoSpaceDE/>
        <w:autoSpaceDN/>
        <w:bidi w:val="0"/>
        <w:adjustRightInd/>
        <w:snapToGrid/>
        <w:spacing w:line="240" w:lineRule="auto"/>
        <w:ind w:firstLine="630" w:firstLineChars="300"/>
        <w:textAlignment w:val="auto"/>
      </w:pPr>
      <w:r>
        <w:t>1</w:t>
      </w:r>
      <w:r>
        <w:rPr>
          <w:rFonts w:ascii="宋体" w:hAnsi="宋体" w:hint="eastAsia"/>
        </w:rPr>
        <w:t>、乙方对在本合同履行中获取或者知悉甲方提供的资料、信息负有保密义务。</w:t>
      </w:r>
    </w:p>
    <w:p>
      <w:pPr>
        <w:keepNext w:val="0"/>
        <w:keepLines w:val="0"/>
        <w:pageBreakBefore w:val="0"/>
        <w:widowControl w:val="0"/>
        <w:kinsoku/>
        <w:wordWrap/>
        <w:overflowPunct/>
        <w:topLinePunct w:val="0"/>
        <w:autoSpaceDE/>
        <w:autoSpaceDN/>
        <w:bidi w:val="0"/>
        <w:adjustRightInd/>
        <w:snapToGrid/>
        <w:spacing w:line="240" w:lineRule="auto"/>
        <w:ind w:firstLine="630" w:firstLineChars="300"/>
        <w:textAlignment w:val="auto"/>
      </w:pPr>
      <w:r>
        <w:t>2</w:t>
      </w:r>
      <w:r>
        <w:rPr>
          <w:rFonts w:ascii="宋体" w:hAnsi="宋体"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keepNext w:val="0"/>
        <w:keepLines w:val="0"/>
        <w:pageBreakBefore w:val="0"/>
        <w:widowControl w:val="0"/>
        <w:kinsoku/>
        <w:wordWrap/>
        <w:overflowPunct/>
        <w:topLinePunct w:val="0"/>
        <w:autoSpaceDE/>
        <w:autoSpaceDN/>
        <w:bidi w:val="0"/>
        <w:adjustRightInd/>
        <w:snapToGrid/>
        <w:spacing w:line="240" w:lineRule="auto"/>
        <w:ind w:firstLine="630" w:firstLineChars="300"/>
        <w:textAlignment w:val="auto"/>
        <w:rPr>
          <w:b/>
        </w:rPr>
      </w:pPr>
      <w:r>
        <w:t>3</w:t>
      </w:r>
      <w:r>
        <w:rPr>
          <w:rFonts w:ascii="宋体" w:hAnsi="宋体" w:hint="eastAsia"/>
        </w:rPr>
        <w:t>、保密期限自本协议签订生效之日起至保密信息被依法公开披露或成为公开信息之日止。合同中止、终止或者解除不视为免除保密义务，乙方仍应当承担保密义务。</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b/>
        </w:rPr>
      </w:pPr>
      <w:r>
        <w:rPr>
          <w:rFonts w:ascii="宋体" w:hAnsi="宋体" w:hint="eastAsia"/>
          <w:b/>
        </w:rPr>
        <w:t>第九条</w:t>
      </w:r>
      <w:r>
        <w:rPr>
          <w:rFonts w:hint="eastAsia"/>
          <w:b/>
        </w:rPr>
        <w:t xml:space="preserve">  </w:t>
      </w:r>
      <w:r>
        <w:rPr>
          <w:rFonts w:ascii="宋体" w:hAnsi="宋体" w:hint="eastAsia"/>
          <w:b/>
        </w:rPr>
        <w:t>履约保证金</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rPr>
      </w:pPr>
      <w:r>
        <w:rPr>
          <w:rFonts w:ascii="宋体" w:hAnsi="宋体" w:hint="eastAsia"/>
        </w:rPr>
        <w:t>1、乙方应在签订本合同之日，向甲方或甲方指定的机构提交履约保证金_________元。</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2、如乙方未能履行合同规定的义务，甲方有权从履约保证金中取得补偿。</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3、甲方在乙方履行完毕本合同项下全部义务后______天内无息退还乙方。</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b/>
        </w:rPr>
      </w:pPr>
      <w:r>
        <w:rPr>
          <w:rFonts w:ascii="宋体" w:hAnsi="宋体" w:hint="eastAsia"/>
          <w:b/>
        </w:rPr>
        <w:t>第十条</w:t>
      </w:r>
      <w:r>
        <w:rPr>
          <w:rFonts w:hint="eastAsia"/>
          <w:b/>
        </w:rPr>
        <w:t xml:space="preserve">  </w:t>
      </w:r>
      <w:r>
        <w:rPr>
          <w:rFonts w:ascii="宋体" w:hAnsi="宋体" w:hint="eastAsia"/>
          <w:b/>
        </w:rPr>
        <w:t>货款支付</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ascii="宋体" w:hAnsi="宋体" w:hint="eastAsia"/>
          <w:b/>
          <w:u w:val="single"/>
        </w:rPr>
        <w:t>（详见商务要求）</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pPr>
      <w: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b/>
        </w:rPr>
      </w:pPr>
      <w:r>
        <w:rPr>
          <w:rFonts w:ascii="宋体" w:hAnsi="宋体" w:hint="eastAsia"/>
          <w:b/>
        </w:rPr>
        <w:t>第十一条</w:t>
      </w:r>
      <w:r>
        <w:rPr>
          <w:rFonts w:hint="eastAsia"/>
          <w:b/>
        </w:rPr>
        <w:t xml:space="preserve"> </w:t>
      </w:r>
      <w:r>
        <w:rPr>
          <w:rFonts w:ascii="宋体" w:hAnsi="宋体" w:hint="eastAsia"/>
          <w:b/>
        </w:rPr>
        <w:t>违约责任</w:t>
      </w:r>
      <w:r>
        <w:rPr>
          <w:rFonts w:ascii="宋体" w:hAnsi="宋体" w:hint="eastAsia"/>
          <w:b/>
          <w:u w:val="single"/>
        </w:rPr>
        <w:t>（详见商务要求）</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rPr>
      </w:pPr>
      <w:r>
        <w:rPr>
          <w:rFonts w:ascii="宋体" w:hAnsi="宋体" w:hint="eastAsia"/>
        </w:rPr>
        <w:t>１、甲方无正当理由拒收货物、拒付货物款的，由甲方向乙方偿付合同总价的【】%违约金。</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２、甲方未按合同规定的期限向乙方支付货款的，每逾期1天甲方向乙方偿付欠款总额的【】‰滞纳金，但累计滞纳金总额不超过欠款总额的【】% 。</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３、乙方逾期交付货物的，每逾期1天，乙方向甲方偿付逾期交货部分货款总额的【】‰的滞纳金。如乙方逾期交货达天，甲方有权解除合同，履约保证金不予退回，同时乙方应向甲方支付合同总价【】％的违约金。</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如经乙方两次维修或更换，货物仍不能达到合同约定的质量标准，甲方有权退货，乙方应退回全部货款并赔偿甲方因此遭受的损失。</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6.乙方违反本合同约定的保密义务，甲方有权要求乙方按合同总额【】%支付违约金；造成不良影响或对甲方造成损失的，甲方有权要求乙方消除影响，承担赔偿责任，并有权解除合同。</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7、因乙方提供的产品受到侵权指控或者引发法律纠纷，影响甲方正常使用或者导致合同目的不能实现的，甲方有权要求乙方按合同总额【】%支付违约金，并有权解除合同。</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8、乙方未履行本合同项下的其他义务或违反其在投标文件中的相关承诺的，应按合同总价款的【】%向甲方承担违约责任。</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9、乙方在承担上述一项或多项违约责任后，仍应继续履行合同规定的义务（甲方解除合同的除外）。甲方未能及时追究乙方的任何一项违约责任并不表明甲方放弃追究乙方该项或其他违约责任。</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hint="eastAsia"/>
          <w:b/>
        </w:rPr>
      </w:pPr>
      <w:r>
        <w:rPr>
          <w:rFonts w:ascii="宋体" w:hAnsi="宋体" w:hint="eastAsia"/>
          <w:b/>
        </w:rPr>
        <w:t>第十二条</w:t>
      </w:r>
      <w:r>
        <w:rPr>
          <w:rFonts w:hint="eastAsia"/>
          <w:b/>
        </w:rPr>
        <w:t xml:space="preserve">    </w:t>
      </w:r>
      <w:r>
        <w:rPr>
          <w:rFonts w:ascii="宋体" w:hAnsi="宋体" w:hint="eastAsia"/>
          <w:b/>
        </w:rPr>
        <w:t>合同的变更和终止</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rPr>
      </w:pPr>
      <w:r>
        <w:rPr>
          <w:rFonts w:ascii="宋体" w:hAnsi="宋体" w:hint="eastAsia"/>
        </w:rPr>
        <w:t>除《深圳经济特区政府采购条例》第40条、《中华人民共和国政府采购法》第50条第二款规定或者主管部门另有政策规定的情形外，本合同一经签订，甲乙双方不得擅自变更、中止或终止合同。</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hint="eastAsia"/>
          <w:b/>
        </w:rPr>
      </w:pPr>
      <w:r>
        <w:rPr>
          <w:rFonts w:ascii="宋体" w:hAnsi="宋体" w:hint="eastAsia"/>
          <w:b/>
        </w:rPr>
        <w:t>第十三条</w:t>
      </w:r>
      <w:r>
        <w:rPr>
          <w:rFonts w:hint="eastAsia"/>
          <w:b/>
        </w:rPr>
        <w:t xml:space="preserve">   </w:t>
      </w:r>
      <w:r>
        <w:rPr>
          <w:rFonts w:ascii="宋体" w:hAnsi="宋体" w:hint="eastAsia"/>
          <w:b/>
        </w:rPr>
        <w:t>争议的解决</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rPr>
      </w:pPr>
      <w:r>
        <w:rPr>
          <w:rFonts w:ascii="宋体" w:hAnsi="宋体" w:hint="eastAsia"/>
        </w:rPr>
        <w:t>1、因货物的质量问题发生争议的，应当邀请国家认可的质量检测机构对货物质量进行鉴定。货物符合标准的，鉴定费由甲方承担；货物不符合质量标准的，鉴定费由乙方承担。</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2、因履行本合同引起的或与本合同有关的争议，甲、乙双方应首先通过友好协商解决，如果协商不能解决争议，则向甲方所在地有管辖权的人民法院提起诉讼；</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hint="eastAsia"/>
          <w:b/>
        </w:rPr>
      </w:pPr>
      <w:r>
        <w:rPr>
          <w:rFonts w:ascii="宋体" w:hAnsi="宋体" w:hint="eastAsia"/>
          <w:b/>
        </w:rPr>
        <w:t>第十四条</w:t>
      </w:r>
      <w:r>
        <w:rPr>
          <w:rFonts w:hint="eastAsia"/>
          <w:b/>
        </w:rPr>
        <w:t xml:space="preserve">   </w:t>
      </w:r>
      <w:r>
        <w:rPr>
          <w:rFonts w:ascii="宋体" w:hAnsi="宋体" w:hint="eastAsia"/>
          <w:b/>
        </w:rPr>
        <w:t>合同生效及其他</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rPr>
      </w:pPr>
      <w:r>
        <w:rPr>
          <w:rFonts w:ascii="宋体" w:hAnsi="宋体" w:hint="eastAsia"/>
        </w:rPr>
        <w:t>1、下列文件均为本合同的组成部分：</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（1）号招标文件、答疑及补充通知；</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（2）乙方的投标文件；</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（3）本合同执行中甲乙双方共同签署的补充与修正文件。</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2、本合同一式份，甲、乙方双方各执份，具有同等法律效力。本合同自双方法定代表人（或授权代表）签字并盖章之日起生效。</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甲方（采购人）：   （盖章）       乙方（供应商）：    （盖章）</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 xml:space="preserve">法定代表人：                     法定代表人： </w:t>
      </w:r>
    </w:p>
    <w:p>
      <w:pPr>
        <w:keepNext w:val="0"/>
        <w:keepLines w:val="0"/>
        <w:pageBreakBefore w:val="0"/>
        <w:widowControl w:val="0"/>
        <w:kinsoku/>
        <w:wordWrap/>
        <w:overflowPunct/>
        <w:topLinePunct w:val="0"/>
        <w:autoSpaceDE/>
        <w:autoSpaceDN/>
        <w:bidi w:val="0"/>
        <w:adjustRightInd/>
        <w:snapToGrid/>
        <w:spacing w:line="240" w:lineRule="auto"/>
        <w:ind w:firstLine="560"/>
        <w:jc w:val="left"/>
        <w:textAlignment w:val="auto"/>
        <w:rPr>
          <w:rFonts w:ascii="宋体" w:hAnsi="宋体" w:hint="eastAsia"/>
        </w:rPr>
      </w:pPr>
      <w:r>
        <w:rPr>
          <w:rFonts w:ascii="宋体" w:hAnsi="宋体" w:hint="eastAsia"/>
        </w:rPr>
        <w:t>委托代理人：                     委托代理人：</w:t>
      </w:r>
    </w:p>
    <w:p>
      <w:pPr>
        <w:ind w:firstLine="525" w:firstLineChars="250"/>
        <w:rPr>
          <w:rFonts w:ascii="宋体" w:hAnsi="宋体" w:hint="eastAsia"/>
          <w:b/>
        </w:rPr>
      </w:pPr>
      <w:r>
        <w:rPr>
          <w:rFonts w:ascii="宋体" w:hAnsi="宋体" w:hint="eastAsia"/>
        </w:rPr>
        <w:t>日期：   年     月    日         日期：   年     月    日</w:t>
      </w:r>
    </w:p>
    <w:p>
      <w:pPr>
        <w:rPr>
          <w:rFonts w:hint="eastAsia"/>
        </w:rPr>
      </w:pPr>
    </w:p>
    <w:p>
      <w:pPr>
        <w:rPr>
          <w:rFonts w:hint="eastAsia"/>
        </w:rPr>
      </w:pPr>
    </w:p>
    <w:p>
      <w:pPr>
        <w:widowControl/>
        <w:jc w:val="left"/>
        <w:rPr>
          <w:rFonts w:ascii="宋体" w:eastAsia="黑体" w:hAnsi="宋体" w:cs="Times New Roman"/>
          <w:b/>
          <w:bCs/>
          <w:color w:val="0000FF"/>
          <w:kern w:val="44"/>
          <w:sz w:val="36"/>
          <w:szCs w:val="44"/>
        </w:rPr>
      </w:pPr>
      <w:r>
        <w:br w:type="page"/>
      </w:r>
    </w:p>
    <w:p>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  通用条款（公开招标）</w:t>
      </w:r>
    </w:p>
    <w:p>
      <w:pPr>
        <w:keepNext/>
        <w:keepLines/>
        <w:numPr>
          <w:ilvl w:val="0"/>
          <w:numId w:val="10"/>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rPr>
      </w:pPr>
      <w:bookmarkStart w:id="33" w:name="_Hlk72399513"/>
      <w:r>
        <w:rPr>
          <w:rFonts w:asciiTheme="majorHAnsi" w:eastAsiaTheme="majorEastAsia" w:hAnsiTheme="majorHAnsi" w:cstheme="majorBidi" w:hint="eastAsia"/>
          <w:b/>
          <w:bCs/>
          <w:sz w:val="28"/>
          <w:szCs w:val="28"/>
        </w:rPr>
        <w:t>总则</w:t>
      </w:r>
      <w:bookmarkEnd w:id="33"/>
    </w:p>
    <w:p>
      <w:pPr>
        <w:rPr>
          <w:rFonts w:ascii="黑体" w:eastAsia="黑体" w:hAnsi="宋体"/>
          <w:sz w:val="24"/>
        </w:rPr>
      </w:pPr>
      <w:bookmarkStart w:id="34" w:name="_Hlk72439706"/>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35" w:name="_Hlk72399729"/>
      <w:r>
        <w:rPr>
          <w:rFonts w:ascii="宋体" w:hAnsi="宋体" w:hint="eastAsia"/>
          <w:szCs w:val="21"/>
        </w:rPr>
        <w:t>如有需要，政府集中采购机构可以对通用条款的内容进行补充。</w:t>
      </w:r>
      <w:bookmarkEnd w:id="35"/>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36"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政府采购扶持贫困地区、中小企业、监狱企业和残疾人福利性单位发展，支持节能减排、环境保护、绿色采购。</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37"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37"/>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36"/>
    </w:p>
    <w:p>
      <w:pPr>
        <w:ind w:firstLine="412" w:firstLineChars="196"/>
        <w:rPr>
          <w:rFonts w:ascii="宋体" w:hAnsi="宋体"/>
        </w:rPr>
      </w:pPr>
    </w:p>
    <w:p>
      <w:pPr>
        <w:pStyle w:val="Heading2"/>
        <w:numPr>
          <w:ilvl w:val="0"/>
          <w:numId w:val="10"/>
        </w:numPr>
        <w:spacing w:before="156" w:beforeLines="50" w:after="156"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38"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38"/>
    </w:p>
    <w:p>
      <w:pPr>
        <w:rPr>
          <w:rFonts w:ascii="宋体" w:hAnsi="宋体"/>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39"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39"/>
    </w:p>
    <w:p>
      <w:pPr>
        <w:rPr>
          <w:rFonts w:ascii="黑体" w:eastAsia="黑体" w:hAnsi="宋体"/>
          <w:sz w:val="24"/>
        </w:rPr>
      </w:pPr>
      <w:r>
        <w:rPr>
          <w:rFonts w:ascii="黑体" w:eastAsia="黑体" w:hAnsi="宋体" w:hint="eastAsia"/>
          <w:sz w:val="24"/>
        </w:rPr>
        <w:t>15．</w:t>
      </w:r>
      <w:bookmarkStart w:id="40"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40"/>
    </w:p>
    <w:p>
      <w:pPr>
        <w:rPr>
          <w:rFonts w:ascii="黑体" w:eastAsia="黑体" w:hAnsi="宋体"/>
          <w:sz w:val="24"/>
        </w:rPr>
      </w:pPr>
      <w:r>
        <w:rPr>
          <w:rFonts w:ascii="黑体" w:eastAsia="黑体" w:hAnsi="宋体" w:hint="eastAsia"/>
          <w:sz w:val="24"/>
        </w:rPr>
        <w:t>18．</w:t>
      </w:r>
      <w:bookmarkStart w:id="41"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41"/>
    </w:p>
    <w:p>
      <w:pPr>
        <w:rPr>
          <w:rFonts w:ascii="黑体" w:eastAsia="黑体" w:hAnsi="宋体"/>
          <w:sz w:val="24"/>
        </w:rPr>
      </w:pPr>
      <w:r>
        <w:rPr>
          <w:rFonts w:ascii="黑体" w:eastAsia="黑体" w:hAnsi="宋体" w:hint="eastAsia"/>
          <w:sz w:val="24"/>
        </w:rPr>
        <w:t>19．</w:t>
      </w:r>
      <w:bookmarkStart w:id="42"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3" w:name="_Hlk71407299"/>
      <w:bookmarkEnd w:id="43"/>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42"/>
    </w:p>
    <w:p>
      <w:pPr>
        <w:ind w:firstLine="412" w:firstLineChars="196"/>
        <w:rPr>
          <w:rFonts w:ascii="宋体" w:hAnsi="宋体"/>
          <w:szCs w:val="21"/>
        </w:rPr>
      </w:pPr>
      <w:bookmarkStart w:id="44"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44"/>
    </w:p>
    <w:p>
      <w:pPr>
        <w:rPr>
          <w:rFonts w:ascii="黑体" w:eastAsia="黑体" w:hAnsi="宋体"/>
          <w:sz w:val="24"/>
        </w:rPr>
      </w:pPr>
      <w:r>
        <w:rPr>
          <w:rFonts w:ascii="黑体" w:eastAsia="黑体" w:hAnsi="宋体" w:hint="eastAsia"/>
          <w:sz w:val="24"/>
        </w:rPr>
        <w:t>21．</w:t>
      </w:r>
      <w:bookmarkStart w:id="45"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5"/>
    </w:p>
    <w:p>
      <w:pPr>
        <w:rPr>
          <w:rFonts w:ascii="黑体" w:eastAsia="黑体" w:hAnsi="宋体"/>
          <w:sz w:val="24"/>
        </w:rPr>
      </w:pPr>
      <w:r>
        <w:rPr>
          <w:rFonts w:ascii="黑体" w:eastAsia="黑体" w:hAnsi="宋体" w:hint="eastAsia"/>
          <w:sz w:val="24"/>
        </w:rPr>
        <w:t>23．</w:t>
      </w:r>
      <w:bookmarkStart w:id="46"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46"/>
    </w:p>
    <w:p>
      <w:pPr>
        <w:ind w:firstLine="412" w:firstLineChars="196"/>
        <w:rPr>
          <w:rFonts w:ascii="宋体" w:hAnsi="宋体"/>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投标文件的递交</w:t>
      </w:r>
    </w:p>
    <w:p>
      <w:pPr>
        <w:rPr>
          <w:rFonts w:ascii="黑体" w:eastAsia="黑体" w:hAnsi="宋体"/>
          <w:sz w:val="24"/>
        </w:rPr>
      </w:pPr>
      <w:bookmarkStart w:id="47"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9"/>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lang w:val="en-US" w:eastAsia="zh-CN"/>
        </w:rPr>
        <w:t>一</w:t>
      </w:r>
      <w:r>
        <w:rPr>
          <w:rFonts w:ascii="宋体" w:hAnsi="宋体" w:hint="eastAsia"/>
          <w:b/>
          <w:bCs/>
        </w:rPr>
        <w:t>楼</w:t>
      </w:r>
      <w:r>
        <w:rPr>
          <w:rFonts w:ascii="宋体" w:hAnsi="宋体" w:hint="eastAsia"/>
          <w:b/>
          <w:bCs/>
          <w:lang w:val="en-US" w:eastAsia="zh-CN"/>
        </w:rPr>
        <w:t>服务大厅</w:t>
      </w:r>
      <w:r>
        <w:rPr>
          <w:rFonts w:ascii="宋体" w:hAnsi="宋体" w:hint="eastAsia"/>
          <w:b/>
          <w:bCs/>
        </w:rPr>
        <w:t>（地址：</w:t>
      </w:r>
      <w:r>
        <w:rPr>
          <w:rFonts w:ascii="宋体" w:hAnsi="宋体" w:hint="eastAsia"/>
          <w:b/>
          <w:bCs/>
          <w:lang w:val="en-US" w:eastAsia="zh-CN"/>
        </w:rPr>
        <w:t>深圳市宝安区湖滨东路40号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bookmarkEnd w:id="47"/>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48"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48"/>
    </w:p>
    <w:p>
      <w:pPr>
        <w:pStyle w:val="Heading2"/>
        <w:numPr>
          <w:ilvl w:val="0"/>
          <w:numId w:val="10"/>
        </w:numPr>
        <w:spacing w:before="156" w:beforeLines="50" w:after="156"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49"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49"/>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50"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50"/>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51" w:name="_Toc73521581"/>
      <w:bookmarkStart w:id="52" w:name="_Toc73517673"/>
      <w:bookmarkStart w:id="53" w:name="_Toc73521669"/>
      <w:bookmarkStart w:id="54" w:name="_Toc100052400"/>
      <w:bookmarkStart w:id="55" w:name="_Toc73518151"/>
      <w:r>
        <w:rPr>
          <w:rFonts w:ascii="黑体" w:eastAsia="黑体" w:hAnsi="宋体" w:hint="eastAsia"/>
          <w:sz w:val="24"/>
        </w:rPr>
        <w:t>34．错误的修正</w:t>
      </w:r>
      <w:bookmarkEnd w:id="51"/>
      <w:bookmarkEnd w:id="52"/>
      <w:bookmarkEnd w:id="53"/>
      <w:bookmarkEnd w:id="54"/>
      <w:bookmarkEnd w:id="55"/>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56"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56"/>
      <w:r>
        <w:rPr>
          <w:rFonts w:ascii="宋体" w:hAnsi="宋体" w:hint="eastAsia"/>
          <w:bCs/>
          <w:color w:val="FF0000"/>
          <w:szCs w:val="21"/>
        </w:rPr>
        <w:t xml:space="preserve">  </w:t>
      </w:r>
      <w:r>
        <w:rPr>
          <w:rFonts w:ascii="宋体" w:hAnsi="宋体" w:hint="eastAsia"/>
          <w:bCs/>
          <w:szCs w:val="21"/>
        </w:rPr>
        <w:t xml:space="preserve">                                                                                                                                                                                                                                                                                                                                                                                                                                                                                                                                                                                                                                                                                                                                                                                                                                                                                                                                                                                                                                                                                                                                                                                                                                                                                                                                                                                                                                                                                                                                                                                                                                                                                                                                                                                                                                                                                                                                                                                                                                                                                                                                                                                                                                                                                                                                                                                                                                                                                                                                                                                                                                                                                                                                                                                                                                                                                                                                                                                                                           </w:t>
      </w:r>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57"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58" w:name="_Hlk73821177"/>
      <w:r>
        <w:rPr>
          <w:rFonts w:ascii="ˎ̥" w:hAnsi="ˎ̥" w:hint="eastAsia"/>
          <w:lang w:val="en-US" w:eastAsia="zh-CN"/>
        </w:rPr>
        <w:t>唯一候选</w:t>
      </w:r>
      <w:r>
        <w:rPr>
          <w:rFonts w:ascii="ˎ̥" w:hAnsi="ˎ̥" w:hint="eastAsia"/>
        </w:rPr>
        <w:t>中标供应商</w:t>
      </w:r>
      <w:bookmarkEnd w:id="58"/>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为唯一</w:t>
      </w:r>
      <w:r>
        <w:rPr>
          <w:rFonts w:ascii="ˎ̥" w:hAnsi="ˎ̥" w:hint="eastAsia"/>
          <w:lang w:val="en-US" w:eastAsia="zh-CN"/>
        </w:rPr>
        <w:t>候选</w:t>
      </w:r>
      <w:r>
        <w:rPr>
          <w:rFonts w:ascii="ˎ̥" w:hAnsi="ˎ̥" w:hint="eastAsia"/>
        </w:rPr>
        <w:t>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ascii="ˎ̥" w:hAnsi="ˎ̥" w:hint="eastAsia"/>
          <w:lang w:eastAsia="zh-CN"/>
        </w:rPr>
        <w:t>（</w:t>
      </w:r>
      <w:r>
        <w:rPr>
          <w:rFonts w:ascii="ˎ̥" w:hAnsi="ˎ̥" w:hint="eastAsia"/>
          <w:lang w:val="en-US" w:eastAsia="zh-CN"/>
        </w:rPr>
        <w:t>如“专用条款”中另有规定的以“专用条款”相关规定内容为准</w:t>
      </w:r>
      <w:r>
        <w:rPr>
          <w:rFonts w:ascii="ˎ̥" w:hAnsi="ˎ̥" w:hint="eastAsia"/>
          <w:lang w:eastAsia="zh-CN"/>
        </w:rPr>
        <w:t>）</w:t>
      </w:r>
      <w:r>
        <w:rPr>
          <w:rFonts w:ascii="ˎ̥" w:hAnsi="ˎ̥" w:hint="eastAsia"/>
        </w:rPr>
        <w:t>。如唯一候选中标供应商被认定投标或中标无效，采购人应当重新开展采购活动</w:t>
      </w:r>
      <w:r>
        <w:rPr>
          <w:rFonts w:ascii="ˎ̥" w:hAnsi="ˎ̥" w:hint="eastAsia"/>
          <w:lang w:eastAsia="zh-CN"/>
        </w:rPr>
        <w:t>。</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59"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60"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59"/>
      <w:bookmarkEnd w:id="60"/>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57"/>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61"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61"/>
      <w:bookmarkStart w:id="62"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62"/>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3"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3"/>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64" w:name="_Hlk71407340"/>
      <w:r>
        <w:rPr>
          <w:rFonts w:ascii="宋体" w:hAnsi="宋体" w:hint="eastAsia"/>
          <w:szCs w:val="21"/>
        </w:rPr>
        <w:t>41.3因质疑投诉或其它原因导致项目结果变更或采购终止的，政府集中采购机构有权吊销中标通知书。</w:t>
      </w:r>
      <w:bookmarkEnd w:id="64"/>
    </w:p>
    <w:p>
      <w:pPr>
        <w:ind w:firstLine="412" w:firstLineChars="196"/>
        <w:rPr>
          <w:rFonts w:ascii="宋体" w:hAnsi="宋体"/>
          <w:szCs w:val="21"/>
        </w:rPr>
      </w:pPr>
    </w:p>
    <w:p>
      <w:pPr>
        <w:pStyle w:val="Heading2"/>
        <w:numPr>
          <w:ilvl w:val="0"/>
          <w:numId w:val="10"/>
        </w:numPr>
        <w:spacing w:before="156" w:beforeLines="50" w:after="156"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0"/>
        </w:numPr>
        <w:spacing w:before="156" w:beforeLines="50" w:after="156" w:afterLines="50"/>
        <w:ind w:left="562" w:hanging="562"/>
        <w:rPr>
          <w:sz w:val="28"/>
          <w:szCs w:val="28"/>
        </w:rPr>
      </w:pPr>
      <w:bookmarkStart w:id="65" w:name="_Hlk72439043"/>
      <w:r>
        <w:rPr>
          <w:rFonts w:hint="eastAsia"/>
          <w:sz w:val="28"/>
          <w:szCs w:val="28"/>
        </w:rPr>
        <w:t>合同的授予与备案</w:t>
      </w:r>
      <w:bookmarkEnd w:id="65"/>
    </w:p>
    <w:p>
      <w:pPr>
        <w:rPr>
          <w:rFonts w:ascii="黑体" w:eastAsia="黑体" w:hAnsi="宋体"/>
          <w:sz w:val="24"/>
        </w:rPr>
      </w:pPr>
      <w:bookmarkStart w:id="66" w:name="_Toc73521674"/>
      <w:bookmarkStart w:id="67" w:name="_Toc100052408"/>
      <w:bookmarkStart w:id="68" w:name="_Toc73521586"/>
      <w:bookmarkStart w:id="69" w:name="_Toc73517679"/>
      <w:bookmarkStart w:id="70" w:name="_Toc73518157"/>
      <w:bookmarkStart w:id="71" w:name="_Hlk72439088"/>
      <w:r>
        <w:rPr>
          <w:rFonts w:ascii="黑体" w:eastAsia="黑体" w:hAnsi="宋体" w:hint="eastAsia"/>
          <w:sz w:val="24"/>
        </w:rPr>
        <w:t>43．合同授予标准</w:t>
      </w:r>
      <w:bookmarkEnd w:id="66"/>
      <w:bookmarkEnd w:id="67"/>
      <w:bookmarkEnd w:id="68"/>
      <w:bookmarkEnd w:id="69"/>
      <w:bookmarkEnd w:id="70"/>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72" w:name="_Toc73521587"/>
      <w:bookmarkStart w:id="73" w:name="_Toc73521675"/>
      <w:bookmarkStart w:id="74" w:name="_Toc100052409"/>
      <w:bookmarkStart w:id="75" w:name="_Toc73517680"/>
      <w:bookmarkStart w:id="76" w:name="_Toc73518158"/>
      <w:r>
        <w:rPr>
          <w:rFonts w:ascii="黑体" w:eastAsia="黑体" w:hAnsi="宋体" w:hint="eastAsia"/>
          <w:sz w:val="24"/>
        </w:rPr>
        <w:t>44．</w:t>
      </w:r>
      <w:bookmarkEnd w:id="72"/>
      <w:bookmarkEnd w:id="73"/>
      <w:bookmarkEnd w:id="74"/>
      <w:bookmarkEnd w:id="75"/>
      <w:bookmarkEnd w:id="76"/>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77" w:name="_Toc73521589"/>
      <w:bookmarkStart w:id="78" w:name="_Toc73521677"/>
      <w:bookmarkStart w:id="79" w:name="_Toc100052410"/>
      <w:bookmarkStart w:id="80" w:name="_Toc73517682"/>
      <w:bookmarkStart w:id="81" w:name="_Toc73518160"/>
      <w:r>
        <w:rPr>
          <w:rFonts w:ascii="黑体" w:eastAsia="黑体" w:hAnsi="宋体" w:hint="eastAsia"/>
          <w:sz w:val="24"/>
        </w:rPr>
        <w:t>45．合同的签订</w:t>
      </w:r>
      <w:bookmarkEnd w:id="77"/>
      <w:bookmarkEnd w:id="78"/>
      <w:bookmarkEnd w:id="79"/>
      <w:bookmarkEnd w:id="80"/>
      <w:bookmarkEnd w:id="81"/>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82" w:name="_Toc73517683"/>
      <w:bookmarkStart w:id="83" w:name="_Toc73518161"/>
      <w:bookmarkStart w:id="84" w:name="_Toc73521678"/>
      <w:bookmarkStart w:id="85" w:name="_Toc73521590"/>
      <w:bookmarkStart w:id="86" w:name="_Toc100052411"/>
      <w:r>
        <w:rPr>
          <w:rFonts w:ascii="黑体" w:eastAsia="黑体" w:hAnsi="宋体" w:hint="eastAsia"/>
          <w:sz w:val="24"/>
        </w:rPr>
        <w:t>46．履约担保</w:t>
      </w:r>
      <w:bookmarkEnd w:id="82"/>
      <w:bookmarkEnd w:id="83"/>
      <w:bookmarkEnd w:id="84"/>
      <w:bookmarkEnd w:id="85"/>
      <w:bookmarkEnd w:id="86"/>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rPr>
          <w:rFonts w:ascii="黑体" w:eastAsia="黑体" w:hAnsi="宋体"/>
          <w:sz w:val="24"/>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87" w:name="_Hlk72440769"/>
      <w:r>
        <w:rPr>
          <w:rFonts w:ascii="宋体" w:hAnsi="宋体" w:hint="eastAsia"/>
          <w:szCs w:val="21"/>
        </w:rPr>
        <w:t>政府集中采购机构或采购人不予退还其交纳的谈判保证金，情节严重的，并由主管部门</w:t>
      </w:r>
      <w:bookmarkEnd w:id="87"/>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1"/>
    </w:p>
    <w:p>
      <w:pPr>
        <w:pStyle w:val="Heading2"/>
        <w:numPr>
          <w:ilvl w:val="0"/>
          <w:numId w:val="10"/>
        </w:numPr>
        <w:spacing w:before="156" w:beforeLines="50" w:after="156" w:afterLines="50"/>
        <w:ind w:left="562" w:hanging="562"/>
        <w:rPr>
          <w:sz w:val="28"/>
          <w:szCs w:val="28"/>
        </w:rPr>
      </w:pPr>
      <w:r>
        <w:rPr>
          <w:rFonts w:hint="eastAsia"/>
          <w:sz w:val="28"/>
          <w:szCs w:val="28"/>
        </w:rPr>
        <w:t>质疑处理</w:t>
      </w:r>
    </w:p>
    <w:p>
      <w:pPr>
        <w:rPr>
          <w:rFonts w:ascii="黑体" w:eastAsia="黑体" w:hAnsi="宋体"/>
          <w:sz w:val="24"/>
        </w:rPr>
      </w:pPr>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88" w:name="_Hlk75374941"/>
      <w:r>
        <w:rPr>
          <w:rFonts w:ascii="宋体" w:hAnsi="宋体" w:hint="eastAsia"/>
          <w:szCs w:val="21"/>
        </w:rPr>
        <w:t>以联合体形式参与的，质疑应当由组成联合体的所有成员共同提出</w:t>
      </w:r>
      <w:bookmarkEnd w:id="88"/>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t>---- END ----</w:t>
      </w:r>
    </w:p>
    <w:p>
      <w:pPr>
        <w:jc w:val="center"/>
        <w:rPr>
          <w:rFonts w:ascii="Times New Roman" w:eastAsia="宋体" w:hAnsi="Times New Roman" w:cs="Times New Roman"/>
          <w:szCs w:val="24"/>
        </w:rPr>
      </w:pPr>
      <w:r>
        <w:rPr>
          <w:rFonts w:ascii="Times New Roman" w:eastAsia="宋体" w:hAnsi="Times New Roman" w:cs="Times New Roman"/>
          <w:szCs w:val="24"/>
        </w:rPr>
        <w:t>---- END ----</w:t>
      </w:r>
      <w:bookmarkEnd w:id="34"/>
    </w:p>
    <w:p>
      <w:pPr>
        <w:rPr>
          <w:b/>
          <w:color w:val="FF0000"/>
          <w:sz w:val="52"/>
          <w:szCs w:val="52"/>
        </w:rPr>
      </w:pPr>
    </w:p>
    <w:p>
      <w:pPr>
        <w:rPr>
          <w:rFonts w:ascii="宋体" w:eastAsia="黑体" w:hAnsi="宋体" w:cs="Times New Roman"/>
          <w:b/>
          <w:bCs/>
          <w:color w:val="0000FF"/>
          <w:kern w:val="44"/>
          <w:sz w:val="36"/>
          <w:szCs w:val="44"/>
        </w:rPr>
      </w:pPr>
    </w:p>
    <w:sectPr>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22060"/>
      <w:docPartObj>
        <w:docPartGallery w:val="autotext"/>
      </w:docPartObj>
    </w:sdtPr>
    <w:sdtContent>
      <w:p>
        <w:pPr>
          <w:pStyle w:val="Footer"/>
          <w:jc w:val="center"/>
        </w:pPr>
        <w:r>
          <w:fldChar w:fldCharType="begin"/>
        </w:r>
        <w:r>
          <w:instrText xml:space="preserve"> PAGE   \* MERGEFORMAT </w:instrText>
        </w:r>
        <w:r>
          <w:fldChar w:fldCharType="separate"/>
        </w:r>
        <w:r>
          <w:rPr>
            <w:lang w:val="zh-CN"/>
          </w:rPr>
          <w:t>6</w:t>
        </w:r>
        <w:r>
          <w:rPr>
            <w:lang w:val="zh-CN"/>
          </w:rPr>
          <w:fldChar w:fldCharType="end"/>
        </w:r>
      </w:p>
    </w:sdtContent>
  </w:sdt>
  <w:p>
    <w:pPr>
      <w:pStyle w:val="Footer"/>
      <w:spacing w:after="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multilevel"/>
    <w:tmpl w:val="B5E306E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BF205925"/>
    <w:multiLevelType w:val="multilevel"/>
    <w:tmpl w:val="BF205925"/>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C7A96F67"/>
    <w:multiLevelType w:val="multilevel"/>
    <w:tmpl w:val="C7A96F67"/>
    <w:lvl w:ilvl="0">
      <w:start w:val="1"/>
      <w:numFmt w:val="decimal"/>
      <w:suff w:val="nothing"/>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nsid w:val="C8045B7C"/>
    <w:multiLevelType w:val="singleLevel"/>
    <w:tmpl w:val="C8045B7C"/>
    <w:lvl w:ilvl="0">
      <w:start w:val="1"/>
      <w:numFmt w:val="decimal"/>
      <w:suff w:val="nothing"/>
      <w:lvlText w:val="%1."/>
      <w:lvlJc w:val="left"/>
      <w:pPr>
        <w:ind w:left="0" w:firstLine="0"/>
      </w:pPr>
      <w:rPr>
        <w:rFonts w:hint="default"/>
      </w:rPr>
    </w:lvl>
  </w:abstractNum>
  <w:abstractNum w:abstractNumId="4">
    <w:nsid w:val="F9FE40B9"/>
    <w:multiLevelType w:val="singleLevel"/>
    <w:tmpl w:val="F9FE40B9"/>
    <w:lvl w:ilvl="0">
      <w:start w:val="1"/>
      <w:numFmt w:val="decimal"/>
      <w:lvlText w:val="%1."/>
      <w:lvlJc w:val="left"/>
      <w:pPr>
        <w:tabs>
          <w:tab w:val="left" w:pos="312"/>
        </w:tabs>
      </w:pPr>
    </w:lvl>
  </w:abstractNum>
  <w:abstractNum w:abstractNumId="5">
    <w:nsid w:val="03FF52D3"/>
    <w:multiLevelType w:val="multilevel"/>
    <w:tmpl w:val="03FF52D3"/>
    <w:lvl w:ilvl="0">
      <w:start w:val="1"/>
      <w:numFmt w:val="decimal"/>
      <w:suff w:val="nothing"/>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nsid w:val="088204B4"/>
    <w:multiLevelType w:val="multilevel"/>
    <w:tmpl w:val="088204B4"/>
    <w:lvl w:ilvl="0">
      <w:start w:val="3"/>
      <w:numFmt w:val="chineseCounting"/>
      <w:suff w:val="space"/>
      <w:lvlText w:val="第%1条"/>
      <w:lvlJc w:val="left"/>
      <w:pPr>
        <w:ind w:left="0" w:firstLine="0"/>
      </w:pPr>
      <w:rPr>
        <w:rFonts w:ascii="宋体" w:eastAsia="宋体" w:hAnsi="宋体" w:hint="eastAsia"/>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25B654F3"/>
    <w:multiLevelType w:val="multilevel"/>
    <w:tmpl w:val="25B654F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nsid w:val="4BEF7859"/>
    <w:multiLevelType w:val="singleLevel"/>
    <w:tmpl w:val="4BEF7859"/>
    <w:lvl w:ilvl="0">
      <w:start w:val="1"/>
      <w:numFmt w:val="decimal"/>
      <w:lvlText w:val="%1."/>
      <w:lvlJc w:val="left"/>
      <w:pPr>
        <w:tabs>
          <w:tab w:val="left" w:pos="312"/>
        </w:tabs>
      </w:pPr>
    </w:lvl>
  </w:abstractNum>
  <w:abstractNum w:abstractNumId="9">
    <w:nsid w:val="59ADCABA"/>
    <w:multiLevelType w:val="multilevel"/>
    <w:tmpl w:val="59ADCABA"/>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5"/>
  </w:num>
  <w:num w:numId="3">
    <w:abstractNumId w:val="2"/>
  </w:num>
  <w:num w:numId="4">
    <w:abstractNumId w:val="8"/>
  </w:num>
  <w:num w:numId="5">
    <w:abstractNumId w:val="4"/>
  </w:num>
  <w:num w:numId="6">
    <w:abstractNumId w:val="9"/>
  </w:num>
  <w:num w:numId="7">
    <w:abstractNumId w:val="1"/>
  </w:num>
  <w:num w:numId="8">
    <w:abstractNumId w:val="0"/>
  </w:num>
  <w:num w:numId="9">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ZThkZmY1YjQxY2E2MWQ1MDA5NDYyYmRiZGZjZmMifQ=="/>
  </w:docVar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semiHidden="0" w:qFormat="1"/>
    <w:lsdException w:name="header"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semiHidden="0" w:uiPriority="0" w:unhideWhenUsed="0" w:qFormat="1"/>
    <w:lsdException w:name="Body Text 3"/>
    <w:lsdException w:name="Body Text Indent 2"/>
    <w:lsdException w:name="Body Text Indent 3"/>
    <w:lsdException w:name="Block Text"/>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qFormat="1"/>
    <w:lsdException w:name="HTML Address"/>
    <w:lsdException w:name="HTML Cite" w:qFormat="1"/>
    <w:lsdException w:name="HTML Code" w:qFormat="1"/>
    <w:lsdException w:name="HTML Definition" w:qFormat="1"/>
    <w:lsdException w:name="HTML Keyboard" w:qFormat="1"/>
    <w:lsdException w:name="HTML Preformatted"/>
    <w:lsdException w:name="HTML Sample" w:qFormat="1"/>
    <w:lsdException w:name="HTML Typewriter" w:qFormat="1"/>
    <w:lsdException w:name="HTML Variable" w:qFormat="1"/>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autoRedefine/>
    <w:qFormat/>
    <w:pPr>
      <w:keepNext/>
      <w:keepLines/>
      <w:spacing w:before="340" w:afterLines="25" w:line="578" w:lineRule="auto"/>
      <w:outlineLvl w:val="0"/>
    </w:pPr>
    <w:rPr>
      <w:rFonts w:ascii="Arial" w:eastAsia="宋体" w:hAnsi="Arial" w:cs="Times New Roman"/>
      <w:b/>
      <w:bCs/>
      <w:kern w:val="44"/>
      <w:sz w:val="44"/>
      <w:szCs w:val="44"/>
    </w:rPr>
  </w:style>
  <w:style w:type="paragraph" w:styleId="Heading2">
    <w:name w:val="heading 2"/>
    <w:basedOn w:val="Heading3"/>
    <w:next w:val="Heading4"/>
    <w:link w:val="2Char"/>
    <w:autoRedefine/>
    <w:uiPriority w:val="9"/>
    <w:semiHidden/>
    <w:unhideWhenUsed/>
    <w:qFormat/>
    <w:pPr>
      <w:keepNext/>
      <w:keepLines/>
      <w:spacing w:before="260" w:after="260" w:line="416" w:lineRule="auto"/>
      <w:outlineLvl w:val="1"/>
    </w:pPr>
    <w:rPr>
      <w:rFonts w:asciiTheme="majorHAnsi" w:eastAsiaTheme="majorEastAsia" w:hAnsiTheme="majorHAnsi" w:cstheme="majorBidi"/>
      <w:sz w:val="32"/>
      <w:szCs w:val="32"/>
    </w:rPr>
  </w:style>
  <w:style w:type="paragraph" w:styleId="Heading3">
    <w:name w:val="heading 3"/>
    <w:basedOn w:val="Normal"/>
    <w:next w:val="Normal"/>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autoRedefine/>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NormalIndent">
    <w:name w:val="Normal Indent"/>
    <w:basedOn w:val="Normal"/>
    <w:autoRedefine/>
    <w:qFormat/>
    <w:pPr>
      <w:ind w:firstLine="420"/>
    </w:pPr>
    <w:rPr>
      <w:szCs w:val="20"/>
    </w:rPr>
  </w:style>
  <w:style w:type="paragraph" w:styleId="DocumentMap">
    <w:name w:val="Document Map"/>
    <w:basedOn w:val="Normal"/>
    <w:autoRedefine/>
    <w:uiPriority w:val="99"/>
    <w:semiHidden/>
    <w:unhideWhenUsed/>
    <w:qFormat/>
    <w:rPr>
      <w:rFonts w:ascii="宋体" w:eastAsia="宋体"/>
      <w:sz w:val="18"/>
      <w:szCs w:val="18"/>
    </w:rPr>
  </w:style>
  <w:style w:type="paragraph" w:styleId="CommentText">
    <w:name w:val="annotation text"/>
    <w:basedOn w:val="Normal"/>
    <w:autoRedefine/>
    <w:uiPriority w:val="99"/>
    <w:unhideWhenUsed/>
    <w:qFormat/>
    <w:pPr>
      <w:jc w:val="left"/>
    </w:pPr>
  </w:style>
  <w:style w:type="paragraph" w:styleId="BodyText">
    <w:name w:val="Body Text"/>
    <w:basedOn w:val="Normal"/>
    <w:autoRedefine/>
    <w:qFormat/>
    <w:pPr>
      <w:spacing w:line="360" w:lineRule="auto"/>
    </w:pPr>
    <w:rPr>
      <w:b/>
      <w:bCs/>
      <w:sz w:val="24"/>
    </w:rPr>
  </w:style>
  <w:style w:type="paragraph" w:styleId="BalloonText">
    <w:name w:val="Balloon Text"/>
    <w:basedOn w:val="Normal"/>
    <w:autoRedefine/>
    <w:uiPriority w:val="99"/>
    <w:semiHidden/>
    <w:unhideWhenUsed/>
    <w:qFormat/>
    <w:rPr>
      <w:sz w:val="18"/>
      <w:szCs w:val="18"/>
    </w:rPr>
  </w:style>
  <w:style w:type="paragraph" w:styleId="Footer">
    <w:name w:val="footer"/>
    <w:basedOn w:val="Normal"/>
    <w:autoRedefine/>
    <w:uiPriority w:val="99"/>
    <w:unhideWhenUsed/>
    <w:qFormat/>
    <w:pPr>
      <w:tabs>
        <w:tab w:val="center" w:pos="4153"/>
        <w:tab w:val="right" w:pos="8306"/>
      </w:tabs>
      <w:snapToGrid w:val="0"/>
      <w:jc w:val="left"/>
    </w:pPr>
    <w:rPr>
      <w:sz w:val="18"/>
      <w:szCs w:val="18"/>
    </w:rPr>
  </w:style>
  <w:style w:type="paragraph" w:styleId="Header">
    <w:name w:val="header"/>
    <w:basedOn w:val="Normal"/>
    <w:autoRedefine/>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autoRedefine/>
    <w:qFormat/>
    <w:pPr>
      <w:spacing w:line="360" w:lineRule="auto"/>
    </w:pPr>
    <w:rPr>
      <w:sz w:val="24"/>
    </w:rPr>
  </w:style>
  <w:style w:type="paragraph" w:styleId="NormalWeb">
    <w:name w:val="Normal (Web)"/>
    <w:basedOn w:val="Normal"/>
    <w:autoRedefine/>
    <w:uiPriority w:val="99"/>
    <w:qFormat/>
    <w:pPr>
      <w:widowControl/>
      <w:spacing w:before="100" w:beforeAutospacing="1" w:afterAutospacing="1"/>
      <w:jc w:val="left"/>
    </w:pPr>
    <w:rPr>
      <w:rFonts w:ascii="宋体" w:hAnsi="宋体"/>
      <w:sz w:val="24"/>
      <w:szCs w:val="24"/>
    </w:rPr>
  </w:style>
  <w:style w:type="paragraph" w:styleId="CommentSubject">
    <w:name w:val="annotation subject"/>
    <w:basedOn w:val="CommentText"/>
    <w:autoRedefine/>
    <w:uiPriority w:val="99"/>
    <w:semiHidden/>
    <w:unhideWhenUsed/>
    <w:qFormat/>
    <w:rPr>
      <w:b/>
      <w:bCs/>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autoRedefine/>
    <w:uiPriority w:val="22"/>
    <w:qFormat/>
    <w:rPr>
      <w:b/>
      <w:bCs/>
    </w:rPr>
  </w:style>
  <w:style w:type="character" w:styleId="FollowedHyperlink">
    <w:name w:val="FollowedHyperlink"/>
    <w:basedOn w:val="DefaultParagraphFont"/>
    <w:autoRedefine/>
    <w:uiPriority w:val="99"/>
    <w:semiHidden/>
    <w:unhideWhenUsed/>
    <w:qFormat/>
    <w:rPr>
      <w:color w:val="800080" w:themeColor="followedHyperlink"/>
      <w:u w:val="single"/>
    </w:rPr>
  </w:style>
  <w:style w:type="character" w:styleId="Emphasis">
    <w:name w:val="Emphasis"/>
    <w:basedOn w:val="DefaultParagraphFont"/>
    <w:autoRedefine/>
    <w:uiPriority w:val="20"/>
    <w:qFormat/>
    <w:rPr>
      <w:b/>
      <w:bCs/>
    </w:rPr>
  </w:style>
  <w:style w:type="character" w:styleId="HTMLDefinition">
    <w:name w:val="HTML Definition"/>
    <w:basedOn w:val="DefaultParagraphFont"/>
    <w:autoRedefine/>
    <w:uiPriority w:val="99"/>
    <w:semiHidden/>
    <w:unhideWhenUsed/>
    <w:qFormat/>
  </w:style>
  <w:style w:type="character" w:styleId="HTMLTypewriter">
    <w:name w:val="HTML Typewriter"/>
    <w:basedOn w:val="DefaultParagraphFont"/>
    <w:autoRedefine/>
    <w:uiPriority w:val="99"/>
    <w:semiHidden/>
    <w:unhideWhenUsed/>
    <w:qFormat/>
    <w:rPr>
      <w:rFonts w:ascii="monospace" w:eastAsia="monospace" w:hAnsi="monospace" w:cs="monospace" w:hint="default"/>
      <w:sz w:val="20"/>
    </w:rPr>
  </w:style>
  <w:style w:type="character" w:styleId="HTMLAcronym">
    <w:name w:val="HTML Acronym"/>
    <w:basedOn w:val="DefaultParagraphFont"/>
    <w:autoRedefine/>
    <w:uiPriority w:val="99"/>
    <w:semiHidden/>
    <w:unhideWhenUsed/>
    <w:qFormat/>
  </w:style>
  <w:style w:type="character" w:styleId="HTMLVariable">
    <w:name w:val="HTML Variable"/>
    <w:basedOn w:val="DefaultParagraphFont"/>
    <w:autoRedefine/>
    <w:uiPriority w:val="99"/>
    <w:semiHidden/>
    <w:unhideWhenUsed/>
    <w:qFormat/>
  </w:style>
  <w:style w:type="character" w:styleId="Hyperlink">
    <w:name w:val="Hyperlink"/>
    <w:basedOn w:val="DefaultParagraphFont"/>
    <w:autoRedefine/>
    <w:uiPriority w:val="99"/>
    <w:unhideWhenUsed/>
    <w:qFormat/>
    <w:rPr>
      <w:color w:val="0000FF" w:themeColor="hyperlink"/>
      <w:u w:val="single"/>
    </w:rPr>
  </w:style>
  <w:style w:type="character" w:styleId="HTMLCode">
    <w:name w:val="HTML Code"/>
    <w:basedOn w:val="DefaultParagraphFont"/>
    <w:autoRedefine/>
    <w:uiPriority w:val="99"/>
    <w:semiHidden/>
    <w:unhideWhenUsed/>
    <w:qFormat/>
    <w:rPr>
      <w:rFonts w:ascii="monospace" w:eastAsia="monospace" w:hAnsi="monospace" w:cs="monospace" w:hint="default"/>
      <w:sz w:val="20"/>
    </w:rPr>
  </w:style>
  <w:style w:type="character" w:styleId="CommentReference">
    <w:name w:val="annotation reference"/>
    <w:basedOn w:val="DefaultParagraphFont"/>
    <w:autoRedefine/>
    <w:uiPriority w:val="99"/>
    <w:semiHidden/>
    <w:unhideWhenUsed/>
    <w:qFormat/>
    <w:rPr>
      <w:sz w:val="21"/>
      <w:szCs w:val="21"/>
    </w:rPr>
  </w:style>
  <w:style w:type="character" w:styleId="HTMLCite">
    <w:name w:val="HTML Cite"/>
    <w:basedOn w:val="DefaultParagraphFont"/>
    <w:autoRedefine/>
    <w:uiPriority w:val="99"/>
    <w:semiHidden/>
    <w:unhideWhenUsed/>
    <w:qFormat/>
  </w:style>
  <w:style w:type="character" w:styleId="HTMLKeyboard">
    <w:name w:val="HTML Keyboard"/>
    <w:basedOn w:val="DefaultParagraphFont"/>
    <w:autoRedefine/>
    <w:uiPriority w:val="99"/>
    <w:semiHidden/>
    <w:unhideWhenUsed/>
    <w:qFormat/>
    <w:rPr>
      <w:rFonts w:ascii="monospace" w:eastAsia="monospace" w:hAnsi="monospace" w:cs="monospace"/>
      <w:sz w:val="20"/>
    </w:rPr>
  </w:style>
  <w:style w:type="character" w:styleId="HTMLSample">
    <w:name w:val="HTML Sample"/>
    <w:basedOn w:val="DefaultParagraphFont"/>
    <w:autoRedefine/>
    <w:uiPriority w:val="99"/>
    <w:semiHidden/>
    <w:unhideWhenUsed/>
    <w:qFormat/>
    <w:rPr>
      <w:rFonts w:ascii="monospace" w:eastAsia="monospace" w:hAnsi="monospace" w:cs="monospace" w:hint="default"/>
    </w:rPr>
  </w:style>
  <w:style w:type="character" w:customStyle="1" w:styleId="Char">
    <w:name w:val="页眉 Char"/>
    <w:basedOn w:val="DefaultParagraphFont"/>
    <w:autoRedefine/>
    <w:uiPriority w:val="99"/>
    <w:semiHidden/>
    <w:qFormat/>
    <w:rPr>
      <w:sz w:val="18"/>
      <w:szCs w:val="18"/>
    </w:rPr>
  </w:style>
  <w:style w:type="character" w:customStyle="1" w:styleId="Char0">
    <w:name w:val="页脚 Char"/>
    <w:basedOn w:val="DefaultParagraphFont"/>
    <w:autoRedefine/>
    <w:uiPriority w:val="99"/>
    <w:qFormat/>
    <w:rPr>
      <w:sz w:val="18"/>
      <w:szCs w:val="18"/>
    </w:rPr>
  </w:style>
  <w:style w:type="character" w:customStyle="1" w:styleId="Char1">
    <w:name w:val="批注框文本 Char"/>
    <w:basedOn w:val="DefaultParagraphFont"/>
    <w:autoRedefine/>
    <w:uiPriority w:val="99"/>
    <w:semiHidden/>
    <w:qFormat/>
    <w:rPr>
      <w:sz w:val="18"/>
      <w:szCs w:val="18"/>
    </w:rPr>
  </w:style>
  <w:style w:type="character" w:customStyle="1" w:styleId="Char2">
    <w:name w:val="普通(网站) Char"/>
    <w:autoRedefine/>
    <w:uiPriority w:val="99"/>
    <w:qFormat/>
    <w:rPr>
      <w:rFonts w:ascii="宋体" w:hAnsi="宋体"/>
      <w:sz w:val="24"/>
      <w:szCs w:val="24"/>
    </w:rPr>
  </w:style>
  <w:style w:type="character" w:customStyle="1" w:styleId="1Char">
    <w:name w:val="标题 1 Char"/>
    <w:basedOn w:val="DefaultParagraphFont"/>
    <w:link w:val="Heading1"/>
    <w:autoRedefine/>
    <w:qFormat/>
    <w:rPr>
      <w:rFonts w:ascii="Arial" w:eastAsia="宋体" w:hAnsi="Arial" w:cs="Times New Roman"/>
      <w:b/>
      <w:bCs/>
      <w:kern w:val="44"/>
      <w:sz w:val="44"/>
      <w:szCs w:val="44"/>
    </w:rPr>
  </w:style>
  <w:style w:type="paragraph" w:styleId="ListParagraph">
    <w:name w:val="List Paragraph"/>
    <w:basedOn w:val="Normal"/>
    <w:autoRedefine/>
    <w:uiPriority w:val="34"/>
    <w:qFormat/>
    <w:pPr>
      <w:ind w:firstLine="420" w:firstLineChars="200"/>
    </w:pPr>
  </w:style>
  <w:style w:type="character" w:customStyle="1" w:styleId="Char3">
    <w:name w:val="文档结构图 Char"/>
    <w:basedOn w:val="DefaultParagraphFont"/>
    <w:autoRedefine/>
    <w:uiPriority w:val="99"/>
    <w:semiHidden/>
    <w:qFormat/>
    <w:rPr>
      <w:rFonts w:ascii="宋体" w:eastAsia="宋体"/>
      <w:sz w:val="18"/>
      <w:szCs w:val="18"/>
    </w:rPr>
  </w:style>
  <w:style w:type="character" w:customStyle="1" w:styleId="2Char">
    <w:name w:val="标题 2 Char"/>
    <w:basedOn w:val="DefaultParagraphFont"/>
    <w:link w:val="Heading2"/>
    <w:autoRedefine/>
    <w:uiPriority w:val="9"/>
    <w:semiHidden/>
    <w:qFormat/>
    <w:rPr>
      <w:rFonts w:asciiTheme="majorHAnsi" w:eastAsiaTheme="majorEastAsia" w:hAnsiTheme="majorHAnsi" w:cstheme="majorBidi"/>
      <w:b/>
      <w:bCs/>
      <w:sz w:val="32"/>
      <w:szCs w:val="32"/>
    </w:rPr>
  </w:style>
  <w:style w:type="character" w:customStyle="1" w:styleId="Char4">
    <w:name w:val="批注文字 Char"/>
    <w:basedOn w:val="DefaultParagraphFont"/>
    <w:autoRedefine/>
    <w:uiPriority w:val="99"/>
    <w:qFormat/>
  </w:style>
  <w:style w:type="character" w:customStyle="1" w:styleId="3Char">
    <w:name w:val="标题 3 Char"/>
    <w:autoRedefine/>
    <w:qFormat/>
    <w:rPr>
      <w:rFonts w:ascii="黑体" w:eastAsia="黑体"/>
      <w:bCs/>
      <w:sz w:val="30"/>
    </w:rPr>
  </w:style>
  <w:style w:type="character" w:customStyle="1" w:styleId="Char5">
    <w:name w:val="批注主题 Char"/>
    <w:basedOn w:val="Char4"/>
    <w:autoRedefine/>
    <w:uiPriority w:val="99"/>
    <w:semiHidden/>
    <w:qFormat/>
    <w:rPr>
      <w:b/>
      <w:bCs/>
    </w:rPr>
  </w:style>
  <w:style w:type="table" w:customStyle="1" w:styleId="1">
    <w:name w:val="网格型1"/>
    <w:basedOn w:val="TableNormal"/>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over">
    <w:name w:val="hover"/>
    <w:basedOn w:val="DefaultParagraphFont"/>
    <w:autoRedefine/>
    <w:qFormat/>
    <w:rPr>
      <w:color w:val="2590EB"/>
      <w:shd w:val="clear" w:color="auto" w:fill="E9F4FD"/>
    </w:rPr>
  </w:style>
  <w:style w:type="character" w:customStyle="1" w:styleId="hover1">
    <w:name w:val="hover1"/>
    <w:basedOn w:val="DefaultParagraphFont"/>
    <w:autoRedefine/>
    <w:qFormat/>
  </w:style>
  <w:style w:type="character" w:customStyle="1" w:styleId="hover2">
    <w:name w:val="hover2"/>
    <w:basedOn w:val="DefaultParagraphFont"/>
    <w:autoRedefine/>
    <w:qFormat/>
    <w:rPr>
      <w:color w:val="2590EB"/>
    </w:rPr>
  </w:style>
  <w:style w:type="character" w:customStyle="1" w:styleId="hover3">
    <w:name w:val="hover3"/>
    <w:basedOn w:val="DefaultParagraphFont"/>
    <w:autoRedefine/>
    <w:qFormat/>
    <w:rPr>
      <w:color w:val="2590EB"/>
    </w:rPr>
  </w:style>
  <w:style w:type="character" w:customStyle="1" w:styleId="mini-outputtext1">
    <w:name w:val="mini-outputtext1"/>
    <w:basedOn w:val="DefaultParagraphFont"/>
    <w:autoRedefine/>
    <w:qFormat/>
  </w:style>
  <w:style w:type="character" w:customStyle="1" w:styleId="hover4">
    <w:name w:val="hover4"/>
    <w:basedOn w:val="DefaultParagraphFont"/>
    <w:autoRedefine/>
    <w:qFormat/>
    <w:rPr>
      <w:color w:val="2590EB"/>
      <w:shd w:val="clear" w:color="auto" w:fill="E9F4FD"/>
    </w:rPr>
  </w:style>
  <w:style w:type="character" w:customStyle="1" w:styleId="font31">
    <w:name w:val="font31"/>
    <w:autoRedefine/>
    <w:qFormat/>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13</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2024-01-17T08:37:18Z</dcterms:modified>
  <cp:revision>426</cp:revision>
</cp:coreProperties>
</file>

<file path=customXml/itemProps1.xml><?xml version="1.0" encoding="utf-8"?>
<ds:datastoreItem xmlns:ds="http://schemas.openxmlformats.org/officeDocument/2006/customXml" ds:itemID="{dafbe9e7-1dd8-4367-900c-97dc2dc5a730}">
  <ds:schemaRefs/>
</ds:datastoreItem>
</file>

<file path=customXml/itemProps2.xml><?xml version="1.0" encoding="utf-8"?>
<ds:datastoreItem xmlns:ds="http://schemas.openxmlformats.org/officeDocument/2006/customXml" ds:itemID="{e59a1dc2-b71a-41fc-867f-bd39a10f7cf7}">
  <ds:schemaRefs/>
</ds:datastoreItem>
</file>

<file path=customXml/itemProps3.xml><?xml version="1.0" encoding="utf-8"?>
<ds:datastoreItem xmlns:ds="http://schemas.openxmlformats.org/officeDocument/2006/customXml" ds:itemID="{192d1fda-2475-41bb-948a-2f15e61ec77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6654</Words>
  <Characters>37933</Characters>
  <Application>Microsoft Office Word</Application>
  <DocSecurity>0</DocSecurity>
  <Lines>316</Lines>
  <Paragraphs>88</Paragraphs>
  <ScaleCrop>false</ScaleCrop>
  <Company>Microsoft</Company>
  <LinksUpToDate>false</LinksUpToDate>
  <CharactersWithSpaces>44499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wjx</cp:lastModifiedBy>
  <cp:revision>426</cp:revision>
  <cp:lastPrinted>2021-01-15T01:17:00Z</cp:lastPrinted>
  <dcterms:created xsi:type="dcterms:W3CDTF">2021-03-03T00:56:00Z</dcterms:created>
  <dcterms:modified xsi:type="dcterms:W3CDTF">2024-03-08T06:39:23Z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B90B491A69E845D3A4AEA1C052BF2FCD_13</vt:lpwstr>
  </property>
  <property fmtid="{D5CDD505-2E9C-101B-9397-08002B2CF9AE}" pid="3" name="KSOProductBuildVer">
    <vt:lpwstr>2052-12.1.0.16388</vt:lpwstr>
  </property>
</Properties>
</file>