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Times New Roman" w:eastAsia="宋体" w:hAnsi="Times New Roman" w:cs="Times New Roman" w:hint="eastAsia"/>
          <w:b/>
          <w:bCs/>
          <w:kern w:val="0"/>
          <w:sz w:val="40"/>
          <w:szCs w:val="40"/>
          <w:lang w:eastAsia="zh-CN"/>
        </w:rPr>
      </w:pPr>
      <w:bookmarkStart w:id="0" w:name="_GoBack"/>
      <w:bookmarkEnd w:id="0"/>
      <w:r>
        <w:rPr>
          <w:rFonts w:ascii="Times New Roman" w:eastAsia="宋体" w:hAnsi="Times New Roman" w:cs="Times New Roman" w:hint="eastAsia"/>
          <w:b/>
          <w:bCs/>
          <w:kern w:val="0"/>
          <w:sz w:val="40"/>
          <w:szCs w:val="40"/>
          <w:lang w:eastAsia="zh-CN"/>
        </w:rPr>
        <w:t>深圳市沙井中学理科实验考试设备采购项目</w:t>
      </w:r>
    </w:p>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rPr>
            </w:pPr>
            <w:r>
              <w:rPr>
                <w:sz w:val="30"/>
                <w:szCs w:val="30"/>
              </w:rPr>
              <w:t>项目编号：</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lang w:eastAsia="zh-CN"/>
              </w:rPr>
              <w:t>BACG2024000093</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项目名称：</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lang w:eastAsia="zh-CN"/>
              </w:rPr>
              <w:t>深圳市沙井中学理科实验考试设备采购项目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包</w:t>
            </w:r>
            <w:r>
              <w:rPr>
                <w:rFonts w:hint="eastAsia"/>
                <w:sz w:val="30"/>
                <w:szCs w:val="30"/>
                <w:lang w:val="en-US" w:eastAsia="zh-CN"/>
              </w:rPr>
              <w:t xml:space="preserve">    </w:t>
            </w:r>
            <w:r>
              <w:rPr>
                <w:sz w:val="30"/>
                <w:szCs w:val="30"/>
              </w:rPr>
              <w:t>号：</w:t>
            </w:r>
          </w:p>
        </w:tc>
        <w:tc>
          <w:tcPr>
            <w:tcW w:w="0" w:type="auto"/>
            <w:vAlign w:val="center"/>
          </w:tcPr>
          <w:p>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项目类型：</w:t>
            </w:r>
          </w:p>
        </w:tc>
        <w:tc>
          <w:tcPr>
            <w:tcW w:w="0" w:type="auto"/>
            <w:vAlign w:val="center"/>
          </w:tcPr>
          <w:p>
            <w:pPr>
              <w:rPr>
                <w:sz w:val="30"/>
                <w:szCs w:val="30"/>
              </w:rPr>
            </w:pPr>
            <w:r>
              <w:rPr>
                <w:rFonts w:hint="eastAsia"/>
                <w:sz w:val="30"/>
                <w:szCs w:val="30"/>
                <w:lang w:val="en-US" w:eastAsia="zh-CN"/>
              </w:rPr>
              <w:t>货物</w:t>
            </w:r>
            <w:r>
              <w:rPr>
                <w:sz w:val="30"/>
                <w:szCs w:val="30"/>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采购方式：</w:t>
            </w:r>
          </w:p>
        </w:tc>
        <w:tc>
          <w:tcPr>
            <w:tcW w:w="0" w:type="auto"/>
            <w:vAlign w:val="center"/>
          </w:tcPr>
          <w:p>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货币类型：</w:t>
            </w:r>
          </w:p>
        </w:tc>
        <w:tc>
          <w:tcPr>
            <w:tcW w:w="0" w:type="auto"/>
            <w:vAlign w:val="center"/>
          </w:tcPr>
          <w:p>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评标方法：</w:t>
            </w:r>
          </w:p>
        </w:tc>
        <w:tc>
          <w:tcPr>
            <w:tcW w:w="0" w:type="auto"/>
            <w:vAlign w:val="center"/>
          </w:tcPr>
          <w:p>
            <w:pPr>
              <w:rPr>
                <w:sz w:val="30"/>
                <w:szCs w:val="30"/>
              </w:rPr>
            </w:pPr>
            <w:r>
              <w:rPr>
                <w:sz w:val="30"/>
                <w:szCs w:val="30"/>
              </w:rPr>
              <w:t>综合评分法（新价格分算法）</w:t>
            </w:r>
          </w:p>
        </w:tc>
      </w:tr>
    </w:tbl>
    <w:p>
      <w:pPr>
        <w:tabs>
          <w:tab w:val="left" w:pos="2790"/>
        </w:tabs>
        <w:snapToGrid w:val="0"/>
        <w:spacing w:line="440" w:lineRule="exact"/>
        <w:jc w:val="left"/>
        <w:rPr>
          <w:rFonts w:asciiTheme="minorEastAsia" w:hAnsiTheme="minorEastAsia"/>
          <w:sz w:val="30"/>
          <w:szCs w:val="3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pPr>
        <w:tabs>
          <w:tab w:val="left" w:pos="2790"/>
        </w:tabs>
        <w:snapToGrid w:val="0"/>
        <w:jc w:val="center"/>
        <w:rPr>
          <w:rFonts w:ascii="黑体" w:eastAsia="黑体" w:hAnsi="黑体" w:cs="Times New Roman"/>
          <w:sz w:val="40"/>
          <w:szCs w:val="4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分项报价或投标总价不得高于</w:t>
            </w:r>
            <w:bookmarkStart w:id="1" w:name="_Hlk71832186"/>
            <w:r>
              <w:rPr>
                <w:rFonts w:hint="eastAsia"/>
              </w:rPr>
              <w:t>相应预算金额（或设定的预算金额下的最高限价）</w:t>
            </w:r>
            <w:bookmarkEnd w:id="1"/>
            <w:r>
              <w:rPr>
                <w:rFonts w:ascii="Calibri" w:eastAsia="宋体" w:hAnsi="Calibri" w:cs="Times New Roman"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》中作出声明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法律、法规、规章、规范性文件规定的其他情形。</w:t>
            </w:r>
          </w:p>
        </w:tc>
      </w:tr>
    </w:tbl>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pStyle w:val="NormalWeb"/>
        <w:keepNext w:val="0"/>
        <w:keepLines w:val="0"/>
        <w:pageBreakBefore w:val="0"/>
        <w:widowControl/>
        <w:kinsoku/>
        <w:wordWrap/>
        <w:overflowPunct/>
        <w:topLinePunct w:val="0"/>
        <w:autoSpaceDE/>
        <w:autoSpaceDN/>
        <w:bidi w:val="0"/>
        <w:adjustRightInd/>
        <w:snapToGrid/>
        <w:jc w:val="center"/>
        <w:textAlignment w:val="auto"/>
        <w:outlineLvl w:val="0"/>
        <w:rPr>
          <w:rFonts w:ascii="黑体" w:eastAsia="黑体"/>
          <w:sz w:val="40"/>
          <w:szCs w:val="40"/>
        </w:rPr>
      </w:pPr>
      <w:r>
        <w:rPr>
          <w:rFonts w:ascii="黑体" w:eastAsia="黑体" w:hAnsi="黑体" w:hint="eastAsia"/>
          <w:sz w:val="40"/>
          <w:szCs w:val="40"/>
        </w:rPr>
        <w:t>评标信息</w:t>
      </w:r>
    </w:p>
    <w:p>
      <w:r>
        <w:rPr>
          <w:rFonts w:ascii="宋体" w:hAnsi="宋体"/>
          <w:b/>
          <w:bCs/>
        </w:rPr>
        <w:t>评标方法：综合评分法（新价格分算法）</w:t>
      </w:r>
    </w:p>
    <w:p>
      <w:pPr>
        <w:spacing w:line="324" w:lineRule="auto"/>
        <w:ind w:firstLine="420"/>
      </w:pPr>
      <w:r>
        <w:rPr>
          <w:rFonts w:ascii="宋体" w:hAnsi="宋体"/>
        </w:rPr>
        <w:t>综合评分法，是指投标文件满足招标文件全部实质性要求，且按照评审因素的量化指标评审得分最高的投标人为中标候选人的评标方法。</w:t>
      </w:r>
      <w:r>
        <w:t xml:space="preserve"> </w:t>
      </w:r>
    </w:p>
    <w:p>
      <w:pPr>
        <w:ind w:firstLine="420"/>
      </w:pPr>
      <w:r>
        <w:rPr>
          <w:rFonts w:ascii="宋体" w:hAnsi="宋体"/>
        </w:rPr>
        <w:t>价格分计算方法：</w:t>
      </w:r>
    </w:p>
    <w:p>
      <w:r>
        <w:rPr>
          <w:rFonts w:ascii="宋体" w:hAnsi="宋体"/>
        </w:rPr>
        <w:t>采用低价优先法计算，即满足招标文件要求且投标价格最低的投标报价为评标基准价，其价格分为满分。其他投标人的价格分统一按照下列公式计算：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r>
      <w:r>
        <w:t>F1</w:t>
      </w:r>
      <w:r>
        <w:rPr>
          <w:rFonts w:ascii="宋体" w:hAnsi="宋体"/>
        </w:rPr>
        <w:t>、</w:t>
      </w:r>
      <w:r>
        <w:t>F2……Fn</w:t>
      </w:r>
      <w:r>
        <w:rPr>
          <w:rFonts w:ascii="宋体" w:hAnsi="宋体"/>
        </w:rPr>
        <w:t xml:space="preserve">分别为各项评审因素的得分； </w:t>
      </w:r>
      <w:r>
        <w:br/>
      </w:r>
      <w: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p>
      <w:pPr>
        <w:snapToGrid w:val="0"/>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
      <w:tblGrid>
        <w:gridCol w:w="618"/>
        <w:gridCol w:w="688"/>
        <w:gridCol w:w="1412"/>
        <w:gridCol w:w="993"/>
        <w:gridCol w:w="5361"/>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Ex>
        <w:trPr>
          <w:jc w:val="center"/>
        </w:trPr>
        <w:tc>
          <w:tcPr>
            <w:tcW w:w="61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序号</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1</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价格</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30</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2</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技术部分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50</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序号</w:t>
            </w:r>
          </w:p>
        </w:tc>
        <w:tc>
          <w:tcPr>
            <w:tcW w:w="141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141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b/>
                <w:sz w:val="21"/>
                <w:szCs w:val="21"/>
              </w:rPr>
            </w:pPr>
            <w:r>
              <w:rPr>
                <w:rFonts w:ascii="宋体" w:eastAsia="宋体" w:hAnsi="宋体" w:cs="宋体" w:hint="eastAsia"/>
                <w:bCs/>
                <w:sz w:val="21"/>
                <w:szCs w:val="21"/>
              </w:rPr>
              <w:t>非“▲”参数响应情况评价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keepNext w:val="0"/>
              <w:keepLines w:val="0"/>
              <w:pageBreakBefore w:val="0"/>
              <w:widowControl/>
              <w:kinsoku/>
              <w:wordWrap/>
              <w:overflowPunct/>
              <w:topLinePunct w:val="0"/>
              <w:bidi w:val="0"/>
              <w:spacing w:line="320" w:lineRule="exact"/>
              <w:jc w:val="left"/>
              <w:textAlignment w:val="auto"/>
              <w:rPr>
                <w:rFonts w:ascii="宋体" w:eastAsia="宋体" w:hAnsi="宋体" w:cs="宋体" w:hint="eastAsia"/>
                <w:b/>
                <w:color w:val="auto"/>
                <w:kern w:val="0"/>
                <w:sz w:val="21"/>
                <w:szCs w:val="21"/>
                <w:highlight w:val="none"/>
              </w:rPr>
            </w:pPr>
            <w:r>
              <w:rPr>
                <w:rFonts w:ascii="宋体" w:eastAsia="宋体" w:hAnsi="宋体" w:cs="宋体" w:hint="eastAsia"/>
                <w:b/>
                <w:color w:val="auto"/>
                <w:kern w:val="0"/>
                <w:sz w:val="21"/>
                <w:szCs w:val="21"/>
                <w:highlight w:val="none"/>
              </w:rPr>
              <w:t>（一）评审内容：</w:t>
            </w:r>
          </w:p>
          <w:p>
            <w:pPr>
              <w:keepNext w:val="0"/>
              <w:keepLines w:val="0"/>
              <w:pageBreakBefore w:val="0"/>
              <w:widowControl/>
              <w:kinsoku/>
              <w:wordWrap/>
              <w:overflowPunct/>
              <w:topLinePunct w:val="0"/>
              <w:bidi w:val="0"/>
              <w:spacing w:line="320" w:lineRule="exact"/>
              <w:jc w:val="left"/>
              <w:textAlignment w:val="auto"/>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rPr>
              <w:t>考察投标人对招标文件《第一册 专用条款 第三章 用户需求书：四、</w:t>
            </w:r>
            <w:r>
              <w:rPr>
                <w:rFonts w:ascii="宋体" w:eastAsia="宋体" w:hAnsi="宋体" w:cs="宋体" w:hint="eastAsia"/>
                <w:bCs/>
                <w:color w:val="auto"/>
                <w:kern w:val="0"/>
                <w:sz w:val="21"/>
                <w:szCs w:val="21"/>
                <w:highlight w:val="none"/>
              </w:rPr>
              <w:t>技术要求部分</w:t>
            </w:r>
            <w:r>
              <w:rPr>
                <w:rFonts w:ascii="宋体" w:eastAsia="宋体" w:hAnsi="宋体" w:cs="宋体" w:hint="eastAsia"/>
                <w:color w:val="auto"/>
                <w:kern w:val="0"/>
                <w:sz w:val="21"/>
                <w:szCs w:val="21"/>
                <w:highlight w:val="none"/>
              </w:rPr>
              <w:t>》内容中的</w:t>
            </w:r>
            <w:r>
              <w:rPr>
                <w:rFonts w:ascii="宋体" w:eastAsia="宋体" w:hAnsi="宋体" w:cs="宋体" w:hint="eastAsia"/>
                <w:b/>
                <w:bCs/>
                <w:color w:val="0000FF"/>
                <w:kern w:val="0"/>
                <w:sz w:val="21"/>
                <w:szCs w:val="21"/>
                <w:highlight w:val="none"/>
                <w:lang w:val="en-US" w:eastAsia="zh-CN"/>
              </w:rPr>
              <w:t>非</w:t>
            </w:r>
            <w:r>
              <w:rPr>
                <w:rFonts w:ascii="宋体" w:eastAsia="宋体" w:hAnsi="宋体" w:cs="宋体" w:hint="eastAsia"/>
                <w:b/>
                <w:bCs/>
                <w:color w:val="0000FF"/>
                <w:kern w:val="0"/>
                <w:sz w:val="21"/>
                <w:szCs w:val="21"/>
                <w:highlight w:val="none"/>
              </w:rPr>
              <w:t>“▲”参数</w:t>
            </w:r>
            <w:r>
              <w:rPr>
                <w:rFonts w:ascii="宋体" w:eastAsia="宋体" w:hAnsi="宋体" w:cs="宋体" w:hint="eastAsia"/>
                <w:color w:val="auto"/>
                <w:kern w:val="0"/>
                <w:sz w:val="21"/>
                <w:szCs w:val="21"/>
                <w:highlight w:val="none"/>
              </w:rPr>
              <w:t>响应情况。</w:t>
            </w:r>
          </w:p>
          <w:p>
            <w:pPr>
              <w:keepNext w:val="0"/>
              <w:keepLines w:val="0"/>
              <w:pageBreakBefore w:val="0"/>
              <w:kinsoku/>
              <w:wordWrap/>
              <w:overflowPunct/>
              <w:topLinePunct w:val="0"/>
              <w:bidi w:val="0"/>
              <w:spacing w:line="32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（二）评审依据：</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0"/>
                <w:sz w:val="21"/>
                <w:szCs w:val="21"/>
                <w:highlight w:val="none"/>
              </w:rPr>
              <w:t>以投标文件《技术要求偏离表》为评审依据，完全符合招标要求的，得100分。有1项</w:t>
            </w:r>
            <w:r>
              <w:rPr>
                <w:rFonts w:ascii="宋体" w:eastAsia="宋体" w:hAnsi="宋体" w:cs="宋体" w:hint="eastAsia"/>
                <w:b/>
                <w:bCs/>
                <w:color w:val="0000FF"/>
                <w:kern w:val="0"/>
                <w:sz w:val="21"/>
                <w:szCs w:val="21"/>
                <w:highlight w:val="none"/>
                <w:lang w:val="en-US" w:eastAsia="zh-CN"/>
              </w:rPr>
              <w:t>非</w:t>
            </w:r>
            <w:r>
              <w:rPr>
                <w:rFonts w:ascii="宋体" w:eastAsia="宋体" w:hAnsi="宋体" w:cs="宋体" w:hint="eastAsia"/>
                <w:b/>
                <w:bCs/>
                <w:color w:val="0000FF"/>
                <w:kern w:val="0"/>
                <w:sz w:val="21"/>
                <w:szCs w:val="21"/>
                <w:highlight w:val="none"/>
              </w:rPr>
              <w:t>“▲”参数</w:t>
            </w:r>
            <w:r>
              <w:rPr>
                <w:rFonts w:ascii="宋体" w:eastAsia="宋体" w:hAnsi="宋体" w:cs="宋体" w:hint="eastAsia"/>
                <w:color w:val="auto"/>
                <w:kern w:val="0"/>
                <w:sz w:val="21"/>
                <w:szCs w:val="21"/>
                <w:highlight w:val="none"/>
              </w:rPr>
              <w:t>不符合招标要求（或缺漏）的扣</w:t>
            </w:r>
            <w:r>
              <w:rPr>
                <w:rFonts w:ascii="宋体" w:eastAsia="宋体" w:hAnsi="宋体" w:cs="宋体" w:hint="eastAsia"/>
                <w:color w:val="auto"/>
                <w:kern w:val="0"/>
                <w:sz w:val="21"/>
                <w:szCs w:val="21"/>
                <w:highlight w:val="none"/>
                <w:lang w:val="en-US" w:eastAsia="zh-CN"/>
              </w:rPr>
              <w:t>1.2</w:t>
            </w:r>
            <w:r>
              <w:rPr>
                <w:rFonts w:ascii="宋体" w:eastAsia="宋体" w:hAnsi="宋体" w:cs="宋体" w:hint="eastAsia"/>
                <w:color w:val="auto"/>
                <w:kern w:val="0"/>
                <w:sz w:val="21"/>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2</w:t>
            </w:r>
          </w:p>
        </w:tc>
        <w:tc>
          <w:tcPr>
            <w:tcW w:w="141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b/>
                <w:sz w:val="21"/>
                <w:szCs w:val="21"/>
              </w:rPr>
            </w:pPr>
            <w:r>
              <w:rPr>
                <w:rFonts w:ascii="宋体" w:eastAsia="宋体" w:hAnsi="宋体" w:cs="宋体" w:hint="eastAsia"/>
                <w:bCs/>
                <w:sz w:val="21"/>
                <w:szCs w:val="21"/>
              </w:rPr>
              <w:t>“▲”参数响应情况评价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35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widowControl/>
              <w:kinsoku/>
              <w:wordWrap/>
              <w:overflowPunct/>
              <w:topLinePunct w:val="0"/>
              <w:bidi w:val="0"/>
              <w:spacing w:line="320" w:lineRule="exact"/>
              <w:jc w:val="left"/>
              <w:textAlignment w:val="auto"/>
              <w:rPr>
                <w:rFonts w:ascii="宋体" w:eastAsia="宋体" w:hAnsi="宋体" w:cs="宋体" w:hint="eastAsia"/>
                <w:b/>
                <w:color w:val="auto"/>
                <w:kern w:val="0"/>
                <w:sz w:val="21"/>
                <w:szCs w:val="21"/>
                <w:highlight w:val="none"/>
              </w:rPr>
            </w:pPr>
            <w:r>
              <w:rPr>
                <w:rFonts w:ascii="宋体" w:eastAsia="宋体" w:hAnsi="宋体" w:cs="宋体" w:hint="eastAsia"/>
                <w:b/>
                <w:color w:val="auto"/>
                <w:kern w:val="0"/>
                <w:sz w:val="21"/>
                <w:szCs w:val="21"/>
                <w:highlight w:val="none"/>
              </w:rPr>
              <w:t>（一）评审内容：</w:t>
            </w:r>
          </w:p>
          <w:p>
            <w:pPr>
              <w:keepNext w:val="0"/>
              <w:keepLines w:val="0"/>
              <w:pageBreakBefore w:val="0"/>
              <w:widowControl/>
              <w:kinsoku/>
              <w:wordWrap/>
              <w:overflowPunct/>
              <w:topLinePunct w:val="0"/>
              <w:bidi w:val="0"/>
              <w:spacing w:line="320" w:lineRule="exact"/>
              <w:jc w:val="left"/>
              <w:textAlignment w:val="auto"/>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rPr>
              <w:t>考察投标人对招标文件《第一册 专用条款 第三章 用户需求书：四、</w:t>
            </w:r>
            <w:r>
              <w:rPr>
                <w:rFonts w:ascii="宋体" w:eastAsia="宋体" w:hAnsi="宋体" w:cs="宋体" w:hint="eastAsia"/>
                <w:bCs/>
                <w:color w:val="auto"/>
                <w:kern w:val="0"/>
                <w:sz w:val="21"/>
                <w:szCs w:val="21"/>
                <w:highlight w:val="none"/>
              </w:rPr>
              <w:t>技术要求部分</w:t>
            </w:r>
            <w:r>
              <w:rPr>
                <w:rFonts w:ascii="宋体" w:eastAsia="宋体" w:hAnsi="宋体" w:cs="宋体" w:hint="eastAsia"/>
                <w:color w:val="auto"/>
                <w:kern w:val="0"/>
                <w:sz w:val="21"/>
                <w:szCs w:val="21"/>
                <w:highlight w:val="none"/>
              </w:rPr>
              <w:t>》内容中的</w:t>
            </w:r>
            <w:r>
              <w:rPr>
                <w:rFonts w:ascii="宋体" w:eastAsia="宋体" w:hAnsi="宋体" w:cs="宋体" w:hint="eastAsia"/>
                <w:b/>
                <w:bCs/>
                <w:color w:val="0000FF"/>
                <w:kern w:val="0"/>
                <w:sz w:val="21"/>
                <w:szCs w:val="21"/>
                <w:highlight w:val="none"/>
              </w:rPr>
              <w:t>“▲”参数</w:t>
            </w:r>
            <w:r>
              <w:rPr>
                <w:rFonts w:ascii="宋体" w:eastAsia="宋体" w:hAnsi="宋体" w:cs="宋体" w:hint="eastAsia"/>
                <w:color w:val="auto"/>
                <w:kern w:val="0"/>
                <w:sz w:val="21"/>
                <w:szCs w:val="21"/>
                <w:highlight w:val="none"/>
              </w:rPr>
              <w:t>响应情况。</w:t>
            </w:r>
          </w:p>
          <w:p>
            <w:pPr>
              <w:keepNext w:val="0"/>
              <w:keepLines w:val="0"/>
              <w:pageBreakBefore w:val="0"/>
              <w:kinsoku/>
              <w:wordWrap/>
              <w:overflowPunct/>
              <w:topLinePunct w:val="0"/>
              <w:bidi w:val="0"/>
              <w:spacing w:line="320" w:lineRule="exact"/>
              <w:textAlignment w:val="auto"/>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（二）评审依据：</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color w:val="auto"/>
                <w:sz w:val="21"/>
                <w:szCs w:val="21"/>
                <w:highlight w:val="none"/>
              </w:rPr>
            </w:pPr>
            <w:r>
              <w:rPr>
                <w:rFonts w:ascii="宋体" w:eastAsia="宋体" w:hAnsi="宋体" w:cs="宋体" w:hint="eastAsia"/>
                <w:color w:val="auto"/>
                <w:kern w:val="0"/>
                <w:sz w:val="21"/>
                <w:szCs w:val="21"/>
                <w:highlight w:val="none"/>
              </w:rPr>
              <w:t>以投标文件《技术要求偏离表》为评审依据，完全符合招标要求的，得100分。有1项</w:t>
            </w:r>
            <w:r>
              <w:rPr>
                <w:rFonts w:ascii="宋体" w:eastAsia="宋体" w:hAnsi="宋体" w:cs="宋体" w:hint="eastAsia"/>
                <w:b/>
                <w:bCs/>
                <w:color w:val="0000FF"/>
                <w:kern w:val="0"/>
                <w:sz w:val="21"/>
                <w:szCs w:val="21"/>
                <w:highlight w:val="none"/>
              </w:rPr>
              <w:t>“▲”参数</w:t>
            </w:r>
            <w:r>
              <w:rPr>
                <w:rFonts w:ascii="宋体" w:eastAsia="宋体" w:hAnsi="宋体" w:cs="宋体" w:hint="eastAsia"/>
                <w:color w:val="auto"/>
                <w:kern w:val="0"/>
                <w:sz w:val="21"/>
                <w:szCs w:val="21"/>
                <w:highlight w:val="none"/>
              </w:rPr>
              <w:t>不符合招标要求（或缺漏）的扣</w:t>
            </w:r>
            <w:r>
              <w:rPr>
                <w:rFonts w:ascii="宋体" w:eastAsia="宋体" w:hAnsi="宋体" w:cs="宋体" w:hint="eastAsia"/>
                <w:color w:val="auto"/>
                <w:kern w:val="0"/>
                <w:sz w:val="21"/>
                <w:szCs w:val="21"/>
                <w:highlight w:val="none"/>
                <w:lang w:val="en-US" w:eastAsia="zh-CN"/>
              </w:rPr>
              <w:t>10</w:t>
            </w:r>
            <w:r>
              <w:rPr>
                <w:rFonts w:ascii="宋体" w:eastAsia="宋体" w:hAnsi="宋体" w:cs="宋体" w:hint="eastAsia"/>
                <w:color w:val="auto"/>
                <w:kern w:val="0"/>
                <w:sz w:val="21"/>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3</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lang w:val="en-US" w:eastAsia="zh-CN"/>
              </w:rPr>
              <w:t>商务</w:t>
            </w:r>
            <w:r>
              <w:rPr>
                <w:rFonts w:ascii="宋体" w:eastAsia="宋体" w:hAnsi="宋体" w:cs="宋体" w:hint="eastAsia"/>
                <w:b/>
                <w:bCs/>
                <w:sz w:val="21"/>
                <w:szCs w:val="21"/>
              </w:rPr>
              <w:t>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15</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序号</w:t>
            </w:r>
          </w:p>
        </w:tc>
        <w:tc>
          <w:tcPr>
            <w:tcW w:w="141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141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认证情况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9</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left"/>
              <w:textAlignment w:val="auto"/>
              <w:rPr>
                <w:rFonts w:ascii="宋体" w:eastAsia="宋体" w:hAnsi="宋体" w:cs="宋体" w:hint="eastAsia"/>
                <w:bCs/>
                <w:sz w:val="21"/>
                <w:szCs w:val="21"/>
              </w:rPr>
            </w:pPr>
            <w:r>
              <w:rPr>
                <w:rFonts w:ascii="宋体" w:eastAsia="宋体" w:hAnsi="宋体" w:cs="宋体" w:hint="eastAsia"/>
                <w:bCs/>
                <w:sz w:val="21"/>
                <w:szCs w:val="21"/>
              </w:rPr>
              <w:t>（一）评审内容：</w:t>
            </w:r>
          </w:p>
          <w:p>
            <w:pPr>
              <w:keepNext w:val="0"/>
              <w:keepLines w:val="0"/>
              <w:pageBreakBefore w:val="0"/>
              <w:kinsoku/>
              <w:wordWrap/>
              <w:overflowPunct/>
              <w:topLinePunct w:val="0"/>
              <w:bidi w:val="0"/>
              <w:spacing w:line="320" w:lineRule="exact"/>
              <w:textAlignment w:val="auto"/>
              <w:rPr>
                <w:rFonts w:ascii="宋体" w:eastAsia="宋体" w:hAnsi="宋体" w:cs="宋体" w:hint="eastAsia"/>
                <w:bCs/>
                <w:sz w:val="21"/>
                <w:szCs w:val="21"/>
              </w:rPr>
            </w:pPr>
            <w:r>
              <w:rPr>
                <w:rFonts w:ascii="宋体" w:eastAsia="宋体" w:hAnsi="宋体" w:cs="宋体" w:hint="eastAsia"/>
                <w:bCs/>
                <w:sz w:val="21"/>
                <w:szCs w:val="21"/>
              </w:rPr>
              <w:t>投标人</w:t>
            </w:r>
            <w:r>
              <w:rPr>
                <w:rFonts w:ascii="宋体" w:eastAsia="宋体" w:hAnsi="宋体" w:cs="宋体" w:hint="eastAsia"/>
                <w:bCs/>
                <w:sz w:val="21"/>
                <w:szCs w:val="21"/>
                <w:lang w:val="en-US" w:eastAsia="zh-CN"/>
              </w:rPr>
              <w:t>具有</w:t>
            </w:r>
            <w:r>
              <w:rPr>
                <w:rFonts w:ascii="宋体" w:eastAsia="宋体" w:hAnsi="宋体" w:cs="宋体" w:hint="eastAsia"/>
                <w:bCs/>
                <w:sz w:val="21"/>
                <w:szCs w:val="21"/>
              </w:rPr>
              <w:t>：</w:t>
            </w:r>
          </w:p>
          <w:p>
            <w:pPr>
              <w:keepNext w:val="0"/>
              <w:keepLines w:val="0"/>
              <w:pageBreakBefore w:val="0"/>
              <w:numPr>
                <w:ilvl w:val="0"/>
                <w:numId w:val="1"/>
              </w:numPr>
              <w:kinsoku/>
              <w:wordWrap/>
              <w:overflowPunct/>
              <w:topLinePunct w:val="0"/>
              <w:bidi w:val="0"/>
              <w:spacing w:line="320" w:lineRule="exact"/>
              <w:textAlignment w:val="auto"/>
              <w:rPr>
                <w:rFonts w:ascii="宋体" w:eastAsia="宋体" w:hAnsi="宋体" w:cs="宋体" w:hint="eastAsia"/>
                <w:bCs/>
                <w:sz w:val="21"/>
                <w:szCs w:val="21"/>
              </w:rPr>
            </w:pPr>
            <w:r>
              <w:rPr>
                <w:rFonts w:ascii="宋体" w:eastAsia="宋体" w:hAnsi="宋体" w:cs="宋体" w:hint="eastAsia"/>
                <w:bCs/>
                <w:sz w:val="21"/>
                <w:szCs w:val="21"/>
              </w:rPr>
              <w:t>质量管理体系认证证书（ISO9001）且认证范围应包含计算机硬件安装与销售；</w:t>
            </w:r>
          </w:p>
          <w:p>
            <w:pPr>
              <w:keepNext w:val="0"/>
              <w:keepLines w:val="0"/>
              <w:pageBreakBefore w:val="0"/>
              <w:numPr>
                <w:ilvl w:val="0"/>
                <w:numId w:val="1"/>
              </w:numPr>
              <w:kinsoku/>
              <w:wordWrap/>
              <w:overflowPunct/>
              <w:topLinePunct w:val="0"/>
              <w:bidi w:val="0"/>
              <w:spacing w:line="320" w:lineRule="exact"/>
              <w:textAlignment w:val="auto"/>
              <w:rPr>
                <w:rFonts w:ascii="宋体" w:eastAsia="宋体" w:hAnsi="宋体" w:cs="宋体" w:hint="eastAsia"/>
                <w:bCs/>
                <w:sz w:val="21"/>
                <w:szCs w:val="21"/>
              </w:rPr>
            </w:pPr>
            <w:r>
              <w:rPr>
                <w:rFonts w:ascii="宋体" w:eastAsia="宋体" w:hAnsi="宋体" w:cs="宋体" w:hint="eastAsia"/>
                <w:bCs/>
                <w:sz w:val="21"/>
                <w:szCs w:val="21"/>
              </w:rPr>
              <w:t>环境管理体系认证证书（ISO14001）且认证范围应包含计算机硬件安装与销售；</w:t>
            </w:r>
          </w:p>
          <w:p>
            <w:pPr>
              <w:keepNext w:val="0"/>
              <w:keepLines w:val="0"/>
              <w:pageBreakBefore w:val="0"/>
              <w:numPr>
                <w:ilvl w:val="0"/>
                <w:numId w:val="1"/>
              </w:numPr>
              <w:kinsoku/>
              <w:wordWrap/>
              <w:overflowPunct/>
              <w:topLinePunct w:val="0"/>
              <w:bidi w:val="0"/>
              <w:spacing w:line="320" w:lineRule="exact"/>
              <w:textAlignment w:val="auto"/>
              <w:rPr>
                <w:rFonts w:ascii="宋体" w:eastAsia="宋体" w:hAnsi="宋体" w:cs="宋体" w:hint="eastAsia"/>
                <w:bCs/>
                <w:sz w:val="21"/>
                <w:szCs w:val="21"/>
              </w:rPr>
            </w:pPr>
            <w:r>
              <w:rPr>
                <w:rFonts w:ascii="宋体" w:eastAsia="宋体" w:hAnsi="宋体" w:cs="宋体" w:hint="eastAsia"/>
                <w:bCs/>
                <w:sz w:val="21"/>
                <w:szCs w:val="21"/>
              </w:rPr>
              <w:t>职业健康安全管理体系认证证书（ISO45001或OHSAS18001）且认证范围应包含计算机硬件安装与销售；</w:t>
            </w:r>
          </w:p>
          <w:p>
            <w:pPr>
              <w:keepNext w:val="0"/>
              <w:keepLines w:val="0"/>
              <w:pageBreakBefore w:val="0"/>
              <w:kinsoku/>
              <w:wordWrap/>
              <w:overflowPunct/>
              <w:topLinePunct w:val="0"/>
              <w:bidi w:val="0"/>
              <w:spacing w:line="320" w:lineRule="exact"/>
              <w:textAlignment w:val="auto"/>
              <w:rPr>
                <w:rFonts w:ascii="宋体" w:eastAsia="宋体" w:hAnsi="宋体" w:cs="宋体" w:hint="eastAsia"/>
                <w:sz w:val="21"/>
                <w:szCs w:val="21"/>
              </w:rPr>
            </w:pPr>
            <w:r>
              <w:rPr>
                <w:rFonts w:ascii="宋体" w:eastAsia="宋体" w:hAnsi="宋体" w:cs="宋体" w:hint="eastAsia"/>
                <w:sz w:val="21"/>
                <w:szCs w:val="21"/>
              </w:rPr>
              <w:t>每提供1个得34分，最高得100分。</w:t>
            </w:r>
          </w:p>
          <w:p>
            <w:pPr>
              <w:keepNext w:val="0"/>
              <w:keepLines w:val="0"/>
              <w:pageBreakBefore w:val="0"/>
              <w:kinsoku/>
              <w:wordWrap/>
              <w:overflowPunct/>
              <w:topLinePunct w:val="0"/>
              <w:bidi w:val="0"/>
              <w:adjustRightInd w:val="0"/>
              <w:spacing w:line="320" w:lineRule="exact"/>
              <w:jc w:val="left"/>
              <w:textAlignment w:val="auto"/>
              <w:rPr>
                <w:rFonts w:ascii="宋体" w:eastAsia="宋体" w:hAnsi="宋体" w:cs="宋体" w:hint="eastAsia"/>
                <w:color w:val="0000FF"/>
                <w:sz w:val="21"/>
                <w:szCs w:val="21"/>
              </w:rPr>
            </w:pPr>
            <w:r>
              <w:rPr>
                <w:rFonts w:ascii="宋体" w:eastAsia="宋体" w:hAnsi="宋体" w:cs="宋体" w:hint="eastAsia"/>
                <w:color w:val="0000FF"/>
                <w:sz w:val="21"/>
                <w:szCs w:val="21"/>
              </w:rPr>
              <w:t>（二）评审依据：</w:t>
            </w:r>
          </w:p>
          <w:p>
            <w:pPr>
              <w:keepNext w:val="0"/>
              <w:keepLines w:val="0"/>
              <w:pageBreakBefore w:val="0"/>
              <w:kinsoku/>
              <w:wordWrap/>
              <w:overflowPunct/>
              <w:topLinePunct w:val="0"/>
              <w:bidi w:val="0"/>
              <w:adjustRightInd w:val="0"/>
              <w:spacing w:line="320" w:lineRule="exact"/>
              <w:jc w:val="left"/>
              <w:textAlignment w:val="auto"/>
              <w:rPr>
                <w:rFonts w:ascii="宋体" w:eastAsia="宋体" w:hAnsi="宋体" w:cs="宋体" w:hint="eastAsia"/>
                <w:color w:val="0000FF"/>
                <w:sz w:val="21"/>
                <w:szCs w:val="21"/>
              </w:rPr>
            </w:pPr>
            <w:r>
              <w:rPr>
                <w:rFonts w:ascii="宋体" w:eastAsia="宋体" w:hAnsi="宋体" w:cs="宋体" w:hint="eastAsia"/>
                <w:color w:val="0000FF"/>
                <w:sz w:val="21"/>
                <w:szCs w:val="21"/>
              </w:rPr>
              <w:t>1、提供相关认证机构颁发的有效期内的认证证书扫描件及认证信息查询截图（截图需显示证书状态为有效）。说明：①证书与查询信息截图必须同时提供，缺一不可。未同时提供的不得分，后果由投标人自行承担。②投标人应确保认证证书在开标当天仍处于有效状态，并对所提供的证书及查询截图的真实性负责，如出现与事实不符的情形，视同隐瞒真实情况，提供虚假资料，将依法承担相应的法律责任。③质疑投诉处理中对证书是否有效的认定，以国家认监委网站【全国认证认可信息公共服务平台（//cx.cnca.cn）】查询结果为准。</w:t>
            </w:r>
          </w:p>
          <w:p>
            <w:pPr>
              <w:keepNext w:val="0"/>
              <w:keepLines w:val="0"/>
              <w:pageBreakBefore w:val="0"/>
              <w:kinsoku/>
              <w:wordWrap/>
              <w:overflowPunct/>
              <w:topLinePunct w:val="0"/>
              <w:bidi w:val="0"/>
              <w:adjustRightInd w:val="0"/>
              <w:spacing w:line="320" w:lineRule="exact"/>
              <w:jc w:val="left"/>
              <w:textAlignment w:val="auto"/>
              <w:rPr>
                <w:rFonts w:ascii="宋体" w:eastAsia="宋体" w:hAnsi="宋体" w:cs="宋体" w:hint="eastAsia"/>
                <w:sz w:val="21"/>
                <w:szCs w:val="21"/>
              </w:rPr>
            </w:pPr>
            <w:r>
              <w:rPr>
                <w:rFonts w:ascii="宋体" w:eastAsia="宋体" w:hAnsi="宋体" w:cs="宋体" w:hint="eastAsia"/>
                <w:color w:val="0000FF"/>
                <w:sz w:val="21"/>
                <w:szCs w:val="21"/>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2</w:t>
            </w:r>
          </w:p>
        </w:tc>
        <w:tc>
          <w:tcPr>
            <w:tcW w:w="141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知识产权产品（创新、设计）情况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pacing w:line="320" w:lineRule="exact"/>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4</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numPr>
                <w:ilvl w:val="0"/>
                <w:numId w:val="2"/>
              </w:numPr>
              <w:kinsoku/>
              <w:wordWrap/>
              <w:overflowPunct/>
              <w:topLinePunct w:val="0"/>
              <w:bidi w:val="0"/>
              <w:spacing w:line="320" w:lineRule="exact"/>
              <w:jc w:val="left"/>
              <w:textAlignment w:val="auto"/>
              <w:rPr>
                <w:rFonts w:ascii="宋体" w:eastAsia="宋体" w:hAnsi="宋体" w:cs="宋体" w:hint="eastAsia"/>
                <w:sz w:val="21"/>
                <w:szCs w:val="21"/>
              </w:rPr>
            </w:pPr>
            <w:r>
              <w:rPr>
                <w:rFonts w:ascii="宋体" w:eastAsia="宋体" w:hAnsi="宋体" w:cs="宋体" w:hint="eastAsia"/>
                <w:sz w:val="21"/>
                <w:szCs w:val="21"/>
              </w:rPr>
              <w:t>评分内容：</w:t>
            </w:r>
            <w:r>
              <w:rPr>
                <w:rFonts w:ascii="宋体" w:eastAsia="宋体" w:hAnsi="宋体" w:cs="宋体" w:hint="eastAsia"/>
                <w:sz w:val="21"/>
                <w:szCs w:val="21"/>
              </w:rPr>
              <w:br/>
            </w:r>
            <w:r>
              <w:rPr>
                <w:rFonts w:ascii="宋体" w:eastAsia="宋体" w:hAnsi="宋体" w:cs="宋体" w:hint="eastAsia"/>
                <w:sz w:val="21"/>
                <w:szCs w:val="21"/>
              </w:rPr>
              <w:t>1、投标人所投“</w:t>
            </w:r>
            <w:r>
              <w:rPr>
                <w:rFonts w:ascii="宋体" w:eastAsia="宋体" w:hAnsi="宋体" w:cs="宋体" w:hint="eastAsia"/>
                <w:kern w:val="0"/>
                <w:sz w:val="21"/>
                <w:szCs w:val="21"/>
              </w:rPr>
              <w:t>校级管理平台</w:t>
            </w:r>
            <w:r>
              <w:rPr>
                <w:rFonts w:ascii="宋体" w:eastAsia="宋体" w:hAnsi="宋体" w:cs="宋体" w:hint="eastAsia"/>
                <w:sz w:val="21"/>
                <w:szCs w:val="21"/>
              </w:rPr>
              <w:t>”产品，具有以下类别计算机软件著作权登记证书的，每提供一类得25分，最高得50分：</w:t>
            </w:r>
            <w:r>
              <w:rPr>
                <w:rFonts w:ascii="宋体" w:eastAsia="宋体" w:hAnsi="宋体" w:cs="宋体" w:hint="eastAsia"/>
                <w:sz w:val="21"/>
                <w:szCs w:val="21"/>
              </w:rPr>
              <w:br/>
            </w:r>
            <w:r>
              <w:rPr>
                <w:rFonts w:ascii="宋体" w:eastAsia="宋体" w:hAnsi="宋体" w:cs="宋体" w:hint="eastAsia"/>
                <w:sz w:val="21"/>
                <w:szCs w:val="21"/>
              </w:rPr>
              <w:t>①智慧实验校级管理系统创新教学类；</w:t>
            </w:r>
          </w:p>
          <w:p>
            <w:pPr>
              <w:keepNext w:val="0"/>
              <w:keepLines w:val="0"/>
              <w:pageBreakBefore w:val="0"/>
              <w:numPr>
                <w:ilvl w:val="255"/>
                <w:numId w:val="0"/>
              </w:numPr>
              <w:kinsoku/>
              <w:wordWrap/>
              <w:overflowPunct/>
              <w:topLinePunct w:val="0"/>
              <w:bidi w:val="0"/>
              <w:spacing w:line="320" w:lineRule="exact"/>
              <w:textAlignment w:val="auto"/>
              <w:rPr>
                <w:rFonts w:ascii="宋体" w:eastAsia="宋体" w:hAnsi="宋体" w:cs="宋体" w:hint="eastAsia"/>
                <w:sz w:val="21"/>
                <w:szCs w:val="21"/>
              </w:rPr>
            </w:pPr>
            <w:r>
              <w:rPr>
                <w:rFonts w:ascii="宋体" w:eastAsia="宋体" w:hAnsi="宋体" w:cs="宋体" w:hint="eastAsia"/>
                <w:sz w:val="21"/>
                <w:szCs w:val="21"/>
              </w:rPr>
              <w:t>②创新教学平台智能管理系统类；</w:t>
            </w:r>
            <w:r>
              <w:rPr>
                <w:rFonts w:ascii="宋体" w:eastAsia="宋体" w:hAnsi="宋体" w:cs="宋体" w:hint="eastAsia"/>
                <w:sz w:val="21"/>
                <w:szCs w:val="21"/>
              </w:rPr>
              <w:br/>
            </w:r>
          </w:p>
          <w:p>
            <w:pPr>
              <w:keepNext w:val="0"/>
              <w:keepLines w:val="0"/>
              <w:pageBreakBefore w:val="0"/>
              <w:numPr>
                <w:ilvl w:val="255"/>
                <w:numId w:val="0"/>
              </w:numPr>
              <w:kinsoku/>
              <w:wordWrap/>
              <w:overflowPunct/>
              <w:topLinePunct w:val="0"/>
              <w:bidi w:val="0"/>
              <w:spacing w:line="320" w:lineRule="exact"/>
              <w:textAlignment w:val="auto"/>
              <w:rPr>
                <w:rFonts w:ascii="宋体" w:eastAsia="宋体" w:hAnsi="宋体" w:cs="宋体" w:hint="eastAsia"/>
                <w:sz w:val="21"/>
                <w:szCs w:val="21"/>
              </w:rPr>
            </w:pPr>
            <w:r>
              <w:rPr>
                <w:rFonts w:ascii="宋体" w:eastAsia="宋体" w:hAnsi="宋体" w:cs="宋体" w:hint="eastAsia"/>
                <w:sz w:val="21"/>
                <w:szCs w:val="21"/>
              </w:rPr>
              <w:t>2、投标人所投“实验信息采集终端”产品，具有以下类别计算机软件著作权登记证书的，每提供一类得25分，最高得50分：</w:t>
            </w:r>
          </w:p>
          <w:p>
            <w:pPr>
              <w:keepNext w:val="0"/>
              <w:keepLines w:val="0"/>
              <w:pageBreakBefore w:val="0"/>
              <w:numPr>
                <w:ilvl w:val="255"/>
                <w:numId w:val="0"/>
              </w:numPr>
              <w:kinsoku/>
              <w:wordWrap/>
              <w:overflowPunct/>
              <w:topLinePunct w:val="0"/>
              <w:bidi w:val="0"/>
              <w:spacing w:line="320" w:lineRule="exact"/>
              <w:jc w:val="left"/>
              <w:textAlignment w:val="auto"/>
              <w:rPr>
                <w:rFonts w:ascii="宋体" w:eastAsia="宋体" w:hAnsi="宋体" w:cs="宋体" w:hint="eastAsia"/>
                <w:sz w:val="21"/>
                <w:szCs w:val="21"/>
              </w:rPr>
            </w:pPr>
            <w:r>
              <w:rPr>
                <w:rFonts w:ascii="宋体" w:eastAsia="宋体" w:hAnsi="宋体" w:cs="宋体" w:hint="eastAsia"/>
                <w:sz w:val="21"/>
                <w:szCs w:val="21"/>
              </w:rPr>
              <w:t>①智慧实验学生终端创新教学类；</w:t>
            </w:r>
          </w:p>
          <w:p>
            <w:pPr>
              <w:keepNext w:val="0"/>
              <w:keepLines w:val="0"/>
              <w:pageBreakBefore w:val="0"/>
              <w:numPr>
                <w:ilvl w:val="255"/>
                <w:numId w:val="0"/>
              </w:numPr>
              <w:kinsoku/>
              <w:wordWrap/>
              <w:overflowPunct/>
              <w:topLinePunct w:val="0"/>
              <w:bidi w:val="0"/>
              <w:spacing w:line="320" w:lineRule="exact"/>
              <w:ind w:left="0" w:firstLine="0" w:leftChars="0" w:firstLineChars="0"/>
              <w:jc w:val="left"/>
              <w:textAlignment w:val="auto"/>
              <w:rPr>
                <w:rFonts w:ascii="宋体" w:eastAsia="宋体" w:hAnsi="宋体" w:cs="宋体" w:hint="eastAsia"/>
                <w:sz w:val="21"/>
                <w:szCs w:val="21"/>
              </w:rPr>
            </w:pPr>
            <w:r>
              <w:rPr>
                <w:rFonts w:ascii="宋体" w:eastAsia="宋体" w:hAnsi="宋体" w:cs="宋体" w:hint="eastAsia"/>
                <w:sz w:val="21"/>
                <w:szCs w:val="21"/>
              </w:rPr>
              <w:t>②智慧实验AI人脸脱敏类；</w:t>
            </w:r>
            <w:r>
              <w:rPr>
                <w:rFonts w:ascii="宋体" w:eastAsia="宋体" w:hAnsi="宋体" w:cs="宋体" w:hint="eastAsia"/>
                <w:sz w:val="21"/>
                <w:szCs w:val="21"/>
              </w:rPr>
              <w:br/>
            </w:r>
          </w:p>
          <w:p>
            <w:pPr>
              <w:keepNext w:val="0"/>
              <w:keepLines w:val="0"/>
              <w:pageBreakBefore w:val="0"/>
              <w:numPr>
                <w:ilvl w:val="255"/>
                <w:numId w:val="0"/>
              </w:numPr>
              <w:kinsoku/>
              <w:wordWrap/>
              <w:overflowPunct/>
              <w:topLinePunct w:val="0"/>
              <w:bidi w:val="0"/>
              <w:spacing w:line="320" w:lineRule="exact"/>
              <w:ind w:left="0" w:firstLine="0" w:leftChars="0" w:firstLineChars="0"/>
              <w:jc w:val="left"/>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以上同一类中提供多个证书的不重复计分。以上合计最高得100分。</w:t>
            </w:r>
            <w:r>
              <w:rPr>
                <w:rFonts w:ascii="宋体" w:eastAsia="宋体" w:hAnsi="宋体" w:cs="宋体" w:hint="eastAsia"/>
                <w:sz w:val="21"/>
                <w:szCs w:val="21"/>
              </w:rPr>
              <w:br/>
            </w:r>
            <w:r>
              <w:rPr>
                <w:rFonts w:ascii="宋体" w:eastAsia="宋体" w:hAnsi="宋体" w:cs="宋体" w:hint="eastAsia"/>
                <w:sz w:val="21"/>
                <w:szCs w:val="21"/>
              </w:rPr>
              <w:br/>
            </w:r>
            <w:r>
              <w:rPr>
                <w:rFonts w:ascii="宋体" w:eastAsia="宋体" w:hAnsi="宋体" w:cs="宋体" w:hint="eastAsia"/>
                <w:color w:val="0000FF"/>
                <w:sz w:val="21"/>
                <w:szCs w:val="21"/>
              </w:rPr>
              <w:t>（二）评审依据：</w:t>
            </w:r>
            <w:r>
              <w:rPr>
                <w:rFonts w:ascii="宋体" w:eastAsia="宋体" w:hAnsi="宋体" w:cs="宋体" w:hint="eastAsia"/>
                <w:color w:val="0000FF"/>
                <w:sz w:val="21"/>
                <w:szCs w:val="21"/>
              </w:rPr>
              <w:br/>
            </w:r>
            <w:r>
              <w:rPr>
                <w:rFonts w:ascii="宋体" w:eastAsia="宋体" w:hAnsi="宋体" w:cs="宋体" w:hint="eastAsia"/>
                <w:color w:val="0000FF"/>
                <w:sz w:val="21"/>
                <w:szCs w:val="21"/>
              </w:rPr>
              <w:t>1、提供：①国家版权局颁发的相关计算机软件著作权登记证书扫描件；②中国版权保护中心（https://register.ccopyright.com.cn/query.html）计算机软件著作权登记公告检索截图；</w:t>
            </w:r>
            <w:r>
              <w:rPr>
                <w:rFonts w:ascii="宋体" w:eastAsia="宋体" w:hAnsi="宋体" w:cs="宋体" w:hint="eastAsia"/>
                <w:color w:val="0000FF"/>
                <w:sz w:val="21"/>
                <w:szCs w:val="21"/>
              </w:rPr>
              <w:br/>
            </w:r>
            <w:r>
              <w:rPr>
                <w:rFonts w:ascii="宋体" w:eastAsia="宋体" w:hAnsi="宋体" w:cs="宋体" w:hint="eastAsia"/>
                <w:color w:val="0000FF"/>
                <w:sz w:val="21"/>
                <w:szCs w:val="21"/>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3</w:t>
            </w:r>
          </w:p>
        </w:tc>
        <w:tc>
          <w:tcPr>
            <w:tcW w:w="141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rPr>
              <w:t>政府采购节能环保产品</w:t>
            </w:r>
            <w:r>
              <w:rPr>
                <w:rFonts w:ascii="宋体" w:eastAsia="宋体" w:hAnsi="宋体" w:cs="宋体" w:hint="eastAsia"/>
                <w:sz w:val="21"/>
                <w:szCs w:val="21"/>
                <w:lang w:val="en-US" w:eastAsia="zh-CN"/>
              </w:rPr>
              <w:t>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rPr>
            </w:pPr>
            <w:r>
              <w:rPr>
                <w:rFonts w:ascii="宋体" w:eastAsia="宋体" w:hAnsi="宋体" w:cs="宋体" w:hint="eastAsia"/>
                <w:b w:val="0"/>
                <w:bCs/>
                <w:sz w:val="21"/>
                <w:szCs w:val="21"/>
                <w:lang w:val="en-US" w:eastAsia="zh-CN"/>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sz w:val="21"/>
                <w:szCs w:val="21"/>
              </w:rPr>
            </w:pPr>
            <w:r>
              <w:rPr>
                <w:rFonts w:ascii="宋体" w:eastAsia="宋体" w:hAnsi="宋体" w:cs="宋体" w:hint="eastAsia"/>
                <w:sz w:val="21"/>
                <w:szCs w:val="21"/>
              </w:rPr>
              <w:t>根据《关于印发节能产品政府采购品目清单的通知》（财库〔2019〕19号）以及《关于印发环境标志产品政府采购品目清单的通知》（财库〔2019〕18号）的要求，投标人所投任一产品（以</w:t>
            </w:r>
            <w:r>
              <w:rPr>
                <w:rFonts w:ascii="宋体" w:eastAsia="宋体" w:hAnsi="宋体" w:cs="宋体" w:hint="eastAsia"/>
                <w:sz w:val="21"/>
                <w:szCs w:val="21"/>
                <w:lang w:val="en-US" w:eastAsia="zh-CN"/>
              </w:rPr>
              <w:t>招标文件</w:t>
            </w:r>
            <w:r>
              <w:rPr>
                <w:rFonts w:ascii="宋体" w:eastAsia="宋体" w:hAnsi="宋体" w:cs="宋体" w:hint="eastAsia"/>
                <w:sz w:val="21"/>
                <w:szCs w:val="21"/>
              </w:rPr>
              <w:t>第三章 用户需求书 二、货物需求明细中“货物名称”为准）被列入节能产品政府采购品目清单（</w:t>
            </w:r>
            <w:r>
              <w:rPr>
                <w:rFonts w:ascii="宋体" w:eastAsia="宋体" w:hAnsi="宋体" w:cs="宋体" w:hint="eastAsia"/>
                <w:color w:val="FF0000"/>
                <w:sz w:val="21"/>
                <w:szCs w:val="21"/>
              </w:rPr>
              <w:t>已标注</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val="en-US" w:eastAsia="zh-CN"/>
              </w:rPr>
              <w:t>号属</w:t>
            </w:r>
            <w:r>
              <w:rPr>
                <w:rFonts w:ascii="宋体" w:eastAsia="宋体" w:hAnsi="宋体" w:cs="宋体" w:hint="eastAsia"/>
                <w:color w:val="FF0000"/>
                <w:sz w:val="21"/>
                <w:szCs w:val="21"/>
              </w:rPr>
              <w:t>政府强制采购产品</w:t>
            </w:r>
            <w:r>
              <w:rPr>
                <w:rFonts w:ascii="宋体" w:eastAsia="宋体" w:hAnsi="宋体" w:cs="宋体" w:hint="eastAsia"/>
                <w:color w:val="FF0000"/>
                <w:sz w:val="21"/>
                <w:szCs w:val="21"/>
                <w:lang w:val="en-US" w:eastAsia="zh-CN"/>
              </w:rPr>
              <w:t>需具有</w:t>
            </w:r>
            <w:r>
              <w:rPr>
                <w:rFonts w:ascii="宋体" w:eastAsia="宋体" w:hAnsi="宋体" w:cs="宋体" w:hint="eastAsia"/>
                <w:color w:val="FF0000"/>
                <w:sz w:val="21"/>
                <w:szCs w:val="21"/>
              </w:rPr>
              <w:t>节能产品认证证书的除外</w:t>
            </w:r>
            <w:r>
              <w:rPr>
                <w:rFonts w:ascii="宋体" w:eastAsia="宋体" w:hAnsi="宋体" w:cs="宋体" w:hint="eastAsia"/>
                <w:sz w:val="21"/>
                <w:szCs w:val="21"/>
              </w:rPr>
              <w:t>）或环境标志产品政府采购品目清单</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且具有有效期内的</w:t>
            </w:r>
            <w:r>
              <w:rPr>
                <w:rFonts w:ascii="宋体" w:eastAsia="宋体" w:hAnsi="宋体" w:cs="宋体" w:hint="eastAsia"/>
                <w:sz w:val="21"/>
                <w:szCs w:val="21"/>
              </w:rPr>
              <w:t>节能产品</w:t>
            </w:r>
            <w:r>
              <w:rPr>
                <w:rFonts w:ascii="宋体" w:eastAsia="宋体" w:hAnsi="宋体" w:cs="宋体" w:hint="eastAsia"/>
                <w:sz w:val="21"/>
                <w:szCs w:val="21"/>
                <w:lang w:val="en-US" w:eastAsia="zh-CN"/>
              </w:rPr>
              <w:t>或</w:t>
            </w:r>
            <w:r>
              <w:rPr>
                <w:rFonts w:ascii="宋体" w:eastAsia="宋体" w:hAnsi="宋体" w:cs="宋体" w:hint="eastAsia"/>
                <w:sz w:val="21"/>
                <w:szCs w:val="21"/>
              </w:rPr>
              <w:t>环境标志产品认证证书的</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每提供1项得100分，最高</w:t>
            </w:r>
            <w:r>
              <w:rPr>
                <w:rFonts w:ascii="宋体" w:eastAsia="宋体" w:hAnsi="宋体" w:cs="宋体" w:hint="eastAsia"/>
                <w:sz w:val="21"/>
                <w:szCs w:val="21"/>
              </w:rPr>
              <w:t>得100分。</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b/>
                <w:bCs/>
                <w:color w:val="0000CC"/>
                <w:sz w:val="21"/>
                <w:szCs w:val="21"/>
                <w:lang w:val="en-US" w:eastAsia="zh-CN"/>
              </w:rPr>
            </w:pPr>
            <w:r>
              <w:rPr>
                <w:rFonts w:ascii="宋体" w:eastAsia="宋体" w:hAnsi="宋体" w:cs="宋体" w:hint="eastAsia"/>
                <w:b/>
                <w:bCs/>
                <w:color w:val="0000CC"/>
                <w:sz w:val="21"/>
                <w:szCs w:val="21"/>
                <w:lang w:val="en-US" w:eastAsia="zh-CN"/>
              </w:rPr>
              <w:t>二、评审依据：</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color w:val="0000FF"/>
                <w:sz w:val="21"/>
                <w:szCs w:val="21"/>
                <w:lang w:eastAsia="zh-CN"/>
              </w:rPr>
            </w:pPr>
            <w:r>
              <w:rPr>
                <w:rFonts w:ascii="宋体" w:eastAsia="宋体" w:hAnsi="宋体" w:cs="宋体" w:hint="eastAsia"/>
                <w:color w:val="0000FF"/>
                <w:sz w:val="21"/>
                <w:szCs w:val="21"/>
                <w:lang w:val="en-US" w:eastAsia="zh-CN"/>
              </w:rPr>
              <w:t>1、</w:t>
            </w:r>
            <w:r>
              <w:rPr>
                <w:rFonts w:ascii="宋体" w:eastAsia="宋体" w:hAnsi="宋体" w:cs="宋体" w:hint="eastAsia"/>
                <w:color w:val="0000FF"/>
                <w:sz w:val="21"/>
                <w:szCs w:val="21"/>
              </w:rPr>
              <w:t>提供《市场监管总局关于发布参与实施政府采购节能产品、环境标志产品认证机构名录的公告》（2019年第16号）确定的认证机构出具的</w:t>
            </w:r>
            <w:r>
              <w:rPr>
                <w:rFonts w:ascii="宋体" w:eastAsia="宋体" w:hAnsi="宋体" w:cs="宋体" w:hint="eastAsia"/>
                <w:color w:val="0000FF"/>
                <w:sz w:val="21"/>
                <w:szCs w:val="21"/>
                <w:lang w:val="en-US" w:eastAsia="zh-CN"/>
              </w:rPr>
              <w:t>且</w:t>
            </w:r>
            <w:r>
              <w:rPr>
                <w:rFonts w:ascii="宋体" w:eastAsia="宋体" w:hAnsi="宋体" w:cs="宋体" w:hint="eastAsia"/>
                <w:color w:val="0000FF"/>
                <w:sz w:val="21"/>
                <w:szCs w:val="21"/>
              </w:rPr>
              <w:t>处于有效期内的节能产品</w:t>
            </w:r>
            <w:r>
              <w:rPr>
                <w:rFonts w:ascii="宋体" w:eastAsia="宋体" w:hAnsi="宋体" w:cs="宋体" w:hint="eastAsia"/>
                <w:color w:val="0000FF"/>
                <w:sz w:val="21"/>
                <w:szCs w:val="21"/>
                <w:lang w:val="en-US" w:eastAsia="zh-CN"/>
              </w:rPr>
              <w:t>或</w:t>
            </w:r>
            <w:r>
              <w:rPr>
                <w:rFonts w:ascii="宋体" w:eastAsia="宋体" w:hAnsi="宋体" w:cs="宋体" w:hint="eastAsia"/>
                <w:color w:val="0000FF"/>
                <w:sz w:val="21"/>
                <w:szCs w:val="21"/>
              </w:rPr>
              <w:t>环境标志产品认证证书扫描件</w:t>
            </w:r>
            <w:r>
              <w:rPr>
                <w:rFonts w:ascii="宋体" w:eastAsia="宋体" w:hAnsi="宋体" w:cs="宋体" w:hint="eastAsia"/>
                <w:color w:val="0000FF"/>
                <w:sz w:val="21"/>
                <w:szCs w:val="21"/>
                <w:lang w:eastAsia="zh-CN"/>
              </w:rPr>
              <w:t>；</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sz w:val="21"/>
                <w:szCs w:val="21"/>
              </w:rPr>
            </w:pPr>
            <w:r>
              <w:rPr>
                <w:rFonts w:ascii="宋体" w:eastAsia="宋体" w:hAnsi="宋体" w:cs="宋体" w:hint="eastAsia"/>
                <w:color w:val="0000FF"/>
                <w:sz w:val="21"/>
                <w:szCs w:val="21"/>
                <w:lang w:val="en-US" w:eastAsia="zh-CN"/>
              </w:rPr>
              <w:t>2、未按要求提供证明材料（或证明材料无法判断是否符合评分要求）的不得分，原件备查。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4</w:t>
            </w:r>
          </w:p>
        </w:tc>
        <w:tc>
          <w:tcPr>
            <w:tcW w:w="141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绿色采购</w:t>
            </w:r>
            <w:r>
              <w:rPr>
                <w:rFonts w:ascii="宋体" w:eastAsia="宋体" w:hAnsi="宋体" w:cs="宋体" w:hint="eastAsia"/>
                <w:sz w:val="21"/>
                <w:szCs w:val="21"/>
                <w:lang w:val="en-US" w:eastAsia="zh-CN"/>
              </w:rPr>
              <w:t>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sz w:val="21"/>
                <w:szCs w:val="21"/>
                <w:lang w:val="en-US" w:eastAsia="zh-CN"/>
              </w:rPr>
            </w:pPr>
            <w:r>
              <w:rPr>
                <w:rFonts w:ascii="宋体" w:eastAsia="宋体" w:hAnsi="宋体" w:cs="宋体" w:hint="eastAsia"/>
                <w:b w:val="0"/>
                <w:bCs/>
                <w:sz w:val="21"/>
                <w:szCs w:val="21"/>
                <w:lang w:val="en-US" w:eastAsia="zh-CN"/>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一、评审内容：</w:t>
            </w:r>
          </w:p>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本</w:t>
            </w:r>
            <w:r>
              <w:rPr>
                <w:rFonts w:ascii="宋体" w:eastAsia="宋体" w:hAnsi="宋体" w:cs="宋体" w:hint="eastAsia"/>
                <w:sz w:val="21"/>
                <w:szCs w:val="21"/>
              </w:rPr>
              <w:t>项目采购内容中需要对相关产品进行商品包装和快递包装，投标人承诺</w:t>
            </w:r>
            <w:r>
              <w:rPr>
                <w:rFonts w:ascii="宋体" w:eastAsia="宋体" w:hAnsi="宋体" w:cs="宋体" w:hint="eastAsia"/>
                <w:sz w:val="21"/>
                <w:szCs w:val="21"/>
                <w:lang w:val="en-US" w:eastAsia="zh-CN"/>
              </w:rPr>
              <w:t>以下内容的得100分：</w:t>
            </w:r>
          </w:p>
          <w:p>
            <w:pPr>
              <w:keepNext w:val="0"/>
              <w:keepLines w:val="0"/>
              <w:pageBreakBefore w:val="0"/>
              <w:kinsoku/>
              <w:wordWrap/>
              <w:overflowPunct/>
              <w:topLinePunct w:val="0"/>
              <w:autoSpaceDE w:val="0"/>
              <w:autoSpaceDN w:val="0"/>
              <w:bidi w:val="0"/>
              <w:adjustRightInd w:val="0"/>
              <w:spacing w:line="320" w:lineRule="exact"/>
              <w:jc w:val="both"/>
              <w:textAlignment w:val="auto"/>
              <w:rPr>
                <w:rFonts w:ascii="宋体" w:eastAsia="宋体" w:hAnsi="宋体" w:cs="宋体" w:hint="eastAsia"/>
                <w:sz w:val="21"/>
                <w:szCs w:val="21"/>
              </w:rPr>
            </w:pPr>
            <w:r>
              <w:rPr>
                <w:rFonts w:ascii="宋体" w:eastAsia="宋体" w:hAnsi="宋体" w:cs="宋体" w:hint="eastAsia"/>
                <w:sz w:val="21"/>
                <w:szCs w:val="21"/>
              </w:rPr>
              <w:t>所进行的商品包装和快递包装满足财政部《商品包装政府采购需求标准（试行）》《快递包装政府采购需求标准（试行）》（财办库〔2020〕123号）的要求，采用环保材料进行包装。</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b/>
                <w:bCs/>
                <w:color w:val="0000CC"/>
                <w:sz w:val="21"/>
                <w:szCs w:val="21"/>
                <w:lang w:val="en-US" w:eastAsia="zh-CN"/>
              </w:rPr>
            </w:pPr>
            <w:r>
              <w:rPr>
                <w:rFonts w:ascii="宋体" w:eastAsia="宋体" w:hAnsi="宋体" w:cs="宋体" w:hint="eastAsia"/>
                <w:b/>
                <w:bCs/>
                <w:color w:val="0000CC"/>
                <w:sz w:val="21"/>
                <w:szCs w:val="21"/>
                <w:lang w:val="en-US" w:eastAsia="zh-CN"/>
              </w:rPr>
              <w:t>二、评审依据：</w:t>
            </w:r>
          </w:p>
          <w:p>
            <w:pPr>
              <w:keepNext w:val="0"/>
              <w:keepLines w:val="0"/>
              <w:pageBreakBefore w:val="0"/>
              <w:kinsoku/>
              <w:wordWrap/>
              <w:overflowPunct/>
              <w:topLinePunct w:val="0"/>
              <w:bidi w:val="0"/>
              <w:snapToGrid w:val="0"/>
              <w:spacing w:line="320" w:lineRule="exact"/>
              <w:jc w:val="both"/>
              <w:textAlignment w:val="auto"/>
              <w:rPr>
                <w:rFonts w:ascii="宋体" w:eastAsia="宋体" w:hAnsi="宋体" w:cs="宋体" w:hint="eastAsia"/>
                <w:color w:val="0000FF"/>
                <w:sz w:val="21"/>
                <w:szCs w:val="21"/>
                <w:lang w:val="en-US" w:eastAsia="zh-CN"/>
              </w:rPr>
            </w:pPr>
            <w:r>
              <w:rPr>
                <w:rFonts w:ascii="宋体" w:eastAsia="宋体" w:hAnsi="宋体" w:cs="宋体" w:hint="eastAsia"/>
                <w:color w:val="0000FF"/>
                <w:sz w:val="21"/>
                <w:szCs w:val="21"/>
                <w:lang w:val="en-US" w:eastAsia="zh-CN"/>
              </w:rPr>
              <w:t>提供相关承诺函（格式自定），未按要求提供证明材料（或证明材料无法判断是否符合评分要求）的不得分，原件备查。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4</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其他部分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5</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序号</w:t>
            </w:r>
          </w:p>
        </w:tc>
        <w:tc>
          <w:tcPr>
            <w:tcW w:w="1412"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权重（%）</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b/>
                <w:bCs/>
                <w:sz w:val="21"/>
                <w:szCs w:val="21"/>
              </w:rPr>
            </w:pPr>
          </w:p>
        </w:tc>
        <w:tc>
          <w:tcPr>
            <w:tcW w:w="688"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1</w:t>
            </w:r>
          </w:p>
        </w:tc>
        <w:tc>
          <w:tcPr>
            <w:tcW w:w="1412"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诚信情况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rPr>
            </w:pPr>
            <w:r>
              <w:rPr>
                <w:rFonts w:ascii="宋体" w:eastAsia="宋体" w:hAnsi="宋体" w:cs="宋体" w:hint="eastAsia"/>
                <w:sz w:val="21"/>
                <w:szCs w:val="21"/>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rPr>
            </w:pPr>
            <w:r>
              <w:rPr>
                <w:rFonts w:ascii="宋体" w:eastAsia="宋体" w:hAnsi="宋体" w:cs="宋体" w:hint="eastAsia"/>
                <w:sz w:val="21"/>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
      <w:pPr>
        <w:jc w:val="center"/>
        <w:rPr>
          <w:b/>
          <w:sz w:val="84"/>
          <w:szCs w:val="84"/>
        </w:rPr>
      </w:pPr>
    </w:p>
    <w:p>
      <w:pPr>
        <w:jc w:val="center"/>
        <w:rPr>
          <w:b/>
          <w:sz w:val="84"/>
          <w:szCs w:val="84"/>
        </w:rPr>
      </w:pPr>
    </w:p>
    <w:p>
      <w:pPr>
        <w:jc w:val="center"/>
        <w:rPr>
          <w:b/>
          <w:sz w:val="84"/>
          <w:szCs w:val="84"/>
        </w:rPr>
      </w:pPr>
    </w:p>
    <w:p>
      <w:pPr>
        <w:rPr>
          <w:rFonts w:hint="eastAsia"/>
          <w:b/>
          <w:sz w:val="120"/>
          <w:szCs w:val="120"/>
        </w:rPr>
      </w:pPr>
      <w:r>
        <w:rPr>
          <w:rFonts w:hint="eastAsia"/>
          <w:b/>
          <w:sz w:val="120"/>
          <w:szCs w:val="120"/>
        </w:rPr>
        <w:br w:type="page"/>
      </w: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Pr>
        <w:jc w:val="center"/>
        <w:rPr>
          <w:b/>
          <w:sz w:val="44"/>
          <w:szCs w:val="44"/>
        </w:rPr>
      </w:pPr>
      <w:r>
        <w:rPr>
          <w:rFonts w:ascii="宋体" w:hAnsi="宋体" w:hint="eastAsia"/>
          <w:b/>
          <w:sz w:val="44"/>
          <w:szCs w:val="44"/>
        </w:rPr>
        <w:t>深圳公共资源交易中心</w:t>
      </w:r>
    </w:p>
    <w:p>
      <w:pPr>
        <w:jc w:val="center"/>
        <w:rPr>
          <w:b/>
          <w:sz w:val="44"/>
          <w:szCs w:val="44"/>
        </w:rPr>
      </w:pPr>
      <w:r>
        <w:rPr>
          <w:rFonts w:ascii="宋体" w:hAnsi="宋体"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ascii="宋体" w:hAnsi="宋体" w:hint="eastAsia"/>
          <w:b/>
          <w:sz w:val="44"/>
          <w:szCs w:val="44"/>
        </w:rPr>
        <w:t>）</w:t>
      </w:r>
    </w:p>
    <w:p>
      <w:pPr>
        <w:ind w:firstLine="2730" w:firstLineChars="1300"/>
        <w:jc w:val="center"/>
        <w:rPr>
          <w:bCs/>
          <w:color w:val="FF0000"/>
        </w:rPr>
      </w:pPr>
      <w:r>
        <w:br w:type="page"/>
      </w:r>
    </w:p>
    <w:p>
      <w:pPr>
        <w:keepNext w:val="0"/>
        <w:keepLines w:val="0"/>
        <w:pageBreakBefore w:val="0"/>
        <w:widowControl w:val="0"/>
        <w:kinsoku/>
        <w:wordWrap/>
        <w:overflowPunct/>
        <w:topLinePunct w:val="0"/>
        <w:autoSpaceDE/>
        <w:autoSpaceDN/>
        <w:bidi w:val="0"/>
        <w:adjustRightInd/>
        <w:snapToGrid/>
        <w:ind w:firstLine="2730" w:firstLineChars="1300"/>
        <w:textAlignment w:val="auto"/>
        <w:outlineLvl w:val="0"/>
        <w:rPr>
          <w:rFonts w:ascii="宋体" w:hAnsi="宋体"/>
          <w:color w:val="FF0000"/>
          <w:szCs w:val="21"/>
        </w:rPr>
      </w:pPr>
      <w:bookmarkStart w:id="2" w:name="_Hlk73564573"/>
      <w:r>
        <w:rPr>
          <w:rFonts w:ascii="宋体" w:eastAsia="黑体" w:hAnsi="宋体" w:hint="eastAsia"/>
          <w:b/>
          <w:bCs/>
          <w:color w:val="FF0000"/>
          <w:kern w:val="44"/>
          <w:sz w:val="28"/>
          <w:szCs w:val="44"/>
        </w:rPr>
        <w:t>警示条款</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w:t>
      </w:r>
      <w:r>
        <w:rPr>
          <w:rFonts w:asciiTheme="minorEastAsia" w:eastAsiaTheme="minorEastAsia" w:hAnsiTheme="minorEastAsia" w:cstheme="minorEastAsia" w:hint="eastAsia"/>
          <w:b/>
          <w:bCs/>
          <w:color w:val="FF0000"/>
          <w:sz w:val="21"/>
          <w:szCs w:val="21"/>
        </w:rPr>
        <w:t>《深圳经济特区政府采购条例》第五十七条</w:t>
      </w:r>
      <w:r>
        <w:rPr>
          <w:rFonts w:asciiTheme="minorEastAsia" w:eastAsiaTheme="minorEastAsia" w:hAnsiTheme="minorEastAsia" w:cstheme="minorEastAsia" w:hint="eastAsia"/>
          <w:color w:val="FF0000"/>
          <w:sz w:val="21"/>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（一）在采购活动中应当回避而未回避的；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（三）隐瞒真实情况，提供虚假资料的；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（四）以非法手段排斥其他供应商参与竞争的；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（五）与其他采购参加人串通投标的；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（六）恶意投诉的；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（八）阻碍、抗拒主管部门监督检查的；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（九）其他违反本条例规定的行为。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二、《深圳经济特区政府采购条例实施细则》第七十五条 </w:t>
      </w:r>
      <w:r>
        <w:rPr>
          <w:rFonts w:asciiTheme="minorEastAsia" w:eastAsiaTheme="minorEastAsia" w:hAnsiTheme="minorEastAsia" w:cstheme="minorEastAsia" w:hint="eastAsia"/>
          <w:color w:val="FF0000"/>
          <w:sz w:val="21"/>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三、《深圳经济特区政府采购条例实施细则》第七十七条 </w:t>
      </w:r>
      <w:r>
        <w:rPr>
          <w:rFonts w:asciiTheme="minorEastAsia" w:eastAsiaTheme="minorEastAsia" w:hAnsiTheme="minorEastAsia" w:cstheme="minorEastAsia" w:hint="eastAsia"/>
          <w:color w:val="FF0000"/>
          <w:sz w:val="21"/>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投标供应商不能提供项目负责人或者主要技术人员的劳动合同、社会保险等劳动关系证明材料的，视为存在前款第（三）项规定的情形。</w:t>
      </w:r>
      <w:bookmarkEnd w:id="2"/>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color w:val="FF0000"/>
          <w:sz w:val="21"/>
          <w:szCs w:val="21"/>
        </w:rPr>
      </w:pPr>
      <w:r>
        <w:rPr>
          <w:rFonts w:asciiTheme="minorEastAsia" w:eastAsiaTheme="minorEastAsia" w:hAnsiTheme="minorEastAsia" w:cstheme="minorEastAsia" w:hint="eastAsia"/>
          <w:b/>
          <w:color w:val="FF0000"/>
          <w:sz w:val="21"/>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rPr>
      </w:pPr>
    </w:p>
    <w:p>
      <w:pPr>
        <w:snapToGrid w:val="0"/>
        <w:spacing w:line="360" w:lineRule="exact"/>
        <w:jc w:val="left"/>
        <w:rPr>
          <w:rFonts w:ascii="宋体" w:eastAsia="宋体" w:hAnsi="宋体" w:cs="宋体"/>
          <w:color w:val="000000"/>
          <w:kern w:val="0"/>
          <w:sz w:val="24"/>
          <w:szCs w:val="24"/>
        </w:r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   录</w:t>
      </w:r>
    </w:p>
    <w:p>
      <w:pPr>
        <w:rPr>
          <w:b/>
          <w:sz w:val="24"/>
          <w:szCs w:val="24"/>
        </w:rPr>
      </w:pPr>
      <w:r>
        <w:rPr>
          <w:rFonts w:hint="eastAsia"/>
          <w:b/>
          <w:sz w:val="24"/>
          <w:szCs w:val="24"/>
        </w:rPr>
        <w:t>第一册  专用条款</w:t>
      </w:r>
    </w:p>
    <w:p>
      <w:pPr>
        <w:ind w:left="630" w:firstLine="412" w:leftChars="300" w:firstLineChars="196"/>
        <w:rPr>
          <w:rFonts w:ascii="宋体" w:hAnsi="宋体"/>
          <w:szCs w:val="21"/>
        </w:rPr>
      </w:pPr>
      <w:r>
        <w:rPr>
          <w:rFonts w:ascii="宋体" w:hAnsi="宋体" w:hint="eastAsia"/>
          <w:szCs w:val="21"/>
        </w:rPr>
        <w:tab/>
      </w:r>
      <w:r>
        <w:rPr>
          <w:rFonts w:ascii="宋体" w:hAnsi="宋体" w:hint="eastAsia"/>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412" w:leftChars="300" w:firstLineChars="196"/>
        <w:rPr>
          <w:rFonts w:ascii="宋体" w:hAnsi="宋体"/>
          <w:szCs w:val="21"/>
        </w:rPr>
      </w:pPr>
      <w:r>
        <w:rPr>
          <w:rFonts w:ascii="宋体" w:hAnsi="宋体" w:hint="eastAsia"/>
          <w:szCs w:val="21"/>
        </w:rPr>
        <w:t>第五章  合同条款及格式</w:t>
      </w:r>
    </w:p>
    <w:p>
      <w:pPr>
        <w:rPr>
          <w:b/>
          <w:sz w:val="24"/>
        </w:rPr>
      </w:pPr>
    </w:p>
    <w:p>
      <w:pPr>
        <w:rPr>
          <w:b/>
          <w:sz w:val="24"/>
          <w:szCs w:val="24"/>
        </w:rPr>
      </w:pPr>
      <w:r>
        <w:rPr>
          <w:rFonts w:hint="eastAsia"/>
          <w:b/>
          <w:sz w:val="24"/>
          <w:szCs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r>
        <w:rPr>
          <w:rFonts w:hint="eastAsia"/>
        </w:rPr>
        <w:t xml:space="preserve">          第十一章  质疑处理</w:t>
      </w:r>
    </w:p>
    <w:p/>
    <w:p/>
    <w:p>
      <w:pPr>
        <w:widowControl/>
        <w:jc w:val="left"/>
      </w:pPr>
      <w:r>
        <w:br w:type="page"/>
      </w:r>
    </w:p>
    <w:p>
      <w:pPr>
        <w:pStyle w:val="Heading1"/>
        <w:spacing w:after="78"/>
        <w:jc w:val="center"/>
        <w:rPr>
          <w:sz w:val="32"/>
          <w:szCs w:val="32"/>
        </w:rPr>
      </w:pPr>
      <w:r>
        <w:rPr>
          <w:rFonts w:hint="eastAsia"/>
          <w:sz w:val="32"/>
          <w:szCs w:val="32"/>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r>
        <w:rPr>
          <w:rFonts w:asciiTheme="minorEastAsia" w:hAnsiTheme="minorEastAsia" w:cstheme="minorEastAsia" w:hint="eastAsia"/>
          <w:bCs/>
          <w:sz w:val="24"/>
          <w:szCs w:val="24"/>
          <w:lang w:val="en-US" w:eastAsia="zh-CN"/>
        </w:rPr>
        <w:t>,</w:t>
      </w:r>
      <w:r>
        <w:rPr>
          <w:rFonts w:asciiTheme="minorEastAsia" w:eastAsiaTheme="minorEastAsia" w:hAnsiTheme="minorEastAsia" w:cstheme="minorEastAsia" w:hint="eastAsia"/>
          <w:bCs/>
          <w:sz w:val="24"/>
          <w:szCs w:val="24"/>
          <w:lang w:val="en-US" w:eastAsia="zh-CN"/>
        </w:rPr>
        <w:t>如为分公司参与投标的，则须同时提供：①分公司营业执照扫描件；②总公司出具并加盖公章的授权函或承诺书，需能体现分公司参与投标的民事责任由总公司承担相关内容；③总公司的营业执照扫描件；总公司与分公司（或多个分公司）不得同时参与本项目投标；以上，原件备查。</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2）本项目不接受联合体投标</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不接受投标人选用进口产品参与投标。</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3</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参与本项目政府采购活动时不存在被有关部门禁止参与政府采购活动且在有效期内的情况（由供应商在《政府采购投标及履约承诺函》中作出声明）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具备《中华人民共和国政府采购法》第二十二条第一款的条件（由供应商在《政府采购投标及履约承诺函》中作出声明）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未被列入失信被执行人、重大税收违法案件当事人名单、政府采购严重违法失信行为记录名单（由供应商在《政府采购投标及履约承诺函》中作出声明）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yellow"/>
          <w:lang w:val="en-US" w:eastAsia="zh-CN"/>
        </w:rPr>
      </w:pPr>
      <w:r>
        <w:rPr>
          <w:rFonts w:asciiTheme="minorEastAsia" w:eastAsiaTheme="minorEastAsia" w:hAnsiTheme="minorEastAsia" w:cstheme="minorEastAsia" w:hint="eastAsia"/>
          <w:bCs/>
          <w:sz w:val="24"/>
          <w:szCs w:val="24"/>
          <w:highlight w:val="none"/>
          <w:lang w:val="en-US" w:eastAsia="zh-CN"/>
        </w:rPr>
        <w:t>7</w:t>
      </w:r>
      <w:r>
        <w:rPr>
          <w:rFonts w:asciiTheme="minorEastAsia" w:eastAsiaTheme="minorEastAsia" w:hAnsiTheme="minorEastAsia" w:cstheme="minorEastAsia" w:hint="eastAsia"/>
          <w:bCs/>
          <w:sz w:val="24"/>
          <w:szCs w:val="24"/>
          <w:highlight w:val="none"/>
        </w:rPr>
        <w:t>）本项目是（否）专门面向中小企业采购：</w:t>
      </w:r>
      <w:r>
        <w:rPr>
          <w:rFonts w:asciiTheme="minorEastAsia" w:eastAsiaTheme="minorEastAsia" w:hAnsiTheme="minorEastAsia" w:cstheme="minorEastAsia" w:hint="eastAsia"/>
          <w:bCs/>
          <w:sz w:val="24"/>
          <w:szCs w:val="24"/>
          <w:highlight w:val="none"/>
          <w:lang w:val="en-US" w:eastAsia="zh-CN"/>
        </w:rPr>
        <w:t>否。</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注：</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（1）“信用中国”中“信用服务”栏的“重大税收违法失信主体”“失信被执行人”</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“中国政府采购网”中的“政府采购严重违法失信行为记录名单”</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rPr>
      </w:pPr>
    </w:p>
    <w:p>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rPr>
          <w:rStyle w:val="Hyperlink"/>
          <w:b/>
          <w:sz w:val="30"/>
          <w:szCs w:val="30"/>
        </w:rPr>
        <w:fldChar w:fldCharType="end"/>
      </w:r>
      <w:r>
        <w:rPr>
          <w:rFonts w:hint="eastAsia"/>
          <w:b/>
          <w:color w:val="FF0000"/>
          <w:sz w:val="30"/>
          <w:szCs w:val="30"/>
        </w:rPr>
        <w:t>）</w:t>
      </w:r>
    </w:p>
    <w:p>
      <w:pPr>
        <w:spacing w:after="78" w:afterLines="25"/>
        <w:rPr>
          <w:rFonts w:ascii="Arial" w:eastAsia="宋体" w:hAnsi="Arial" w:cs="Times New Roman"/>
          <w:b/>
          <w:color w:val="FF0000"/>
          <w:sz w:val="30"/>
          <w:szCs w:val="30"/>
        </w:rPr>
      </w:pPr>
    </w:p>
    <w:p>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3" w:name="_Hlk71926094"/>
      <w:r>
        <w:rPr>
          <w:rFonts w:ascii="宋体" w:eastAsia="宋体" w:hAnsi="宋体" w:cs="Times New Roman" w:hint="eastAsia"/>
          <w:b/>
          <w:bCs/>
          <w:kern w:val="0"/>
          <w:sz w:val="28"/>
          <w:szCs w:val="28"/>
        </w:rPr>
        <w:t>对通用条款的补充内容及其他关键信息</w:t>
      </w:r>
      <w:bookmarkEnd w:id="3"/>
    </w:p>
    <w:p>
      <w:pPr>
        <w:keepNext/>
        <w:keepLines/>
        <w:adjustRightInd w:val="0"/>
        <w:spacing w:before="156" w:beforeLines="50" w:after="156" w:afterLines="50"/>
        <w:jc w:val="center"/>
        <w:textAlignment w:val="baseline"/>
        <w:outlineLvl w:val="2"/>
        <w:rPr>
          <w:rFonts w:ascii="宋体" w:eastAsia="宋体" w:hAnsi="宋体" w:cs="Times New Roman" w:hint="eastAsia"/>
          <w:b/>
          <w:bCs/>
          <w:kern w:val="0"/>
          <w:sz w:val="24"/>
          <w:szCs w:val="24"/>
        </w:rPr>
      </w:pPr>
      <w:bookmarkStart w:id="4" w:name="_Toc100052364"/>
      <w:bookmarkStart w:id="5" w:name="_Toc73521635"/>
      <w:bookmarkStart w:id="6" w:name="_Toc73517639"/>
      <w:bookmarkStart w:id="7" w:name="_Toc73518117"/>
      <w:bookmarkStart w:id="8" w:name="_Toc73521547"/>
      <w:bookmarkStart w:id="9" w:name="_Toc101074876"/>
      <w:bookmarkStart w:id="10" w:name="_Toc60560625"/>
      <w:bookmarkStart w:id="11" w:name="_Toc60631620"/>
      <w:r>
        <w:rPr>
          <w:rFonts w:ascii="宋体" w:eastAsia="宋体" w:hAnsi="宋体" w:cs="Times New Roman" w:hint="eastAsia"/>
          <w:b/>
          <w:bCs/>
          <w:kern w:val="0"/>
          <w:sz w:val="24"/>
          <w:szCs w:val="24"/>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1755" w:type="dxa"/>
            <w:vAlign w:val="center"/>
          </w:tcPr>
          <w:p>
            <w:pPr>
              <w:jc w:val="center"/>
              <w:rPr>
                <w:rFonts w:ascii="宋体" w:hAnsi="宋体"/>
                <w:b/>
                <w:bCs/>
              </w:rPr>
            </w:pPr>
            <w:r>
              <w:rPr>
                <w:rFonts w:ascii="宋体" w:hAnsi="宋体" w:hint="eastAsia"/>
                <w:b/>
                <w:bCs/>
              </w:rPr>
              <w:t>涉及事项</w:t>
            </w:r>
          </w:p>
        </w:tc>
        <w:tc>
          <w:tcPr>
            <w:tcW w:w="6795"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1755" w:type="dxa"/>
            <w:vAlign w:val="center"/>
          </w:tcPr>
          <w:p>
            <w:pPr>
              <w:jc w:val="center"/>
            </w:pPr>
            <w:r>
              <w:rPr>
                <w:rFonts w:hint="eastAsia"/>
              </w:rPr>
              <w:t>采购人</w:t>
            </w:r>
          </w:p>
        </w:tc>
        <w:tc>
          <w:tcPr>
            <w:tcW w:w="6795" w:type="dxa"/>
            <w:vAlign w:val="center"/>
          </w:tcPr>
          <w:p>
            <w:pPr>
              <w:jc w:val="left"/>
              <w:rPr>
                <w:rFonts w:ascii="宋体" w:hAnsi="宋体" w:eastAsiaTheme="minorEastAsia" w:hint="eastAsia"/>
                <w:lang w:eastAsia="zh-CN"/>
              </w:rPr>
            </w:pPr>
            <w:r>
              <w:rPr>
                <w:rFonts w:ascii="宋体" w:eastAsia="宋体" w:hAnsi="宋体" w:cs="Arial" w:hint="eastAsia"/>
                <w:b/>
                <w:szCs w:val="21"/>
                <w:lang w:eastAsia="zh-CN"/>
              </w:rPr>
              <w:t>深圳市沙井中学</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1755" w:type="dxa"/>
            <w:vAlign w:val="center"/>
          </w:tcPr>
          <w:p>
            <w:pPr>
              <w:jc w:val="center"/>
              <w:rPr>
                <w:rFonts w:ascii="宋体" w:hAnsi="宋体"/>
              </w:rPr>
            </w:pPr>
            <w:r>
              <w:rPr>
                <w:rFonts w:ascii="宋体" w:hAnsi="宋体" w:hint="eastAsia"/>
              </w:rPr>
              <w:t>政府集中采购机构</w:t>
            </w:r>
          </w:p>
        </w:tc>
        <w:tc>
          <w:tcPr>
            <w:tcW w:w="6795" w:type="dxa"/>
            <w:vAlign w:val="center"/>
          </w:tcPr>
          <w:p>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1755" w:type="dxa"/>
            <w:vAlign w:val="center"/>
          </w:tcPr>
          <w:p>
            <w:pPr>
              <w:jc w:val="center"/>
              <w:rPr>
                <w:rFonts w:ascii="宋体" w:hAnsi="宋体"/>
              </w:rPr>
            </w:pPr>
            <w:r>
              <w:rPr>
                <w:rFonts w:ascii="宋体" w:hAnsi="宋体" w:hint="eastAsia"/>
              </w:rPr>
              <w:t>联合体投标</w:t>
            </w:r>
          </w:p>
        </w:tc>
        <w:tc>
          <w:tcPr>
            <w:tcW w:w="6795" w:type="dxa"/>
            <w:vAlign w:val="center"/>
          </w:tcPr>
          <w:p>
            <w:pPr>
              <w:jc w:val="left"/>
              <w:rPr>
                <w:rFonts w:ascii="宋体" w:hAnsi="宋体" w:eastAsiaTheme="minorEastAsia" w:hint="default"/>
                <w:lang w:val="en-US" w:eastAsia="zh-CN"/>
              </w:rPr>
            </w:pPr>
            <w:r>
              <w:rPr>
                <w:rFonts w:ascii="宋体" w:hAnsi="宋体" w:hint="eastAsia"/>
                <w:lang w:val="en-US" w:eastAsia="zh-CN"/>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1755" w:type="dxa"/>
            <w:vAlign w:val="center"/>
          </w:tcPr>
          <w:p>
            <w:pPr>
              <w:jc w:val="center"/>
              <w:rPr>
                <w:rFonts w:ascii="宋体" w:hAnsi="宋体"/>
              </w:rPr>
            </w:pPr>
            <w:r>
              <w:rPr>
                <w:rFonts w:ascii="宋体" w:hAnsi="宋体" w:hint="eastAsia"/>
              </w:rPr>
              <w:t>踏勘现场</w:t>
            </w:r>
          </w:p>
        </w:tc>
        <w:tc>
          <w:tcPr>
            <w:tcW w:w="6795" w:type="dxa"/>
            <w:vAlign w:val="center"/>
          </w:tcPr>
          <w:p>
            <w:pPr>
              <w:snapToGrid w:val="0"/>
              <w:jc w:val="left"/>
            </w:pPr>
            <w:r>
              <w:rPr>
                <w:rFonts w:ascii="宋体" w:eastAsia="宋体" w:hAnsi="宋体" w:cs="Arial" w:hint="eastAsia"/>
                <w:szCs w:val="21"/>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1755" w:type="dxa"/>
            <w:vAlign w:val="center"/>
          </w:tcPr>
          <w:p>
            <w:pPr>
              <w:jc w:val="center"/>
              <w:rPr>
                <w:rFonts w:ascii="宋体" w:hAnsi="宋体"/>
              </w:rPr>
            </w:pPr>
            <w:r>
              <w:rPr>
                <w:rFonts w:ascii="宋体" w:hAnsi="宋体" w:hint="eastAsia"/>
              </w:rPr>
              <w:t>标前会议</w:t>
            </w:r>
          </w:p>
        </w:tc>
        <w:tc>
          <w:tcPr>
            <w:tcW w:w="6795" w:type="dxa"/>
            <w:vAlign w:val="center"/>
          </w:tcPr>
          <w:p>
            <w:pPr>
              <w:jc w:val="left"/>
              <w:rPr>
                <w:rFonts w:ascii="宋体" w:hAnsi="宋体"/>
              </w:rPr>
            </w:pPr>
            <w:r>
              <w:rPr>
                <w:rFonts w:ascii="宋体" w:eastAsia="宋体" w:hAnsi="宋体" w:cs="Arial" w:hint="eastAsia"/>
                <w:szCs w:val="21"/>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pPr>
              <w:jc w:val="center"/>
              <w:rPr>
                <w:rFonts w:ascii="宋体" w:hAnsi="宋体"/>
              </w:rPr>
            </w:pPr>
            <w:r>
              <w:rPr>
                <w:rFonts w:ascii="宋体" w:hAnsi="宋体" w:hint="eastAsia"/>
              </w:rPr>
              <w:t>招标文件的澄清和修改</w:t>
            </w:r>
          </w:p>
        </w:tc>
        <w:tc>
          <w:tcPr>
            <w:tcW w:w="6795" w:type="dxa"/>
            <w:vAlign w:val="center"/>
          </w:tcPr>
          <w:p>
            <w:pPr>
              <w:jc w:val="left"/>
              <w:rPr>
                <w:rFonts w:ascii="宋体" w:hAnsi="宋体" w:eastAsiaTheme="minorEastAsia" w:hint="eastAsia"/>
                <w:lang w:eastAsia="zh-CN"/>
              </w:rPr>
            </w:pPr>
            <w:r>
              <w:rPr>
                <w:rFonts w:ascii="宋体" w:hAnsi="宋体" w:hint="eastAsia"/>
              </w:rPr>
              <w:t>对招标文件澄清/修改时间不晚于投标截止日三日前，投标人有义务在招标期间在政府集中采购机构网站浏览与本项目有关的澄清和修改信息</w:t>
            </w:r>
            <w:r>
              <w:rPr>
                <w:rFonts w:ascii="宋体" w:hAnsi="宋体" w:hint="eastAsia"/>
                <w:lang w:eastAsia="zh-CN"/>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1755" w:type="dxa"/>
            <w:vAlign w:val="center"/>
          </w:tcPr>
          <w:p>
            <w:pPr>
              <w:jc w:val="center"/>
              <w:rPr>
                <w:rFonts w:ascii="宋体" w:hAnsi="宋体"/>
              </w:rPr>
            </w:pPr>
            <w:r>
              <w:rPr>
                <w:rFonts w:ascii="宋体" w:hAnsi="宋体" w:hint="eastAsia"/>
              </w:rPr>
              <w:t>投标有效期</w:t>
            </w:r>
          </w:p>
        </w:tc>
        <w:tc>
          <w:tcPr>
            <w:tcW w:w="6795" w:type="dxa"/>
            <w:vAlign w:val="center"/>
          </w:tcPr>
          <w:p>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1755" w:type="dxa"/>
            <w:vAlign w:val="center"/>
          </w:tcPr>
          <w:p>
            <w:pPr>
              <w:jc w:val="center"/>
              <w:rPr>
                <w:rFonts w:ascii="宋体" w:hAnsi="宋体"/>
              </w:rPr>
            </w:pPr>
            <w:r>
              <w:rPr>
                <w:rFonts w:ascii="宋体" w:hAnsi="宋体" w:hint="eastAsia"/>
              </w:rPr>
              <w:t>投标人的替代方案</w:t>
            </w:r>
          </w:p>
        </w:tc>
        <w:tc>
          <w:tcPr>
            <w:tcW w:w="6795" w:type="dxa"/>
            <w:vAlign w:val="center"/>
          </w:tcPr>
          <w:p>
            <w:pPr>
              <w:jc w:val="left"/>
              <w:rPr>
                <w:rFonts w:ascii="宋体" w:hAnsi="宋体"/>
              </w:rPr>
            </w:pPr>
            <w:r>
              <w:rPr>
                <w:rFonts w:ascii="宋体" w:hAnsi="宋体" w:hint="eastAsia"/>
                <w:lang w:val="en-US" w:eastAsia="zh-CN"/>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1755" w:type="dxa"/>
            <w:vAlign w:val="center"/>
          </w:tcPr>
          <w:p>
            <w:pPr>
              <w:jc w:val="center"/>
              <w:rPr>
                <w:rFonts w:ascii="宋体" w:hAnsi="宋体"/>
              </w:rPr>
            </w:pPr>
            <w:r>
              <w:rPr>
                <w:rFonts w:ascii="宋体" w:hAnsi="宋体" w:hint="eastAsia"/>
              </w:rPr>
              <w:t>投标文件的大小</w:t>
            </w:r>
          </w:p>
        </w:tc>
        <w:tc>
          <w:tcPr>
            <w:tcW w:w="6795" w:type="dxa"/>
            <w:vAlign w:val="center"/>
          </w:tcPr>
          <w:p>
            <w:pPr>
              <w:jc w:val="left"/>
              <w:rPr>
                <w:rFonts w:ascii="宋体" w:hAnsi="宋体"/>
              </w:rPr>
            </w:pPr>
            <w:r>
              <w:rPr>
                <w:rFonts w:ascii="宋体" w:eastAsia="宋体" w:hAnsi="宋体" w:cs="Arial" w:hint="eastAsia"/>
                <w:szCs w:val="21"/>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1755" w:type="dxa"/>
            <w:vAlign w:val="center"/>
          </w:tcPr>
          <w:p>
            <w:pPr>
              <w:jc w:val="center"/>
              <w:rPr>
                <w:rFonts w:ascii="宋体" w:hAnsi="宋体"/>
              </w:rPr>
            </w:pPr>
            <w:bookmarkStart w:id="12" w:name="_Hlk71664860"/>
            <w:r>
              <w:rPr>
                <w:rFonts w:ascii="宋体" w:hAnsi="宋体" w:hint="eastAsia"/>
              </w:rPr>
              <w:t>样品、现场演示、方案讲解</w:t>
            </w:r>
            <w:bookmarkEnd w:id="12"/>
          </w:p>
        </w:tc>
        <w:tc>
          <w:tcPr>
            <w:tcW w:w="6795" w:type="dxa"/>
            <w:vAlign w:val="center"/>
          </w:tcPr>
          <w:p>
            <w:pPr>
              <w:jc w:val="left"/>
              <w:rPr>
                <w:rFonts w:ascii="宋体" w:hAnsi="宋体"/>
              </w:rPr>
            </w:pPr>
            <w:r>
              <w:rPr>
                <w:rFonts w:ascii="宋体" w:hAnsi="宋体" w:hint="eastAsia"/>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1755" w:type="dxa"/>
            <w:vAlign w:val="center"/>
          </w:tcPr>
          <w:p>
            <w:pPr>
              <w:jc w:val="center"/>
              <w:rPr>
                <w:rFonts w:ascii="宋体" w:hAnsi="宋体"/>
              </w:rPr>
            </w:pPr>
            <w:r>
              <w:rPr>
                <w:rFonts w:ascii="宋体" w:hAnsi="宋体" w:hint="eastAsia"/>
              </w:rPr>
              <w:t>评审方法</w:t>
            </w:r>
          </w:p>
        </w:tc>
        <w:tc>
          <w:tcPr>
            <w:tcW w:w="6795" w:type="dxa"/>
            <w:vAlign w:val="center"/>
          </w:tcPr>
          <w:p>
            <w:pPr>
              <w:jc w:val="left"/>
              <w:rPr>
                <w:rFonts w:ascii="宋体" w:hAnsi="宋体"/>
              </w:rPr>
            </w:pPr>
            <w:r>
              <w:rPr>
                <w:rFonts w:ascii="宋体" w:hAnsi="宋体"/>
                <w:b/>
                <w:bCs/>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1755" w:type="dxa"/>
            <w:vAlign w:val="center"/>
          </w:tcPr>
          <w:p>
            <w:pPr>
              <w:jc w:val="center"/>
              <w:rPr>
                <w:rFonts w:ascii="宋体" w:hAnsi="宋体"/>
              </w:rPr>
            </w:pPr>
            <w:r>
              <w:rPr>
                <w:rFonts w:ascii="宋体" w:hAnsi="宋体" w:hint="eastAsia"/>
              </w:rPr>
              <w:t>定标方法</w:t>
            </w:r>
          </w:p>
        </w:tc>
        <w:tc>
          <w:tcPr>
            <w:tcW w:w="6795" w:type="dxa"/>
            <w:vAlign w:val="center"/>
          </w:tcPr>
          <w:p>
            <w:pPr>
              <w:jc w:val="left"/>
              <w:rPr>
                <w:rFonts w:ascii="宋体" w:hAnsi="宋体" w:hint="eastAsia"/>
                <w:b/>
                <w:bCs/>
                <w:highlight w:val="none"/>
              </w:rPr>
            </w:pPr>
            <w:r>
              <w:rPr>
                <w:rFonts w:ascii="宋体" w:eastAsia="宋体" w:hAnsi="宋体" w:cs="Times New Roman" w:hint="eastAsia"/>
                <w:b/>
                <w:bCs/>
                <w:szCs w:val="21"/>
                <w:highlight w:val="none"/>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1755" w:type="dxa"/>
            <w:vAlign w:val="center"/>
          </w:tcPr>
          <w:p>
            <w:pPr>
              <w:jc w:val="center"/>
              <w:rPr>
                <w:rFonts w:ascii="宋体" w:hAnsi="宋体"/>
              </w:rPr>
            </w:pPr>
            <w:r>
              <w:rPr>
                <w:rFonts w:ascii="宋体" w:hAnsi="宋体" w:hint="eastAsia"/>
              </w:rPr>
              <w:t>履约担保</w:t>
            </w:r>
          </w:p>
        </w:tc>
        <w:tc>
          <w:tcPr>
            <w:tcW w:w="6795" w:type="dxa"/>
            <w:vAlign w:val="center"/>
          </w:tcPr>
          <w:p>
            <w:pPr>
              <w:jc w:val="left"/>
              <w:rPr>
                <w:rFonts w:ascii="宋体" w:hAnsi="宋体"/>
              </w:rPr>
            </w:pPr>
            <w:r>
              <w:rPr>
                <w:rFonts w:ascii="宋体" w:hAnsi="宋体" w:hint="eastAsia"/>
              </w:rPr>
              <w:t>不</w:t>
            </w:r>
            <w:r>
              <w:rPr>
                <w:rFonts w:ascii="宋体" w:hAnsi="宋体" w:hint="eastAsia"/>
                <w:lang w:val="en-US" w:eastAsia="zh-CN"/>
              </w:rPr>
              <w:t>需要</w:t>
            </w:r>
            <w:bookmarkEnd w:id="4"/>
            <w:bookmarkEnd w:id="5"/>
            <w:bookmarkEnd w:id="6"/>
            <w:bookmarkEnd w:id="7"/>
            <w:bookmarkEnd w:id="8"/>
            <w:bookmarkEnd w:id="9"/>
            <w:bookmarkEnd w:id="10"/>
            <w:bookmarkEnd w:id="11"/>
          </w:p>
        </w:tc>
      </w:tr>
    </w:tbl>
    <w:p>
      <w:pPr>
        <w:widowControl/>
        <w:jc w:val="center"/>
        <w:rPr>
          <w:szCs w:val="21"/>
        </w:rPr>
      </w:pPr>
      <w:r>
        <w:rPr>
          <w:rFonts w:hint="eastAsia"/>
          <w:szCs w:val="21"/>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tabs>
          <w:tab w:val="left" w:pos="720"/>
        </w:tabs>
        <w:jc w:val="center"/>
        <w:rPr>
          <w:rFonts w:eastAsiaTheme="minorEastAsia" w:hint="default"/>
          <w:lang w:val="en-US" w:eastAsia="zh-CN"/>
        </w:rPr>
      </w:pPr>
      <w:r>
        <w:rPr>
          <w:rFonts w:hint="eastAsia"/>
          <w:lang w:val="en-US" w:eastAsia="zh-CN"/>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pPr>
            <w:bookmarkStart w:id="13" w:name="_Hlk74239733"/>
            <w:r>
              <w:rPr>
                <w:rFonts w:hint="eastAsia"/>
              </w:rPr>
              <w:t>评标方法</w:t>
            </w:r>
          </w:p>
        </w:tc>
        <w:tc>
          <w:tcPr>
            <w:tcW w:w="4265" w:type="dxa"/>
          </w:tcPr>
          <w:p>
            <w:pPr>
              <w:jc w:val="center"/>
            </w:pPr>
            <w:r>
              <w:rPr>
                <w:rFonts w:hint="eastAsia"/>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候选中标供应商家数</w:t>
            </w:r>
          </w:p>
        </w:tc>
        <w:tc>
          <w:tcPr>
            <w:tcW w:w="4265" w:type="dxa"/>
          </w:tcPr>
          <w:p>
            <w:pPr>
              <w:jc w:val="center"/>
              <w:rPr>
                <w:rFonts w:eastAsiaTheme="minorEastAsia" w:hint="eastAsia"/>
                <w:highlight w:val="none"/>
                <w:lang w:eastAsia="zh-CN"/>
              </w:rPr>
            </w:pPr>
            <w:r>
              <w:rPr>
                <w:rFonts w:hint="eastAsia"/>
                <w:highlight w:val="none"/>
                <w:lang w:val="en-US" w:eastAsia="zh-CN"/>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中标供应商家数</w:t>
            </w:r>
          </w:p>
        </w:tc>
        <w:tc>
          <w:tcPr>
            <w:tcW w:w="4265" w:type="dxa"/>
          </w:tcPr>
          <w:p>
            <w:pPr>
              <w:jc w:val="center"/>
            </w:pPr>
            <w:r>
              <w:rPr>
                <w:rFonts w:hint="eastAsia"/>
              </w:rPr>
              <w:t>1</w:t>
            </w:r>
            <w:bookmarkEnd w:id="13"/>
          </w:p>
        </w:tc>
      </w:tr>
    </w:tbl>
    <w:p>
      <w:pPr>
        <w:tabs>
          <w:tab w:val="left" w:pos="720"/>
        </w:tabs>
        <w:rPr>
          <w:rFonts w:ascii="黑体" w:eastAsia="黑体" w:hAnsi="宋体" w:hint="eastAsia"/>
          <w:bCs/>
          <w:sz w:val="24"/>
          <w:lang w:val="en-US" w:eastAsia="zh-CN"/>
        </w:rPr>
      </w:pPr>
    </w:p>
    <w:p>
      <w:pPr>
        <w:tabs>
          <w:tab w:val="left" w:pos="720"/>
        </w:tabs>
        <w:rPr>
          <w:rFonts w:ascii="黑体" w:eastAsia="黑体" w:hAnsi="宋体"/>
          <w:bCs/>
          <w:sz w:val="24"/>
        </w:rPr>
      </w:pPr>
      <w:r>
        <w:rPr>
          <w:rFonts w:ascii="黑体" w:eastAsia="黑体" w:hAnsi="宋体" w:hint="eastAsia"/>
          <w:bCs/>
          <w:sz w:val="24"/>
          <w:lang w:val="en-US" w:eastAsia="zh-CN"/>
        </w:rPr>
        <w:t>2</w:t>
      </w:r>
      <w:r>
        <w:rPr>
          <w:rFonts w:ascii="黑体" w:eastAsia="黑体" w:hAnsi="宋体" w:hint="eastAsia"/>
          <w:bCs/>
          <w:sz w:val="24"/>
        </w:rPr>
        <w:t>、关于包组的定义</w:t>
      </w:r>
    </w:p>
    <w:p>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rPr>
      </w:pPr>
      <w:r>
        <w:rPr>
          <w:rFonts w:ascii="黑体" w:eastAsia="黑体" w:hAnsi="宋体" w:hint="eastAsia"/>
          <w:sz w:val="24"/>
          <w:lang w:val="en-US" w:eastAsia="zh-CN"/>
        </w:rPr>
        <w:t>3</w:t>
      </w:r>
      <w:r>
        <w:rPr>
          <w:rFonts w:ascii="黑体" w:eastAsia="黑体" w:hAnsi="宋体" w:hint="eastAsia"/>
          <w:sz w:val="24"/>
        </w:rPr>
        <w:t>、关于涉及采取随机抽取方式确定中标候选人（候选中标供应商）的规则</w:t>
      </w:r>
    </w:p>
    <w:p>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且同号的情况，则对同号的投标人重新摇签确定中签。抽签过程中遇抽签机器卡球的，被卡球方当轮重新抽签。</w:t>
      </w:r>
    </w:p>
    <w:p>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rPr>
      </w:pPr>
    </w:p>
    <w:p>
      <w:pPr>
        <w:tabs>
          <w:tab w:val="left" w:pos="720"/>
        </w:tabs>
        <w:rPr>
          <w:rFonts w:ascii="黑体" w:eastAsia="黑体" w:hAnsi="宋体"/>
          <w:sz w:val="24"/>
        </w:rPr>
      </w:pPr>
      <w:r>
        <w:rPr>
          <w:rFonts w:ascii="黑体" w:eastAsia="黑体" w:hAnsi="宋体" w:hint="eastAsia"/>
          <w:sz w:val="24"/>
        </w:rPr>
        <w:t>（二）其他事项</w:t>
      </w:r>
    </w:p>
    <w:p>
      <w:pPr>
        <w:tabs>
          <w:tab w:val="left" w:pos="720"/>
        </w:tabs>
        <w:rPr>
          <w:rFonts w:ascii="黑体" w:eastAsia="黑体" w:hAnsi="宋体"/>
          <w:sz w:val="24"/>
        </w:rPr>
      </w:pPr>
      <w:r>
        <w:rPr>
          <w:rFonts w:ascii="黑体" w:eastAsia="黑体" w:hAnsi="宋体" w:hint="eastAsia"/>
          <w:sz w:val="24"/>
        </w:rPr>
        <w:t>1、关于享受优惠政策的主体及价格扣除比例</w:t>
      </w:r>
    </w:p>
    <w:p>
      <w:pPr>
        <w:ind w:firstLine="412" w:firstLineChars="196"/>
        <w:rPr>
          <w:rFonts w:ascii="Arial" w:eastAsia="宋体" w:hAnsi="Arial" w:cs="Times New Roman"/>
          <w:b/>
          <w:color w:val="0000FF"/>
          <w:szCs w:val="21"/>
          <w:highlight w:val="none"/>
        </w:rPr>
      </w:pPr>
      <w:r>
        <w:rPr>
          <w:rFonts w:ascii="宋体" w:hAnsi="宋体" w:hint="eastAsia"/>
        </w:rPr>
        <w:t>（1）投标人提供的货物（以招标文</w:t>
      </w:r>
      <w:r>
        <w:rPr>
          <w:rFonts w:ascii="宋体" w:hAnsi="宋体" w:hint="eastAsia"/>
          <w:highlight w:val="none"/>
        </w:rPr>
        <w:t>件用户需求书“货物</w:t>
      </w:r>
      <w:r>
        <w:rPr>
          <w:rFonts w:ascii="宋体" w:hAnsi="宋体" w:hint="eastAsia"/>
          <w:highlight w:val="none"/>
          <w:lang w:val="en-US" w:eastAsia="zh-CN"/>
        </w:rPr>
        <w:t>需求</w:t>
      </w:r>
      <w:r>
        <w:rPr>
          <w:rFonts w:ascii="宋体" w:hAnsi="宋体" w:hint="eastAsia"/>
          <w:highlight w:val="none"/>
        </w:rPr>
        <w:t>明细”的“货物名称”一栏为准）全部均由优惠主体制造的，对其投标总价给予</w:t>
      </w:r>
      <w:r>
        <w:rPr>
          <w:rFonts w:ascii="宋体" w:eastAsia="宋体" w:hAnsi="宋体" w:cs="Times New Roman" w:hint="eastAsia"/>
          <w:b/>
          <w:sz w:val="24"/>
          <w:szCs w:val="24"/>
          <w:highlight w:val="none"/>
          <w:u w:val="single"/>
          <w:lang w:val="en-US" w:eastAsia="zh-CN"/>
        </w:rPr>
        <w:t>10%</w:t>
      </w:r>
      <w:r>
        <w:rPr>
          <w:rFonts w:ascii="宋体" w:hAnsi="宋体" w:hint="eastAsia"/>
          <w:highlight w:val="none"/>
        </w:rPr>
        <w:t>的扣除，用扣除后的价格参与评审。满足多项优惠政策的企业，不重复享受多项价格扣除政策。</w:t>
      </w:r>
      <w:r>
        <w:rPr>
          <w:rFonts w:ascii="Arial" w:eastAsia="宋体" w:hAnsi="Arial" w:cs="Times New Roman" w:hint="eastAsia"/>
          <w:b/>
          <w:strike w:val="0"/>
          <w:dstrike w:val="0"/>
          <w:szCs w:val="21"/>
          <w:highlight w:val="none"/>
        </w:rPr>
        <w:t>政策调整后价格仅作为评审依据，不作为中标价格。</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highlight w:val="none"/>
        </w:rPr>
        <w:t>备注：</w:t>
      </w:r>
      <w:r>
        <w:rPr>
          <w:rFonts w:asciiTheme="minorEastAsia" w:hAnsiTheme="minorEastAsia" w:cstheme="minorEastAsia" w:hint="eastAsia"/>
          <w:b/>
          <w:bCs/>
          <w:sz w:val="21"/>
          <w:szCs w:val="21"/>
          <w:highlight w:val="none"/>
          <w:lang w:eastAsia="zh-CN"/>
        </w:rPr>
        <w:t>（</w:t>
      </w:r>
      <w:r>
        <w:rPr>
          <w:rFonts w:asciiTheme="minorEastAsia" w:hAnsiTheme="minorEastAsia" w:cstheme="minorEastAsia" w:hint="eastAsia"/>
          <w:b/>
          <w:bCs/>
          <w:sz w:val="21"/>
          <w:szCs w:val="21"/>
          <w:highlight w:val="none"/>
          <w:lang w:val="en-US" w:eastAsia="zh-CN"/>
        </w:rPr>
        <w:t>a</w:t>
      </w:r>
      <w:r>
        <w:rPr>
          <w:rFonts w:asciiTheme="minorEastAsia" w:hAnsiTheme="minorEastAsia" w:cstheme="minorEastAsia" w:hint="eastAsia"/>
          <w:b/>
          <w:bCs/>
          <w:sz w:val="21"/>
          <w:szCs w:val="21"/>
          <w:highlight w:val="none"/>
          <w:lang w:eastAsia="zh-CN"/>
        </w:rPr>
        <w:t>）</w:t>
      </w:r>
      <w:r>
        <w:rPr>
          <w:rFonts w:asciiTheme="minorEastAsia" w:eastAsiaTheme="minorEastAsia" w:hAnsiTheme="minorEastAsia" w:cstheme="minorEastAsia" w:hint="eastAsia"/>
          <w:sz w:val="21"/>
          <w:szCs w:val="21"/>
          <w:highlight w:val="none"/>
        </w:rPr>
        <w:t>优惠主体包括小型企业、微型企业、监狱企业、残疾人福利性单位；中小企业是指在中华人民共和国境内依法设立，依据国务院批准的中小</w:t>
      </w:r>
      <w:r>
        <w:rPr>
          <w:rFonts w:asciiTheme="minorEastAsia" w:eastAsiaTheme="minorEastAsia" w:hAnsiTheme="minorEastAsia" w:cstheme="minorEastAsia" w:hint="eastAsia"/>
          <w:sz w:val="21"/>
          <w:szCs w:val="21"/>
        </w:rPr>
        <w:t>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highlight w:val="none"/>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 w:val="21"/>
          <w:szCs w:val="21"/>
          <w:lang w:val="en-US" w:eastAsia="zh-CN"/>
        </w:rPr>
        <w:t>(b)</w:t>
      </w:r>
      <w:r>
        <w:rPr>
          <w:rFonts w:asciiTheme="minorEastAsia" w:eastAsiaTheme="minorEastAsia" w:hAnsiTheme="minorEastAsia" w:cstheme="minorEastAsia" w:hint="eastAsia"/>
          <w:sz w:val="21"/>
          <w:szCs w:val="21"/>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（2）根据《工业和信息化部、国家统计局、国家发展和改革委员会、财政部关于印发中小企业划型标准规定的通知》（工信部联企业〔2011〕300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《统计上大中小微型企业划分办法（2017）》（国统字〔2017〕213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kern w:val="0"/>
          <w:sz w:val="21"/>
          <w:szCs w:val="21"/>
        </w:rPr>
        <w:t>《金融业企业划型标准规定》</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kern w:val="0"/>
          <w:sz w:val="21"/>
          <w:szCs w:val="21"/>
        </w:rPr>
        <w:t>银发〔2015〕309号</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sz w:val="21"/>
          <w:szCs w:val="21"/>
        </w:rPr>
        <w:t>或国务院批准的其他中小企业划分标准文件，</w:t>
      </w:r>
      <w:bookmarkStart w:id="14" w:name="_Hlk71970739"/>
      <w:r>
        <w:rPr>
          <w:rFonts w:asciiTheme="minorEastAsia" w:eastAsiaTheme="minorEastAsia" w:hAnsiTheme="minorEastAsia" w:cstheme="minorEastAsia" w:hint="eastAsia"/>
          <w:sz w:val="21"/>
          <w:szCs w:val="21"/>
        </w:rPr>
        <w:t>本项目</w:t>
      </w:r>
      <w:bookmarkStart w:id="15" w:name="_Hlk71924718"/>
      <w:r>
        <w:rPr>
          <w:rFonts w:asciiTheme="minorEastAsia" w:eastAsiaTheme="minorEastAsia" w:hAnsiTheme="minorEastAsia" w:cstheme="minorEastAsia" w:hint="eastAsia"/>
          <w:sz w:val="21"/>
          <w:szCs w:val="21"/>
        </w:rPr>
        <w:t>采购标的（货物）对应的中小企业划分标准所属行业</w:t>
      </w:r>
      <w:bookmarkEnd w:id="15"/>
      <w:r>
        <w:rPr>
          <w:rFonts w:asciiTheme="minorEastAsia" w:eastAsiaTheme="minorEastAsia" w:hAnsiTheme="minorEastAsia" w:cstheme="minorEastAsia" w:hint="eastAsia"/>
          <w:sz w:val="21"/>
          <w:szCs w:val="21"/>
        </w:rPr>
        <w:t>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4"/>
          <w:szCs w:val="24"/>
          <w:u w:val="single"/>
        </w:rPr>
        <w:t xml:space="preserve"> 软件和信息技术服务业</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sz w:val="21"/>
          <w:szCs w:val="21"/>
        </w:rPr>
        <w:t>。</w:t>
      </w:r>
      <w:bookmarkEnd w:id="14"/>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（4）享受价格扣除获得政府采购合同的，小微企业不得将合同分包给大中型企业。</w:t>
      </w:r>
    </w:p>
    <w:p>
      <w:pPr>
        <w:tabs>
          <w:tab w:val="left" w:pos="720"/>
        </w:tabs>
        <w:ind w:firstLine="420" w:firstLineChars="200"/>
        <w:rPr>
          <w:rFonts w:ascii="宋体" w:hAnsi="宋体"/>
          <w:bCs/>
        </w:rPr>
      </w:pPr>
    </w:p>
    <w:p>
      <w:pPr>
        <w:spacing w:line="360" w:lineRule="auto"/>
        <w:rPr>
          <w:rFonts w:ascii="宋体" w:eastAsia="宋体" w:hAnsi="宋体" w:cs="宋体"/>
          <w:b/>
          <w:bCs/>
          <w:color w:val="auto"/>
          <w:szCs w:val="24"/>
        </w:rPr>
      </w:pPr>
      <w:r>
        <w:rPr>
          <w:rFonts w:ascii="宋体" w:eastAsia="宋体" w:hAnsi="宋体" w:cs="宋体" w:hint="eastAsia"/>
          <w:b/>
          <w:bCs/>
          <w:color w:val="auto"/>
          <w:szCs w:val="24"/>
        </w:rPr>
        <w:t>2.关于政府采购订单融资政策</w:t>
      </w:r>
    </w:p>
    <w:p>
      <w:pPr>
        <w:ind w:firstLine="420" w:firstLineChars="200"/>
        <w:rPr>
          <w:rFonts w:ascii="宋体" w:eastAsia="宋体" w:hAnsi="宋体" w:cs="Times New Roman"/>
          <w:b/>
          <w:color w:val="auto"/>
          <w:szCs w:val="24"/>
        </w:rPr>
      </w:pPr>
      <w:r>
        <w:rPr>
          <w:rFonts w:ascii="Times New Roman" w:eastAsia="宋体" w:hAnsi="Times New Roman" w:cs="Times New Roman" w:hint="eastAsia"/>
          <w:color w:val="auto"/>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color w:val="auto"/>
          <w:sz w:val="24"/>
        </w:rPr>
      </w:pPr>
    </w:p>
    <w:p>
      <w:pPr>
        <w:tabs>
          <w:tab w:val="left" w:pos="720"/>
        </w:tabs>
        <w:rPr>
          <w:rFonts w:ascii="Arial" w:hAnsi="Arial" w:hint="eastAsia"/>
          <w:b/>
          <w:bCs/>
          <w:color w:val="auto"/>
        </w:rPr>
      </w:pPr>
      <w:r>
        <w:rPr>
          <w:rFonts w:ascii="Arial" w:hAnsi="Arial" w:hint="eastAsia"/>
          <w:b/>
          <w:bCs/>
          <w:color w:val="auto"/>
        </w:rPr>
        <w:t>3、本项目不向中标供应商收取代理服务费。</w:t>
      </w:r>
    </w:p>
    <w:p>
      <w:pPr>
        <w:widowControl/>
        <w:ind w:firstLine="420"/>
        <w:jc w:val="left"/>
        <w:rPr>
          <w:rFonts w:ascii="宋体" w:eastAsia="黑体" w:hAnsi="宋体" w:cs="Times New Roman"/>
          <w:bCs/>
          <w:kern w:val="44"/>
          <w:szCs w:val="21"/>
        </w:rPr>
      </w:pPr>
    </w:p>
    <w:p>
      <w:pPr>
        <w:widowControl/>
        <w:jc w:val="left"/>
        <w:rPr>
          <w:rFonts w:ascii="宋体" w:eastAsia="黑体" w:hAnsi="宋体" w:cs="Times New Roman"/>
          <w:bCs/>
          <w:kern w:val="44"/>
          <w:sz w:val="28"/>
          <w:szCs w:val="44"/>
        </w:rPr>
      </w:pPr>
      <w: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pPr>
        <w:keepNext/>
        <w:keepLines/>
        <w:tabs>
          <w:tab w:val="left" w:pos="1680"/>
        </w:tabs>
        <w:spacing w:before="260" w:after="78" w:afterLines="25"/>
        <w:jc w:val="center"/>
        <w:outlineLvl w:val="2"/>
        <w:rPr>
          <w:rFonts w:ascii="Arial" w:eastAsia="宋体" w:hAnsi="Arial" w:cs="Times New Roman" w:hint="eastAsia"/>
          <w:b/>
          <w:sz w:val="32"/>
          <w:szCs w:val="32"/>
          <w:highlight w:val="none"/>
        </w:rPr>
      </w:pPr>
      <w:r>
        <w:rPr>
          <w:rFonts w:ascii="Arial" w:eastAsia="宋体" w:hAnsi="Arial" w:cs="Times New Roman" w:hint="eastAsia"/>
          <w:b/>
          <w:sz w:val="32"/>
          <w:szCs w:val="32"/>
          <w:highlight w:val="none"/>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highlight w:val="none"/>
              </w:rPr>
            </w:pPr>
            <w:r>
              <w:rPr>
                <w:rFonts w:hint="eastAsia"/>
                <w:b w:val="0"/>
                <w:bCs w:val="0"/>
                <w:highlight w:val="none"/>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asciiTheme="minorEastAsia" w:hAnsiTheme="minorEastAsia" w:hint="eastAsia"/>
                <w:b w:val="0"/>
                <w:bCs w:val="0"/>
                <w:sz w:val="24"/>
                <w:szCs w:val="24"/>
                <w:highlight w:val="none"/>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b w:val="0"/>
                <w:bCs w:val="0"/>
                <w:sz w:val="24"/>
                <w:szCs w:val="24"/>
                <w:highlight w:val="none"/>
              </w:rPr>
              <w:t>PLAN-2024-440306000-112099-04598</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eastAsiaTheme="minorEastAsia" w:hAnsiTheme="minorEastAsia" w:hint="eastAsia"/>
                <w:b w:val="0"/>
                <w:bCs w:val="0"/>
                <w:sz w:val="24"/>
                <w:szCs w:val="24"/>
                <w:highlight w:val="none"/>
                <w:lang w:eastAsia="zh-CN"/>
              </w:rPr>
            </w:pPr>
            <w:r>
              <w:rPr>
                <w:rFonts w:asciiTheme="minorEastAsia" w:hAnsiTheme="minorEastAsia" w:hint="eastAsia"/>
                <w:b w:val="0"/>
                <w:bCs w:val="0"/>
                <w:sz w:val="24"/>
                <w:szCs w:val="24"/>
                <w:highlight w:val="none"/>
                <w:lang w:eastAsia="zh-CN"/>
              </w:rPr>
              <w:t>深圳市沙井中学理科实验考试设备采购项目</w:t>
            </w:r>
          </w:p>
          <w:p>
            <w:pPr>
              <w:jc w:val="center"/>
              <w:rPr>
                <w:b w:val="0"/>
                <w:bCs w:val="0"/>
                <w:highlight w:val="none"/>
              </w:rPr>
            </w:pPr>
            <w:r>
              <w:rPr>
                <w:rFonts w:asciiTheme="minorEastAsia" w:hAnsiTheme="minorEastAsia" w:hint="eastAsia"/>
                <w:b w:val="0"/>
                <w:bCs w:val="0"/>
                <w:sz w:val="24"/>
                <w:szCs w:val="24"/>
                <w:highlight w:val="none"/>
              </w:rPr>
              <w:t>（</w:t>
            </w:r>
            <w:r>
              <w:rPr>
                <w:rFonts w:asciiTheme="minorEastAsia" w:hAnsiTheme="minorEastAsia" w:cs="Times New Roman" w:hint="eastAsia"/>
                <w:b w:val="0"/>
                <w:bCs w:val="0"/>
                <w:sz w:val="24"/>
                <w:szCs w:val="24"/>
                <w:highlight w:val="none"/>
              </w:rPr>
              <w:t>A包</w:t>
            </w:r>
            <w:r>
              <w:rPr>
                <w:rFonts w:asciiTheme="minorEastAsia" w:hAnsiTheme="minorEastAsia" w:hint="eastAsia"/>
                <w:b w:val="0"/>
                <w:bCs w:val="0"/>
                <w:sz w:val="24"/>
                <w:szCs w:val="24"/>
                <w:highlight w:val="none"/>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rPr>
                <w:rFonts w:eastAsiaTheme="minorEastAsia" w:hint="eastAsia"/>
                <w:b w:val="0"/>
                <w:bCs w:val="0"/>
                <w:highlight w:val="none"/>
                <w:lang w:val="en-US" w:eastAsia="zh-CN"/>
              </w:rPr>
            </w:pPr>
            <w:r>
              <w:rPr>
                <w:rFonts w:hint="eastAsia"/>
                <w:b w:val="0"/>
                <w:bCs w:val="0"/>
                <w:highlight w:val="none"/>
                <w:lang w:val="en-US" w:eastAsia="zh-CN"/>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bl>
    <w:p>
      <w:pPr>
        <w:keepNext/>
        <w:keepLines/>
        <w:tabs>
          <w:tab w:val="left" w:pos="1680"/>
        </w:tabs>
        <w:spacing w:before="260" w:after="78" w:afterLines="25"/>
        <w:jc w:val="left"/>
        <w:outlineLvl w:val="2"/>
        <w:rPr>
          <w:rFonts w:ascii="Arial" w:eastAsia="宋体" w:hAnsi="Arial" w:cs="Times New Roman" w:hint="eastAsia"/>
          <w:b/>
          <w:sz w:val="32"/>
          <w:szCs w:val="32"/>
          <w:highlight w:val="none"/>
        </w:rPr>
      </w:pPr>
      <w:r>
        <w:rPr>
          <w:rFonts w:ascii="宋体" w:eastAsia="宋体" w:hAnsi="宋体" w:cs="宋体" w:hint="eastAsia"/>
          <w:b/>
          <w:color w:val="FF0000"/>
          <w:sz w:val="32"/>
          <w:szCs w:val="32"/>
          <w:highlight w:val="none"/>
        </w:rPr>
        <w:t>本项目</w:t>
      </w:r>
      <w:r>
        <w:rPr>
          <w:rFonts w:ascii="宋体" w:eastAsia="宋体" w:hAnsi="宋体" w:cs="宋体" w:hint="eastAsia"/>
          <w:b/>
          <w:color w:val="FF0000"/>
          <w:sz w:val="32"/>
          <w:szCs w:val="32"/>
          <w:highlight w:val="none"/>
          <w:lang w:val="en-US" w:eastAsia="zh-CN"/>
        </w:rPr>
        <w:t>预算金额为</w:t>
      </w:r>
      <w:r>
        <w:rPr>
          <w:rFonts w:ascii="宋体" w:eastAsia="宋体" w:hAnsi="宋体" w:cs="宋体" w:hint="eastAsia"/>
          <w:b/>
          <w:color w:val="FF0000"/>
          <w:sz w:val="32"/>
          <w:szCs w:val="32"/>
          <w:highlight w:val="none"/>
        </w:rPr>
        <w:t>人民币</w:t>
      </w:r>
      <w:r>
        <w:rPr>
          <w:rFonts w:ascii="宋体" w:eastAsia="宋体" w:hAnsi="宋体" w:cs="宋体" w:hint="eastAsia"/>
          <w:b/>
          <w:color w:val="0000FF"/>
          <w:sz w:val="32"/>
          <w:szCs w:val="32"/>
          <w:highlight w:val="none"/>
          <w:lang w:val="en-US" w:eastAsia="zh-CN"/>
        </w:rPr>
        <w:t>1,500,000.00元，</w:t>
      </w:r>
      <w:r>
        <w:rPr>
          <w:rFonts w:ascii="宋体" w:eastAsia="宋体" w:hAnsi="宋体" w:cs="宋体" w:hint="eastAsia"/>
          <w:b/>
          <w:color w:val="FF0000"/>
          <w:sz w:val="32"/>
          <w:szCs w:val="32"/>
          <w:highlight w:val="none"/>
        </w:rPr>
        <w:t>投标报价超出</w:t>
      </w:r>
      <w:r>
        <w:rPr>
          <w:rFonts w:ascii="宋体" w:eastAsia="宋体" w:hAnsi="宋体" w:cs="宋体" w:hint="eastAsia"/>
          <w:b/>
          <w:color w:val="FF0000"/>
          <w:sz w:val="32"/>
          <w:szCs w:val="32"/>
          <w:highlight w:val="none"/>
          <w:lang w:val="en-US" w:eastAsia="zh-CN"/>
        </w:rPr>
        <w:t>预算</w:t>
      </w:r>
      <w:r>
        <w:rPr>
          <w:rFonts w:ascii="宋体" w:eastAsia="宋体" w:hAnsi="宋体" w:cs="宋体" w:hint="eastAsia"/>
          <w:b/>
          <w:color w:val="FF0000"/>
          <w:sz w:val="32"/>
          <w:szCs w:val="32"/>
          <w:highlight w:val="none"/>
        </w:rPr>
        <w:t>金额将作投标无效处理。</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pPr>
        <w:rPr>
          <w:highlight w:val="none"/>
        </w:rPr>
      </w:pPr>
      <w:r>
        <w:rPr>
          <w:rFonts w:ascii="宋体" w:hAnsi="宋体" w:hint="eastAsia"/>
          <w:b/>
          <w:color w:val="FF0000"/>
          <w:sz w:val="32"/>
          <w:szCs w:val="32"/>
          <w:highlight w:val="none"/>
        </w:rPr>
        <w:t>本项目核心产品为：</w:t>
      </w:r>
      <w:r>
        <w:rPr>
          <w:rFonts w:ascii="宋体" w:hAnsi="宋体" w:hint="eastAsia"/>
          <w:b/>
          <w:color w:val="FF0000"/>
          <w:sz w:val="32"/>
          <w:szCs w:val="32"/>
          <w:highlight w:val="none"/>
          <w:u w:val="single"/>
        </w:rPr>
        <w:t xml:space="preserve">    实验信息采集终端   </w:t>
      </w:r>
    </w:p>
    <w:tbl>
      <w:tblPr>
        <w:tblStyle w:val="TableNormal"/>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639"/>
        <w:gridCol w:w="3543"/>
        <w:gridCol w:w="709"/>
        <w:gridCol w:w="780"/>
        <w:gridCol w:w="1417"/>
        <w:gridCol w:w="1417"/>
      </w:tblGrid>
      <w:tr>
        <w:tblPrEx>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Ex>
        <w:trPr>
          <w:trHeight w:val="552"/>
          <w:jc w:val="center"/>
        </w:trPr>
        <w:tc>
          <w:tcPr>
            <w:tcW w:w="639" w:type="dxa"/>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序号</w:t>
            </w:r>
          </w:p>
        </w:tc>
        <w:tc>
          <w:tcPr>
            <w:tcW w:w="3543" w:type="dxa"/>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highlight w:val="green"/>
              </w:rPr>
            </w:pPr>
            <w:r>
              <w:rPr>
                <w:rFonts w:ascii="宋体" w:eastAsia="宋体" w:hAnsi="宋体" w:cs="宋体" w:hint="eastAsia"/>
                <w:b w:val="0"/>
                <w:bCs w:val="0"/>
                <w:sz w:val="21"/>
                <w:szCs w:val="21"/>
                <w:lang w:val="en-US" w:eastAsia="zh-CN"/>
              </w:rPr>
              <w:t>货物</w:t>
            </w:r>
            <w:r>
              <w:rPr>
                <w:rFonts w:ascii="宋体" w:eastAsia="宋体" w:hAnsi="宋体" w:cs="宋体" w:hint="eastAsia"/>
                <w:b w:val="0"/>
                <w:bCs w:val="0"/>
                <w:sz w:val="21"/>
                <w:szCs w:val="21"/>
              </w:rPr>
              <w:t>名称（标的名称）</w:t>
            </w:r>
          </w:p>
        </w:tc>
        <w:tc>
          <w:tcPr>
            <w:tcW w:w="709" w:type="dxa"/>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数量</w:t>
            </w:r>
          </w:p>
        </w:tc>
        <w:tc>
          <w:tcPr>
            <w:tcW w:w="780" w:type="dxa"/>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单位</w:t>
            </w:r>
          </w:p>
        </w:tc>
        <w:tc>
          <w:tcPr>
            <w:tcW w:w="1417" w:type="dxa"/>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备注</w:t>
            </w:r>
          </w:p>
        </w:tc>
        <w:tc>
          <w:tcPr>
            <w:tcW w:w="1417" w:type="dxa"/>
            <w:shd w:val="clear" w:color="auto" w:fill="C6D9F0"/>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highlight w:val="yellow"/>
              </w:rPr>
            </w:pPr>
            <w:r>
              <w:rPr>
                <w:rFonts w:ascii="宋体" w:eastAsia="宋体" w:hAnsi="宋体" w:cs="宋体" w:hint="eastAsia"/>
                <w:b w:val="0"/>
                <w:bCs w:val="0"/>
                <w:sz w:val="21"/>
                <w:szCs w:val="21"/>
                <w:highlight w:val="none"/>
              </w:rPr>
              <w:t>所属行业</w:t>
            </w:r>
          </w:p>
        </w:tc>
      </w:tr>
      <w:tr>
        <w:tblPrEx>
          <w:tblW w:w="8505" w:type="dxa"/>
          <w:jc w:val="center"/>
          <w:tblLayout w:type="fixed"/>
          <w:tblCellMar>
            <w:top w:w="15" w:type="dxa"/>
            <w:left w:w="15" w:type="dxa"/>
            <w:bottom w:w="15" w:type="dxa"/>
            <w:right w:w="15" w:type="dxa"/>
          </w:tblCellMar>
        </w:tblPrEx>
        <w:trPr>
          <w:trHeight w:val="317"/>
          <w:jc w:val="center"/>
        </w:trPr>
        <w:tc>
          <w:tcPr>
            <w:tcW w:w="639" w:type="dxa"/>
            <w:vAlign w:val="center"/>
          </w:tcPr>
          <w:p>
            <w:pPr>
              <w:widowControl/>
              <w:jc w:val="center"/>
              <w:textAlignment w:val="center"/>
              <w:rPr>
                <w:rFonts w:ascii="宋体" w:eastAsia="宋体" w:hAnsi="宋体" w:cs="宋体" w:hint="eastAsia"/>
                <w:b w:val="0"/>
                <w:bCs/>
                <w:sz w:val="21"/>
                <w:szCs w:val="21"/>
                <w:lang w:val="en-US" w:eastAsia="zh-CN"/>
              </w:rPr>
            </w:pPr>
            <w:r>
              <w:rPr>
                <w:rFonts w:ascii="宋体" w:hAnsi="宋体" w:cs="宋体"/>
                <w:b w:val="0"/>
                <w:bCs/>
                <w:kern w:val="0"/>
                <w:szCs w:val="21"/>
              </w:rPr>
              <w:t>1</w:t>
            </w:r>
          </w:p>
        </w:tc>
        <w:tc>
          <w:tcPr>
            <w:tcW w:w="3543" w:type="dxa"/>
            <w:vAlign w:val="center"/>
          </w:tcPr>
          <w:p>
            <w:pPr>
              <w:widowControl/>
              <w:jc w:val="center"/>
              <w:textAlignment w:val="center"/>
              <w:rPr>
                <w:rFonts w:ascii="宋体" w:eastAsia="宋体" w:hAnsi="宋体" w:cs="宋体" w:hint="eastAsia"/>
                <w:b w:val="0"/>
                <w:bCs/>
                <w:sz w:val="21"/>
                <w:szCs w:val="21"/>
                <w:highlight w:val="green"/>
              </w:rPr>
            </w:pPr>
            <w:r>
              <w:rPr>
                <w:rFonts w:ascii="宋体" w:hAnsi="宋体" w:cs="宋体" w:hint="eastAsia"/>
                <w:b w:val="0"/>
                <w:bCs/>
                <w:kern w:val="0"/>
                <w:szCs w:val="21"/>
              </w:rPr>
              <w:t>考试专用服务器</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2</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restart"/>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r>
              <w:rPr>
                <w:rFonts w:ascii="宋体" w:eastAsia="宋体" w:hAnsi="宋体" w:cs="宋体" w:hint="eastAsia"/>
                <w:b w:val="0"/>
                <w:bCs w:val="0"/>
                <w:sz w:val="21"/>
                <w:szCs w:val="21"/>
              </w:rPr>
              <w:t>软件和信息技术服务业</w:t>
            </w: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lang w:val="en-US" w:eastAsia="zh-CN"/>
              </w:rPr>
            </w:pPr>
            <w:r>
              <w:rPr>
                <w:rFonts w:ascii="宋体" w:hAnsi="宋体" w:cs="宋体"/>
                <w:b w:val="0"/>
                <w:bCs/>
                <w:kern w:val="0"/>
                <w:szCs w:val="21"/>
              </w:rPr>
              <w:t>2</w:t>
            </w:r>
          </w:p>
        </w:tc>
        <w:tc>
          <w:tcPr>
            <w:tcW w:w="3543" w:type="dxa"/>
            <w:vAlign w:val="center"/>
          </w:tcPr>
          <w:p>
            <w:pPr>
              <w:widowControl/>
              <w:jc w:val="center"/>
              <w:textAlignment w:val="center"/>
              <w:rPr>
                <w:rFonts w:ascii="宋体" w:eastAsia="宋体" w:hAnsi="宋体" w:cs="宋体" w:hint="eastAsia"/>
                <w:b w:val="0"/>
                <w:bCs/>
                <w:sz w:val="21"/>
                <w:szCs w:val="21"/>
                <w:highlight w:val="green"/>
              </w:rPr>
            </w:pPr>
            <w:r>
              <w:rPr>
                <w:rFonts w:ascii="宋体" w:hAnsi="宋体" w:cs="宋体" w:hint="eastAsia"/>
                <w:b w:val="0"/>
                <w:bCs/>
                <w:kern w:val="0"/>
                <w:szCs w:val="21"/>
              </w:rPr>
              <w:t>移动硬盘</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3</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个</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3</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交换机</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3</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4</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考场监考管理主机</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3</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5</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校级管理平台</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1</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套</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6</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color w:val="FF0000"/>
                <w:kern w:val="0"/>
                <w:szCs w:val="21"/>
              </w:rPr>
              <w:t>实验信息采集终端</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75</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套</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7</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电子目镜</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lang w:val="en-US" w:eastAsia="zh-CN"/>
              </w:rPr>
              <w:t>75</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个</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8</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b w:val="0"/>
                <w:bCs/>
                <w:kern w:val="0"/>
                <w:szCs w:val="21"/>
              </w:rPr>
              <w:t>AI算力服务器</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1</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9</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b w:val="0"/>
                <w:bCs/>
                <w:kern w:val="0"/>
                <w:szCs w:val="21"/>
              </w:rPr>
              <w:t>UPS</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3</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10</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机柜</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3</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个</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11</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综合布线</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75</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点</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hint="eastAsia"/>
                <w:b w:val="0"/>
                <w:bCs/>
                <w:kern w:val="0"/>
                <w:szCs w:val="21"/>
              </w:rPr>
              <w:t>12</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电源布线</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75</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点</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b w:val="0"/>
                <w:bCs/>
                <w:kern w:val="0"/>
                <w:szCs w:val="21"/>
              </w:rPr>
              <w:t>1</w:t>
            </w:r>
            <w:r>
              <w:rPr>
                <w:rFonts w:ascii="宋体" w:hAnsi="宋体" w:cs="宋体" w:hint="eastAsia"/>
                <w:b w:val="0"/>
                <w:bCs/>
                <w:kern w:val="0"/>
                <w:szCs w:val="21"/>
              </w:rPr>
              <w:t>3</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有线路由器</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b w:val="0"/>
                <w:bCs/>
                <w:kern w:val="0"/>
                <w:szCs w:val="21"/>
              </w:rPr>
              <w:t>1</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hint="eastAsia"/>
                <w:b w:val="0"/>
                <w:bCs/>
                <w:kern w:val="0"/>
                <w:szCs w:val="21"/>
              </w:rPr>
              <w:t>14</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汇聚交换机</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1</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hint="eastAsia"/>
                <w:b w:val="0"/>
                <w:bCs/>
                <w:kern w:val="0"/>
                <w:szCs w:val="21"/>
                <w:lang w:val="en-US" w:eastAsia="zh-CN"/>
              </w:rPr>
              <w:t>15</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电源时序器</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lang w:val="en-US" w:eastAsia="zh-CN"/>
              </w:rPr>
              <w:t>1</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lang w:val="en-US" w:eastAsia="zh-CN"/>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vAlign w:val="center"/>
          </w:tcPr>
          <w:p>
            <w:pPr>
              <w:widowControl/>
              <w:jc w:val="center"/>
              <w:textAlignment w:val="center"/>
              <w:rPr>
                <w:rFonts w:ascii="宋体" w:eastAsia="宋体" w:hAnsi="宋体" w:cs="宋体" w:hint="eastAsia"/>
                <w:b w:val="0"/>
                <w:bCs/>
                <w:sz w:val="21"/>
                <w:szCs w:val="21"/>
                <w:highlight w:val="none"/>
                <w:lang w:val="en-US" w:eastAsia="zh-CN"/>
              </w:rPr>
            </w:pPr>
            <w:r>
              <w:rPr>
                <w:rFonts w:ascii="宋体" w:hAnsi="宋体" w:cs="宋体" w:hint="eastAsia"/>
                <w:b w:val="0"/>
                <w:bCs/>
                <w:kern w:val="0"/>
                <w:szCs w:val="21"/>
                <w:lang w:val="en-US" w:eastAsia="zh-CN"/>
              </w:rPr>
              <w:t>16</w:t>
            </w:r>
          </w:p>
        </w:tc>
        <w:tc>
          <w:tcPr>
            <w:tcW w:w="3543" w:type="dxa"/>
            <w:vAlign w:val="center"/>
          </w:tcPr>
          <w:p>
            <w:pPr>
              <w:widowControl/>
              <w:jc w:val="center"/>
              <w:textAlignment w:val="center"/>
              <w:rPr>
                <w:rFonts w:ascii="宋体" w:eastAsia="宋体" w:hAnsi="宋体" w:cs="宋体" w:hint="eastAsia"/>
                <w:b w:val="0"/>
                <w:bCs/>
                <w:sz w:val="21"/>
                <w:szCs w:val="21"/>
                <w:highlight w:val="none"/>
                <w:lang w:eastAsia="zh-CN"/>
              </w:rPr>
            </w:pPr>
            <w:r>
              <w:rPr>
                <w:rFonts w:ascii="宋体" w:hAnsi="宋体" w:cs="宋体" w:hint="eastAsia"/>
                <w:b w:val="0"/>
                <w:bCs/>
                <w:kern w:val="0"/>
                <w:szCs w:val="21"/>
              </w:rPr>
              <w:t>记录型数据采集拓展器</w:t>
            </w:r>
          </w:p>
        </w:tc>
        <w:tc>
          <w:tcPr>
            <w:tcW w:w="709"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lang w:val="en-US" w:eastAsia="zh-CN"/>
              </w:rPr>
              <w:t>3</w:t>
            </w:r>
          </w:p>
        </w:tc>
        <w:tc>
          <w:tcPr>
            <w:tcW w:w="780" w:type="dxa"/>
            <w:vAlign w:val="center"/>
          </w:tcPr>
          <w:p>
            <w:pPr>
              <w:widowControl/>
              <w:jc w:val="center"/>
              <w:textAlignment w:val="center"/>
              <w:rPr>
                <w:rFonts w:ascii="宋体" w:eastAsia="宋体" w:hAnsi="宋体" w:cs="宋体" w:hint="eastAsia"/>
                <w:b w:val="0"/>
                <w:bCs/>
                <w:sz w:val="21"/>
                <w:szCs w:val="21"/>
              </w:rPr>
            </w:pPr>
            <w:r>
              <w:rPr>
                <w:rFonts w:ascii="宋体" w:hAnsi="宋体" w:cs="宋体" w:hint="eastAsia"/>
                <w:b w:val="0"/>
                <w:bCs/>
                <w:kern w:val="0"/>
                <w:szCs w:val="21"/>
                <w:lang w:val="en-US" w:eastAsia="zh-CN"/>
              </w:rPr>
              <w:t>台</w:t>
            </w:r>
          </w:p>
        </w:tc>
        <w:tc>
          <w:tcPr>
            <w:tcW w:w="1417" w:type="dxa"/>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c>
          <w:tcPr>
            <w:tcW w:w="1417" w:type="dxa"/>
            <w:vMerge/>
            <w:vAlign w:val="center"/>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val="0"/>
                <w:bCs w:val="0"/>
                <w:sz w:val="21"/>
                <w:szCs w:val="21"/>
              </w:rPr>
            </w:pPr>
          </w:p>
        </w:tc>
      </w:tr>
    </w:tbl>
    <w:p>
      <w:pPr>
        <w:rPr>
          <w:color w:val="FF0000"/>
        </w:rPr>
      </w:pPr>
      <w:r>
        <w:rPr>
          <w:rFonts w:hint="eastAsia"/>
          <w:color w:val="FF0000"/>
        </w:rPr>
        <w:t>备注：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color w:val="FF0000"/>
        </w:rPr>
      </w:pPr>
      <w:r>
        <w:rPr>
          <w:rFonts w:hint="eastAsia"/>
          <w:color w:val="FF0000"/>
          <w:lang w:val="en-US" w:eastAsia="zh-CN"/>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3、</w:t>
      </w:r>
      <w:r>
        <w:rPr>
          <w:rFonts w:hint="eastAsia"/>
          <w:color w:val="FF0000"/>
        </w:rPr>
        <w:t>如注明有单价控制金额的产品，投标人对该产品的报价不得超过控制金额，否则将作投标无效处理。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4、</w:t>
      </w:r>
      <w:r>
        <w:rPr>
          <w:rFonts w:hint="eastAsia"/>
          <w:color w:val="FF0000"/>
        </w:rPr>
        <w:t>根据《政府采购货物和服务招标投标管理办法》（财政部令第87号）第三十一条规定，单一产品项目或非单一产品项目中的核心产品均应明确品牌，投标人未填报品牌的将作投标无效处理。</w:t>
      </w:r>
    </w:p>
    <w:p>
      <w:pPr>
        <w:ind w:firstLine="420" w:firstLineChars="200"/>
        <w:rPr>
          <w:color w:val="FF0000"/>
        </w:rPr>
      </w:pPr>
    </w:p>
    <w:p>
      <w:pPr>
        <w:ind w:firstLine="420" w:firstLineChars="200"/>
        <w:rPr>
          <w:color w:val="FF0000"/>
        </w:rPr>
      </w:pPr>
    </w:p>
    <w:p>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pPr>
        <w:jc w:val="both"/>
        <w:rPr>
          <w:rFonts w:hint="eastAsia"/>
          <w:b/>
          <w:color w:val="FF0000"/>
        </w:rPr>
      </w:pPr>
      <w:r>
        <w:rPr>
          <w:rFonts w:hint="eastAsia"/>
          <w:b/>
          <w:color w:val="FF0000"/>
        </w:rPr>
        <w:t>1.本部分内容为项目正常开展的基本要求，均为★号条款要求，投标人必须完全响应满足本部分的全部内容，否则将导致投标无效。投标人是否满足本部分带★号条款要求，以《商务（服务）条款偏离表》响应为准。</w:t>
      </w:r>
    </w:p>
    <w:p>
      <w:pPr>
        <w:jc w:val="both"/>
        <w:rPr>
          <w:rFonts w:hint="eastAsia"/>
          <w:b/>
          <w:color w:val="FF0000"/>
        </w:rPr>
      </w:pPr>
      <w:r>
        <w:rPr>
          <w:rFonts w:hint="eastAsia"/>
          <w:b/>
          <w:color w:val="FF0000"/>
        </w:rPr>
        <w:t>2.如投标人中标后被发现不能满足本部分带★号条款要求的，采购单位有权拒绝签订合同，一切后果由投标人承担。</w:t>
      </w:r>
    </w:p>
    <w:p>
      <w:pPr>
        <w:spacing w:after="78" w:afterLines="25" w:line="300" w:lineRule="auto"/>
        <w:rPr>
          <w:rFonts w:ascii="Arial" w:eastAsia="宋体" w:hAnsi="Arial" w:cs="Times New Roman"/>
          <w:b/>
          <w:color w:val="FF0000"/>
          <w:szCs w:val="24"/>
        </w:rPr>
      </w:pPr>
    </w:p>
    <w:tbl>
      <w:tblPr>
        <w:tblStyle w:val="TableNormal"/>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01"/>
        <w:gridCol w:w="7797"/>
      </w:tblGrid>
      <w:tr>
        <w:tblPrEx>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8"/>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val="0"/>
                <w:color w:val="FF0000"/>
                <w:sz w:val="21"/>
                <w:szCs w:val="21"/>
              </w:rPr>
            </w:pPr>
            <w:r>
              <w:rPr>
                <w:rFonts w:ascii="宋体" w:eastAsia="宋体" w:hAnsi="宋体" w:cs="宋体" w:hint="eastAsia"/>
                <w:b/>
                <w:bCs w:val="0"/>
                <w:color w:val="FF0000"/>
                <w:sz w:val="21"/>
                <w:szCs w:val="21"/>
              </w:rPr>
              <w:t>报价要求</w:t>
            </w:r>
          </w:p>
        </w:tc>
        <w:tc>
          <w:tcPr>
            <w:tcW w:w="7797" w:type="dxa"/>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napToGrid w:val="0"/>
              <w:spacing w:line="320" w:lineRule="exact"/>
              <w:ind w:firstLine="42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tblPrEx>
          <w:tblW w:w="9298" w:type="dxa"/>
          <w:jc w:val="center"/>
          <w:tblCellMar>
            <w:top w:w="0" w:type="dxa"/>
            <w:left w:w="108" w:type="dxa"/>
            <w:bottom w:w="0" w:type="dxa"/>
            <w:right w:w="108" w:type="dxa"/>
          </w:tblCellMar>
        </w:tblPrEx>
        <w:trPr>
          <w:trHeight w:val="374"/>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val="0"/>
                <w:color w:val="FF0000"/>
                <w:sz w:val="21"/>
                <w:szCs w:val="21"/>
              </w:rPr>
            </w:pPr>
            <w:r>
              <w:rPr>
                <w:rFonts w:ascii="宋体" w:eastAsia="宋体" w:hAnsi="宋体" w:cs="宋体" w:hint="eastAsia"/>
                <w:b/>
                <w:bCs w:val="0"/>
                <w:color w:val="FF0000"/>
                <w:sz w:val="21"/>
                <w:szCs w:val="21"/>
              </w:rPr>
              <w:t>交货地点</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both"/>
              <w:textAlignment w:val="auto"/>
              <w:rPr>
                <w:rFonts w:ascii="宋体" w:eastAsia="宋体" w:hAnsi="宋体" w:cs="宋体" w:hint="eastAsia"/>
                <w:b w:val="0"/>
                <w:bCs/>
                <w:color w:val="FF0000"/>
                <w:sz w:val="21"/>
                <w:szCs w:val="21"/>
                <w:lang w:eastAsia="zh-CN"/>
              </w:rPr>
            </w:pPr>
            <w:r>
              <w:rPr>
                <w:rFonts w:ascii="宋体" w:eastAsia="宋体" w:hAnsi="宋体" w:cs="宋体" w:hint="eastAsia"/>
                <w:b w:val="0"/>
                <w:bCs/>
                <w:color w:val="FF0000"/>
                <w:sz w:val="21"/>
                <w:szCs w:val="21"/>
                <w:lang w:eastAsia="zh-CN"/>
              </w:rPr>
              <w:t>深圳市沙井中学</w:t>
            </w:r>
          </w:p>
        </w:tc>
      </w:tr>
      <w:tr>
        <w:tblPrEx>
          <w:tblW w:w="9298" w:type="dxa"/>
          <w:jc w:val="center"/>
          <w:tblCellMar>
            <w:top w:w="0" w:type="dxa"/>
            <w:left w:w="108" w:type="dxa"/>
            <w:bottom w:w="0" w:type="dxa"/>
            <w:right w:w="108" w:type="dxa"/>
          </w:tblCellMar>
        </w:tblPrEx>
        <w:trPr>
          <w:trHeight w:val="708"/>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val="0"/>
                <w:color w:val="FF0000"/>
                <w:sz w:val="21"/>
                <w:szCs w:val="21"/>
              </w:rPr>
            </w:pPr>
            <w:r>
              <w:rPr>
                <w:rFonts w:ascii="宋体" w:eastAsia="宋体" w:hAnsi="宋体" w:cs="宋体" w:hint="eastAsia"/>
                <w:b/>
                <w:bCs w:val="0"/>
                <w:color w:val="FF0000"/>
                <w:sz w:val="21"/>
                <w:szCs w:val="21"/>
              </w:rPr>
              <w:t>交货期或完工期</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both"/>
              <w:textAlignment w:val="auto"/>
              <w:rPr>
                <w:rFonts w:ascii="宋体" w:eastAsia="宋体" w:hAnsi="宋体" w:cs="宋体" w:hint="eastAsia"/>
                <w:b w:val="0"/>
                <w:bCs/>
                <w:color w:val="FF0000"/>
                <w:sz w:val="21"/>
                <w:szCs w:val="21"/>
                <w:lang w:eastAsia="zh-CN"/>
              </w:rPr>
            </w:pPr>
            <w:r>
              <w:rPr>
                <w:rFonts w:ascii="宋体" w:eastAsia="宋体" w:hAnsi="宋体" w:cs="宋体" w:hint="eastAsia"/>
                <w:b w:val="0"/>
                <w:bCs/>
                <w:color w:val="FF0000"/>
                <w:kern w:val="0"/>
                <w:sz w:val="21"/>
                <w:szCs w:val="21"/>
              </w:rPr>
              <w:t>本项目要求在合同签订日起15个日历日内完工</w:t>
            </w:r>
            <w:r>
              <w:rPr>
                <w:rFonts w:ascii="宋体" w:eastAsia="宋体" w:hAnsi="宋体" w:cs="宋体" w:hint="eastAsia"/>
                <w:b w:val="0"/>
                <w:bCs/>
                <w:color w:val="FF0000"/>
                <w:kern w:val="0"/>
                <w:sz w:val="21"/>
                <w:szCs w:val="21"/>
                <w:lang w:eastAsia="zh-CN"/>
              </w:rPr>
              <w:t>。</w:t>
            </w:r>
          </w:p>
        </w:tc>
      </w:tr>
      <w:tr>
        <w:tblPrEx>
          <w:tblW w:w="9298" w:type="dxa"/>
          <w:jc w:val="center"/>
          <w:tblCellMar>
            <w:top w:w="0" w:type="dxa"/>
            <w:left w:w="108" w:type="dxa"/>
            <w:bottom w:w="0" w:type="dxa"/>
            <w:right w:w="108" w:type="dxa"/>
          </w:tblCellMar>
        </w:tblPrEx>
        <w:trPr>
          <w:trHeight w:val="690"/>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val="0"/>
                <w:color w:val="FF0000"/>
                <w:sz w:val="21"/>
                <w:szCs w:val="21"/>
              </w:rPr>
            </w:pPr>
            <w:r>
              <w:rPr>
                <w:rFonts w:ascii="宋体" w:eastAsia="宋体" w:hAnsi="宋体" w:cs="宋体" w:hint="eastAsia"/>
                <w:b/>
                <w:bCs w:val="0"/>
                <w:color w:val="FF0000"/>
                <w:sz w:val="21"/>
                <w:szCs w:val="21"/>
              </w:rPr>
              <w:t>付款方式</w:t>
            </w:r>
          </w:p>
        </w:tc>
        <w:tc>
          <w:tcPr>
            <w:tcW w:w="7797"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kern w:val="0"/>
                <w:sz w:val="21"/>
                <w:szCs w:val="21"/>
                <w:lang w:eastAsia="zh-CN"/>
              </w:rPr>
            </w:pPr>
            <w:r>
              <w:rPr>
                <w:rFonts w:ascii="宋体" w:eastAsia="宋体" w:hAnsi="宋体" w:cs="宋体" w:hint="eastAsia"/>
                <w:b w:val="0"/>
                <w:bCs/>
                <w:color w:val="FF0000"/>
                <w:sz w:val="21"/>
                <w:szCs w:val="21"/>
              </w:rPr>
              <w:t>本项目完成并经验收合格后，对于满足合同约定支付条件的，采购人应当自收到发票后30日内将资金支付到合同约定的中标供应商账户。</w:t>
            </w:r>
          </w:p>
        </w:tc>
      </w:tr>
      <w:tr>
        <w:tblPrEx>
          <w:tblW w:w="9298" w:type="dxa"/>
          <w:jc w:val="center"/>
          <w:tblCellMar>
            <w:top w:w="0" w:type="dxa"/>
            <w:left w:w="108" w:type="dxa"/>
            <w:bottom w:w="0" w:type="dxa"/>
            <w:right w:w="108" w:type="dxa"/>
          </w:tblCellMar>
        </w:tblPrEx>
        <w:trPr>
          <w:trHeight w:val="391"/>
          <w:jc w:val="center"/>
        </w:trPr>
        <w:tc>
          <w:tcPr>
            <w:tcW w:w="1501" w:type="dxa"/>
            <w:tcBorders>
              <w:top w:val="single" w:sz="4" w:space="0" w:color="auto"/>
              <w:left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center"/>
              <w:textAlignment w:val="auto"/>
              <w:rPr>
                <w:rFonts w:ascii="宋体" w:eastAsia="宋体" w:hAnsi="宋体" w:cs="宋体" w:hint="eastAsia"/>
                <w:b/>
                <w:bCs w:val="0"/>
                <w:color w:val="FF0000"/>
                <w:sz w:val="21"/>
                <w:szCs w:val="21"/>
              </w:rPr>
            </w:pPr>
            <w:r>
              <w:rPr>
                <w:rFonts w:ascii="宋体" w:eastAsia="宋体" w:hAnsi="宋体" w:cs="宋体" w:hint="eastAsia"/>
                <w:b/>
                <w:bCs w:val="0"/>
                <w:color w:val="FF0000"/>
                <w:sz w:val="21"/>
                <w:szCs w:val="21"/>
              </w:rPr>
              <w:t>验收方式</w:t>
            </w:r>
          </w:p>
        </w:tc>
        <w:tc>
          <w:tcPr>
            <w:tcW w:w="7797" w:type="dxa"/>
            <w:tcBorders>
              <w:top w:val="single" w:sz="4" w:space="0" w:color="auto"/>
              <w:left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320" w:lineRule="exact"/>
              <w:jc w:val="both"/>
              <w:textAlignment w:val="auto"/>
              <w:rPr>
                <w:rFonts w:ascii="宋体" w:eastAsia="宋体" w:hAnsi="宋体" w:cs="宋体" w:hint="eastAsia"/>
                <w:b w:val="0"/>
                <w:bCs/>
                <w:color w:val="FF0000"/>
                <w:sz w:val="21"/>
                <w:szCs w:val="21"/>
                <w:lang w:eastAsia="zh-CN"/>
              </w:rPr>
            </w:pPr>
            <w:r>
              <w:rPr>
                <w:rFonts w:ascii="宋体" w:eastAsia="宋体" w:hAnsi="宋体" w:cs="宋体" w:hint="eastAsia"/>
                <w:b w:val="0"/>
                <w:bCs/>
                <w:color w:val="FF0000"/>
                <w:sz w:val="21"/>
                <w:szCs w:val="21"/>
              </w:rPr>
              <w:t>由学校、监理单位和中标单位共同验收，本项目经整改后仍然达不到验收标准（履约验收评价得分大于等于98.0分且无安全隐患或重要条款不符合）的，验收不通过部分设备或系统，学校有权不付款。</w:t>
            </w:r>
          </w:p>
        </w:tc>
      </w:tr>
      <w:tr>
        <w:tblPrEx>
          <w:tblW w:w="9298" w:type="dxa"/>
          <w:jc w:val="center"/>
          <w:tblCellMar>
            <w:top w:w="0" w:type="dxa"/>
            <w:left w:w="108" w:type="dxa"/>
            <w:bottom w:w="0" w:type="dxa"/>
            <w:right w:w="108" w:type="dxa"/>
          </w:tblCellMar>
        </w:tblPrEx>
        <w:trPr>
          <w:trHeight w:val="684"/>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320" w:lineRule="exact"/>
              <w:jc w:val="center"/>
              <w:textAlignment w:val="auto"/>
              <w:rPr>
                <w:rFonts w:ascii="宋体" w:eastAsia="宋体" w:hAnsi="宋体" w:cs="宋体" w:hint="eastAsia"/>
                <w:b/>
                <w:bCs w:val="0"/>
                <w:color w:val="FF0000"/>
                <w:sz w:val="21"/>
                <w:szCs w:val="21"/>
              </w:rPr>
            </w:pPr>
            <w:r>
              <w:rPr>
                <w:rFonts w:ascii="宋体" w:eastAsia="宋体" w:hAnsi="宋体" w:cs="宋体" w:hint="eastAsia"/>
                <w:b/>
                <w:bCs w:val="0"/>
                <w:color w:val="FF0000"/>
                <w:sz w:val="21"/>
                <w:szCs w:val="21"/>
              </w:rPr>
              <w:t>售后服务要求</w:t>
            </w:r>
          </w:p>
        </w:tc>
        <w:tc>
          <w:tcPr>
            <w:tcW w:w="7797" w:type="dxa"/>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rPr>
              <w:t>（1）所有货物及系统集成免费保修期三年，时间自最终验收合格并交付使用之日起计算。免费保修期内，所有服务及配件全部免费。（有注明的除外）。</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rPr>
              <w:t>（2）在保修期内，一旦发生质量问题，投标人保证在接到通知4小时内赶到现场进行修理或更换，并承诺24小时内修复。</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rPr>
              <w:t>（3）对保修期外采购方设备发生故障需更换的，投标人免收上门服务费，并以优惠价格提供配件。</w:t>
            </w:r>
          </w:p>
        </w:tc>
      </w:tr>
      <w:tr>
        <w:tblPrEx>
          <w:tblW w:w="9298" w:type="dxa"/>
          <w:jc w:val="center"/>
          <w:tblCellMar>
            <w:top w:w="0" w:type="dxa"/>
            <w:left w:w="108" w:type="dxa"/>
            <w:bottom w:w="0" w:type="dxa"/>
            <w:right w:w="108" w:type="dxa"/>
          </w:tblCellMar>
        </w:tblPrEx>
        <w:trPr>
          <w:trHeight w:val="694"/>
          <w:jc w:val="center"/>
        </w:trPr>
        <w:tc>
          <w:tcPr>
            <w:tcW w:w="1501" w:type="dxa"/>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320" w:lineRule="exact"/>
              <w:jc w:val="center"/>
              <w:textAlignment w:val="auto"/>
              <w:rPr>
                <w:rFonts w:ascii="宋体" w:eastAsia="宋体" w:hAnsi="宋体" w:cs="宋体" w:hint="eastAsia"/>
                <w:b/>
                <w:bCs w:val="0"/>
                <w:color w:val="FF0000"/>
                <w:sz w:val="21"/>
                <w:szCs w:val="21"/>
              </w:rPr>
            </w:pPr>
            <w:r>
              <w:rPr>
                <w:rFonts w:ascii="宋体" w:eastAsia="宋体" w:hAnsi="宋体" w:cs="宋体" w:hint="eastAsia"/>
                <w:b/>
                <w:bCs w:val="0"/>
                <w:color w:val="FF0000"/>
                <w:sz w:val="21"/>
                <w:szCs w:val="21"/>
              </w:rPr>
              <w:t>其他要求</w:t>
            </w:r>
          </w:p>
        </w:tc>
        <w:tc>
          <w:tcPr>
            <w:tcW w:w="7797" w:type="dxa"/>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rPr>
              <w:t>(1) 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rPr>
              <w:t>(2）投标商必须确保中标后提供的货物为正规渠道供货，不存在违反国家法律法规的情况。</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rPr>
              <w:t>（3）项目验收后，连续三年中考，每年派不少于1名工程师在学校中考的2天时间里提供技术支持服务。</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lang w:eastAsia="zh-CN"/>
              </w:rPr>
              <w:t>（</w:t>
            </w:r>
            <w:r>
              <w:rPr>
                <w:rFonts w:ascii="宋体" w:eastAsia="宋体" w:hAnsi="宋体" w:cs="宋体" w:hint="eastAsia"/>
                <w:b w:val="0"/>
                <w:bCs/>
                <w:color w:val="FF0000"/>
                <w:sz w:val="21"/>
                <w:szCs w:val="21"/>
                <w:lang w:val="en-US" w:eastAsia="zh-CN"/>
              </w:rPr>
              <w:t>4</w:t>
            </w:r>
            <w:r>
              <w:rPr>
                <w:rFonts w:ascii="宋体" w:eastAsia="宋体" w:hAnsi="宋体" w:cs="宋体" w:hint="eastAsia"/>
                <w:b w:val="0"/>
                <w:bCs/>
                <w:color w:val="FF0000"/>
                <w:sz w:val="21"/>
                <w:szCs w:val="21"/>
                <w:lang w:eastAsia="zh-CN"/>
              </w:rPr>
              <w:t>）</w:t>
            </w:r>
            <w:r>
              <w:rPr>
                <w:rFonts w:ascii="宋体" w:eastAsia="宋体" w:hAnsi="宋体" w:cs="宋体" w:hint="eastAsia"/>
                <w:b w:val="0"/>
                <w:bCs/>
                <w:color w:val="FF0000"/>
                <w:sz w:val="21"/>
                <w:szCs w:val="21"/>
              </w:rPr>
              <w:t>校级管理平台对接：投标人中标后在区级平台建设好后可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 5MB，支持 4:3 长宽比。</w:t>
            </w:r>
          </w:p>
          <w:p>
            <w:pPr>
              <w:keepNext w:val="0"/>
              <w:keepLines w:val="0"/>
              <w:pageBreakBefore w:val="0"/>
              <w:kinsoku/>
              <w:wordWrap/>
              <w:overflowPunct/>
              <w:topLinePunct w:val="0"/>
              <w:autoSpaceDE/>
              <w:autoSpaceDN/>
              <w:bidi w:val="0"/>
              <w:adjustRightInd/>
              <w:spacing w:line="320" w:lineRule="exact"/>
              <w:ind w:firstLine="420" w:firstLineChars="200"/>
              <w:textAlignment w:val="auto"/>
              <w:rPr>
                <w:rFonts w:ascii="宋体" w:eastAsia="宋体" w:hAnsi="宋体" w:cs="宋体" w:hint="eastAsia"/>
                <w:b w:val="0"/>
                <w:bCs/>
                <w:color w:val="FF0000"/>
                <w:sz w:val="21"/>
                <w:szCs w:val="21"/>
              </w:rPr>
            </w:pPr>
            <w:r>
              <w:rPr>
                <w:rFonts w:ascii="宋体" w:eastAsia="宋体" w:hAnsi="宋体" w:cs="宋体" w:hint="eastAsia"/>
                <w:b w:val="0"/>
                <w:bCs/>
                <w:color w:val="FF0000"/>
                <w:sz w:val="21"/>
                <w:szCs w:val="21"/>
                <w:lang w:eastAsia="zh-CN"/>
              </w:rPr>
              <w:t>（</w:t>
            </w:r>
            <w:r>
              <w:rPr>
                <w:rFonts w:ascii="宋体" w:eastAsia="宋体" w:hAnsi="宋体" w:cs="宋体" w:hint="eastAsia"/>
                <w:b w:val="0"/>
                <w:bCs/>
                <w:color w:val="FF0000"/>
                <w:sz w:val="21"/>
                <w:szCs w:val="21"/>
                <w:lang w:val="en-US" w:eastAsia="zh-CN"/>
              </w:rPr>
              <w:t>5</w:t>
            </w:r>
            <w:r>
              <w:rPr>
                <w:rFonts w:ascii="宋体" w:eastAsia="宋体" w:hAnsi="宋体" w:cs="宋体" w:hint="eastAsia"/>
                <w:b w:val="0"/>
                <w:bCs/>
                <w:color w:val="FF0000"/>
                <w:sz w:val="21"/>
                <w:szCs w:val="21"/>
                <w:lang w:eastAsia="zh-CN"/>
              </w:rPr>
              <w:t>）</w:t>
            </w:r>
            <w:r>
              <w:rPr>
                <w:rFonts w:ascii="宋体" w:eastAsia="宋体" w:hAnsi="宋体" w:cs="宋体" w:hint="eastAsia"/>
                <w:b w:val="0"/>
                <w:bCs/>
                <w:color w:val="FF0000"/>
                <w:sz w:val="21"/>
                <w:szCs w:val="21"/>
              </w:rPr>
              <w:t>投标人必须签订合同前向采购方逐一按投标文件中的响应情况演示</w:t>
            </w:r>
            <w:r>
              <w:rPr>
                <w:rFonts w:ascii="宋体" w:eastAsia="宋体" w:hAnsi="宋体" w:cs="宋体" w:hint="eastAsia"/>
                <w:b w:val="0"/>
                <w:bCs/>
                <w:color w:val="FF0000"/>
                <w:sz w:val="21"/>
                <w:szCs w:val="21"/>
                <w:lang w:val="en-US" w:eastAsia="zh-CN"/>
              </w:rPr>
              <w:t>或展示</w:t>
            </w:r>
            <w:r>
              <w:rPr>
                <w:rFonts w:ascii="宋体" w:eastAsia="宋体" w:hAnsi="宋体" w:cs="宋体" w:hint="eastAsia"/>
                <w:b w:val="0"/>
                <w:bCs/>
                <w:color w:val="FF0000"/>
                <w:sz w:val="21"/>
                <w:szCs w:val="21"/>
              </w:rPr>
              <w:t>设备清单中“▲”符号技术参数，演示</w:t>
            </w:r>
            <w:r>
              <w:rPr>
                <w:rFonts w:ascii="宋体" w:eastAsia="宋体" w:hAnsi="宋体" w:cs="宋体" w:hint="eastAsia"/>
                <w:b w:val="0"/>
                <w:bCs/>
                <w:color w:val="FF0000"/>
                <w:sz w:val="21"/>
                <w:szCs w:val="21"/>
                <w:lang w:val="en-US" w:eastAsia="zh-CN"/>
              </w:rPr>
              <w:t>或展示</w:t>
            </w:r>
            <w:r>
              <w:rPr>
                <w:rFonts w:ascii="宋体" w:eastAsia="宋体" w:hAnsi="宋体" w:cs="宋体" w:hint="eastAsia"/>
                <w:b w:val="0"/>
                <w:bCs/>
                <w:color w:val="FF0000"/>
                <w:sz w:val="21"/>
                <w:szCs w:val="21"/>
              </w:rPr>
              <w:t>内容完全符合投标文件中的相应技术参数响应内容要求方可签订合同，否则采购方有权按相关政府采购法律法规中如供应商存在弄虚作假骗取中标行为的相关规定进行处理。</w:t>
            </w:r>
          </w:p>
        </w:tc>
      </w:tr>
    </w:tbl>
    <w:p>
      <w:pPr>
        <w:spacing w:after="78" w:afterLines="25" w:line="300" w:lineRule="auto"/>
        <w:rPr>
          <w:rFonts w:ascii="Arial" w:eastAsia="宋体" w:hAnsi="Arial" w:cs="Times New Roman"/>
          <w:szCs w:val="24"/>
        </w:rPr>
      </w:pPr>
    </w:p>
    <w:p>
      <w:pPr>
        <w:widowControl/>
        <w:jc w:val="left"/>
        <w:rPr>
          <w:rFonts w:ascii="Arial" w:eastAsia="宋体" w:hAnsi="Arial" w:cs="Times New Roman"/>
          <w:szCs w:val="24"/>
        </w:rPr>
      </w:pPr>
    </w:p>
    <w:p>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w:t>
      </w:r>
      <w:r>
        <w:rPr>
          <w:rFonts w:ascii="Arial" w:eastAsia="宋体" w:hAnsi="Arial" w:cs="Times New Roman" w:hint="eastAsia"/>
          <w:b/>
          <w:bCs/>
          <w:sz w:val="32"/>
          <w:szCs w:val="32"/>
          <w:lang w:val="en-US" w:eastAsia="zh-CN"/>
        </w:rPr>
        <w:t>要求</w:t>
      </w:r>
      <w:r>
        <w:rPr>
          <w:rFonts w:ascii="Arial" w:eastAsia="宋体" w:hAnsi="Arial" w:cs="Times New Roman" w:hint="eastAsia"/>
          <w:b/>
          <w:bCs/>
          <w:sz w:val="32"/>
          <w:szCs w:val="32"/>
        </w:rPr>
        <w:t>部分</w:t>
      </w:r>
    </w:p>
    <w:p>
      <w:pPr>
        <w:rPr>
          <w:rFonts w:ascii="宋体" w:eastAsia="宋体" w:hAnsi="宋体" w:cs="Times New Roman"/>
          <w:b/>
          <w:color w:val="FF0000"/>
          <w:szCs w:val="21"/>
          <w:highlight w:val="none"/>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号要求为不可偏离要求，如出现负偏离，将导致投标无效。带▲号参数为重要参数，其他参数（非▲号参数）为</w:t>
      </w:r>
      <w:r>
        <w:rPr>
          <w:rFonts w:ascii="宋体" w:eastAsia="宋体" w:hAnsi="宋体" w:cs="Times New Roman" w:hint="eastAsia"/>
          <w:b/>
          <w:color w:val="FF0000"/>
          <w:szCs w:val="21"/>
          <w:highlight w:val="none"/>
        </w:rPr>
        <w:t>普通参数，如出现负偏离，将按照评分准则做扣分处理。如注明要求提供相关佐证材料的，需以佐证材料作为是否偏离的依据。</w:t>
      </w:r>
    </w:p>
    <w:p>
      <w:pPr>
        <w:spacing w:after="78"/>
        <w:jc w:val="left"/>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w:t>
      </w:r>
      <w:r>
        <w:rPr>
          <w:rFonts w:ascii="Calibri" w:eastAsia="宋体" w:hAnsi="Calibri" w:cs="Times New Roman" w:hint="eastAsia"/>
          <w:color w:val="FF0000"/>
          <w:szCs w:val="21"/>
        </w:rPr>
        <w:t>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pPr>
        <w:spacing w:after="78"/>
        <w:jc w:val="left"/>
        <w:rPr>
          <w:rFonts w:ascii="Calibri" w:eastAsia="宋体" w:hAnsi="Calibri" w:cs="Times New Roman" w:hint="eastAsia"/>
          <w:color w:val="FF0000"/>
          <w:szCs w:val="21"/>
          <w:lang w:val="en-US" w:eastAsia="zh-CN"/>
        </w:rPr>
      </w:pPr>
      <w:r>
        <w:rPr>
          <w:rFonts w:ascii="Calibri" w:eastAsia="宋体" w:hAnsi="Calibri" w:cs="Times New Roman" w:hint="eastAsia"/>
          <w:color w:val="FF0000"/>
          <w:szCs w:val="21"/>
          <w:lang w:val="en-US" w:eastAsia="zh-CN"/>
        </w:rPr>
        <w:t>4、除有特别注明的以外，招标技术参数要求为区间范围值的，投标技术参数响应招标技术参数区间范围内的任意值或响应招标技术参数区间范围都视为符合招标文件要求（</w:t>
      </w:r>
      <w:r>
        <w:rPr>
          <w:rFonts w:ascii="Calibri" w:eastAsia="宋体" w:hAnsi="Calibri" w:cs="Times New Roman" w:hint="eastAsia"/>
          <w:color w:val="FF0000"/>
          <w:szCs w:val="21"/>
        </w:rPr>
        <w:t>例：</w:t>
      </w:r>
      <w:r>
        <w:rPr>
          <w:rFonts w:ascii="Calibri" w:eastAsia="宋体" w:hAnsi="Calibri" w:cs="Times New Roman" w:hint="eastAsia"/>
          <w:color w:val="FF0000"/>
          <w:szCs w:val="21"/>
          <w:lang w:val="en-US" w:eastAsia="zh-CN"/>
        </w:rPr>
        <w:t>如招标技术参数</w:t>
      </w:r>
      <w:r>
        <w:rPr>
          <w:rFonts w:ascii="Calibri" w:eastAsia="宋体" w:hAnsi="Calibri" w:cs="Times New Roman" w:hint="eastAsia"/>
          <w:color w:val="FF0000"/>
          <w:szCs w:val="21"/>
        </w:rPr>
        <w:t>区间要求为0-20ML</w:t>
      </w:r>
      <w:r>
        <w:rPr>
          <w:rFonts w:ascii="Calibri" w:eastAsia="宋体" w:hAnsi="Calibri" w:cs="Times New Roman" w:hint="eastAsia"/>
          <w:color w:val="FF0000"/>
          <w:szCs w:val="21"/>
          <w:lang w:eastAsia="zh-CN"/>
        </w:rPr>
        <w:t>，</w:t>
      </w:r>
      <w:r>
        <w:rPr>
          <w:rFonts w:ascii="Calibri" w:eastAsia="宋体" w:hAnsi="Calibri" w:cs="Times New Roman" w:hint="eastAsia"/>
          <w:color w:val="FF0000"/>
          <w:szCs w:val="21"/>
          <w:lang w:val="en-US" w:eastAsia="zh-CN"/>
        </w:rPr>
        <w:t>如投标技术参数响应为15ML或0-20ML的，视为符合招标文件要求）。</w:t>
      </w:r>
    </w:p>
    <w:tbl>
      <w:tblPr>
        <w:tblStyle w:val="TableNormal"/>
        <w:tblpPr w:leftFromText="180" w:rightFromText="180" w:vertAnchor="text" w:horzAnchor="page" w:tblpX="1263" w:tblpY="423"/>
        <w:tblOverlap w:val="never"/>
        <w:tblW w:w="4996"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42"/>
        <w:gridCol w:w="1532"/>
        <w:gridCol w:w="7107"/>
      </w:tblGrid>
      <w:tr>
        <w:tblPrEx>
          <w:tblW w:w="4996"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序号</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设备名称</w:t>
            </w:r>
          </w:p>
        </w:tc>
        <w:tc>
          <w:tcPr>
            <w:tcW w:w="3827"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rPr>
                <w:rFonts w:ascii="宋体" w:eastAsia="宋体" w:hAnsi="宋体" w:cs="宋体" w:hint="eastAsia"/>
                <w:b/>
                <w:sz w:val="21"/>
                <w:szCs w:val="21"/>
              </w:rPr>
            </w:pPr>
            <w:r>
              <w:rPr>
                <w:rFonts w:ascii="宋体" w:eastAsia="宋体" w:hAnsi="宋体" w:cs="宋体" w:hint="eastAsia"/>
                <w:b/>
                <w:sz w:val="21"/>
                <w:szCs w:val="21"/>
              </w:rPr>
              <w:t>技术参数要求</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sz w:val="21"/>
                <w:szCs w:val="21"/>
              </w:rPr>
            </w:pPr>
            <w:r>
              <w:rPr>
                <w:rFonts w:ascii="宋体" w:eastAsia="宋体" w:hAnsi="宋体" w:cs="宋体" w:hint="eastAsia"/>
                <w:kern w:val="0"/>
                <w:sz w:val="21"/>
                <w:szCs w:val="21"/>
              </w:rPr>
              <w:t>考试专用服务器</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机架式服务器：不低于4核4线程2.4GHz CPU，缓存不低于8MB；</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不低于64GB内存；不低于480GB SSD硬盘；不低于4TB HDD硬盘；配备独立阵列卡，支持RAID 0, 1；</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不少于2个千兆网口；具有行业通用视频接口，兼容通用视频格式。</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2</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sz w:val="21"/>
                <w:szCs w:val="21"/>
              </w:rPr>
            </w:pPr>
            <w:r>
              <w:rPr>
                <w:rFonts w:ascii="宋体" w:eastAsia="宋体" w:hAnsi="宋体" w:cs="宋体" w:hint="eastAsia"/>
                <w:kern w:val="0"/>
                <w:sz w:val="21"/>
                <w:szCs w:val="21"/>
              </w:rPr>
              <w:t>移动硬盘</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不小于2TB移动固态硬盘，支持Type-C/USB2.0/USB3.1</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3</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sz w:val="21"/>
                <w:szCs w:val="21"/>
              </w:rPr>
            </w:pPr>
            <w:r>
              <w:rPr>
                <w:rFonts w:ascii="宋体" w:eastAsia="宋体" w:hAnsi="宋体" w:cs="宋体" w:hint="eastAsia"/>
                <w:kern w:val="0"/>
                <w:sz w:val="21"/>
                <w:szCs w:val="21"/>
              </w:rPr>
              <w:t>交换机</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48口二层交换机：端口描述：不少于48个千兆电口+4个万兆光口；包转发率：不低于132Mpps；交换容量：不低于336Gbps。</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4</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考场监考管理主机</w:t>
            </w:r>
          </w:p>
        </w:tc>
        <w:tc>
          <w:tcPr>
            <w:tcW w:w="3827" w:type="pct"/>
            <w:vAlign w:val="center"/>
          </w:tcPr>
          <w:p>
            <w:pPr>
              <w:keepNext w:val="0"/>
              <w:keepLines w:val="0"/>
              <w:pageBreakBefore w:val="0"/>
              <w:widowControl/>
              <w:numPr>
                <w:ilvl w:val="0"/>
                <w:numId w:val="3"/>
              </w:numPr>
              <w:kinsoku/>
              <w:wordWrap/>
              <w:overflowPunct/>
              <w:topLinePunct w:val="0"/>
              <w:autoSpaceDE/>
              <w:autoSpaceDN/>
              <w:bidi w:val="0"/>
              <w:adjustRightInd/>
              <w:spacing w:line="320" w:lineRule="exact"/>
              <w:jc w:val="left"/>
              <w:textAlignment w:val="center"/>
              <w:rPr>
                <w:rFonts w:ascii="宋体" w:eastAsia="宋体" w:hAnsi="宋体" w:cs="宋体" w:hint="eastAsia"/>
                <w:sz w:val="21"/>
                <w:szCs w:val="21"/>
              </w:rPr>
            </w:pPr>
            <w:r>
              <w:rPr>
                <w:rFonts w:ascii="宋体" w:eastAsia="宋体" w:hAnsi="宋体" w:cs="宋体" w:hint="eastAsia"/>
                <w:kern w:val="0"/>
                <w:sz w:val="21"/>
                <w:szCs w:val="21"/>
              </w:rPr>
              <w:t>商用台式机电脑主机，不低于4核CPU、16G内存、480GB SSD系统盘、1TB硬盘、千兆网口及不小于21.45英寸显示器，支持WiFi，带操作系统</w:t>
            </w:r>
          </w:p>
          <w:p>
            <w:pPr>
              <w:keepNext w:val="0"/>
              <w:keepLines w:val="0"/>
              <w:pageBreakBefore w:val="0"/>
              <w:numPr>
                <w:ilvl w:val="255"/>
                <w:numId w:val="0"/>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b/>
                <w:bCs/>
                <w:color w:val="FF0000"/>
                <w:kern w:val="0"/>
                <w:sz w:val="21"/>
                <w:szCs w:val="21"/>
              </w:rPr>
              <w:t>★投标时提供所投产品获得国家认可的认证机构出具的处于有效期内的节能产品认证证书</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5</w:t>
            </w:r>
          </w:p>
        </w:tc>
        <w:tc>
          <w:tcPr>
            <w:tcW w:w="825" w:type="pct"/>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sz w:val="21"/>
                <w:szCs w:val="21"/>
              </w:rPr>
            </w:pPr>
            <w:r>
              <w:rPr>
                <w:rFonts w:ascii="宋体" w:eastAsia="宋体" w:hAnsi="宋体" w:cs="宋体" w:hint="eastAsia"/>
                <w:sz w:val="21"/>
                <w:szCs w:val="21"/>
              </w:rPr>
              <w:t>校级管理平台</w:t>
            </w:r>
          </w:p>
        </w:tc>
        <w:tc>
          <w:tcPr>
            <w:tcW w:w="3827" w:type="pct"/>
            <w:vAlign w:val="center"/>
          </w:tcPr>
          <w:p>
            <w:pPr>
              <w:keepNext w:val="0"/>
              <w:keepLines w:val="0"/>
              <w:pageBreakBefore w:val="0"/>
              <w:numPr>
                <w:ilvl w:val="255"/>
                <w:numId w:val="0"/>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平台支持学校理、化、生实验考务管理、阅卷管理、题库管理、新增实验教案和成绩查询统计。</w:t>
            </w:r>
          </w:p>
          <w:p>
            <w:pPr>
              <w:keepNext w:val="0"/>
              <w:keepLines w:val="0"/>
              <w:pageBreakBefore w:val="0"/>
              <w:numPr>
                <w:ilvl w:val="255"/>
                <w:numId w:val="0"/>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一、考务管理</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实验室管理功能：支持添加实验室，并设置教室名称、学科、位置、备注等基础信息；支持查看和编辑实验室基础信息；支持展示实验室列表，列表展示教室ID、教室名称、学科、位置、备注、设备总数等信息；支持添加和编辑座位，支持展示实验室座位列表，支持根据座位号/设备SN搜索座位；支持在添加座位时指定关联设备SN，支持对已有座位修改、删除关联设备SN；支持实时监控实验室的终端设备状态，包括网络、存储、俯视摄像头、侧视摄像头的状态，支持在座位列表中实时展示终端设备状态。</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教师管理功能：支持添加教师，设置手机(登录用户名)、角色、姓名、密码、邮箱、任教学科等基础信息；支持修改教师的密码、邮箱、任教学科等基础信息；支持展示教师列表，包含用户ID、姓名、手机号(用户名)、邮箱、任课学科、角色等信息；支持统计教师总数量；支持设置教师角色，包括管理员、学科老师等。</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考试任务管理功能：支持创建考务，设置考务名称、开始日期、结束日期、身份验证方式等基础信息；身份验证方式支持账号登录、不验证等多种方式；支持展示考试任务列表，包含考务ID、考务名称、组考方、开始日期、结束日期、考试类型、考务状态、考生登录方式等信息；支持对指定考务执行启动考试、结束考试操作；自动关联考务在评卷系统中的状态，并显示在考务列表中；支持按考务未开始、考试中、待派卷、阅卷中、已结束等状态分类查看考务。</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组考功能：支持对指定考务设置试卷，每个学科支持设置多个试卷，支持设置考试开始和结束日期；支持设置参考学生，包括姓名、性别、考生号、证件号、学校、年级、班级、照片等信息；支持手工逐个添加考生；支持通过模板批量导入考生，页面提供导入模板下载；支持查看已加入的考生列表；支持对指定考生执行删除、编辑等操作；支持从实验室列表中选择教室作为考场；支持为每个学科设置考场；支持为每个考场设置开始和结束日期。</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支持对视频文件的大小、文件格式、编码方式、分辨率等信息进行校验和展示；支持通过数字签名的方式对数据一致性进行校验并展示视频文件的MD5码，该MD5码和终端对应视频文件的MD5码值一致。</w:t>
            </w:r>
          </w:p>
          <w:p>
            <w:pPr>
              <w:keepNext w:val="0"/>
              <w:keepLines w:val="0"/>
              <w:pageBreakBefore w:val="0"/>
              <w:numPr>
                <w:ilvl w:val="255"/>
                <w:numId w:val="0"/>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二、阅卷管理</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具备阅卷任务管理功能：支持从考务系统获取考务和答卷数据，并按照考务对阅卷任务进行分组管理；支持对同一考务内的各学科和各考卷进行分组管理；支持启动阅卷任务、结束阅卷任务、导出答卷等操作。</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具备批阅规则设置功能：</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支持对指定考务设置批阅规则；</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b/>
                <w:bCs/>
                <w:color w:val="0000FF"/>
                <w:sz w:val="21"/>
                <w:szCs w:val="21"/>
              </w:rPr>
            </w:pPr>
            <w:r>
              <w:rPr>
                <w:rFonts w:ascii="宋体" w:eastAsia="宋体" w:hAnsi="宋体" w:cs="宋体" w:hint="eastAsia"/>
                <w:color w:val="0000FF"/>
                <w:sz w:val="21"/>
                <w:szCs w:val="21"/>
              </w:rPr>
              <w:t>▲支持根据考务需要设置阅卷方式为单轮阅卷、两轮阅卷或三轮阅卷：单轮阅卷为一份答卷分配1名阅卷老师，一轮完成评阅，随即输出成绩；两轮阅卷为一份答卷分配2名阅卷老师，阅卷老师相互之间不知道对方的评分，2名阅卷老师分别给出评分，如果两个评分偏差不大于设定的阈值，则取两个评分的平均值作为最终得分，此答卷阅卷结束，如果两个评分偏差大于设定的阈值，系统提交该答卷给仲裁员，由仲裁员决定最终得分；三轮阅卷为一份答卷分配2名阅卷老师，阅卷老师相互之间不知道对方的评分结果，首先2名阅卷老师分别给出评分，如果两个评分偏差不大于设定的阈值，则取两个评分的平均值作为最终得分，此答卷阅卷结束，如果两个评分偏差大于设定的阈值，系统将此答卷派发给另外2名阅卷老师重新评阅（第二轮），如果第二轮评分偏差在设定阈值内，则以第二轮评分均值作为最终得分，否则上升至仲裁员，由仲裁员决定最终得分。</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支持查看已设置的批阅规则，展示阅卷方式、仲裁条件、考评点差异个数和阅卷流程。</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阅卷老师设置功能：支持对指定阅卷任务安排批阅者；批阅者类型包括阅卷教师、仲裁教师、仲裁组长；支持手工逐个添加批阅者；支持通过模板批量导入批阅者，页面提供导入模板下载；支持查看已加入的批阅者列表；支持对指定批阅者执行删除、重置密码等操作。</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在线观看视频阅卷功能：支持查看分配给自己的阅卷任务清单，按考务、学科和试卷排列；支持俯视和侧视两路视频同屏同步播放，两路视频图像播放全程保持相互时延小于100毫秒；支持选择0.5X-5X倍速播放；支持单个视频全屏播放以及退出全屏操作；支持同屏显示答题卡图片，支持答题卡图片放大和还原操作；对于有显微镜抓图的答卷，支持显示显微镜抓图及放大和还原操作；支持按考评点顺序显示该试卷对应考题的各考查要点；支持对各考查要点单独评分，分数自动汇总并实时显示总分。</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 xml:space="preserve"> 具备阅卷状态统计功能：支持查看分配给自己的阅卷任务的阅卷进度；支持根据阅卷状态展示全部试卷、未阅试卷、已阅试卷；支持在每种阅卷状态下根据标记状态展示全部试卷、未标记试卷、已标记试卷。</w:t>
            </w:r>
          </w:p>
          <w:p>
            <w:pPr>
              <w:keepNext w:val="0"/>
              <w:keepLines w:val="0"/>
              <w:pageBreakBefore w:val="0"/>
              <w:numPr>
                <w:ilvl w:val="255"/>
                <w:numId w:val="0"/>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三、题库管理</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添加实验考题，设置试卷名称、试卷编号、学科、学段、录制时长等基础信息；支持对指定考题通过图片添加试题内容，支持添加多张内容图片；支持对指定考题添加多个考评点，对每个考评点设置分值；支持对指定考题通过图片添加答题卡，支持添加多张答题卡图片；支持对生物学科的实验考题设置是否关联电子目镜。</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展示考题列表，包含学科、试卷名称、学段、分值、录制时长、状态等信息；支持根据试卷名称、学科进行搜索；支持查看指定考题的试卷详情；支持对指定考题执行启用、禁用操作；支持按未启用、已启用、已禁用分类展示。</w:t>
            </w:r>
          </w:p>
          <w:p>
            <w:pPr>
              <w:keepNext w:val="0"/>
              <w:keepLines w:val="0"/>
              <w:pageBreakBefore w:val="0"/>
              <w:numPr>
                <w:ilvl w:val="255"/>
                <w:numId w:val="0"/>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四、新增实验教案</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具备自定义实验教案功能：支持新建实验教学方案，并设置教案名称、实验内容；支持从教学实验列表中选择实验作为教案的实验内容，一个教案支持添加多个实验；支持在教案中添加多种教学环节。</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实验教案列表管理功能：支持展示实验教学方案列表，展示字段包含学科、教案名称、创建人、状态等；支持对指定教案执行查看详情、编辑、发布等操作；支持将指定教案复制到新的教学方案；支持根据状态和教案名称进行搜索；支持按照学科分类展示。</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从实验教案创建实验课功能：支持从列表中选择实验教学方案创建实验课；实验课基础信息包含实验课名称、教学方案、上课教室、上课年级、班级等；支持从考务系统中获取实验室列表，并供实验课选择作为上课教室。</w:t>
            </w:r>
          </w:p>
          <w:p>
            <w:pPr>
              <w:keepNext w:val="0"/>
              <w:keepLines w:val="0"/>
              <w:pageBreakBefore w:val="0"/>
              <w:numPr>
                <w:ilvl w:val="255"/>
                <w:numId w:val="0"/>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五、成绩查询统计</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支持按试卷清单展示学生成绩，支持按考生姓名和证件号搜索查询考生成绩。</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支持按考务、按学科导出成绩到电子表格；导出成绩包含考务名称、学科、考点学校、年级、班级、考生姓名、试卷类型、试卷名称、证件号、考生号、各考评点得分、总成绩等字段。</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支持对评阅数据进行统计，展示图形化报表；支持展示各年度、各考务的试卷得分率统计和批阅者批阅均分统计；支持展示全部学科和指定学科的统计。</w:t>
            </w:r>
          </w:p>
          <w:p>
            <w:pPr>
              <w:keepNext w:val="0"/>
              <w:keepLines w:val="0"/>
              <w:pageBreakBefore w:val="0"/>
              <w:numPr>
                <w:ilvl w:val="255"/>
                <w:numId w:val="0"/>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七、AI评分</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具备理、化、生实验AI赋分功能：支持查看实验的AI评分成绩，支持查看AI出具对实验考评点的扣分理由；</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具备AI评分采用逐帧分析技术，不抽帧，不遗漏任何信息。具备物理、化学、生物实验AI课堂点评：支持对学生实验练习进行AI实时评价，支持在点评环节查看AI给任意一个学生的实验评分情况，包含每一个考评点。至少支持以下实验的AI课堂评分：探究平面镜成像时像与物的关系、一定溶质质量分数的氯化钠溶液的配制、粗盐中难溶性杂质的去除、制作并观察植物细胞临时装片、用显微镜观察人血的永久涂片、小鱼尾鳍内血液的流动。</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 xml:space="preserve"> 具备物理、化学、生物实验AI评分点跳转功能，采用AI技术对实验视频进行自动标段，点击评分点支持跳转到对应的视频片段。至少支持以下实验的AI辅助点评：用天平测量物体的质量、氧气的实验室制取与性质、一定溶质质量分数的氯化钠溶液的配制、练习使用显微镜、制作并观察植物细胞临时装片、馒头在口腔中的变化。</w:t>
            </w:r>
          </w:p>
          <w:p>
            <w:pPr>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jc w:val="left"/>
              <w:rPr>
                <w:rFonts w:ascii="宋体" w:eastAsia="宋体" w:hAnsi="宋体" w:cs="宋体" w:hint="eastAsia"/>
                <w:sz w:val="21"/>
                <w:szCs w:val="21"/>
              </w:rPr>
            </w:pPr>
            <w:r>
              <w:rPr>
                <w:rFonts w:ascii="宋体" w:eastAsia="宋体" w:hAnsi="宋体" w:cs="宋体" w:hint="eastAsia"/>
                <w:sz w:val="21"/>
                <w:szCs w:val="21"/>
              </w:rPr>
              <w:t>具备实验AI评分准确率统计功能，支持对比实验AI评分与教师评分得到AI评分准确率。</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6</w:t>
            </w:r>
          </w:p>
        </w:tc>
        <w:tc>
          <w:tcPr>
            <w:tcW w:w="825" w:type="pct"/>
            <w:vAlign w:val="center"/>
          </w:tcPr>
          <w:p>
            <w:pPr>
              <w:keepNext w:val="0"/>
              <w:keepLines w:val="0"/>
              <w:pageBreakBefore w:val="0"/>
              <w:widowControl/>
              <w:kinsoku/>
              <w:wordWrap/>
              <w:overflowPunct/>
              <w:topLinePunct w:val="0"/>
              <w:autoSpaceDE/>
              <w:autoSpaceDN/>
              <w:bidi w:val="0"/>
              <w:adjustRightInd/>
              <w:spacing w:line="320" w:lineRule="exact"/>
              <w:jc w:val="center"/>
              <w:textAlignment w:val="center"/>
              <w:rPr>
                <w:rFonts w:ascii="宋体" w:eastAsia="宋体" w:hAnsi="宋体" w:cs="宋体" w:hint="eastAsia"/>
                <w:sz w:val="21"/>
                <w:szCs w:val="21"/>
              </w:rPr>
            </w:pPr>
            <w:r>
              <w:rPr>
                <w:rFonts w:ascii="宋体" w:eastAsia="宋体" w:hAnsi="宋体" w:cs="宋体" w:hint="eastAsia"/>
                <w:sz w:val="21"/>
                <w:szCs w:val="21"/>
              </w:rPr>
              <w:t>实验信息采集终端</w:t>
            </w:r>
          </w:p>
        </w:tc>
        <w:tc>
          <w:tcPr>
            <w:tcW w:w="3827" w:type="pct"/>
            <w:vAlign w:val="center"/>
          </w:tcPr>
          <w:p>
            <w:pPr>
              <w:keepNext w:val="0"/>
              <w:keepLines w:val="0"/>
              <w:pageBreakBefore w:val="0"/>
              <w:numPr>
                <w:ilvl w:val="255"/>
                <w:numId w:val="0"/>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【硬件配置】</w:t>
            </w:r>
          </w:p>
          <w:p>
            <w:pPr>
              <w:keepNext w:val="0"/>
              <w:keepLines w:val="0"/>
              <w:pageBreakBefore w:val="0"/>
              <w:numPr>
                <w:ilvl w:val="255"/>
                <w:numId w:val="0"/>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一、一体机配置</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CPU，不低于4核64位，主频不低于2.0GHz</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内存不低于4GB，存储不低于128GB(不含 SD 卡、TF 卡、U 盘等外接存储);</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内置操作系统，开机自启动，开放互联；</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电容式触摸屏，支持多点（不少于10点）触控，屏幕尺寸不小于15.6英寸，分辨率不低于1920*1080；</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电源输入采用220V AC持续供电，并通过适配器转换；适配器位于机体内部，有效避免丢失；</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内置锂电池，续航不少于30分钟；包含终端屏幕、俯视、侧视摄像头同时正常工作，电子目镜分辨率不低于1920×1080（200万像素），自动白平衡、自动曝光；支持有线和WiFi6无线联网，有线支持1000M网口，无线支持802.11b/g/n/AC/AX协议及2.4GHz和5GHz双频段；</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b/>
                <w:bCs/>
                <w:color w:val="0000FF"/>
                <w:sz w:val="21"/>
                <w:szCs w:val="21"/>
              </w:rPr>
            </w:pPr>
            <w:r>
              <w:rPr>
                <w:rFonts w:ascii="宋体" w:eastAsia="宋体" w:hAnsi="宋体" w:cs="宋体" w:hint="eastAsia"/>
                <w:color w:val="0000FF"/>
                <w:sz w:val="21"/>
                <w:szCs w:val="21"/>
              </w:rPr>
              <w:t>▲采用至少3个USB 2.0扩展接口，1个Micro USB接口，支持接入电子目镜或数码显微镜图像，支持麦克风语音输入。</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sz w:val="21"/>
                <w:szCs w:val="21"/>
              </w:rPr>
              <w:t>可用于标准实验桌，终端底座尺寸为30cm*15cm。</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提供配套桌布，放置在实验桌上，标识核心操作区，引导学生在核心区域操作，完成整个实验，桌布表面材质：布面材质</w:t>
            </w:r>
            <w:r>
              <w:rPr>
                <w:rFonts w:ascii="宋体" w:eastAsia="宋体" w:hAnsi="宋体" w:cs="宋体" w:hint="eastAsia"/>
                <w:sz w:val="21"/>
                <w:szCs w:val="21"/>
                <w:lang w:eastAsia="zh-CN"/>
              </w:rPr>
              <w:t>，</w:t>
            </w:r>
            <w:r>
              <w:rPr>
                <w:rFonts w:ascii="宋体" w:eastAsia="宋体" w:hAnsi="宋体" w:cs="宋体" w:hint="eastAsia"/>
                <w:sz w:val="21"/>
                <w:szCs w:val="21"/>
              </w:rPr>
              <w:t>底面材质：防滑天然橡胶底</w:t>
            </w:r>
            <w:r>
              <w:rPr>
                <w:rFonts w:ascii="宋体" w:eastAsia="宋体" w:hAnsi="宋体" w:cs="宋体" w:hint="eastAsia"/>
                <w:sz w:val="21"/>
                <w:szCs w:val="21"/>
                <w:lang w:eastAsia="zh-CN"/>
              </w:rPr>
              <w:t>，</w:t>
            </w:r>
            <w:r>
              <w:rPr>
                <w:rFonts w:ascii="宋体" w:eastAsia="宋体" w:hAnsi="宋体" w:cs="宋体" w:hint="eastAsia"/>
                <w:sz w:val="21"/>
                <w:szCs w:val="21"/>
              </w:rPr>
              <w:t>锁边工艺：耐磨针织锁边。</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内置状态灯，通过状态灯的不同颜色用于区分设备闲置、待登录和网络连接异常等状态；状态灯位于机身背面，外观为圆角矩形，尺寸不小于30*4mm，距离终端底部的高度不低于225mm，异常状态反馈准确及时，便于考场监考老师查看设备状态。</w:t>
            </w:r>
          </w:p>
          <w:p>
            <w:pPr>
              <w:keepNext w:val="0"/>
              <w:keepLines w:val="0"/>
              <w:pageBreakBefore w:val="0"/>
              <w:numPr>
                <w:ilvl w:val="255"/>
                <w:numId w:val="0"/>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二、采集装置</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采用俯视和侧视两路摄像头同时录制学生实验操作过程和评分点细节。</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b/>
                <w:bCs/>
                <w:color w:val="0000FF"/>
                <w:sz w:val="21"/>
                <w:szCs w:val="21"/>
              </w:rPr>
            </w:pPr>
            <w:r>
              <w:rPr>
                <w:rFonts w:ascii="宋体" w:eastAsia="宋体" w:hAnsi="宋体" w:cs="宋体" w:hint="eastAsia"/>
                <w:color w:val="0000FF"/>
                <w:sz w:val="21"/>
                <w:szCs w:val="21"/>
              </w:rPr>
              <w:t>▲终端自带电子目镜放置槽，可放置电子目镜；采用俯视和侧视两路摄像头同时录制学生实验操作过程和评分点细节，各摄像头视频同步偏差不高于70ms</w:t>
            </w:r>
            <w:r>
              <w:rPr>
                <w:rFonts w:ascii="宋体" w:eastAsia="宋体" w:hAnsi="宋体" w:cs="宋体" w:hint="eastAsia"/>
                <w:color w:val="0000FF"/>
                <w:sz w:val="21"/>
                <w:szCs w:val="21"/>
                <w:lang w:eastAsia="zh-CN"/>
              </w:rPr>
              <w:t>。</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终端自带电子目镜放置槽，电子目镜放置槽位于终端正面底部，与终端底座一体成型。</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采用一体化支架，使用过程中稳定维持固定拍摄角度，不可自由伸缩和旋转，俯视、侧视摄像头支架各只有一个旋转关节，两个摄像头支架下部（底部第一段支架）均被包裹在终端机身中，支架与终端机身连接处无活动关节；支持折叠收纳，收纳后整机最大高度不高于45cm，最大长度不超过40厘米，以免在上课时遮挡学生视线；</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摄像头支架线材全隐藏，完全不外露；</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两路摄像头均支持自动白平衡、自动曝光、3D数字降噪，支持多码流传输，支持宽动态，宽动态范围不低于90dB；侧视摄像头支持拍摄核心操作区内操作和刻度细节；</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视频拍摄分辨率不低于1440P（400万像素），帧率不低于30FPS；</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俯视摄像头为广角镜头，展开状态下镜头高度在70-73cm，能在一个画面内拍摄整个实验台和半个水槽（实验桌左侧水槽或者右侧水槽均可覆盖，满足水槽左右两侧的考位）；</w:t>
            </w:r>
          </w:p>
          <w:p>
            <w:pPr>
              <w:keepNext w:val="0"/>
              <w:keepLines w:val="0"/>
              <w:pageBreakBefore w:val="0"/>
              <w:numPr>
                <w:ilvl w:val="255"/>
                <w:numId w:val="0"/>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【实验考试学生终端功能】</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kern w:val="0"/>
                <w:sz w:val="21"/>
                <w:szCs w:val="21"/>
              </w:rPr>
            </w:pPr>
            <w:r>
              <w:rPr>
                <w:rFonts w:ascii="宋体" w:eastAsia="宋体" w:hAnsi="宋体" w:cs="宋体" w:hint="eastAsia"/>
                <w:kern w:val="0"/>
                <w:sz w:val="21"/>
                <w:szCs w:val="21"/>
              </w:rPr>
              <w:t>需完整录制俯视角、侧视角中所有实验操作过程和评分点细节；</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kern w:val="0"/>
                <w:sz w:val="21"/>
                <w:szCs w:val="21"/>
              </w:rPr>
              <w:t>每位考生实验操作考试的双路视频图像播放全程应保持相互时延小于100毫秒；</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开机自动进入实验界面，且无法通过触屏操作退出；</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系统自动和管理平台建立连接，根据业务需要保持通信；</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考试前，系统接收来自管理平台的指令，并在终端屏幕上显示考生信息和座位号，以供考生核对身份；</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考试中同屏显示考试科目、完整考题、完整电子答题卡以及倒计时、结束考试按钮等内容，无需翻页或跳转即可查看所列全部内容；</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b/>
                <w:bCs/>
                <w:color w:val="0000FF"/>
                <w:sz w:val="21"/>
                <w:szCs w:val="21"/>
              </w:rPr>
            </w:pPr>
            <w:r>
              <w:rPr>
                <w:rFonts w:ascii="宋体" w:eastAsia="宋体" w:hAnsi="宋体" w:cs="宋体" w:hint="eastAsia"/>
                <w:color w:val="0000FF"/>
                <w:sz w:val="21"/>
                <w:szCs w:val="21"/>
              </w:rPr>
              <w:t>▲考生通过触摸屏填写答题卡，支持生成标准JPG格式的答题卡图像，200万像素单张图片大小不大于100KB，支持4:3长宽比；支持标准的MP4格式和H.264/H.265/MJPEG视频压缩编码，单个5分钟时长的视频不大于150MB。</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p>
            <w:pPr>
              <w:keepNext w:val="0"/>
              <w:keepLines w:val="0"/>
              <w:pageBreakBefore w:val="0"/>
              <w:numPr>
                <w:ilvl w:val="255"/>
                <w:numId w:val="0"/>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【实验教学学生终端功能】</w:t>
            </w:r>
          </w:p>
          <w:p>
            <w:pPr>
              <w:keepNext w:val="0"/>
              <w:keepLines w:val="0"/>
              <w:pageBreakBefore w:val="0"/>
              <w:numPr>
                <w:ilvl w:val="255"/>
                <w:numId w:val="0"/>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一、实验练习</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练习前，终端屏幕显示座位号，并接收学生输入的姓名或学号，供学生快捷登录；</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练习中，支持在终端屏幕上显示练习科目、题目、电子答题卡以及倒计时；</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电子答题卡支持单选、多选、填空、画图等四种题型，学生通过触摸屏填写答题卡；</w:t>
            </w:r>
          </w:p>
          <w:p>
            <w:pPr>
              <w:keepNext w:val="0"/>
              <w:keepLines w:val="0"/>
              <w:pageBreakBefore w:val="0"/>
              <w:numPr>
                <w:ilvl w:val="0"/>
                <w:numId w:val="3"/>
              </w:numPr>
              <w:kinsoku/>
              <w:wordWrap/>
              <w:overflowPunct/>
              <w:topLinePunct w:val="0"/>
              <w:autoSpaceDE/>
              <w:autoSpaceDN/>
              <w:bidi w:val="0"/>
              <w:adjustRightInd/>
              <w:snapToGrid w:val="0"/>
              <w:spacing w:line="320" w:lineRule="exact"/>
              <w:contextualSpacing/>
              <w:jc w:val="left"/>
              <w:rPr>
                <w:rFonts w:ascii="宋体" w:eastAsia="宋体" w:hAnsi="宋体" w:cs="宋体" w:hint="eastAsia"/>
                <w:b/>
                <w:bCs/>
                <w:color w:val="0000FF"/>
                <w:sz w:val="21"/>
                <w:szCs w:val="21"/>
              </w:rPr>
            </w:pPr>
            <w:r>
              <w:rPr>
                <w:rFonts w:ascii="宋体" w:eastAsia="宋体" w:hAnsi="宋体" w:cs="宋体" w:hint="eastAsia"/>
                <w:color w:val="0000FF"/>
                <w:sz w:val="21"/>
                <w:szCs w:val="21"/>
              </w:rPr>
              <w:t>▲在管理平台选配智慧实验教学AI课堂评分软件并开启AI时，学生做完实验终端将实时显示AI点评界面，同屏显示俯视视频回放、侧视视频回放、AI点评结果，AI点评结果中，操作正确的步骤标记对勾（√），操作错误的步骤标记错叉（×）并用红色字体描述错误原因。</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p>
            <w:pPr>
              <w:keepNext w:val="0"/>
              <w:keepLines w:val="0"/>
              <w:pageBreakBefore w:val="0"/>
              <w:numPr>
                <w:ilvl w:val="255"/>
                <w:numId w:val="0"/>
              </w:numPr>
              <w:kinsoku/>
              <w:wordWrap/>
              <w:overflowPunct/>
              <w:topLinePunct w:val="0"/>
              <w:autoSpaceDE/>
              <w:autoSpaceDN/>
              <w:bidi w:val="0"/>
              <w:adjustRightInd/>
              <w:snapToGrid w:val="0"/>
              <w:spacing w:line="320" w:lineRule="exact"/>
              <w:contextualSpacing/>
              <w:jc w:val="left"/>
              <w:rPr>
                <w:rFonts w:ascii="宋体" w:eastAsia="宋体" w:hAnsi="宋体" w:cs="宋体" w:hint="eastAsia"/>
                <w:sz w:val="21"/>
                <w:szCs w:val="21"/>
              </w:rPr>
            </w:pPr>
            <w:r>
              <w:rPr>
                <w:rFonts w:ascii="宋体" w:eastAsia="宋体" w:hAnsi="宋体" w:cs="宋体" w:hint="eastAsia"/>
                <w:sz w:val="21"/>
                <w:szCs w:val="21"/>
              </w:rPr>
              <w:t>二、课堂小测</w:t>
            </w:r>
          </w:p>
          <w:p>
            <w:pPr>
              <w:keepNext w:val="0"/>
              <w:keepLines w:val="0"/>
              <w:pageBreakBefore w:val="0"/>
              <w:numPr>
                <w:ilvl w:val="0"/>
                <w:numId w:val="3"/>
              </w:numPr>
              <w:kinsoku/>
              <w:wordWrap/>
              <w:overflowPunct/>
              <w:topLinePunct w:val="0"/>
              <w:autoSpaceDE/>
              <w:autoSpaceDN/>
              <w:bidi w:val="0"/>
              <w:adjustRightInd/>
              <w:snapToGrid w:val="0"/>
              <w:spacing w:line="320" w:lineRule="exact"/>
              <w:ind w:left="425" w:hanging="425" w:leftChars="0" w:firstLineChars="0"/>
              <w:contextualSpacing/>
              <w:jc w:val="left"/>
              <w:rPr>
                <w:rFonts w:ascii="宋体" w:eastAsia="宋体" w:hAnsi="宋体" w:cs="宋体" w:hint="eastAsia"/>
                <w:sz w:val="21"/>
                <w:szCs w:val="21"/>
              </w:rPr>
            </w:pPr>
            <w:r>
              <w:rPr>
                <w:rFonts w:ascii="宋体" w:eastAsia="宋体" w:hAnsi="宋体" w:cs="宋体" w:hint="eastAsia"/>
                <w:sz w:val="21"/>
                <w:szCs w:val="21"/>
              </w:rPr>
              <w:t>支持接收管理平台下发的课堂小测指令，并进入课堂小测模式，屏幕显示课堂小测登录界面；课堂小测题目支持单选题、多选题、判断题等三种题型，学生通过触摸屏填写答案并提交，完成提交后，支持将学生答案上报至管理平台。</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7</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电子目镜</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生物实验配备电子目镜，支持在终端上呈现显微镜观察到的图像并采集显微镜成像实时图片。</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pacing w:val="-7"/>
                <w:sz w:val="21"/>
                <w:szCs w:val="21"/>
              </w:rPr>
            </w:pPr>
            <w:r>
              <w:rPr>
                <w:rFonts w:ascii="宋体" w:eastAsia="宋体" w:hAnsi="宋体" w:cs="宋体" w:hint="eastAsia"/>
                <w:spacing w:val="-7"/>
                <w:sz w:val="21"/>
                <w:szCs w:val="21"/>
              </w:rPr>
              <w:t>CMOS传感器，匹配传统光学显微镜及数码显微镜；</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pacing w:val="-7"/>
                <w:sz w:val="21"/>
                <w:szCs w:val="21"/>
              </w:rPr>
              <w:t>分辨率不低于1920×1080（200万像素）；帧率不低于25FPS； 自动白平衡、自动曝光、增益补偿；USB接口供电，即插即用。</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8</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AI算力服务器</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机架式服务器：不低于2个2.5GHz 20核40线程CPU；</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不低于8个32GB内存；</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不低于2个960GB SSD硬盘；</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不低于4个GeForce RTX 3090 GPU；</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不少于2个千兆网口；</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1+1冗余电源；</w:t>
            </w:r>
          </w:p>
          <w:p>
            <w:pPr>
              <w:keepNext w:val="0"/>
              <w:keepLines w:val="0"/>
              <w:pageBreakBefore w:val="0"/>
              <w:numPr>
                <w:ilvl w:val="0"/>
                <w:numId w:val="3"/>
              </w:numPr>
              <w:kinsoku/>
              <w:wordWrap/>
              <w:overflowPunct/>
              <w:topLinePunct w:val="0"/>
              <w:autoSpaceDE/>
              <w:autoSpaceDN/>
              <w:bidi w:val="0"/>
              <w:adjustRightInd/>
              <w:spacing w:line="320" w:lineRule="exact"/>
              <w:jc w:val="left"/>
              <w:rPr>
                <w:rFonts w:ascii="宋体" w:eastAsia="宋体" w:hAnsi="宋体" w:cs="宋体" w:hint="eastAsia"/>
                <w:sz w:val="21"/>
                <w:szCs w:val="21"/>
              </w:rPr>
            </w:pPr>
            <w:r>
              <w:rPr>
                <w:rFonts w:ascii="宋体" w:eastAsia="宋体" w:hAnsi="宋体" w:cs="宋体" w:hint="eastAsia"/>
                <w:sz w:val="21"/>
                <w:szCs w:val="21"/>
              </w:rPr>
              <w:t>内置AI框架和算法模型</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9</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UPS</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在线式UPS不间断电源：容量不低于6KVA/5400W，配备电池，满载5400W供电不低于30分钟；输入电压：120~275V AC；输入频率：(40~70)Hz；输入功因：≥0.99；输出电压：220V AC；输出精度：±1%；输出频率：50/60Hz±0.2Hz；输出波形：纯净正弦输出；</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外观尺寸W×D×H：不大于212mm×500mm×420mm；LED显示：负载/电量/输入/输出/运行模式；</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连接：单相二线+接地；输出谐波失真：≤3%，输入THD-V&lt;1%，线性负载；</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环境参数：温度0-40℃ 湿度20-90%(无凝露) 噪声&lt;50dB @距离1米；</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10</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机柜</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标准</w:t>
            </w:r>
            <w:r>
              <w:rPr>
                <w:rFonts w:ascii="宋体" w:eastAsia="宋体" w:hAnsi="宋体" w:cs="宋体" w:hint="eastAsia"/>
                <w:sz w:val="21"/>
                <w:szCs w:val="21"/>
                <w:lang w:val="en-US" w:eastAsia="zh-CN"/>
              </w:rPr>
              <w:t>不少于</w:t>
            </w:r>
            <w:r>
              <w:rPr>
                <w:rFonts w:ascii="宋体" w:eastAsia="宋体" w:hAnsi="宋体" w:cs="宋体" w:hint="eastAsia"/>
                <w:sz w:val="21"/>
                <w:szCs w:val="21"/>
              </w:rPr>
              <w:t>19英寸32U服务器机柜</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 xml:space="preserve">容量: </w:t>
            </w:r>
            <w:r>
              <w:rPr>
                <w:rFonts w:ascii="宋体" w:eastAsia="宋体" w:hAnsi="宋体" w:cs="宋体" w:hint="eastAsia"/>
                <w:sz w:val="21"/>
                <w:szCs w:val="21"/>
                <w:lang w:val="en-US" w:eastAsia="zh-CN"/>
              </w:rPr>
              <w:t>不少于</w:t>
            </w:r>
            <w:r>
              <w:rPr>
                <w:rFonts w:ascii="宋体" w:eastAsia="宋体" w:hAnsi="宋体" w:cs="宋体" w:hint="eastAsia"/>
                <w:sz w:val="21"/>
                <w:szCs w:val="21"/>
              </w:rPr>
              <w:t>32U</w:t>
            </w:r>
          </w:p>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配置: 至少配备前后六角网孔门、8位10A PDU一个、固定板1块、风扇部件1组、4只两寸重型脚轮、M6方螺母钉20套、内六角扳手一只</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11</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综合布线</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含六类双绞线、面板/插座、跳线、配线架等安装配件，面板带一个信息口。</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bCs/>
                <w:kern w:val="0"/>
                <w:sz w:val="21"/>
                <w:szCs w:val="21"/>
              </w:rPr>
              <w:t>12</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rPr>
            </w:pPr>
            <w:r>
              <w:rPr>
                <w:rFonts w:ascii="宋体" w:eastAsia="宋体" w:hAnsi="宋体" w:cs="宋体" w:hint="eastAsia"/>
                <w:kern w:val="0"/>
                <w:sz w:val="21"/>
                <w:szCs w:val="21"/>
              </w:rPr>
              <w:t>电源布线</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napToGrid w:val="0"/>
              <w:spacing w:line="320" w:lineRule="exact"/>
              <w:rPr>
                <w:rFonts w:ascii="宋体" w:eastAsia="宋体" w:hAnsi="宋体" w:cs="宋体" w:hint="eastAsia"/>
                <w:sz w:val="21"/>
                <w:szCs w:val="21"/>
              </w:rPr>
            </w:pPr>
            <w:r>
              <w:rPr>
                <w:rFonts w:ascii="宋体" w:eastAsia="宋体" w:hAnsi="宋体" w:cs="宋体" w:hint="eastAsia"/>
                <w:sz w:val="21"/>
                <w:szCs w:val="21"/>
              </w:rPr>
              <w:t>含室内配电箱主电源接入（主线不低于国标6平方*3电线）；UPS输出电源线不低于国标1.5平方*3电线，含线槽、插座和开关等安装配件。</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13</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有线路由器</w:t>
            </w:r>
          </w:p>
        </w:tc>
        <w:tc>
          <w:tcPr>
            <w:tcW w:w="3827" w:type="pct"/>
            <w:vAlign w:val="center"/>
          </w:tcPr>
          <w:p>
            <w:pPr>
              <w:keepNext w:val="0"/>
              <w:keepLines w:val="0"/>
              <w:pageBreakBefore w:val="0"/>
              <w:widowControl/>
              <w:numPr>
                <w:ilvl w:val="0"/>
                <w:numId w:val="3"/>
              </w:numPr>
              <w:kinsoku/>
              <w:wordWrap/>
              <w:overflowPunct/>
              <w:topLinePunct w:val="0"/>
              <w:autoSpaceDE/>
              <w:autoSpaceDN/>
              <w:bidi w:val="0"/>
              <w:adjustRightInd/>
              <w:snapToGrid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lang w:val="en-US" w:eastAsia="zh-CN"/>
              </w:rPr>
              <w:t>不少于</w:t>
            </w:r>
            <w:r>
              <w:rPr>
                <w:rFonts w:ascii="宋体" w:eastAsia="宋体" w:hAnsi="宋体" w:cs="宋体" w:hint="eastAsia"/>
                <w:color w:val="000000"/>
                <w:kern w:val="0"/>
                <w:sz w:val="21"/>
                <w:szCs w:val="21"/>
              </w:rPr>
              <w:t>8口企业级路由器，用于对实验操作考试相关设备组建局域网</w:t>
            </w:r>
          </w:p>
          <w:p>
            <w:pPr>
              <w:keepNext w:val="0"/>
              <w:keepLines w:val="0"/>
              <w:pageBreakBefore w:val="0"/>
              <w:widowControl/>
              <w:numPr>
                <w:ilvl w:val="0"/>
                <w:numId w:val="3"/>
              </w:numPr>
              <w:kinsoku/>
              <w:wordWrap/>
              <w:overflowPunct/>
              <w:topLinePunct w:val="0"/>
              <w:autoSpaceDE/>
              <w:autoSpaceDN/>
              <w:bidi w:val="0"/>
              <w:adjustRightInd/>
              <w:snapToGrid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WAN口：不少于2个GE；</w:t>
            </w:r>
          </w:p>
          <w:p>
            <w:pPr>
              <w:keepNext w:val="0"/>
              <w:keepLines w:val="0"/>
              <w:pageBreakBefore w:val="0"/>
              <w:widowControl/>
              <w:numPr>
                <w:ilvl w:val="0"/>
                <w:numId w:val="3"/>
              </w:numPr>
              <w:kinsoku/>
              <w:wordWrap/>
              <w:overflowPunct/>
              <w:topLinePunct w:val="0"/>
              <w:autoSpaceDE/>
              <w:autoSpaceDN/>
              <w:bidi w:val="0"/>
              <w:adjustRightInd/>
              <w:snapToGrid w:val="0"/>
              <w:spacing w:line="320" w:lineRule="exact"/>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LAN口：不少于8个GE(3个LAN口支持切换为WAN)；</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14</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kern w:val="0"/>
                <w:sz w:val="21"/>
                <w:szCs w:val="21"/>
              </w:rPr>
            </w:pPr>
            <w:r>
              <w:rPr>
                <w:rFonts w:ascii="宋体" w:eastAsia="宋体" w:hAnsi="宋体" w:cs="宋体" w:hint="eastAsia"/>
                <w:bCs/>
                <w:kern w:val="0"/>
                <w:sz w:val="21"/>
                <w:szCs w:val="21"/>
              </w:rPr>
              <w:t>汇聚交换机</w:t>
            </w:r>
          </w:p>
        </w:tc>
        <w:tc>
          <w:tcPr>
            <w:tcW w:w="3827" w:type="pct"/>
            <w:vAlign w:val="center"/>
          </w:tcPr>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kern w:val="0"/>
                <w:sz w:val="21"/>
                <w:szCs w:val="21"/>
              </w:rPr>
            </w:pPr>
            <w:r>
              <w:rPr>
                <w:rFonts w:ascii="宋体" w:eastAsia="宋体" w:hAnsi="宋体" w:cs="宋体" w:hint="eastAsia"/>
                <w:bCs/>
                <w:kern w:val="0"/>
                <w:sz w:val="21"/>
                <w:szCs w:val="21"/>
              </w:rPr>
              <w:t>100/1000Base-X千兆光口≥24个，千兆电Combo口≥4个（可与24个光口中的4个复用），10GSFP+万兆光口≥4个</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kern w:val="0"/>
                <w:sz w:val="21"/>
                <w:szCs w:val="21"/>
              </w:rPr>
            </w:pPr>
            <w:r>
              <w:rPr>
                <w:rFonts w:ascii="宋体" w:eastAsia="宋体" w:hAnsi="宋体" w:cs="宋体" w:hint="eastAsia"/>
                <w:bCs/>
                <w:kern w:val="0"/>
                <w:sz w:val="21"/>
                <w:szCs w:val="21"/>
              </w:rPr>
              <w:t>支持IEEE802.3az标准的EEE节能技术：当EEE使能时，大幅度减小端口在该阶段的功耗，达到节能目的；</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kern w:val="0"/>
                <w:sz w:val="21"/>
                <w:szCs w:val="21"/>
              </w:rPr>
            </w:pPr>
            <w:r>
              <w:rPr>
                <w:rFonts w:ascii="宋体" w:eastAsia="宋体" w:hAnsi="宋体" w:cs="宋体" w:hint="eastAsia"/>
                <w:bCs/>
                <w:kern w:val="0"/>
                <w:sz w:val="21"/>
                <w:szCs w:val="21"/>
              </w:rPr>
              <w:t>交换性能≥432Gbps/，包转发率≥156Mpps；</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kern w:val="0"/>
                <w:sz w:val="21"/>
                <w:szCs w:val="21"/>
              </w:rPr>
            </w:pPr>
            <w:r>
              <w:rPr>
                <w:rFonts w:ascii="宋体" w:eastAsia="宋体" w:hAnsi="宋体" w:cs="宋体" w:hint="eastAsia"/>
                <w:bCs/>
                <w:kern w:val="0"/>
                <w:sz w:val="21"/>
                <w:szCs w:val="21"/>
              </w:rPr>
              <w:t>支持QoS特性，通过多种调度模式（例如：轮询模式、严格优先模式等）实现流量基于报文或端口的优先级；</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kern w:val="0"/>
                <w:sz w:val="21"/>
                <w:szCs w:val="21"/>
              </w:rPr>
            </w:pPr>
            <w:r>
              <w:rPr>
                <w:rFonts w:ascii="宋体" w:eastAsia="宋体" w:hAnsi="宋体" w:cs="宋体" w:hint="eastAsia"/>
                <w:bCs/>
                <w:kern w:val="0"/>
                <w:sz w:val="21"/>
                <w:szCs w:val="21"/>
              </w:rPr>
              <w:t>支持DHCPSnooping，可将交换机端口设置为信任端口或非信任端口，非信任端口也可设置白名单响应DHCP报文；</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kern w:val="0"/>
                <w:sz w:val="21"/>
                <w:szCs w:val="21"/>
              </w:rPr>
            </w:pPr>
            <w:r>
              <w:rPr>
                <w:rFonts w:ascii="宋体" w:eastAsia="宋体" w:hAnsi="宋体" w:cs="宋体" w:hint="eastAsia"/>
                <w:bCs/>
                <w:kern w:val="0"/>
                <w:sz w:val="21"/>
                <w:szCs w:val="21"/>
              </w:rPr>
              <w:t>支持STP、RSTP、MSTP防环协议；</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kern w:val="0"/>
                <w:sz w:val="21"/>
                <w:szCs w:val="21"/>
              </w:rPr>
            </w:pPr>
            <w:r>
              <w:rPr>
                <w:rFonts w:ascii="宋体" w:eastAsia="宋体" w:hAnsi="宋体" w:cs="宋体" w:hint="eastAsia"/>
                <w:bCs/>
                <w:kern w:val="0"/>
                <w:sz w:val="21"/>
                <w:szCs w:val="21"/>
              </w:rPr>
              <w:t>支持基于端口或堆叠口的ACL策略、基于源目IP/MAC地址的ACL策略、基于协议的ACL策略、基于时间的ACL策略;</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b/>
                <w:bCs/>
                <w:color w:val="0000FF"/>
                <w:kern w:val="0"/>
                <w:sz w:val="21"/>
                <w:szCs w:val="21"/>
              </w:rPr>
            </w:pPr>
            <w:r>
              <w:rPr>
                <w:rFonts w:ascii="宋体" w:eastAsia="宋体" w:hAnsi="宋体" w:cs="宋体" w:hint="eastAsia"/>
                <w:bCs/>
                <w:color w:val="0000FF"/>
                <w:kern w:val="0"/>
                <w:sz w:val="21"/>
                <w:szCs w:val="21"/>
              </w:rPr>
              <w:t>▲支持M-LAG技术，要求配对的设备有独立的控制平面，且能够通过独立图形化界面进行配置管理</w:t>
            </w:r>
            <w:r>
              <w:rPr>
                <w:rFonts w:ascii="宋体" w:eastAsia="宋体" w:hAnsi="宋体" w:cs="宋体" w:hint="eastAsia"/>
                <w:bCs/>
                <w:color w:val="0000FF"/>
                <w:kern w:val="0"/>
                <w:sz w:val="21"/>
                <w:szCs w:val="21"/>
                <w:lang w:eastAsia="zh-CN"/>
              </w:rPr>
              <w:t>；</w:t>
            </w:r>
            <w:r>
              <w:rPr>
                <w:rFonts w:ascii="宋体" w:eastAsia="宋体" w:hAnsi="宋体" w:cs="宋体" w:hint="eastAsia"/>
                <w:color w:val="0000FF"/>
                <w:sz w:val="21"/>
                <w:szCs w:val="21"/>
              </w:rPr>
              <w:t>支持与外部安全感知平台联动，且联动实现从系统及接入层交换机对风险终端 MAC 地址进行封堵</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p>
            <w:pPr>
              <w:keepNext w:val="0"/>
              <w:keepLines w:val="0"/>
              <w:pageBreakBefore w:val="0"/>
              <w:numPr>
                <w:ilvl w:val="0"/>
                <w:numId w:val="3"/>
              </w:numPr>
              <w:kinsoku/>
              <w:wordWrap/>
              <w:overflowPunct/>
              <w:topLinePunct w:val="0"/>
              <w:autoSpaceDE/>
              <w:autoSpaceDN/>
              <w:bidi w:val="0"/>
              <w:adjustRightInd/>
              <w:spacing w:line="320" w:lineRule="exact"/>
              <w:rPr>
                <w:rFonts w:ascii="宋体" w:eastAsia="宋体" w:hAnsi="宋体" w:cs="宋体" w:hint="eastAsia"/>
                <w:sz w:val="21"/>
                <w:szCs w:val="21"/>
              </w:rPr>
            </w:pPr>
            <w:r>
              <w:rPr>
                <w:rFonts w:ascii="宋体" w:eastAsia="宋体" w:hAnsi="宋体" w:cs="宋体" w:hint="eastAsia"/>
                <w:bCs/>
                <w:color w:val="0000FF"/>
                <w:kern w:val="0"/>
                <w:sz w:val="21"/>
                <w:szCs w:val="21"/>
              </w:rPr>
              <w:t>▲支持终端类型库，基于指纹自动识别PC、路由器、摄像头设备、无线AP等</w:t>
            </w:r>
            <w:r>
              <w:rPr>
                <w:rFonts w:ascii="宋体" w:eastAsia="宋体" w:hAnsi="宋体" w:cs="宋体" w:hint="eastAsia"/>
                <w:bCs/>
                <w:color w:val="0000FF"/>
                <w:kern w:val="0"/>
                <w:sz w:val="21"/>
                <w:szCs w:val="21"/>
                <w:lang w:eastAsia="zh-CN"/>
              </w:rPr>
              <w:t>；</w:t>
            </w:r>
            <w:r>
              <w:rPr>
                <w:rFonts w:ascii="宋体" w:eastAsia="宋体" w:hAnsi="宋体" w:cs="宋体" w:hint="eastAsia"/>
                <w:bCs/>
                <w:color w:val="0000FF"/>
                <w:kern w:val="0"/>
                <w:sz w:val="21"/>
                <w:szCs w:val="21"/>
                <w:lang w:val="en-US" w:eastAsia="zh-CN"/>
              </w:rPr>
              <w:t>冲击等级至少达到IK06；</w:t>
            </w:r>
            <w:r>
              <w:rPr>
                <w:rFonts w:ascii="宋体" w:eastAsia="宋体" w:hAnsi="宋体" w:cs="宋体" w:hint="eastAsia"/>
                <w:color w:val="0000FF"/>
                <w:sz w:val="21"/>
                <w:szCs w:val="21"/>
              </w:rPr>
              <w:t>支持在交换机上创建东西向安全策略，实现全网安全风险拦截;并支持各个区域/角色流量互访记录并呈现，支持攻击源定位，检测到攻击源后根据策略将终端拉黑，防止终端持续攻击</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color w:val="000000"/>
                <w:kern w:val="0"/>
                <w:sz w:val="21"/>
                <w:szCs w:val="21"/>
                <w:lang w:val="en-US" w:eastAsia="zh-CN"/>
              </w:rPr>
            </w:pPr>
            <w:r>
              <w:rPr>
                <w:rFonts w:ascii="宋体" w:eastAsia="宋体" w:hAnsi="宋体" w:cs="宋体" w:hint="eastAsia"/>
                <w:bCs/>
                <w:color w:val="000000"/>
                <w:kern w:val="0"/>
                <w:sz w:val="21"/>
                <w:szCs w:val="21"/>
                <w:lang w:val="en-US" w:eastAsia="zh-CN"/>
              </w:rPr>
              <w:t>15</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lang w:val="en-US" w:eastAsia="zh-CN"/>
              </w:rPr>
            </w:pPr>
            <w:r>
              <w:rPr>
                <w:rFonts w:ascii="宋体" w:eastAsia="宋体" w:hAnsi="宋体" w:cs="宋体" w:hint="eastAsia"/>
                <w:bCs/>
                <w:kern w:val="0"/>
                <w:sz w:val="21"/>
                <w:szCs w:val="21"/>
                <w:lang w:val="en-US" w:eastAsia="zh-CN"/>
              </w:rPr>
              <w:t>电源时序器</w:t>
            </w:r>
          </w:p>
        </w:tc>
        <w:tc>
          <w:tcPr>
            <w:tcW w:w="3827" w:type="pct"/>
            <w:vAlign w:val="center"/>
          </w:tcPr>
          <w:p>
            <w:pPr>
              <w:pStyle w:val="BodyText"/>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b w:val="0"/>
                <w:bCs w:val="0"/>
                <w:sz w:val="21"/>
                <w:szCs w:val="21"/>
              </w:rPr>
            </w:pPr>
            <w:r>
              <w:rPr>
                <w:rFonts w:ascii="宋体" w:eastAsia="宋体" w:hAnsi="宋体" w:cs="宋体" w:hint="eastAsia"/>
                <w:b w:val="0"/>
                <w:bCs w:val="0"/>
                <w:sz w:val="21"/>
                <w:szCs w:val="21"/>
              </w:rPr>
              <w:t>内置速工业芯片ARM处理器；</w:t>
            </w:r>
          </w:p>
          <w:p>
            <w:pPr>
              <w:pStyle w:val="BodyText"/>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b w:val="0"/>
                <w:bCs w:val="0"/>
                <w:sz w:val="21"/>
                <w:szCs w:val="21"/>
              </w:rPr>
            </w:pPr>
            <w:r>
              <w:rPr>
                <w:rFonts w:ascii="宋体" w:eastAsia="宋体" w:hAnsi="宋体" w:cs="宋体" w:hint="eastAsia"/>
                <w:b w:val="0"/>
                <w:bCs w:val="0"/>
                <w:sz w:val="21"/>
                <w:szCs w:val="21"/>
              </w:rPr>
              <w:t>面板≥2路直通电源输出，最大16A,方便用户取电；</w:t>
            </w:r>
          </w:p>
          <w:p>
            <w:pPr>
              <w:pStyle w:val="BodyText"/>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b w:val="0"/>
                <w:bCs w:val="0"/>
                <w:sz w:val="21"/>
                <w:szCs w:val="21"/>
              </w:rPr>
            </w:pPr>
            <w:r>
              <w:rPr>
                <w:rFonts w:ascii="宋体" w:eastAsia="宋体" w:hAnsi="宋体" w:cs="宋体" w:hint="eastAsia"/>
                <w:b w:val="0"/>
                <w:bCs w:val="0"/>
                <w:sz w:val="21"/>
                <w:szCs w:val="21"/>
              </w:rPr>
              <w:t xml:space="preserve">后板≥8路受控电源输出，每路能承受3.5KW超大功率负荷；                                                                                  </w:t>
            </w:r>
          </w:p>
          <w:p>
            <w:pPr>
              <w:pStyle w:val="BodyText"/>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b w:val="0"/>
                <w:bCs w:val="0"/>
                <w:sz w:val="21"/>
                <w:szCs w:val="21"/>
              </w:rPr>
            </w:pPr>
            <w:r>
              <w:rPr>
                <w:rFonts w:ascii="宋体" w:eastAsia="宋体" w:hAnsi="宋体" w:cs="宋体" w:hint="eastAsia"/>
                <w:b w:val="0"/>
                <w:bCs w:val="0"/>
                <w:sz w:val="21"/>
                <w:szCs w:val="21"/>
              </w:rPr>
              <w:t>每通道电源具有独立的RFI/EMI电源滤波器；</w:t>
            </w:r>
          </w:p>
          <w:p>
            <w:pPr>
              <w:pStyle w:val="BodyText"/>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b/>
                <w:bCs/>
                <w:color w:val="0000FF"/>
                <w:sz w:val="21"/>
                <w:szCs w:val="21"/>
              </w:rPr>
            </w:pPr>
            <w:r>
              <w:rPr>
                <w:rFonts w:ascii="宋体" w:eastAsia="宋体" w:hAnsi="宋体" w:cs="宋体" w:hint="eastAsia"/>
                <w:b w:val="0"/>
                <w:bCs w:val="0"/>
                <w:color w:val="0000FF"/>
                <w:sz w:val="21"/>
                <w:szCs w:val="21"/>
              </w:rPr>
              <w:t>▲每个通道都具有延时编辑功能，根据用户需求可任意更改延迟时间</w:t>
            </w:r>
            <w:r>
              <w:rPr>
                <w:rFonts w:ascii="宋体" w:eastAsia="宋体" w:hAnsi="宋体" w:cs="宋体" w:hint="eastAsia"/>
                <w:b w:val="0"/>
                <w:bCs w:val="0"/>
                <w:color w:val="0000FF"/>
                <w:sz w:val="21"/>
                <w:szCs w:val="21"/>
                <w:lang w:eastAsia="zh-CN"/>
              </w:rPr>
              <w:t>；</w:t>
            </w:r>
            <w:r>
              <w:rPr>
                <w:rFonts w:ascii="宋体" w:eastAsia="宋体" w:hAnsi="宋体" w:cs="宋体" w:hint="eastAsia"/>
                <w:b w:val="0"/>
                <w:bCs w:val="0"/>
                <w:color w:val="0000FF"/>
                <w:sz w:val="21"/>
                <w:szCs w:val="21"/>
              </w:rPr>
              <w:t>定时开关机：当天可设置一次定时开机时间和定时关机时间，设置完成后每天重复</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p>
            <w:pPr>
              <w:pStyle w:val="BodyText"/>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b w:val="0"/>
                <w:bCs w:val="0"/>
                <w:sz w:val="21"/>
                <w:szCs w:val="21"/>
              </w:rPr>
            </w:pPr>
            <w:r>
              <w:rPr>
                <w:rFonts w:ascii="宋体" w:eastAsia="宋体" w:hAnsi="宋体" w:cs="宋体" w:hint="eastAsia"/>
                <w:b w:val="0"/>
                <w:bCs w:val="0"/>
                <w:color w:val="0000FF"/>
                <w:sz w:val="21"/>
                <w:szCs w:val="21"/>
              </w:rPr>
              <w:t>▲4个多功能按键</w:t>
            </w:r>
            <w:r>
              <w:rPr>
                <w:rFonts w:ascii="宋体" w:eastAsia="宋体" w:hAnsi="宋体" w:cs="宋体" w:hint="eastAsia"/>
                <w:b w:val="0"/>
                <w:bCs w:val="0"/>
                <w:color w:val="0000FF"/>
                <w:sz w:val="21"/>
                <w:szCs w:val="21"/>
                <w:lang w:eastAsia="zh-CN"/>
              </w:rPr>
              <w:t>；</w:t>
            </w:r>
            <w:r>
              <w:rPr>
                <w:rFonts w:ascii="宋体" w:eastAsia="宋体" w:hAnsi="宋体" w:cs="宋体" w:hint="eastAsia"/>
                <w:b w:val="0"/>
                <w:bCs w:val="0"/>
                <w:color w:val="0000FF"/>
                <w:sz w:val="21"/>
                <w:szCs w:val="21"/>
              </w:rPr>
              <w:t>通过互联网自动授时</w:t>
            </w:r>
            <w:r>
              <w:rPr>
                <w:rFonts w:ascii="宋体" w:eastAsia="宋体" w:hAnsi="宋体" w:cs="宋体" w:hint="eastAsia"/>
                <w:b w:val="0"/>
                <w:bCs w:val="0"/>
                <w:color w:val="0000FF"/>
                <w:sz w:val="21"/>
                <w:szCs w:val="21"/>
                <w:lang w:eastAsia="zh-CN"/>
              </w:rPr>
              <w:t>；</w:t>
            </w:r>
            <w:r>
              <w:rPr>
                <w:rFonts w:ascii="宋体" w:eastAsia="宋体" w:hAnsi="宋体" w:cs="宋体" w:hint="eastAsia"/>
                <w:b w:val="0"/>
                <w:bCs w:val="0"/>
                <w:color w:val="0000FF"/>
                <w:sz w:val="21"/>
                <w:szCs w:val="21"/>
              </w:rPr>
              <w:t>可与运维平台对接，实时显示工作电压、工作状态信息并对以上设置进行实时预警报警</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tc>
      </w:tr>
      <w:tr>
        <w:tblPrEx>
          <w:tblW w:w="4996" w:type="pct"/>
          <w:tblInd w:w="0" w:type="dxa"/>
          <w:tblCellMar>
            <w:top w:w="0" w:type="dxa"/>
            <w:left w:w="108" w:type="dxa"/>
            <w:bottom w:w="0" w:type="dxa"/>
            <w:right w:w="108" w:type="dxa"/>
          </w:tblCellMar>
        </w:tblPrEx>
        <w:trPr>
          <w:trHeight w:val="416"/>
        </w:trPr>
        <w:tc>
          <w:tcPr>
            <w:tcW w:w="346"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color w:val="000000"/>
                <w:kern w:val="0"/>
                <w:sz w:val="21"/>
                <w:szCs w:val="21"/>
                <w:lang w:val="en-US" w:eastAsia="zh-CN"/>
              </w:rPr>
            </w:pPr>
            <w:r>
              <w:rPr>
                <w:rFonts w:ascii="宋体" w:eastAsia="宋体" w:hAnsi="宋体" w:cs="宋体" w:hint="eastAsia"/>
                <w:bCs/>
                <w:color w:val="000000"/>
                <w:kern w:val="0"/>
                <w:sz w:val="21"/>
                <w:szCs w:val="21"/>
                <w:lang w:val="en-US" w:eastAsia="zh-CN"/>
              </w:rPr>
              <w:t>16</w:t>
            </w:r>
          </w:p>
        </w:tc>
        <w:tc>
          <w:tcPr>
            <w:tcW w:w="825" w:type="pct"/>
            <w:vAlign w:val="center"/>
          </w:tcPr>
          <w:p>
            <w:pPr>
              <w:keepNext w:val="0"/>
              <w:keepLines w:val="0"/>
              <w:pageBreakBefore w:val="0"/>
              <w:widowControl/>
              <w:kinsoku/>
              <w:wordWrap/>
              <w:overflowPunct/>
              <w:topLinePunct w:val="0"/>
              <w:autoSpaceDE/>
              <w:autoSpaceDN/>
              <w:bidi w:val="0"/>
              <w:adjustRightInd/>
              <w:snapToGrid w:val="0"/>
              <w:spacing w:line="320" w:lineRule="exact"/>
              <w:jc w:val="center"/>
              <w:textAlignment w:val="center"/>
              <w:rPr>
                <w:rFonts w:ascii="宋体" w:eastAsia="宋体" w:hAnsi="宋体" w:cs="宋体" w:hint="eastAsia"/>
                <w:bCs/>
                <w:kern w:val="0"/>
                <w:sz w:val="21"/>
                <w:szCs w:val="21"/>
                <w:lang w:val="en-US" w:eastAsia="zh-CN"/>
              </w:rPr>
            </w:pPr>
            <w:r>
              <w:rPr>
                <w:rFonts w:ascii="宋体" w:eastAsia="宋体" w:hAnsi="宋体" w:cs="宋体" w:hint="eastAsia"/>
                <w:bCs/>
                <w:kern w:val="0"/>
                <w:sz w:val="21"/>
                <w:szCs w:val="21"/>
                <w:lang w:val="en-US" w:eastAsia="zh-CN"/>
              </w:rPr>
              <w:t>记录型数据采集拓展器</w:t>
            </w:r>
          </w:p>
        </w:tc>
        <w:tc>
          <w:tcPr>
            <w:tcW w:w="3827" w:type="pct"/>
            <w:vAlign w:val="center"/>
          </w:tcPr>
          <w:p>
            <w:pPr>
              <w:pStyle w:val="BodyText"/>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b w:val="0"/>
                <w:bCs w:val="0"/>
                <w:sz w:val="21"/>
                <w:szCs w:val="21"/>
              </w:rPr>
            </w:pPr>
            <w:r>
              <w:rPr>
                <w:rFonts w:ascii="宋体" w:eastAsia="宋体" w:hAnsi="宋体" w:cs="宋体" w:hint="eastAsia"/>
                <w:b w:val="0"/>
                <w:bCs w:val="0"/>
                <w:sz w:val="21"/>
                <w:szCs w:val="21"/>
              </w:rPr>
              <w:t>内置</w:t>
            </w:r>
            <w:r>
              <w:rPr>
                <w:rFonts w:ascii="宋体" w:eastAsia="宋体" w:hAnsi="宋体" w:cs="宋体" w:hint="eastAsia"/>
                <w:b w:val="0"/>
                <w:bCs w:val="0"/>
                <w:sz w:val="21"/>
                <w:szCs w:val="21"/>
                <w:lang w:val="en-US" w:eastAsia="zh-CN"/>
              </w:rPr>
              <w:t>不少于</w:t>
            </w:r>
            <w:r>
              <w:rPr>
                <w:rFonts w:ascii="宋体" w:eastAsia="宋体" w:hAnsi="宋体" w:cs="宋体" w:hint="eastAsia"/>
                <w:b w:val="0"/>
                <w:bCs w:val="0"/>
                <w:sz w:val="21"/>
                <w:szCs w:val="21"/>
              </w:rPr>
              <w:t>16路传感器采集通道（</w:t>
            </w:r>
            <w:r>
              <w:rPr>
                <w:rFonts w:ascii="宋体" w:eastAsia="宋体" w:hAnsi="宋体" w:cs="宋体" w:hint="eastAsia"/>
                <w:b w:val="0"/>
                <w:bCs w:val="0"/>
                <w:sz w:val="21"/>
                <w:szCs w:val="21"/>
                <w:lang w:val="en-US" w:eastAsia="zh-CN"/>
              </w:rPr>
              <w:t>至少</w:t>
            </w:r>
            <w:r>
              <w:rPr>
                <w:rFonts w:ascii="宋体" w:eastAsia="宋体" w:hAnsi="宋体" w:cs="宋体" w:hint="eastAsia"/>
                <w:b w:val="0"/>
                <w:bCs w:val="0"/>
                <w:sz w:val="21"/>
                <w:szCs w:val="21"/>
              </w:rPr>
              <w:t>8个数字传感器采集通道和</w:t>
            </w:r>
            <w:r>
              <w:rPr>
                <w:rFonts w:ascii="宋体" w:eastAsia="宋体" w:hAnsi="宋体" w:cs="宋体" w:hint="eastAsia"/>
                <w:b w:val="0"/>
                <w:bCs w:val="0"/>
                <w:sz w:val="21"/>
                <w:szCs w:val="21"/>
                <w:lang w:val="en-US" w:eastAsia="zh-CN"/>
              </w:rPr>
              <w:t>至少</w:t>
            </w:r>
            <w:r>
              <w:rPr>
                <w:rFonts w:ascii="宋体" w:eastAsia="宋体" w:hAnsi="宋体" w:cs="宋体" w:hint="eastAsia"/>
                <w:b w:val="0"/>
                <w:bCs w:val="0"/>
                <w:sz w:val="21"/>
                <w:szCs w:val="21"/>
              </w:rPr>
              <w:t>8个带防脱落功能的传感器采集通）；</w:t>
            </w:r>
          </w:p>
          <w:p>
            <w:pPr>
              <w:keepNext w:val="0"/>
              <w:keepLines w:val="0"/>
              <w:pageBreakBefore w:val="0"/>
              <w:numPr>
                <w:ilvl w:val="0"/>
                <w:numId w:val="3"/>
              </w:numPr>
              <w:kinsoku/>
              <w:wordWrap/>
              <w:overflowPunct/>
              <w:topLinePunct w:val="0"/>
              <w:autoSpaceDE/>
              <w:autoSpaceDN/>
              <w:bidi w:val="0"/>
              <w:adjustRightInd/>
              <w:spacing w:line="320" w:lineRule="exact"/>
              <w:ind w:left="425" w:hanging="425" w:leftChars="0" w:firstLineChars="0"/>
              <w:rPr>
                <w:rFonts w:ascii="宋体" w:eastAsia="宋体" w:hAnsi="宋体" w:cs="宋体" w:hint="eastAsia"/>
                <w:sz w:val="21"/>
                <w:szCs w:val="21"/>
              </w:rPr>
            </w:pPr>
            <w:r>
              <w:rPr>
                <w:rFonts w:ascii="宋体" w:eastAsia="宋体" w:hAnsi="宋体" w:cs="宋体" w:hint="eastAsia"/>
                <w:color w:val="0000FF"/>
                <w:sz w:val="21"/>
                <w:szCs w:val="21"/>
              </w:rPr>
              <w:t>▲具有</w:t>
            </w:r>
            <w:r>
              <w:rPr>
                <w:rFonts w:ascii="宋体" w:eastAsia="宋体" w:hAnsi="宋体" w:cs="宋体" w:hint="eastAsia"/>
                <w:color w:val="0000FF"/>
                <w:sz w:val="21"/>
                <w:szCs w:val="21"/>
                <w:lang w:val="en-US" w:eastAsia="zh-CN"/>
              </w:rPr>
              <w:t>不少于</w:t>
            </w:r>
            <w:r>
              <w:rPr>
                <w:rFonts w:ascii="宋体" w:eastAsia="宋体" w:hAnsi="宋体" w:cs="宋体" w:hint="eastAsia"/>
                <w:color w:val="0000FF"/>
                <w:sz w:val="21"/>
                <w:szCs w:val="21"/>
              </w:rPr>
              <w:t>8个状态指示灯，用于显示对应通道的接入状态；护眼滚动调节器，无极调节屏幕亮度，可以根据环境以及学生的生理情况实现科学用眼；内置报警蜂鸣器，传感器接入时提示</w:t>
            </w:r>
            <w:r>
              <w:rPr>
                <w:rFonts w:ascii="宋体" w:eastAsia="宋体" w:hAnsi="宋体" w:cs="宋体" w:hint="eastAsia"/>
                <w:color w:val="0000FF"/>
                <w:sz w:val="21"/>
                <w:szCs w:val="21"/>
                <w:lang w:eastAsia="zh-CN"/>
              </w:rPr>
              <w:t>；</w:t>
            </w:r>
            <w:r>
              <w:rPr>
                <w:rFonts w:ascii="宋体" w:eastAsia="宋体" w:hAnsi="宋体" w:cs="宋体" w:hint="eastAsia"/>
                <w:color w:val="0000FF"/>
                <w:sz w:val="21"/>
                <w:szCs w:val="21"/>
                <w:lang w:val="en-US" w:eastAsia="zh-CN"/>
              </w:rPr>
              <w:t>低温试验：试验前检查样品外观及功能，然后将样品放入温度为-10℃的恒温恒湿箱中，持续2小时，试验结束后样品外观及功能应正常。高温试验：试验前检查样品外观及功能，然后将样品放入温度为 50℃的恒温恒湿箱中，持续2小时，试验结束后样品外观及功能应正常。</w:t>
            </w:r>
            <w:r>
              <w:rPr>
                <w:rFonts w:ascii="宋体" w:eastAsia="宋体" w:hAnsi="宋体" w:cs="宋体" w:hint="eastAsia"/>
                <w:b/>
                <w:bCs/>
                <w:color w:val="0000FF"/>
                <w:sz w:val="21"/>
                <w:szCs w:val="21"/>
              </w:rPr>
              <w:t>（投标时同时提供：①由第三方检验检测机构出具并加盖（或带有）CMA和CNAS标志的检验检测报告扫描件，原件备查；②上述检验检测报告在全国认证认可信息公共服务平台（认e云）（http://cx.cnca.cn/）的信息查询记录截图。注：对应参数（检验检测项）在检验检测报告中进行标注，检测报告中的产品型号必须和分项报价表中的型号一致。）</w:t>
            </w:r>
          </w:p>
        </w:tc>
      </w:tr>
    </w:tbl>
    <w:p>
      <w:pPr>
        <w:spacing w:after="78"/>
        <w:jc w:val="left"/>
        <w:rPr>
          <w:rFonts w:ascii="Calibri" w:eastAsia="宋体" w:hAnsi="Calibri" w:cs="Times New Roman" w:hint="default"/>
          <w:color w:val="FF0000"/>
          <w:szCs w:val="21"/>
          <w:lang w:val="en-US" w:eastAsia="zh-CN"/>
        </w:rPr>
      </w:pPr>
    </w:p>
    <w:p>
      <w:pPr>
        <w:spacing w:after="78"/>
        <w:jc w:val="left"/>
        <w:rPr>
          <w:rFonts w:ascii="Calibri" w:eastAsia="宋体" w:hAnsi="Calibri" w:cs="Times New Roman" w:hint="default"/>
          <w:color w:val="FF0000"/>
          <w:szCs w:val="21"/>
          <w:lang w:val="en-US" w:eastAsia="zh-CN"/>
        </w:rPr>
      </w:pPr>
    </w:p>
    <w:p>
      <w:pPr>
        <w:spacing w:after="78"/>
        <w:jc w:val="left"/>
        <w:rPr>
          <w:rFonts w:ascii="Calibri" w:eastAsia="宋体" w:hAnsi="Calibri" w:cs="Times New Roman" w:hint="default"/>
          <w:color w:val="FF0000"/>
          <w:szCs w:val="21"/>
          <w:lang w:val="en-US" w:eastAsia="zh-CN"/>
        </w:rPr>
      </w:pPr>
    </w:p>
    <w:p>
      <w:pPr>
        <w:pStyle w:val="Heading3"/>
        <w:keepNext/>
        <w:keepLines/>
        <w:pageBreakBefore w:val="0"/>
        <w:widowControl w:val="0"/>
        <w:kinsoku/>
        <w:wordWrap/>
        <w:overflowPunct/>
        <w:topLinePunct w:val="0"/>
        <w:autoSpaceDE/>
        <w:autoSpaceDN/>
        <w:bidi w:val="0"/>
        <w:adjustRightInd/>
        <w:snapToGrid/>
        <w:spacing w:before="156" w:beforeLines="50" w:after="156" w:afterLines="50" w:line="416" w:lineRule="auto"/>
        <w:jc w:val="center"/>
        <w:textAlignment w:val="auto"/>
        <w:outlineLvl w:val="2"/>
        <w:rPr>
          <w:sz w:val="28"/>
          <w:szCs w:val="28"/>
        </w:rPr>
      </w:pPr>
      <w:r>
        <w:br w:type="page"/>
      </w:r>
      <w:r>
        <w:rPr>
          <w:rFonts w:hint="eastAsia"/>
          <w:sz w:val="28"/>
          <w:szCs w:val="28"/>
          <w:lang w:val="en-US" w:eastAsia="zh-CN"/>
        </w:rPr>
        <w:t>五</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rFonts w:hint="eastAsia"/>
          <w:bCs/>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widowControl/>
        <w:jc w:val="left"/>
        <w:rPr>
          <w:rFonts w:ascii="宋体" w:eastAsia="黑体" w:hAnsi="宋体" w:cs="Times New Roman"/>
          <w:bCs/>
          <w:kern w:val="44"/>
          <w:sz w:val="28"/>
          <w:szCs w:val="4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pPr>
        <w:outlineLvl w:val="2"/>
        <w:rPr>
          <w:rFonts w:ascii="黑体" w:eastAsia="黑体"/>
          <w:b/>
          <w:bCs/>
          <w:color w:val="FF0000"/>
          <w:sz w:val="28"/>
        </w:rPr>
      </w:pPr>
      <w:r>
        <w:rPr>
          <w:rFonts w:ascii="黑体" w:eastAsia="黑体" w:hint="eastAsia"/>
          <w:b/>
          <w:bCs/>
          <w:color w:val="FF0000"/>
          <w:sz w:val="28"/>
        </w:rPr>
        <w:t>特别提醒：</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rPr>
      </w:pPr>
      <w: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pPr>
        <w:numPr>
          <w:ilvl w:val="0"/>
          <w:numId w:val="4"/>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 xml:space="preserve">投标函； </w:t>
      </w:r>
    </w:p>
    <w:p>
      <w:pPr>
        <w:numPr>
          <w:ilvl w:val="0"/>
          <w:numId w:val="4"/>
        </w:numPr>
        <w:snapToGrid w:val="0"/>
        <w:spacing w:after="78" w:afterLines="25"/>
        <w:jc w:val="left"/>
        <w:rPr>
          <w:rFonts w:ascii="宋体" w:eastAsia="宋体" w:hAnsi="宋体" w:cs="Times New Roman"/>
          <w:sz w:val="30"/>
          <w:szCs w:val="30"/>
        </w:rPr>
      </w:pPr>
      <w:bookmarkStart w:id="16" w:name="_Hlk72062521"/>
      <w:r>
        <w:rPr>
          <w:rFonts w:ascii="宋体" w:eastAsia="宋体" w:hAnsi="宋体" w:cs="Times New Roman" w:hint="eastAsia"/>
          <w:sz w:val="30"/>
          <w:szCs w:val="30"/>
        </w:rPr>
        <w:t>政府采购投标及履约承诺函</w:t>
      </w:r>
      <w:bookmarkEnd w:id="16"/>
      <w:r>
        <w:rPr>
          <w:rFonts w:ascii="宋体" w:eastAsia="宋体" w:hAnsi="宋体" w:cs="Times New Roman" w:hint="eastAsia"/>
          <w:sz w:val="30"/>
          <w:szCs w:val="30"/>
        </w:rPr>
        <w:t>；</w:t>
      </w:r>
    </w:p>
    <w:p>
      <w:pPr>
        <w:numPr>
          <w:ilvl w:val="0"/>
          <w:numId w:val="4"/>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bCs/>
          <w:sz w:val="30"/>
          <w:szCs w:val="30"/>
        </w:rPr>
        <w:t>营业执照或</w:t>
      </w:r>
      <w:r>
        <w:rPr>
          <w:rFonts w:ascii="宋体" w:eastAsia="宋体" w:hAnsi="宋体" w:cs="Times New Roman" w:hint="eastAsia"/>
          <w:sz w:val="30"/>
          <w:szCs w:val="30"/>
        </w:rPr>
        <w:t>事业单位法人证书等；</w:t>
      </w:r>
    </w:p>
    <w:p>
      <w:pPr>
        <w:numPr>
          <w:ilvl w:val="0"/>
          <w:numId w:val="4"/>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中小企业相关声明函</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如有</w:t>
      </w:r>
      <w:r>
        <w:rPr>
          <w:rFonts w:ascii="宋体" w:eastAsia="宋体" w:hAnsi="宋体" w:cs="Times New Roman" w:hint="eastAsia"/>
          <w:sz w:val="30"/>
          <w:szCs w:val="30"/>
          <w:lang w:eastAsia="zh-CN"/>
        </w:rPr>
        <w:t>）</w:t>
      </w:r>
      <w:r>
        <w:rPr>
          <w:rFonts w:ascii="宋体" w:eastAsia="宋体" w:hAnsi="宋体" w:cs="Times New Roman" w:hint="eastAsia"/>
          <w:sz w:val="30"/>
          <w:szCs w:val="30"/>
        </w:rPr>
        <w:t>；</w:t>
      </w:r>
    </w:p>
    <w:p>
      <w:pPr>
        <w:numPr>
          <w:ilvl w:val="0"/>
          <w:numId w:val="4"/>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分项报价清单；</w:t>
      </w:r>
    </w:p>
    <w:p>
      <w:pPr>
        <w:numPr>
          <w:ilvl w:val="0"/>
          <w:numId w:val="4"/>
        </w:numPr>
        <w:snapToGrid w:val="0"/>
        <w:spacing w:after="78" w:afterLines="25"/>
        <w:ind w:left="1456"/>
        <w:rPr>
          <w:rFonts w:ascii="宋体" w:eastAsia="宋体" w:hAnsi="宋体" w:cs="Times New Roman" w:hint="eastAsia"/>
          <w:sz w:val="30"/>
          <w:szCs w:val="30"/>
          <w:lang w:val="en-US" w:eastAsia="zh-CN"/>
        </w:rPr>
      </w:pPr>
      <w:r>
        <w:rPr>
          <w:rFonts w:ascii="宋体" w:eastAsia="宋体" w:hAnsi="宋体" w:cs="Times New Roman" w:hint="eastAsia"/>
          <w:sz w:val="30"/>
          <w:szCs w:val="30"/>
          <w:lang w:val="en-US" w:eastAsia="zh-CN"/>
        </w:rPr>
        <w:t>认证情况</w:t>
      </w:r>
      <w:r>
        <w:rPr>
          <w:rFonts w:ascii="宋体" w:eastAsia="宋体" w:hAnsi="宋体" w:cs="Times New Roman" w:hint="eastAsia"/>
          <w:sz w:val="30"/>
          <w:szCs w:val="30"/>
          <w:lang w:eastAsia="zh-CN"/>
        </w:rPr>
        <w:t>；</w:t>
      </w:r>
    </w:p>
    <w:p>
      <w:pPr>
        <w:numPr>
          <w:ilvl w:val="0"/>
          <w:numId w:val="4"/>
        </w:numPr>
        <w:snapToGrid w:val="0"/>
        <w:spacing w:after="78" w:afterLines="25"/>
        <w:ind w:left="1456"/>
        <w:rPr>
          <w:rFonts w:ascii="宋体" w:eastAsia="宋体" w:hAnsi="宋体" w:cs="Times New Roman" w:hint="eastAsia"/>
          <w:sz w:val="30"/>
          <w:szCs w:val="30"/>
          <w:lang w:val="en-US" w:eastAsia="zh-CN"/>
        </w:rPr>
      </w:pPr>
      <w:r>
        <w:rPr>
          <w:rFonts w:ascii="宋体" w:eastAsia="宋体" w:hAnsi="宋体" w:cs="Times New Roman" w:hint="eastAsia"/>
          <w:sz w:val="30"/>
          <w:szCs w:val="30"/>
          <w:lang w:val="en-US" w:eastAsia="zh-CN"/>
        </w:rPr>
        <w:t>知识产权产品（创新、设计）情况；</w:t>
      </w:r>
    </w:p>
    <w:p>
      <w:pPr>
        <w:numPr>
          <w:ilvl w:val="0"/>
          <w:numId w:val="4"/>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lang w:val="en-US" w:eastAsia="zh-CN"/>
        </w:rPr>
        <w:t>政府采购节能环保</w:t>
      </w:r>
      <w:r>
        <w:rPr>
          <w:rFonts w:ascii="宋体" w:eastAsia="宋体" w:hAnsi="宋体" w:cs="Times New Roman" w:hint="eastAsia"/>
          <w:sz w:val="30"/>
          <w:szCs w:val="30"/>
        </w:rPr>
        <w:t>产品</w:t>
      </w:r>
      <w:r>
        <w:rPr>
          <w:rFonts w:ascii="宋体" w:eastAsia="宋体" w:hAnsi="宋体" w:cs="Times New Roman" w:hint="eastAsia"/>
          <w:sz w:val="30"/>
          <w:szCs w:val="30"/>
          <w:lang w:eastAsia="zh-CN"/>
        </w:rPr>
        <w:t>；</w:t>
      </w:r>
    </w:p>
    <w:p>
      <w:pPr>
        <w:numPr>
          <w:ilvl w:val="0"/>
          <w:numId w:val="4"/>
        </w:numPr>
        <w:snapToGrid w:val="0"/>
        <w:spacing w:after="78" w:afterLines="25"/>
        <w:ind w:left="1456"/>
        <w:rPr>
          <w:rFonts w:ascii="宋体" w:eastAsia="宋体" w:hAnsi="宋体" w:cs="Times New Roman" w:hint="eastAsia"/>
          <w:sz w:val="30"/>
          <w:szCs w:val="30"/>
        </w:rPr>
      </w:pPr>
      <w:r>
        <w:rPr>
          <w:rFonts w:ascii="宋体" w:eastAsia="宋体" w:hAnsi="宋体" w:cs="Times New Roman" w:hint="eastAsia"/>
          <w:sz w:val="30"/>
          <w:szCs w:val="30"/>
        </w:rPr>
        <w:t>绿色采购</w:t>
      </w:r>
      <w:r>
        <w:rPr>
          <w:rFonts w:ascii="宋体" w:eastAsia="宋体" w:hAnsi="宋体" w:cs="Times New Roman" w:hint="eastAsia"/>
          <w:sz w:val="30"/>
          <w:szCs w:val="30"/>
          <w:lang w:eastAsia="zh-CN"/>
        </w:rPr>
        <w:t>；</w:t>
      </w:r>
    </w:p>
    <w:p>
      <w:pPr>
        <w:numPr>
          <w:ilvl w:val="0"/>
          <w:numId w:val="4"/>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其他招标文件要求或投标人认为需要补充的内容（公开）。</w:t>
      </w:r>
    </w:p>
    <w:p>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商务（服务）条款偏离表；</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bCs/>
          <w:sz w:val="30"/>
          <w:szCs w:val="30"/>
          <w:lang w:eastAsia="zh-CN"/>
        </w:rPr>
        <w:t>“</w:t>
      </w:r>
      <w:r>
        <w:rPr>
          <w:rFonts w:ascii="宋体" w:eastAsia="宋体" w:hAnsi="宋体" w:cs="Times New Roman" w:hint="eastAsia"/>
          <w:bCs/>
          <w:sz w:val="30"/>
          <w:szCs w:val="30"/>
        </w:rPr>
        <w:t>考场监考管</w:t>
      </w:r>
      <w:r>
        <w:rPr>
          <w:rFonts w:ascii="宋体" w:eastAsia="宋体" w:hAnsi="宋体" w:cs="Times New Roman" w:hint="eastAsia"/>
          <w:sz w:val="30"/>
          <w:szCs w:val="30"/>
        </w:rPr>
        <w:t>理主机</w:t>
      </w:r>
      <w:r>
        <w:rPr>
          <w:rFonts w:ascii="宋体" w:eastAsia="宋体" w:hAnsi="宋体" w:cs="Times New Roman" w:hint="eastAsia"/>
          <w:sz w:val="30"/>
          <w:szCs w:val="30"/>
          <w:lang w:eastAsia="zh-CN"/>
        </w:rPr>
        <w:t>”</w:t>
      </w:r>
      <w:r>
        <w:rPr>
          <w:rFonts w:ascii="宋体" w:eastAsia="宋体" w:hAnsi="宋体" w:cs="Times New Roman" w:hint="eastAsia"/>
          <w:sz w:val="30"/>
          <w:szCs w:val="30"/>
        </w:rPr>
        <w:t>节能产品认证证书</w:t>
      </w:r>
      <w:r>
        <w:rPr>
          <w:rFonts w:ascii="宋体" w:eastAsia="宋体" w:hAnsi="宋体" w:cs="Times New Roman" w:hint="eastAsia"/>
          <w:sz w:val="30"/>
          <w:szCs w:val="30"/>
          <w:lang w:eastAsia="zh-CN"/>
        </w:rPr>
        <w:t>；</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rPr>
        <w:t>技术</w:t>
      </w:r>
      <w:r>
        <w:rPr>
          <w:rFonts w:ascii="宋体" w:eastAsia="宋体" w:hAnsi="宋体" w:cs="Times New Roman" w:hint="eastAsia"/>
          <w:sz w:val="30"/>
          <w:szCs w:val="30"/>
          <w:lang w:val="en-US" w:eastAsia="zh-CN"/>
        </w:rPr>
        <w:t>要求</w:t>
      </w:r>
      <w:r>
        <w:rPr>
          <w:rFonts w:ascii="宋体" w:eastAsia="宋体" w:hAnsi="宋体" w:cs="Times New Roman" w:hint="eastAsia"/>
          <w:sz w:val="30"/>
          <w:szCs w:val="30"/>
        </w:rPr>
        <w:t>偏离表；</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val="en-US" w:eastAsia="zh-CN"/>
        </w:rPr>
        <w:t>“</w:t>
      </w:r>
      <w:r>
        <w:rPr>
          <w:rFonts w:ascii="宋体" w:eastAsia="宋体" w:hAnsi="宋体" w:cs="Times New Roman" w:hint="eastAsia"/>
          <w:sz w:val="30"/>
          <w:szCs w:val="30"/>
        </w:rPr>
        <w:t>校级管理平台</w:t>
      </w:r>
      <w:r>
        <w:rPr>
          <w:rFonts w:ascii="宋体" w:eastAsia="宋体" w:hAnsi="宋体" w:cs="Times New Roman" w:hint="eastAsia"/>
          <w:sz w:val="30"/>
          <w:szCs w:val="30"/>
          <w:lang w:val="en-US" w:eastAsia="zh-CN"/>
        </w:rPr>
        <w:t>”检测报告；</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实验信息采集终端</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检测报告；</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rPr>
        <w:t>汇聚交换机</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检测报告；</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电源时序器</w:t>
      </w:r>
      <w:r>
        <w:rPr>
          <w:rFonts w:ascii="宋体" w:eastAsia="宋体" w:hAnsi="宋体" w:cs="Times New Roman" w:hint="eastAsia"/>
          <w:sz w:val="30"/>
          <w:szCs w:val="30"/>
          <w:lang w:eastAsia="zh-CN"/>
        </w:rPr>
        <w:t>”</w:t>
      </w:r>
      <w:r>
        <w:rPr>
          <w:rFonts w:ascii="宋体" w:eastAsia="宋体" w:hAnsi="宋体" w:cs="Times New Roman" w:hint="eastAsia"/>
          <w:sz w:val="30"/>
          <w:szCs w:val="30"/>
          <w:lang w:val="en-US" w:eastAsia="zh-CN"/>
        </w:rPr>
        <w:t>检测报告；</w:t>
      </w:r>
    </w:p>
    <w:p>
      <w:pPr>
        <w:numPr>
          <w:ilvl w:val="0"/>
          <w:numId w:val="5"/>
        </w:numPr>
        <w:snapToGrid w:val="0"/>
        <w:spacing w:after="78" w:afterLines="25"/>
        <w:rPr>
          <w:rFonts w:ascii="宋体" w:eastAsia="宋体" w:hAnsi="宋体" w:cs="Times New Roman" w:hint="eastAsia"/>
          <w:sz w:val="30"/>
          <w:szCs w:val="30"/>
        </w:rPr>
      </w:pPr>
      <w:r>
        <w:rPr>
          <w:rFonts w:ascii="宋体" w:eastAsia="宋体" w:hAnsi="宋体" w:cs="Times New Roman" w:hint="eastAsia"/>
          <w:sz w:val="30"/>
          <w:szCs w:val="30"/>
          <w:lang w:val="en-US" w:eastAsia="zh-CN"/>
        </w:rPr>
        <w:t>“记录型数据采集拓展器”检测报告；</w:t>
      </w:r>
    </w:p>
    <w:p>
      <w:pPr>
        <w:numPr>
          <w:ilvl w:val="0"/>
          <w:numId w:val="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pPr>
        <w:rPr>
          <w:rFonts w:ascii="宋体" w:hAnsi="宋体"/>
          <w:b/>
          <w:sz w:val="18"/>
          <w:szCs w:val="18"/>
        </w:rPr>
      </w:pPr>
      <w:bookmarkStart w:id="17" w:name="_Hlk72257771"/>
      <w:r>
        <w:rPr>
          <w:rFonts w:ascii="宋体" w:hAnsi="宋体" w:hint="eastAsia"/>
          <w:b/>
          <w:sz w:val="18"/>
          <w:szCs w:val="18"/>
        </w:rPr>
        <w:t>备注：</w:t>
      </w:r>
    </w:p>
    <w:p>
      <w:pPr>
        <w:snapToGrid w:val="0"/>
        <w:spacing w:after="78" w:afterLines="25"/>
        <w:ind w:firstLine="420" w:firstLineChars="200"/>
        <w:rPr>
          <w:rFonts w:ascii="宋体" w:hAnsi="宋体"/>
          <w:b/>
          <w:sz w:val="18"/>
          <w:szCs w:val="18"/>
        </w:rPr>
      </w:pPr>
      <w:r>
        <w:rPr>
          <w:rFonts w:ascii="宋体" w:hAnsi="宋体" w:hint="eastAsia"/>
          <w:b/>
          <w:sz w:val="18"/>
          <w:szCs w:val="18"/>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rPr>
      </w:pPr>
      <w:bookmarkStart w:id="18" w:name="_Hlk72263559"/>
      <w:r>
        <w:rPr>
          <w:rFonts w:ascii="宋体" w:hAnsi="宋体" w:hint="eastAsia"/>
          <w:b/>
          <w:sz w:val="18"/>
          <w:szCs w:val="18"/>
        </w:rPr>
        <w:t>2.关于填写“开标一览表”的说明：“开标一览表”中除“投标总价”外，其他信息不作评审依据。</w:t>
      </w:r>
      <w:bookmarkEnd w:id="17"/>
      <w:bookmarkEnd w:id="18"/>
      <w:r>
        <w:br w:type="page"/>
      </w:r>
    </w:p>
    <w:p>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pPr>
        <w:snapToGrid w:val="0"/>
        <w:spacing w:line="360" w:lineRule="auto"/>
        <w:rPr>
          <w:rFonts w:ascii="Arial" w:eastAsia="宋体" w:hAnsi="Arial" w:cs="Times New Roman"/>
          <w:szCs w:val="24"/>
        </w:rPr>
      </w:pPr>
    </w:p>
    <w:p>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pPr>
        <w:snapToGrid w:val="0"/>
        <w:spacing w:line="360" w:lineRule="auto"/>
        <w:rPr>
          <w:rFonts w:ascii="Arial" w:eastAsia="宋体" w:hAnsi="Arial" w:cs="Arial"/>
          <w:szCs w:val="21"/>
        </w:rPr>
      </w:pPr>
      <w:bookmarkStart w:id="19" w:name="_Hlk73818812"/>
      <w:r>
        <w:rPr>
          <w:rFonts w:ascii="Arial" w:eastAsia="宋体" w:hAnsi="Arial" w:cs="Arial" w:hint="eastAsia"/>
          <w:szCs w:val="21"/>
        </w:rPr>
        <w:t>1、根据已收到贵单位的项目编号为</w:t>
      </w:r>
      <w:r>
        <w:rPr>
          <w:rFonts w:ascii="Arial" w:eastAsia="宋体" w:hAnsi="Arial" w:cs="Arial" w:hint="eastAsia"/>
          <w:szCs w:val="21"/>
          <w:u w:val="single"/>
        </w:rPr>
        <w:t xml:space="preserve"> </w:t>
      </w:r>
      <w:r>
        <w:rPr>
          <w:rFonts w:ascii="Arial" w:eastAsia="宋体" w:hAnsi="Arial" w:cs="Arial" w:hint="eastAsia"/>
          <w:szCs w:val="21"/>
          <w:u w:val="single"/>
          <w:lang w:eastAsia="zh-CN"/>
        </w:rPr>
        <w:t>BACG2024000093</w:t>
      </w:r>
      <w:r>
        <w:rPr>
          <w:rFonts w:ascii="Arial" w:eastAsia="宋体" w:hAnsi="Arial" w:cs="Arial" w:hint="eastAsia"/>
          <w:szCs w:val="21"/>
          <w:u w:val="single"/>
        </w:rPr>
        <w:t xml:space="preserve"> </w:t>
      </w:r>
      <w:r>
        <w:rPr>
          <w:rFonts w:ascii="Arial" w:eastAsia="宋体" w:hAnsi="Arial" w:cs="Arial" w:hint="eastAsia"/>
          <w:szCs w:val="21"/>
        </w:rPr>
        <w:t>的</w:t>
      </w:r>
      <w:r>
        <w:rPr>
          <w:rFonts w:ascii="Arial" w:eastAsia="宋体" w:hAnsi="Arial" w:cs="Arial" w:hint="eastAsia"/>
          <w:szCs w:val="21"/>
          <w:u w:val="single"/>
        </w:rPr>
        <w:t xml:space="preserve">  </w:t>
      </w:r>
      <w:r>
        <w:rPr>
          <w:rFonts w:ascii="Arial" w:eastAsia="宋体" w:hAnsi="Arial" w:cs="Arial" w:hint="eastAsia"/>
          <w:szCs w:val="21"/>
          <w:u w:val="single"/>
          <w:lang w:eastAsia="zh-CN"/>
        </w:rPr>
        <w:t>深圳市沙井中学理科实验考试设备采购项目</w:t>
      </w:r>
      <w:r>
        <w:rPr>
          <w:rFonts w:ascii="Arial" w:eastAsia="宋体" w:hAnsi="Arial" w:cs="Arial" w:hint="eastAsia"/>
          <w:szCs w:val="21"/>
          <w:u w:val="single"/>
        </w:rPr>
        <w:t xml:space="preserve"> </w:t>
      </w:r>
      <w:r>
        <w:rPr>
          <w:rFonts w:ascii="Arial" w:eastAsia="宋体" w:hAnsi="Arial" w:cs="Arial" w:hint="eastAsia"/>
          <w:szCs w:val="21"/>
        </w:rPr>
        <w:t>项目的招标文件，遵照《深圳经济特区政府采购条例》和《深圳网上政府采购管理暂行办法》等有关规定，我单位经研究上述招标文件的专用条款及通用条款后，</w:t>
      </w:r>
      <w:bookmarkStart w:id="20" w:name="_Hlk72263588"/>
      <w:r>
        <w:rPr>
          <w:rFonts w:ascii="Arial" w:eastAsia="宋体" w:hAnsi="Arial" w:cs="Arial" w:hint="eastAsia"/>
          <w:szCs w:val="21"/>
        </w:rPr>
        <w:t>愿意按照招标文件要求承包上述项目并修补其任何缺陷。</w:t>
      </w:r>
      <w:bookmarkEnd w:id="20"/>
    </w:p>
    <w:p>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pPr>
        <w:snapToGrid w:val="0"/>
        <w:spacing w:line="360" w:lineRule="auto"/>
        <w:rPr>
          <w:rFonts w:ascii="Arial" w:eastAsia="宋体" w:hAnsi="Arial" w:cs="Arial"/>
          <w:szCs w:val="21"/>
        </w:rPr>
      </w:pPr>
      <w:r>
        <w:rPr>
          <w:rFonts w:ascii="Arial" w:eastAsia="宋体" w:hAnsi="Arial" w:cs="Arial" w:hint="eastAsia"/>
          <w:szCs w:val="21"/>
        </w:rPr>
        <w:t>3、如果我单位中标，我单位将按照招标文件的要求足额提交履约担保。</w:t>
      </w:r>
    </w:p>
    <w:p>
      <w:pPr>
        <w:snapToGrid w:val="0"/>
        <w:spacing w:line="360" w:lineRule="auto"/>
        <w:rPr>
          <w:rFonts w:ascii="Arial" w:eastAsia="宋体" w:hAnsi="Arial" w:cs="Arial"/>
          <w:szCs w:val="21"/>
        </w:rPr>
      </w:pPr>
      <w:r>
        <w:rPr>
          <w:rFonts w:ascii="Arial" w:eastAsia="宋体" w:hAnsi="Arial" w:cs="Arial" w:hint="eastAsia"/>
          <w:szCs w:val="21"/>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rPr>
      </w:pPr>
      <w:r>
        <w:rPr>
          <w:rFonts w:ascii="Arial" w:eastAsia="宋体" w:hAnsi="Arial" w:cs="Arial" w:hint="eastAsia"/>
          <w:szCs w:val="21"/>
        </w:rPr>
        <w:t>5、除非另外达成协议并生效，贵单位的中标通知书和本投标文件将构成合同的重要内容。</w:t>
      </w:r>
    </w:p>
    <w:p>
      <w:pPr>
        <w:snapToGrid w:val="0"/>
        <w:spacing w:line="360" w:lineRule="auto"/>
        <w:rPr>
          <w:rFonts w:ascii="Arial" w:eastAsia="宋体" w:hAnsi="Arial" w:cs="Arial"/>
          <w:szCs w:val="21"/>
        </w:rPr>
      </w:pPr>
      <w:r>
        <w:rPr>
          <w:rFonts w:ascii="Arial" w:eastAsia="宋体" w:hAnsi="Arial" w:cs="Arial" w:hint="eastAsia"/>
          <w:szCs w:val="21"/>
        </w:rPr>
        <w:t>6、我单位理解贵单位将不受必须接受所收到的最低报价或其它任何投标文件的约束。</w:t>
      </w:r>
      <w:bookmarkEnd w:id="19"/>
    </w:p>
    <w:p>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rPr>
      </w:pPr>
    </w:p>
    <w:p>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pPr>
        <w:snapToGrid w:val="0"/>
        <w:spacing w:line="360" w:lineRule="auto"/>
        <w:rPr>
          <w:rFonts w:ascii="Arial" w:eastAsia="宋体" w:hAnsi="Arial" w:cs="Arial" w:hint="eastAsia"/>
          <w:szCs w:val="21"/>
          <w:u w:val="single"/>
        </w:rPr>
      </w:pPr>
      <w:r>
        <w:rPr>
          <w:rFonts w:ascii="Arial" w:eastAsia="宋体" w:hAnsi="Arial" w:cs="Arial" w:hint="eastAsia"/>
          <w:szCs w:val="21"/>
        </w:rPr>
        <w:t>法定代表人（负责人）或其</w:t>
      </w:r>
      <w:r>
        <w:rPr>
          <w:rFonts w:ascii="Arial" w:eastAsia="宋体" w:hAnsi="Arial" w:cs="Arial" w:hint="eastAsia"/>
          <w:szCs w:val="21"/>
          <w:lang w:val="en-US" w:eastAsia="zh-CN"/>
        </w:rPr>
        <w:t>授权委托</w:t>
      </w:r>
      <w:r>
        <w:rPr>
          <w:rFonts w:ascii="Arial" w:eastAsia="宋体" w:hAnsi="Arial" w:cs="Arial" w:hint="eastAsia"/>
          <w:szCs w:val="21"/>
        </w:rPr>
        <w:t>代理人：</w:t>
      </w:r>
      <w:r>
        <w:rPr>
          <w:rFonts w:ascii="Arial" w:eastAsia="宋体" w:hAnsi="Arial" w:cs="Arial" w:hint="eastAsia"/>
          <w:szCs w:val="21"/>
          <w:u w:val="single"/>
        </w:rPr>
        <w:t xml:space="preserve">           </w:t>
      </w:r>
    </w:p>
    <w:p>
      <w:pPr>
        <w:pStyle w:val="BodyText"/>
        <w:rPr>
          <w:rFonts w:ascii="Arial" w:eastAsia="宋体" w:hAnsi="Arial" w:cs="Arial" w:hint="default"/>
          <w:b w:val="0"/>
          <w:bCs w:val="0"/>
          <w:szCs w:val="21"/>
          <w:u w:val="single"/>
          <w:lang w:val="en-US" w:eastAsia="zh-CN"/>
        </w:rPr>
      </w:pPr>
      <w:r>
        <w:rPr>
          <w:rFonts w:ascii="Arial" w:eastAsia="宋体" w:hAnsi="Arial" w:cs="Arial" w:hint="eastAsia"/>
          <w:b w:val="0"/>
          <w:bCs w:val="0"/>
          <w:szCs w:val="21"/>
          <w:u w:val="none"/>
          <w:lang w:val="en-US" w:eastAsia="zh-CN"/>
        </w:rPr>
        <w:t>开户银行名称：</w:t>
      </w:r>
      <w:r>
        <w:rPr>
          <w:rFonts w:ascii="Arial" w:eastAsia="宋体" w:hAnsi="Arial" w:cs="Arial" w:hint="eastAsia"/>
          <w:szCs w:val="21"/>
          <w:u w:val="single"/>
        </w:rPr>
        <w:t xml:space="preserve">           </w:t>
      </w:r>
    </w:p>
    <w:p>
      <w:pPr>
        <w:pStyle w:val="BodyText2"/>
        <w:rPr>
          <w:rFonts w:hint="default"/>
          <w:b w:val="0"/>
          <w:bCs w:val="0"/>
          <w:u w:val="single"/>
          <w:lang w:val="en-US" w:eastAsia="zh-CN"/>
        </w:rPr>
      </w:pPr>
      <w:r>
        <w:rPr>
          <w:rFonts w:ascii="Arial" w:eastAsia="宋体" w:hAnsi="Arial" w:cs="Arial" w:hint="eastAsia"/>
          <w:b w:val="0"/>
          <w:bCs w:val="0"/>
          <w:szCs w:val="21"/>
          <w:u w:val="none"/>
          <w:lang w:val="en-US" w:eastAsia="zh-CN"/>
        </w:rPr>
        <w:t>开户银行账号：</w:t>
      </w:r>
      <w:r>
        <w:rPr>
          <w:rFonts w:ascii="Arial" w:eastAsia="宋体" w:hAnsi="Arial" w:cs="Arial" w:hint="eastAsia"/>
          <w:b w:val="0"/>
          <w:bCs w:val="0"/>
          <w:szCs w:val="21"/>
          <w:u w:val="single"/>
          <w:lang w:val="en-US" w:eastAsia="zh-CN"/>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邮箱：</w:t>
      </w:r>
      <w:r>
        <w:rPr>
          <w:rFonts w:ascii="Arial" w:eastAsia="宋体" w:hAnsi="Arial" w:cs="Arial" w:hint="eastAsia"/>
          <w:szCs w:val="21"/>
          <w:u w:val="single"/>
        </w:rPr>
        <w:t xml:space="preserve">           </w:t>
      </w:r>
      <w:r>
        <w:rPr>
          <w:rFonts w:ascii="Arial" w:eastAsia="宋体" w:hAnsi="Arial" w:cs="Arial" w:hint="eastAsia"/>
          <w:szCs w:val="21"/>
        </w:rPr>
        <w:t xml:space="preserve"> </w:t>
      </w:r>
    </w:p>
    <w:p>
      <w:pPr>
        <w:snapToGrid w:val="0"/>
        <w:spacing w:line="360" w:lineRule="auto"/>
        <w:rPr>
          <w:rFonts w:ascii="Arial" w:eastAsia="宋体" w:hAnsi="Arial" w:cs="Arial"/>
          <w:szCs w:val="21"/>
        </w:rPr>
      </w:pPr>
    </w:p>
    <w:p>
      <w:pPr>
        <w:snapToGrid w:val="0"/>
        <w:spacing w:line="360" w:lineRule="auto"/>
        <w:rPr>
          <w:rFonts w:ascii="Arial" w:eastAsia="宋体" w:hAnsi="Arial" w:cs="Arial"/>
          <w:szCs w:val="21"/>
        </w:rPr>
      </w:pPr>
      <w:r>
        <w:rPr>
          <w:rFonts w:ascii="Arial" w:eastAsia="宋体" w:hAnsi="Arial" w:cs="Arial" w:hint="eastAsia"/>
          <w:szCs w:val="21"/>
        </w:rPr>
        <w:t>日期： 年  月  日</w:t>
      </w:r>
    </w:p>
    <w:p>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pPr>
        <w:widowControl/>
        <w:snapToGrid w:val="0"/>
        <w:spacing w:line="360" w:lineRule="auto"/>
        <w:jc w:val="left"/>
        <w:rPr>
          <w:rFonts w:ascii="Arial" w:eastAsia="宋体" w:hAnsi="Arial" w:cs="Times New Roman"/>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w:t>
      </w:r>
      <w:bookmarkStart w:id="21" w:name="_Hlk72587269"/>
      <w:bookmarkStart w:id="22"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rPr>
        <w:t>。</w:t>
      </w:r>
      <w:bookmarkEnd w:id="22"/>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w:t>
      </w:r>
      <w:r>
        <w:rPr>
          <w:rFonts w:ascii="宋体" w:hAnsi="宋体" w:hint="default"/>
        </w:rPr>
        <w:t>（财办库〔2023〕7号）要求。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highlight w:val="none"/>
          <w:lang w:val="en-US" w:eastAsia="zh-CN"/>
        </w:rPr>
        <w:t>如</w:t>
      </w:r>
      <w:r>
        <w:rPr>
          <w:rFonts w:ascii="宋体" w:hAnsi="宋体" w:hint="eastAsia"/>
          <w:b w:val="0"/>
          <w:bCs/>
          <w:highlight w:val="none"/>
        </w:rPr>
        <w:t>存在“不同供应商的董事、股东或其他高级管理人员为同一人的”情形的，承诺不存在串通投标、恶意串通或者视为串通投标的情形</w:t>
      </w:r>
      <w:r>
        <w:rPr>
          <w:rFonts w:ascii="宋体" w:hAnsi="宋体" w:hint="eastAsia"/>
          <w:b w:val="0"/>
          <w:bCs/>
          <w:highlight w:val="none"/>
          <w:lang w:eastAsia="zh-CN"/>
        </w:rPr>
        <w:t>。</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pPr>
        <w:ind w:firstLine="420" w:firstLineChars="200"/>
        <w:rPr>
          <w:rFonts w:ascii="宋体" w:eastAsia="宋体" w:hAnsi="宋体" w:cs="Times New Roman" w:hint="eastAsia"/>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 xml:space="preserve">                </w:t>
      </w:r>
    </w:p>
    <w:p>
      <w:pPr>
        <w:ind w:firstLine="420" w:firstLineChars="200"/>
        <w:rPr>
          <w:rFonts w:ascii="宋体" w:eastAsia="宋体" w:hAnsi="宋体" w:cs="Times New Roman" w:hint="eastAsia"/>
          <w:szCs w:val="21"/>
        </w:rPr>
      </w:pPr>
      <w:r>
        <w:rPr>
          <w:rFonts w:ascii="宋体" w:eastAsia="宋体" w:hAnsi="宋体" w:cs="Times New Roman" w:hint="eastAsia"/>
          <w:szCs w:val="21"/>
        </w:rPr>
        <w:t xml:space="preserve">                                  </w:t>
      </w:r>
      <w:r>
        <w:rPr>
          <w:rFonts w:ascii="宋体" w:eastAsia="宋体" w:hAnsi="宋体" w:cs="Times New Roman" w:hint="eastAsia"/>
          <w:szCs w:val="21"/>
          <w:lang w:val="en-US" w:eastAsia="zh-CN"/>
        </w:rPr>
        <w:t xml:space="preserve">                    </w:t>
      </w:r>
      <w:r>
        <w:rPr>
          <w:rFonts w:ascii="宋体" w:eastAsia="宋体" w:hAnsi="宋体" w:cs="Times New Roman" w:hint="eastAsia"/>
          <w:szCs w:val="21"/>
        </w:rPr>
        <w:t xml:space="preserve">  </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货物名称</w:t>
            </w:r>
          </w:p>
        </w:tc>
        <w:tc>
          <w:tcPr>
            <w:tcW w:w="1281"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规格</w:t>
            </w:r>
            <w:r>
              <w:rPr>
                <w:rFonts w:ascii="Arial" w:eastAsia="宋体" w:hAnsi="Arial" w:cs="Times New Roman" w:hint="eastAsia"/>
                <w:szCs w:val="24"/>
                <w:highlight w:val="none"/>
                <w:lang w:val="en-US" w:eastAsia="zh-CN"/>
              </w:rPr>
              <w:t>/品牌/</w:t>
            </w:r>
            <w:r>
              <w:rPr>
                <w:rFonts w:ascii="Arial" w:eastAsia="宋体" w:hAnsi="Arial" w:cs="Times New Roman" w:hint="eastAsia"/>
                <w:szCs w:val="24"/>
                <w:highlight w:val="none"/>
              </w:rPr>
              <w:t>型号</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b/>
                <w:szCs w:val="24"/>
                <w:highlight w:val="none"/>
              </w:rPr>
            </w:pPr>
            <w:r>
              <w:rPr>
                <w:rFonts w:ascii="Arial" w:eastAsia="宋体" w:hAnsi="Arial" w:cs="Times New Roman" w:hint="eastAsia"/>
                <w:b w:val="0"/>
                <w:bCs/>
                <w:szCs w:val="24"/>
                <w:highlight w:val="none"/>
              </w:rPr>
              <w:t>制造商名称</w:t>
            </w:r>
          </w:p>
        </w:tc>
        <w:tc>
          <w:tcPr>
            <w:tcW w:w="99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原产地</w:t>
            </w:r>
          </w:p>
        </w:tc>
        <w:tc>
          <w:tcPr>
            <w:tcW w:w="709"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数量</w:t>
            </w:r>
          </w:p>
        </w:tc>
        <w:tc>
          <w:tcPr>
            <w:tcW w:w="708"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单价(元)</w:t>
            </w:r>
          </w:p>
        </w:tc>
        <w:tc>
          <w:tcPr>
            <w:tcW w:w="132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w:t>
            </w:r>
            <w:r>
              <w:rPr>
                <w:rFonts w:ascii="Arial" w:eastAsia="宋体" w:hAnsi="Arial" w:cs="Times New Roman" w:hint="eastAsia"/>
                <w:szCs w:val="24"/>
                <w:lang w:val="en-US" w:eastAsia="zh-CN"/>
              </w:rPr>
              <w:t>以上各项之和；</w:t>
            </w:r>
            <w:r>
              <w:rPr>
                <w:rFonts w:ascii="Arial" w:eastAsia="宋体" w:hAnsi="Arial" w:cs="Times New Roman" w:hint="eastAsia"/>
                <w:szCs w:val="24"/>
              </w:rPr>
              <w:t>币种：人民币；单位：元）</w:t>
            </w:r>
          </w:p>
        </w:tc>
        <w:tc>
          <w:tcPr>
            <w:tcW w:w="3732" w:type="dxa"/>
            <w:gridSpan w:val="4"/>
          </w:tcPr>
          <w:p>
            <w:pPr>
              <w:spacing w:after="78" w:afterLines="25" w:line="300" w:lineRule="auto"/>
              <w:rPr>
                <w:rFonts w:ascii="Arial" w:eastAsia="宋体" w:hAnsi="Arial" w:cs="Times New Roman"/>
                <w:szCs w:val="24"/>
              </w:rPr>
            </w:pPr>
          </w:p>
        </w:tc>
      </w:tr>
    </w:tbl>
    <w:p>
      <w:pPr>
        <w:snapToGrid w:val="0"/>
        <w:rPr>
          <w:rFonts w:asciiTheme="minorEastAsia" w:hAnsiTheme="minorEastAsia" w:cs="Times New Roman"/>
          <w:b/>
          <w:szCs w:val="24"/>
        </w:rPr>
      </w:pPr>
      <w:r>
        <w:rPr>
          <w:rFonts w:asciiTheme="minorEastAsia" w:hAnsiTheme="minorEastAsia" w:cs="Times New Roman" w:hint="eastAsia"/>
          <w:b/>
          <w:szCs w:val="24"/>
        </w:rPr>
        <w:t>填写说明：</w:t>
      </w:r>
    </w:p>
    <w:p>
      <w:pPr>
        <w:snapToGrid w:val="0"/>
        <w:rPr>
          <w:rFonts w:asciiTheme="minorEastAsia" w:hAnsiTheme="minorEastAsia" w:cs="Times New Roman" w:hint="eastAsia"/>
          <w:b/>
          <w:szCs w:val="24"/>
        </w:rPr>
      </w:pPr>
      <w:r>
        <w:rPr>
          <w:rFonts w:asciiTheme="minorEastAsia" w:hAnsiTheme="minorEastAsia" w:cs="Times New Roman" w:hint="eastAsia"/>
          <w:b/>
          <w:szCs w:val="24"/>
        </w:rPr>
        <w:t>1.本表可按同样格式扩展。</w:t>
      </w:r>
    </w:p>
    <w:p>
      <w:pPr>
        <w:snapToGrid w:val="0"/>
        <w:rPr>
          <w:rFonts w:asciiTheme="minorEastAsia" w:hAnsiTheme="minorEastAsia" w:cs="Times New Roman" w:hint="eastAsia"/>
          <w:b/>
          <w:szCs w:val="24"/>
        </w:rPr>
      </w:pPr>
      <w:r>
        <w:rPr>
          <w:rFonts w:asciiTheme="minorEastAsia" w:hAnsiTheme="minorEastAsia" w:cs="Times New Roman" w:hint="eastAsia"/>
          <w:b/>
          <w:szCs w:val="24"/>
        </w:rPr>
        <w:t>2. 如所投货物属于定制类的非量产货物或无具体品牌、型号的货物，可以在“规格/品牌/型号”一栏仅填写规格信息而不填写品牌、型号等信息（品牌、型号信息用“定制”描述即可）；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rPr>
        <w:t>此类填写错误（所投货物为定制类的非量产货物但供应商却错误填报了品牌、型号）</w:t>
      </w:r>
      <w:r>
        <w:rPr>
          <w:rFonts w:asciiTheme="minorEastAsia" w:hAnsiTheme="minorEastAsia" w:cs="Times New Roman" w:hint="eastAsia"/>
          <w:b/>
          <w:szCs w:val="24"/>
          <w:lang w:val="en-US" w:eastAsia="zh-CN"/>
        </w:rPr>
        <w:t>可能</w:t>
      </w:r>
      <w:r>
        <w:rPr>
          <w:rFonts w:asciiTheme="minorEastAsia" w:hAnsiTheme="minorEastAsia" w:cs="Times New Roman" w:hint="eastAsia"/>
          <w:b/>
          <w:szCs w:val="24"/>
        </w:rPr>
        <w:t>的不利后果由供应商承担。</w:t>
      </w:r>
      <w:bookmarkEnd w:id="23"/>
    </w:p>
    <w:p>
      <w:pPr>
        <w:snapToGrid w:val="0"/>
        <w:rPr>
          <w:rFonts w:asciiTheme="minorEastAsia" w:hAnsiTheme="minorEastAsia" w:cs="Times New Roman" w:hint="eastAsia"/>
          <w:b/>
          <w:szCs w:val="24"/>
        </w:rPr>
      </w:pPr>
      <w:r>
        <w:rPr>
          <w:rFonts w:asciiTheme="minorEastAsia" w:hAnsiTheme="minorEastAsia" w:cs="Times New Roman" w:hint="eastAsia"/>
          <w:b/>
          <w:szCs w:val="24"/>
        </w:rPr>
        <w:t>3.</w:t>
      </w:r>
      <w:bookmarkStart w:id="24" w:name="_Hlk72074795"/>
      <w:r>
        <w:rPr>
          <w:rFonts w:asciiTheme="minorEastAsia" w:hAnsiTheme="minorEastAsia" w:cs="Times New Roman" w:hint="eastAsia"/>
          <w:b/>
          <w:szCs w:val="24"/>
        </w:rPr>
        <w:t>“原产地”是指该货物的实际生产加工地，而非品牌总公司所在地</w:t>
      </w:r>
      <w:bookmarkEnd w:id="24"/>
      <w:r>
        <w:rPr>
          <w:rFonts w:asciiTheme="minorEastAsia" w:hAnsiTheme="minorEastAsia" w:cs="Times New Roman" w:hint="eastAsia"/>
          <w:b/>
          <w:szCs w:val="24"/>
        </w:rPr>
        <w:t>。</w:t>
      </w:r>
    </w:p>
    <w:p>
      <w:pPr>
        <w:snapToGrid w:val="0"/>
        <w:rPr>
          <w:rFonts w:asciiTheme="minorEastAsia" w:hAnsiTheme="minorEastAsia" w:cs="Times New Roman" w:hint="eastAsia"/>
          <w:b/>
          <w:szCs w:val="24"/>
        </w:rPr>
      </w:pPr>
      <w:r>
        <w:rPr>
          <w:rFonts w:asciiTheme="minorEastAsia" w:hAnsiTheme="minorEastAsia" w:cs="Times New Roman" w:hint="eastAsia"/>
          <w:b/>
          <w:szCs w:val="24"/>
        </w:rPr>
        <w:t>4.所投货物均应填写制造商名称。</w:t>
      </w:r>
    </w:p>
    <w:p>
      <w:pPr>
        <w:snapToGrid w:val="0"/>
        <w:rPr>
          <w:rFonts w:asciiTheme="minorEastAsia" w:hAnsiTheme="minorEastAsia" w:cs="Times New Roman" w:hint="eastAsia"/>
          <w:b/>
          <w:szCs w:val="24"/>
        </w:rPr>
      </w:pPr>
      <w:r>
        <w:rPr>
          <w:rFonts w:asciiTheme="minorEastAsia" w:hAnsiTheme="minorEastAsia" w:cs="Times New Roman" w:hint="eastAsia"/>
          <w:b/>
          <w:szCs w:val="24"/>
        </w:rPr>
        <w:t>5.以上分项报价表的投标总价应当与开标一览表的投标总价一致。</w:t>
      </w:r>
    </w:p>
    <w:p>
      <w:pPr>
        <w:snapToGrid w:val="0"/>
        <w:rPr>
          <w:rFonts w:asciiTheme="minorEastAsia" w:hAnsiTheme="minorEastAsia" w:cs="Times New Roman" w:hint="eastAsia"/>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hint="eastAsia"/>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hint="eastAsia"/>
          <w:b/>
          <w:szCs w:val="24"/>
        </w:rPr>
      </w:pPr>
    </w:p>
    <w:p>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highlight w:val="none"/>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pPr>
        <w:tabs>
          <w:tab w:val="left" w:pos="720"/>
        </w:tabs>
        <w:rPr>
          <w:rFonts w:ascii="Times New Roman" w:eastAsia="宋体" w:hAnsi="Times New Roman" w:cs="Times New Roman"/>
          <w:b/>
          <w:sz w:val="24"/>
          <w:szCs w:val="24"/>
        </w:rPr>
      </w:pPr>
    </w:p>
    <w:p>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pPr>
        <w:rPr>
          <w:rFonts w:ascii="Times New Roman" w:eastAsia="宋体" w:hAnsi="Times New Roman" w:cs="Times New Roman" w:hint="eastAsia"/>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pPr>
        <w:spacing w:after="78" w:afterLines="25" w:line="300" w:lineRule="auto"/>
        <w:rPr>
          <w:rFonts w:ascii="Arial" w:eastAsia="宋体" w:hAnsi="Arial" w:cs="Times New Roman"/>
          <w:b/>
          <w:szCs w:val="24"/>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pPr>
        <w:ind w:firstLine="420" w:firstLineChars="200"/>
        <w:rPr>
          <w:rFonts w:hAnsi="宋体" w:hint="eastAsia"/>
          <w:b/>
          <w:bCs/>
          <w:szCs w:val="21"/>
        </w:rPr>
      </w:pPr>
      <w:r>
        <w:rPr>
          <w:rFonts w:hAnsi="宋体" w:hint="eastAsia"/>
          <w:b/>
          <w:bCs/>
          <w:szCs w:val="21"/>
        </w:rPr>
        <w:t>注：格式可以参照《（一）</w:t>
      </w:r>
      <w:r>
        <w:rPr>
          <w:rFonts w:hAnsi="宋体" w:hint="eastAsia"/>
          <w:b/>
          <w:bCs/>
          <w:szCs w:val="21"/>
          <w:lang w:val="en-US" w:eastAsia="zh-CN"/>
        </w:rPr>
        <w:t>项目</w:t>
      </w:r>
      <w:r>
        <w:rPr>
          <w:rFonts w:hAnsi="宋体" w:hint="eastAsia"/>
          <w:b/>
          <w:bCs/>
          <w:szCs w:val="21"/>
        </w:rPr>
        <w:t>报价表》表格，并提供相应的品牌/规格/型号、原产地、制造商信息（没有品牌、型号的，用“定制”描述即可）、单价等详细信息</w:t>
      </w:r>
    </w:p>
    <w:p>
      <w:pPr>
        <w:ind w:firstLine="420" w:firstLineChars="200"/>
        <w:rPr>
          <w:rFonts w:hAnsi="宋体" w:hint="eastAsia"/>
          <w:b/>
          <w:bCs/>
          <w:szCs w:val="21"/>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hint="default"/>
          <w:b/>
          <w:bCs/>
          <w:kern w:val="0"/>
          <w:sz w:val="24"/>
          <w:szCs w:val="20"/>
          <w:lang w:val="en-US"/>
        </w:rPr>
      </w:pPr>
      <w:r>
        <w:rPr>
          <w:rFonts w:ascii="宋体" w:eastAsia="宋体" w:hAnsi="宋体" w:cs="Times New Roman" w:hint="eastAsia"/>
          <w:b/>
          <w:bCs/>
          <w:kern w:val="0"/>
          <w:sz w:val="24"/>
          <w:szCs w:val="20"/>
        </w:rPr>
        <w:t>4.</w:t>
      </w:r>
      <w:r>
        <w:rPr>
          <w:rFonts w:ascii="宋体" w:eastAsia="宋体" w:hAnsi="宋体" w:cs="Times New Roman" w:hint="eastAsia"/>
          <w:b/>
          <w:bCs/>
          <w:kern w:val="0"/>
          <w:sz w:val="24"/>
          <w:szCs w:val="20"/>
          <w:lang w:val="en-US" w:eastAsia="zh-CN"/>
        </w:rPr>
        <w:t>中小企业相关声明函</w:t>
      </w:r>
    </w:p>
    <w:p>
      <w:pPr>
        <w:snapToGrid w:val="0"/>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填写指引：</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2、该部分内容填写需要参考的相关文件：</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(1)财政部《政府采购促进中小企业发展管理办法》（财库〔2020〕46号）；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(2)《工业和信息化部、国家统计局、国家发展和改革委员会、财政部关于印发中小企业划型标准规定的通知》（工信部联企业〔2011〕300 号，以下简称300号文）</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(3)《统计上大中小微型企业划分办法(2017)》（国统字〔2017〕213 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(4)《关于促进残疾人就业政府采购政策的通知》（财库〔2017〕141号）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(5)《关于政府采购支持监狱企业发展有关问题的通知》（财库〔2014〕68号）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3、请依照提供的格式和内容填写声明函，不要随意变更格式；声明函不需要盖章或签字；满足多项优惠政策的投标人，不重复享受多项价格扣除政策。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4、声明函具体填写要求：</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（1）声明是中小企业须填写《中小企业声明函》的以下内容：</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第一处，在“单位名称”下划线处如实填写采购人名称（深圳公共资源交易中心不是本项目的采购人，而是组织实施机构）；</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第二处，在“项目名称”下划线处如实填写采购项目名称；</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第三处，在“标的名称”下划线处填写所采购货物（标的）的具体名称</w:t>
      </w:r>
      <w:r>
        <w:rPr>
          <w:rFonts w:ascii="黑体" w:eastAsia="黑体" w:hAnsi="黑体" w:cs="黑体" w:hint="eastAsia"/>
          <w:b w:val="0"/>
          <w:bCs/>
          <w:color w:val="0000FF"/>
          <w:sz w:val="25"/>
          <w:szCs w:val="25"/>
        </w:rPr>
        <w:t>（以招标文件第一册第三章用户需求书“货物</w:t>
      </w:r>
      <w:r>
        <w:rPr>
          <w:rFonts w:ascii="黑体" w:eastAsia="黑体" w:hAnsi="黑体" w:cs="黑体" w:hint="eastAsia"/>
          <w:b w:val="0"/>
          <w:bCs/>
          <w:color w:val="0000FF"/>
          <w:sz w:val="25"/>
          <w:szCs w:val="25"/>
          <w:lang w:val="en-US" w:eastAsia="zh-CN"/>
        </w:rPr>
        <w:t>需求</w:t>
      </w:r>
      <w:r>
        <w:rPr>
          <w:rFonts w:ascii="黑体" w:eastAsia="黑体" w:hAnsi="黑体" w:cs="黑体" w:hint="eastAsia"/>
          <w:b w:val="0"/>
          <w:bCs/>
          <w:color w:val="0000FF"/>
          <w:sz w:val="25"/>
          <w:szCs w:val="25"/>
        </w:rPr>
        <w:t>明细”的“货物名称”一栏为准）</w:t>
      </w:r>
      <w:r>
        <w:rPr>
          <w:rFonts w:ascii="黑体" w:eastAsia="黑体" w:hAnsi="黑体" w:cs="黑体" w:hint="eastAsia"/>
          <w:b w:val="0"/>
          <w:bCs/>
          <w:color w:val="FF0000"/>
          <w:sz w:val="25"/>
          <w:szCs w:val="25"/>
        </w:rPr>
        <w:t>；如果涉及多项货物（标的）为同一企业制造，“标的名称”下划线处可以如实填写多项货物；</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第四处，在“招标文件中明确的所属行业”下划线处填写采购标的对应的中小企业划分标准所属行业</w:t>
      </w:r>
      <w:r>
        <w:rPr>
          <w:rFonts w:ascii="黑体" w:eastAsia="黑体" w:hAnsi="黑体" w:cs="黑体" w:hint="eastAsia"/>
          <w:b w:val="0"/>
          <w:bCs w:val="0"/>
          <w:color w:val="0000FF"/>
          <w:sz w:val="25"/>
          <w:szCs w:val="25"/>
        </w:rPr>
        <w:t>（所属行业</w:t>
      </w:r>
      <w:r>
        <w:rPr>
          <w:rFonts w:ascii="黑体" w:eastAsia="黑体" w:hAnsi="黑体" w:cs="黑体" w:hint="eastAsia"/>
          <w:b w:val="0"/>
          <w:bCs w:val="0"/>
          <w:color w:val="0000FF"/>
          <w:sz w:val="25"/>
          <w:szCs w:val="25"/>
          <w:lang w:val="en-US" w:eastAsia="zh-CN"/>
        </w:rPr>
        <w:t>详见</w:t>
      </w:r>
      <w:r>
        <w:rPr>
          <w:rFonts w:ascii="黑体" w:eastAsia="黑体" w:hAnsi="黑体" w:cs="黑体" w:hint="eastAsia"/>
          <w:b w:val="0"/>
          <w:bCs w:val="0"/>
          <w:color w:val="0000FF"/>
          <w:sz w:val="25"/>
          <w:szCs w:val="25"/>
        </w:rPr>
        <w:t>招标文件第一册第二章“对通用条款的补充内容及其他关键信息”章节</w:t>
      </w:r>
      <w:r>
        <w:rPr>
          <w:rFonts w:ascii="黑体" w:eastAsia="黑体" w:hAnsi="黑体" w:cs="黑体" w:hint="eastAsia"/>
          <w:b w:val="0"/>
          <w:bCs w:val="0"/>
          <w:color w:val="0000FF"/>
          <w:sz w:val="25"/>
          <w:szCs w:val="25"/>
          <w:lang w:val="en-US" w:eastAsia="zh-CN"/>
        </w:rPr>
        <w:t>或</w:t>
      </w:r>
      <w:r>
        <w:rPr>
          <w:rFonts w:ascii="黑体" w:eastAsia="黑体" w:hAnsi="黑体" w:cs="黑体" w:hint="eastAsia"/>
          <w:b w:val="0"/>
          <w:bCs w:val="0"/>
          <w:color w:val="0000FF"/>
          <w:sz w:val="25"/>
          <w:szCs w:val="25"/>
        </w:rPr>
        <w:t>第三章用户需求书“</w:t>
      </w:r>
      <w:r>
        <w:rPr>
          <w:rFonts w:ascii="黑体" w:eastAsia="黑体" w:hAnsi="黑体" w:cs="黑体" w:hint="eastAsia"/>
          <w:b w:val="0"/>
          <w:bCs w:val="0"/>
          <w:color w:val="0000FF"/>
          <w:sz w:val="25"/>
          <w:szCs w:val="25"/>
          <w:lang w:val="en-US" w:eastAsia="zh-CN"/>
        </w:rPr>
        <w:t>货物需求</w:t>
      </w:r>
      <w:r>
        <w:rPr>
          <w:rFonts w:ascii="黑体" w:eastAsia="黑体" w:hAnsi="黑体" w:cs="黑体" w:hint="eastAsia"/>
          <w:b w:val="0"/>
          <w:bCs w:val="0"/>
          <w:color w:val="0000FF"/>
          <w:sz w:val="25"/>
          <w:szCs w:val="25"/>
        </w:rPr>
        <w:t>明细”</w:t>
      </w:r>
      <w:r>
        <w:rPr>
          <w:rFonts w:ascii="黑体" w:eastAsia="黑体" w:hAnsi="黑体" w:cs="黑体" w:hint="eastAsia"/>
          <w:b w:val="0"/>
          <w:bCs w:val="0"/>
          <w:color w:val="0000FF"/>
          <w:sz w:val="25"/>
          <w:szCs w:val="25"/>
          <w:lang w:val="en-US" w:eastAsia="zh-CN"/>
        </w:rPr>
        <w:t>中的所属行业信息</w:t>
      </w:r>
      <w:r>
        <w:rPr>
          <w:rFonts w:ascii="黑体" w:eastAsia="黑体" w:hAnsi="黑体" w:cs="黑体" w:hint="eastAsia"/>
          <w:b w:val="0"/>
          <w:bCs w:val="0"/>
          <w:color w:val="0000FF"/>
          <w:sz w:val="25"/>
          <w:szCs w:val="25"/>
        </w:rPr>
        <w:t>）</w:t>
      </w:r>
      <w:r>
        <w:rPr>
          <w:rFonts w:ascii="黑体" w:eastAsia="黑体" w:hAnsi="黑体" w:cs="黑体" w:hint="eastAsia"/>
          <w:b w:val="0"/>
          <w:bCs/>
          <w:color w:val="FF0000"/>
          <w:sz w:val="25"/>
          <w:szCs w:val="25"/>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（2）声明是残疾人福利性单位须填写《残疾人福利性单位声明函》的相关内容，具体参照以上《中小企业声明函》填写要求执行。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（3）声明是监狱企业须填写《监狱企业声明函》的三项内容（填写位置的字体已加粗），具体参照以上《中小企业声明函》填写要求执行。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widowControl/>
        <w:jc w:val="center"/>
        <w:outlineLvl w:val="4"/>
        <w:rPr>
          <w:rFonts w:ascii="Arial" w:eastAsia="宋体" w:hAnsi="Arial" w:cs="Times New Roman"/>
          <w:b/>
          <w:sz w:val="24"/>
          <w:szCs w:val="24"/>
        </w:rPr>
      </w:pPr>
      <w:r>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46 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rPr>
      </w:pPr>
      <w:bookmarkStart w:id="25"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rPr>
        <w:t>投标人</w:t>
      </w:r>
      <w:r>
        <w:rPr>
          <w:rFonts w:ascii="Arial" w:eastAsia="宋体" w:hAnsi="Arial" w:cs="Times New Roman"/>
          <w:szCs w:val="21"/>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rPr>
        <w:t>。</w:t>
      </w:r>
      <w:bookmarkEnd w:id="25"/>
    </w:p>
    <w:p>
      <w:pPr>
        <w:spacing w:after="78" w:afterLines="25" w:line="300" w:lineRule="auto"/>
        <w:ind w:firstLine="630" w:firstLineChars="300"/>
        <w:rPr>
          <w:rFonts w:ascii="Arial" w:eastAsia="宋体" w:hAnsi="Arial" w:cs="Times New Roman"/>
          <w:szCs w:val="21"/>
        </w:rPr>
      </w:pPr>
    </w:p>
    <w:p>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firstLine="420" w:firstLineChars="200"/>
        <w:jc w:val="left"/>
        <w:rPr>
          <w:rFonts w:ascii="宋体" w:eastAsia="宋体" w:hAnsi="宋体" w:cs="Times New Roman"/>
          <w:sz w:val="24"/>
          <w:szCs w:val="24"/>
          <w:highlight w:val="none"/>
        </w:rPr>
      </w:pPr>
      <w:r>
        <w:rPr>
          <w:rFonts w:ascii="宋体" w:eastAsia="宋体" w:hAnsi="宋体" w:cs="Times New Roman" w:hint="eastAsia"/>
          <w:b/>
          <w:sz w:val="24"/>
          <w:szCs w:val="24"/>
          <w:highlight w:val="none"/>
        </w:rPr>
        <w:t>说明：</w:t>
      </w:r>
      <w:r>
        <w:rPr>
          <w:rFonts w:ascii="宋体" w:eastAsia="宋体" w:hAnsi="宋体" w:cs="Times New Roman" w:hint="eastAsia"/>
          <w:sz w:val="24"/>
          <w:szCs w:val="24"/>
          <w:highlight w:val="none"/>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highlight w:val="none"/>
        </w:rPr>
      </w:pPr>
      <w:r>
        <w:rPr>
          <w:highlight w:val="none"/>
        </w:rPr>
        <w:br w:type="page"/>
      </w:r>
    </w:p>
    <w:p>
      <w:pPr>
        <w:spacing w:after="78" w:afterLines="25" w:line="300" w:lineRule="auto"/>
        <w:jc w:val="center"/>
        <w:outlineLvl w:val="4"/>
        <w:rPr>
          <w:rFonts w:ascii="Arial" w:eastAsia="宋体" w:hAnsi="Arial" w:cs="Times New Roman"/>
          <w:b/>
          <w:sz w:val="24"/>
          <w:szCs w:val="24"/>
          <w:highlight w:val="none"/>
        </w:rPr>
      </w:pPr>
      <w:r>
        <w:rPr>
          <w:rFonts w:ascii="宋体" w:eastAsia="宋体" w:hAnsi="宋体" w:cs="Times New Roman" w:hint="eastAsia"/>
          <w:b/>
          <w:sz w:val="24"/>
          <w:szCs w:val="24"/>
          <w:highlight w:val="none"/>
        </w:rPr>
        <w:t>②</w:t>
      </w:r>
      <w:r>
        <w:rPr>
          <w:rFonts w:ascii="Arial" w:eastAsia="宋体" w:hAnsi="Arial" w:cs="Times New Roman" w:hint="eastAsia"/>
          <w:b/>
          <w:sz w:val="24"/>
          <w:szCs w:val="24"/>
          <w:highlight w:val="none"/>
        </w:rPr>
        <w:t>残疾人福利性单位声明函（货物）</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本</w:t>
      </w:r>
      <w:r>
        <w:rPr>
          <w:rFonts w:asciiTheme="minorEastAsia" w:hAnsiTheme="minorEastAsia" w:cs="Times New Roman" w:hint="eastAsia"/>
          <w:szCs w:val="21"/>
          <w:highlight w:val="none"/>
        </w:rPr>
        <w:t>投标人郑重声明，根据《财政部民政部中国残疾人联合会关于促进残疾人就业政府采购政策的通知》（财库〔</w:t>
      </w:r>
      <w:r>
        <w:rPr>
          <w:rFonts w:asciiTheme="minorEastAsia" w:hAnsiTheme="minorEastAsia" w:cs="Times New Roman"/>
          <w:szCs w:val="21"/>
          <w:highlight w:val="none"/>
        </w:rPr>
        <w:t>2017</w:t>
      </w:r>
      <w:r>
        <w:rPr>
          <w:rFonts w:asciiTheme="minorEastAsia" w:hAnsiTheme="minorEastAsia" w:cs="Times New Roman" w:hint="eastAsia"/>
          <w:szCs w:val="21"/>
          <w:highlight w:val="none"/>
        </w:rPr>
        <w:t>〕</w:t>
      </w:r>
      <w:r>
        <w:rPr>
          <w:rFonts w:asciiTheme="minorEastAsia" w:hAnsiTheme="minorEastAsia" w:cs="Times New Roman"/>
          <w:szCs w:val="21"/>
          <w:highlight w:val="none"/>
        </w:rPr>
        <w:t xml:space="preserve">141 </w:t>
      </w:r>
      <w:r>
        <w:rPr>
          <w:rFonts w:asciiTheme="minorEastAsia" w:hAnsiTheme="minorEastAsia" w:cs="Times New Roman" w:hint="eastAsia"/>
          <w:szCs w:val="21"/>
          <w:highlight w:val="none"/>
        </w:rPr>
        <w:t>号）的规定，本投标人</w:t>
      </w:r>
      <w:r>
        <w:rPr>
          <w:rFonts w:asciiTheme="minorEastAsia" w:hAnsiTheme="minorEastAsia" w:cs="Times New Roman"/>
          <w:szCs w:val="21"/>
          <w:highlight w:val="none"/>
        </w:rPr>
        <w:t>参加</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采购人</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的</w:t>
      </w:r>
      <w:r>
        <w:rPr>
          <w:rFonts w:asciiTheme="minorEastAsia" w:hAnsiTheme="minorEastAsia" w:cs="Times New Roman"/>
          <w:b/>
          <w:bCs/>
          <w:szCs w:val="21"/>
          <w:highlight w:val="none"/>
          <w:u w:val="single"/>
        </w:rPr>
        <w:t>（项目名称）</w:t>
      </w:r>
      <w:r>
        <w:rPr>
          <w:rFonts w:asciiTheme="minorEastAsia" w:hAnsiTheme="minorEastAsia" w:cs="Times New Roman"/>
          <w:szCs w:val="21"/>
          <w:highlight w:val="none"/>
        </w:rPr>
        <w:t>采购活动，提供的货物全部由符合政策要求的</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制造。相关</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的具体情况如下：</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1.</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2.</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hint="eastAsia"/>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 xml:space="preserve">…… </w:t>
      </w:r>
    </w:p>
    <w:p>
      <w:pPr>
        <w:spacing w:after="78" w:afterLines="25" w:line="300" w:lineRule="auto"/>
        <w:ind w:firstLine="420" w:firstLineChars="200"/>
        <w:rPr>
          <w:rFonts w:asciiTheme="minorEastAsia" w:hAnsiTheme="minorEastAsia" w:cs="Times New Roman"/>
          <w:szCs w:val="21"/>
          <w:highlight w:val="none"/>
        </w:rPr>
      </w:pPr>
      <w:bookmarkStart w:id="26" w:name="_Hlk73562331"/>
      <w:r>
        <w:rPr>
          <w:rFonts w:asciiTheme="minorEastAsia" w:hAnsiTheme="minorEastAsia" w:cs="Times New Roman" w:hint="eastAsia"/>
          <w:szCs w:val="21"/>
          <w:highlight w:val="none"/>
        </w:rPr>
        <w:t>本</w:t>
      </w:r>
      <w:r>
        <w:rPr>
          <w:rFonts w:asciiTheme="minorEastAsia" w:hAnsiTheme="minorEastAsia" w:cs="Times New Roman"/>
          <w:szCs w:val="21"/>
          <w:highlight w:val="none"/>
        </w:rPr>
        <w:t>投标人</w:t>
      </w:r>
      <w:r>
        <w:rPr>
          <w:rFonts w:asciiTheme="minorEastAsia" w:hAnsiTheme="minorEastAsia" w:cs="Times New Roman" w:hint="eastAsia"/>
          <w:szCs w:val="21"/>
          <w:highlight w:val="none"/>
        </w:rPr>
        <w:t>已</w:t>
      </w:r>
      <w:r>
        <w:rPr>
          <w:rFonts w:asciiTheme="minorEastAsia" w:hAnsiTheme="minorEastAsia" w:cs="Times New Roman"/>
          <w:szCs w:val="21"/>
          <w:highlight w:val="none"/>
        </w:rPr>
        <w:t>知悉</w:t>
      </w:r>
      <w:r>
        <w:rPr>
          <w:rFonts w:asciiTheme="minorEastAsia" w:hAnsiTheme="minorEastAsia" w:cs="Times New Roman" w:hint="eastAsia"/>
          <w:szCs w:val="21"/>
          <w:highlight w:val="none"/>
        </w:rPr>
        <w:t>《财政部民政部中国残疾人联合会关于促进残疾人就业政府采购政策的通知》（财库〔2017〕141 号）</w:t>
      </w:r>
      <w:r>
        <w:rPr>
          <w:rFonts w:asciiTheme="minorEastAsia" w:hAnsiTheme="minorEastAsia" w:cs="Times New Roman"/>
          <w:szCs w:val="21"/>
          <w:highlight w:val="none"/>
        </w:rPr>
        <w:t>的规定，承诺提供的声明函内容是真实的，如提供声明函内容不实，则依法追究相关法律责任</w:t>
      </w:r>
      <w:r>
        <w:rPr>
          <w:rFonts w:asciiTheme="minorEastAsia" w:hAnsiTheme="minorEastAsia" w:cs="Times New Roman" w:hint="eastAsia"/>
          <w:szCs w:val="21"/>
          <w:highlight w:val="none"/>
        </w:rPr>
        <w:t>。</w:t>
      </w:r>
      <w:bookmarkEnd w:id="26"/>
    </w:p>
    <w:p>
      <w:pPr>
        <w:spacing w:after="78" w:afterLines="25" w:line="300" w:lineRule="auto"/>
        <w:jc w:val="right"/>
        <w:rPr>
          <w:rFonts w:asciiTheme="minorEastAsia" w:hAnsiTheme="minorEastAsia" w:cs="Times New Roman"/>
          <w:szCs w:val="21"/>
          <w:highlight w:val="none"/>
        </w:rPr>
      </w:pPr>
    </w:p>
    <w:p>
      <w:pPr>
        <w:spacing w:after="78" w:afterLines="25" w:line="300" w:lineRule="auto"/>
        <w:ind w:right="420" w:firstLine="4410" w:firstLineChars="2100"/>
        <w:rPr>
          <w:rFonts w:asciiTheme="minorEastAsia" w:hAnsiTheme="minorEastAsia" w:cs="Times New Roman"/>
          <w:szCs w:val="21"/>
          <w:highlight w:val="none"/>
        </w:rPr>
      </w:pPr>
      <w:r>
        <w:rPr>
          <w:rFonts w:asciiTheme="minorEastAsia" w:hAnsiTheme="minorEastAsia" w:cs="Times New Roman" w:hint="eastAsia"/>
          <w:szCs w:val="21"/>
          <w:highlight w:val="none"/>
        </w:rPr>
        <w:t>投标人（投标单位）：</w:t>
      </w:r>
    </w:p>
    <w:p>
      <w:pPr>
        <w:spacing w:after="78" w:afterLines="25" w:line="300" w:lineRule="auto"/>
        <w:ind w:right="420" w:firstLine="5775" w:firstLineChars="2750"/>
        <w:rPr>
          <w:rFonts w:asciiTheme="minorEastAsia" w:hAnsiTheme="minorEastAsia" w:cs="Times New Roman"/>
          <w:szCs w:val="21"/>
          <w:highlight w:val="none"/>
        </w:rPr>
      </w:pPr>
      <w:r>
        <w:rPr>
          <w:rFonts w:asciiTheme="minorEastAsia" w:hAnsiTheme="minorEastAsia" w:cs="Times New Roman" w:hint="eastAsia"/>
          <w:szCs w:val="21"/>
          <w:highlight w:val="none"/>
        </w:rPr>
        <w:t>日期：</w:t>
      </w:r>
    </w:p>
    <w:p>
      <w:pPr>
        <w:spacing w:after="78" w:afterLines="25" w:line="300" w:lineRule="auto"/>
        <w:jc w:val="right"/>
        <w:rPr>
          <w:rFonts w:asciiTheme="minorEastAsia" w:hAnsiTheme="minorEastAsia" w:cs="Times New Roman"/>
          <w:b/>
          <w:color w:val="FF0000"/>
          <w:sz w:val="28"/>
          <w:szCs w:val="28"/>
          <w:highlight w:val="none"/>
        </w:rPr>
      </w:pPr>
    </w:p>
    <w:p>
      <w:pPr>
        <w:spacing w:after="78" w:afterLines="25" w:line="300" w:lineRule="auto"/>
        <w:jc w:val="right"/>
        <w:rPr>
          <w:rFonts w:ascii="Arial" w:eastAsia="宋体" w:hAnsi="Arial" w:cs="Times New Roman"/>
          <w:b/>
          <w:color w:val="FF0000"/>
          <w:sz w:val="28"/>
          <w:szCs w:val="28"/>
          <w:highlight w:val="none"/>
        </w:rPr>
      </w:pP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b/>
          <w:szCs w:val="21"/>
          <w:highlight w:val="none"/>
        </w:rPr>
        <w:t>说明：</w:t>
      </w:r>
      <w:r>
        <w:rPr>
          <w:rFonts w:ascii="宋体" w:eastAsia="宋体" w:hAnsi="宋体" w:cs="Times New Roman" w:hint="eastAsia"/>
          <w:szCs w:val="21"/>
          <w:highlight w:val="none"/>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（一）</w:t>
      </w:r>
      <w:r>
        <w:rPr>
          <w:rFonts w:ascii="宋体" w:eastAsia="宋体" w:hAnsi="宋体" w:cs="Times New Roman" w:hint="eastAsia"/>
          <w:b/>
          <w:szCs w:val="21"/>
          <w:highlight w:val="none"/>
        </w:rPr>
        <w:t>安置的残疾人占本单位在职职工人数的比例不低于25%（含25%），并且安置的残疾人人数不少于10人（含10人）</w:t>
      </w:r>
      <w:r>
        <w:rPr>
          <w:rFonts w:ascii="宋体" w:eastAsia="宋体" w:hAnsi="宋体" w:cs="Times New Roman" w:hint="eastAsia"/>
          <w:szCs w:val="21"/>
          <w:highlight w:val="none"/>
        </w:rPr>
        <w:t>；</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highlight w:val="none"/>
        </w:rPr>
      </w:pPr>
      <w:r>
        <w:rPr>
          <w:highlight w:val="none"/>
        </w:rPr>
        <w:br w:type="page"/>
      </w:r>
      <w:r>
        <w:rPr>
          <w:rFonts w:ascii="宋体" w:eastAsia="宋体" w:hAnsi="宋体" w:cs="Times New Roman" w:hint="eastAsia"/>
          <w:b/>
          <w:sz w:val="24"/>
          <w:szCs w:val="24"/>
          <w:highlight w:val="none"/>
        </w:rPr>
        <w:t>③</w:t>
      </w:r>
      <w:r>
        <w:rPr>
          <w:rFonts w:ascii="Arial" w:eastAsia="宋体" w:hAnsi="Arial" w:cs="Times New Roman" w:hint="eastAsia"/>
          <w:b/>
          <w:sz w:val="24"/>
          <w:szCs w:val="24"/>
          <w:highlight w:val="none"/>
        </w:rPr>
        <w:t>监狱企业声明函（货物）</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本投标人郑重声明，根据《财政部司法部关于政府采购支持监狱企业发展有关问题的通知》（财库〔</w:t>
      </w:r>
      <w:r>
        <w:rPr>
          <w:rFonts w:ascii="Arial" w:eastAsia="宋体" w:hAnsi="Arial" w:cs="Times New Roman"/>
          <w:szCs w:val="21"/>
          <w:highlight w:val="none"/>
        </w:rPr>
        <w:t>2014</w:t>
      </w:r>
      <w:r>
        <w:rPr>
          <w:rFonts w:ascii="Arial" w:eastAsia="宋体" w:hAnsi="Arial" w:cs="Times New Roman" w:hint="eastAsia"/>
          <w:szCs w:val="21"/>
          <w:highlight w:val="none"/>
        </w:rPr>
        <w:t>〕</w:t>
      </w:r>
      <w:r>
        <w:rPr>
          <w:rFonts w:ascii="Arial" w:eastAsia="宋体" w:hAnsi="Arial" w:cs="Times New Roman"/>
          <w:szCs w:val="21"/>
          <w:highlight w:val="none"/>
        </w:rPr>
        <w:t>68</w:t>
      </w:r>
      <w:r>
        <w:rPr>
          <w:rFonts w:ascii="Arial" w:eastAsia="宋体" w:hAnsi="Arial" w:cs="Times New Roman" w:hint="eastAsia"/>
          <w:szCs w:val="21"/>
          <w:highlight w:val="none"/>
        </w:rPr>
        <w:t>号）的规定，本投标人</w:t>
      </w:r>
      <w:r>
        <w:rPr>
          <w:rFonts w:ascii="Arial" w:eastAsia="宋体" w:hAnsi="Arial" w:cs="Times New Roman"/>
          <w:szCs w:val="21"/>
          <w:highlight w:val="none"/>
        </w:rPr>
        <w:t>参加</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采购人</w:t>
      </w:r>
      <w:r>
        <w:rPr>
          <w:rFonts w:ascii="Arial" w:eastAsia="宋体" w:hAnsi="Arial" w:cs="Times New Roman"/>
          <w:b/>
          <w:bCs/>
          <w:szCs w:val="21"/>
          <w:highlight w:val="none"/>
          <w:u w:val="single"/>
        </w:rPr>
        <w:t>名称）</w:t>
      </w:r>
      <w:r>
        <w:rPr>
          <w:rFonts w:ascii="Arial" w:eastAsia="宋体" w:hAnsi="Arial" w:cs="Times New Roman"/>
          <w:szCs w:val="21"/>
          <w:highlight w:val="none"/>
        </w:rPr>
        <w:t>的</w:t>
      </w:r>
      <w:r>
        <w:rPr>
          <w:rFonts w:ascii="Arial" w:eastAsia="宋体" w:hAnsi="Arial" w:cs="Times New Roman"/>
          <w:b/>
          <w:bCs/>
          <w:szCs w:val="21"/>
          <w:highlight w:val="none"/>
          <w:u w:val="single"/>
        </w:rPr>
        <w:t>（项目名称）</w:t>
      </w:r>
      <w:r>
        <w:rPr>
          <w:rFonts w:ascii="Arial" w:eastAsia="宋体" w:hAnsi="Arial" w:cs="Times New Roman"/>
          <w:szCs w:val="21"/>
          <w:highlight w:val="none"/>
        </w:rPr>
        <w:t>采购活动，提供的货物全部由符合政策要求的</w:t>
      </w:r>
      <w:r>
        <w:rPr>
          <w:rFonts w:ascii="Arial" w:eastAsia="宋体" w:hAnsi="Arial" w:cs="Times New Roman" w:hint="eastAsia"/>
          <w:szCs w:val="21"/>
          <w:highlight w:val="none"/>
        </w:rPr>
        <w:t>监狱企业</w:t>
      </w:r>
      <w:r>
        <w:rPr>
          <w:rFonts w:ascii="Arial" w:eastAsia="宋体" w:hAnsi="Arial" w:cs="Times New Roman"/>
          <w:szCs w:val="21"/>
          <w:highlight w:val="none"/>
        </w:rPr>
        <w:t>制造。相关</w:t>
      </w:r>
      <w:r>
        <w:rPr>
          <w:rFonts w:ascii="Arial" w:eastAsia="宋体" w:hAnsi="Arial" w:cs="Times New Roman" w:hint="eastAsia"/>
          <w:szCs w:val="21"/>
          <w:highlight w:val="none"/>
        </w:rPr>
        <w:t>监狱企业</w:t>
      </w:r>
      <w:r>
        <w:rPr>
          <w:rFonts w:ascii="Arial" w:eastAsia="宋体" w:hAnsi="Arial" w:cs="Times New Roman"/>
          <w:szCs w:val="21"/>
          <w:highlight w:val="none"/>
        </w:rPr>
        <w:t>的具体情况如下：</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1.</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2.</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hint="eastAsia"/>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本</w:t>
      </w:r>
      <w:r>
        <w:rPr>
          <w:rFonts w:ascii="Arial" w:eastAsia="宋体" w:hAnsi="Arial" w:cs="Times New Roman" w:hint="eastAsia"/>
          <w:szCs w:val="21"/>
          <w:highlight w:val="none"/>
        </w:rPr>
        <w:t>投标人</w:t>
      </w:r>
      <w:r>
        <w:rPr>
          <w:rFonts w:ascii="Arial" w:eastAsia="宋体" w:hAnsi="Arial" w:cs="Times New Roman"/>
          <w:szCs w:val="21"/>
          <w:highlight w:val="none"/>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r>
        <w:rPr>
          <w:rFonts w:ascii="Arial" w:eastAsia="宋体" w:hAnsi="Arial" w:cs="Times New Roman" w:hint="eastAsia"/>
          <w:b/>
          <w:color w:val="FF0000"/>
          <w:szCs w:val="21"/>
          <w:highlight w:val="none"/>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p>
    <w:p>
      <w:pPr>
        <w:wordWrap w:val="0"/>
        <w:spacing w:after="78" w:afterLines="25" w:line="300" w:lineRule="auto"/>
        <w:ind w:right="420" w:firstLine="4410" w:firstLineChars="2100"/>
        <w:jc w:val="right"/>
        <w:rPr>
          <w:rFonts w:ascii="Arial" w:eastAsia="宋体" w:hAnsi="Arial" w:cs="Times New Roman"/>
          <w:szCs w:val="21"/>
          <w:highlight w:val="none"/>
        </w:rPr>
      </w:pPr>
      <w:r>
        <w:rPr>
          <w:rFonts w:ascii="Arial" w:eastAsia="宋体" w:hAnsi="Arial" w:cs="Times New Roman" w:hint="eastAsia"/>
          <w:szCs w:val="21"/>
          <w:highlight w:val="none"/>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highlight w:val="none"/>
        </w:rPr>
        <w:t xml:space="preserve">日期：  </w:t>
      </w:r>
      <w:r>
        <w:rPr>
          <w:rFonts w:ascii="Arial" w:eastAsia="宋体" w:hAnsi="Arial" w:cs="Times New Roman" w:hint="eastAsia"/>
          <w:szCs w:val="21"/>
        </w:rPr>
        <w:t xml:space="preserve">   </w:t>
      </w:r>
    </w:p>
    <w:p>
      <w:pPr>
        <w:widowControl/>
        <w:jc w:val="left"/>
        <w:rPr>
          <w:rFonts w:ascii="Arial" w:eastAsia="宋体" w:hAnsi="Arial" w:cs="Times New Roman" w:hint="eastAsia"/>
          <w:b/>
          <w:sz w:val="24"/>
          <w:szCs w:val="24"/>
        </w:rPr>
      </w:pPr>
      <w:r>
        <w:br w:type="page"/>
      </w:r>
      <w:r>
        <w:rPr>
          <w:rFonts w:ascii="Arial" w:eastAsia="宋体" w:hAnsi="Arial" w:cs="Times New Roman" w:hint="eastAsia"/>
          <w:b/>
          <w:sz w:val="24"/>
          <w:szCs w:val="24"/>
        </w:rPr>
        <w:t>（本章未提供的招标要求的其他文件格式由供应商自拟）</w:t>
      </w:r>
    </w:p>
    <w:p>
      <w:pPr>
        <w:spacing w:after="78" w:afterLines="25" w:line="300" w:lineRule="auto"/>
        <w:jc w:val="center"/>
        <w:rPr>
          <w:rFonts w:ascii="Arial" w:eastAsia="宋体" w:hAnsi="Arial" w:cs="Times New Roman" w:hint="eastAsia"/>
          <w:b/>
          <w:sz w:val="24"/>
          <w:szCs w:val="24"/>
        </w:rPr>
      </w:pPr>
    </w:p>
    <w:p>
      <w:pPr>
        <w:ind w:firstLine="630" w:firstLineChars="300"/>
        <w:jc w:val="center"/>
        <w:rPr>
          <w:b/>
          <w:color w:val="FF0000"/>
          <w:sz w:val="24"/>
        </w:rPr>
      </w:pPr>
      <w:r>
        <w:rPr>
          <w:rFonts w:hint="eastAsia"/>
          <w:b/>
          <w:color w:val="FF0000"/>
          <w:sz w:val="24"/>
        </w:rPr>
        <w:t>（信息公开部分的内容到此为止！以下为信息不公开部分。）</w:t>
      </w:r>
    </w:p>
    <w:p>
      <w:pPr>
        <w:widowControl/>
        <w:jc w:val="left"/>
        <w:rPr>
          <w:rFonts w:ascii="Arial" w:eastAsia="宋体" w:hAnsi="Arial" w:cs="Times New Roman"/>
          <w:szCs w:val="24"/>
        </w:rPr>
      </w:pPr>
      <w:r>
        <w:br w:type="page"/>
      </w:r>
    </w:p>
    <w:p>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pPr>
        <w:spacing w:after="78" w:afterLines="25" w:line="300" w:lineRule="auto"/>
        <w:rPr>
          <w:rFonts w:ascii="Arial" w:eastAsia="宋体" w:hAnsi="Arial" w:cs="Times New Roman"/>
          <w:szCs w:val="24"/>
        </w:rPr>
      </w:pPr>
    </w:p>
    <w:p>
      <w:pPr>
        <w:spacing w:line="300" w:lineRule="auto"/>
        <w:ind w:left="140"/>
        <w:jc w:val="center"/>
        <w:rPr>
          <w:rFonts w:ascii="Arial" w:eastAsia="宋体" w:hAnsi="Arial" w:cs="Arial"/>
          <w:b/>
          <w:sz w:val="30"/>
          <w:szCs w:val="30"/>
        </w:rPr>
      </w:pPr>
    </w:p>
    <w:p>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pPr>
        <w:spacing w:line="300" w:lineRule="auto"/>
        <w:ind w:left="140"/>
        <w:jc w:val="center"/>
        <w:rPr>
          <w:rFonts w:ascii="Arial" w:eastAsia="宋体" w:hAnsi="Arial" w:cs="Arial"/>
          <w:b/>
          <w:sz w:val="24"/>
          <w:szCs w:val="24"/>
        </w:rPr>
      </w:pPr>
    </w:p>
    <w:p>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pPr>
        <w:spacing w:line="300" w:lineRule="auto"/>
        <w:rPr>
          <w:rFonts w:ascii="Arial" w:eastAsia="宋体" w:hAnsi="Arial" w:cs="Times New Roman"/>
          <w:szCs w:val="21"/>
        </w:rPr>
      </w:pPr>
    </w:p>
    <w:p>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rPr>
          <w:rFonts w:ascii="Arial" w:eastAsia="宋体" w:hAnsi="Arial" w:cs="Times New Roman"/>
          <w:szCs w:val="24"/>
        </w:rPr>
      </w:pPr>
    </w:p>
    <w:p>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rPr>
      </w:pP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pPr>
        <w:spacing w:line="500" w:lineRule="exact"/>
        <w:ind w:firstLine="420" w:firstLineChars="200"/>
        <w:rPr>
          <w:rFonts w:ascii="Arial" w:eastAsia="宋体" w:hAnsi="Arial" w:cs="Times New Roman"/>
          <w:szCs w:val="24"/>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pPr>
        <w:spacing w:line="300" w:lineRule="auto"/>
        <w:jc w:val="center"/>
        <w:rPr>
          <w:rFonts w:ascii="Arial" w:eastAsia="宋体" w:hAnsi="Arial" w:cs="Times New Roman"/>
          <w:b/>
          <w:sz w:val="28"/>
          <w:szCs w:val="28"/>
        </w:rPr>
      </w:pP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pPr>
        <w:spacing w:line="300" w:lineRule="auto"/>
        <w:rPr>
          <w:rFonts w:ascii="Arial" w:eastAsia="宋体" w:hAnsi="Arial" w:cs="Times New Roman"/>
          <w:szCs w:val="21"/>
        </w:rPr>
      </w:pP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ind w:firstLine="420" w:firstLineChars="200"/>
        <w:rPr>
          <w:rFonts w:ascii="Arial" w:eastAsia="宋体" w:hAnsi="Arial" w:cs="Times New Roman"/>
          <w:szCs w:val="24"/>
        </w:rPr>
      </w:pPr>
    </w:p>
    <w:p>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rPr>
      </w:pPr>
    </w:p>
    <w:p>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b/>
          <w:sz w:val="24"/>
          <w:szCs w:val="24"/>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pPr>
              <w:jc w:val="center"/>
              <w:rPr>
                <w:rFonts w:ascii="宋体" w:eastAsia="宋体" w:hAnsi="宋体" w:cs="Arial"/>
                <w:b/>
                <w:szCs w:val="21"/>
              </w:rPr>
            </w:pPr>
            <w:r>
              <w:rPr>
                <w:rFonts w:ascii="宋体" w:eastAsia="宋体" w:hAnsi="宋体" w:cs="Arial" w:hint="eastAsia"/>
                <w:b/>
                <w:szCs w:val="21"/>
              </w:rPr>
              <w:t>说明</w:t>
            </w:r>
          </w:p>
        </w:tc>
      </w:tr>
      <w:tr>
        <w:tblPrEx>
          <w:tblW w:w="9403" w:type="dxa"/>
          <w:jc w:val="center"/>
          <w:tblLayout w:type="fixed"/>
          <w:tblCellMar>
            <w:top w:w="0" w:type="dxa"/>
            <w:left w:w="108" w:type="dxa"/>
            <w:bottom w:w="0" w:type="dxa"/>
            <w:right w:w="108" w:type="dxa"/>
          </w:tblCellMar>
        </w:tblPrEx>
        <w:trPr>
          <w:jc w:val="center"/>
        </w:trPr>
        <w:tc>
          <w:tcPr>
            <w:tcW w:w="602" w:type="dxa"/>
            <w:vAlign w:val="center"/>
          </w:tcPr>
          <w:p>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pPr>
              <w:rPr>
                <w:rFonts w:ascii="宋体" w:eastAsia="宋体" w:hAnsi="宋体" w:cs="Arial"/>
                <w:szCs w:val="21"/>
              </w:rPr>
            </w:pPr>
            <w:r>
              <w:rPr>
                <w:rFonts w:ascii="宋体" w:eastAsia="宋体" w:hAnsi="宋体" w:cs="Arial" w:hint="eastAsia"/>
                <w:szCs w:val="21"/>
              </w:rPr>
              <w:t>我公司完全响应满足招标文件中此项要求。</w:t>
            </w:r>
          </w:p>
        </w:tc>
        <w:tc>
          <w:tcPr>
            <w:tcW w:w="1732" w:type="dxa"/>
          </w:tcPr>
          <w:p>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pPr>
              <w:jc w:val="center"/>
              <w:rPr>
                <w:rFonts w:ascii="宋体" w:eastAsia="宋体" w:hAnsi="宋体" w:cs="Arial"/>
                <w:szCs w:val="21"/>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pPr>
        <w:numPr>
          <w:ilvl w:val="0"/>
          <w:numId w:val="6"/>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6"/>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6"/>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pPr>
        <w:numPr>
          <w:ilvl w:val="0"/>
          <w:numId w:val="6"/>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pPr>
        <w:widowControl/>
        <w:jc w:val="left"/>
        <w:rPr>
          <w:rFonts w:ascii="宋体" w:eastAsia="宋体" w:hAnsi="宋体" w:cs="Times New Roman"/>
          <w:color w:val="FF0000"/>
          <w:sz w:val="32"/>
          <w:szCs w:val="32"/>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4.技术</w:t>
      </w:r>
      <w:r>
        <w:rPr>
          <w:rFonts w:ascii="宋体" w:eastAsia="宋体" w:hAnsi="宋体" w:cs="Times New Roman" w:hint="eastAsia"/>
          <w:b/>
          <w:bCs/>
          <w:kern w:val="0"/>
          <w:sz w:val="24"/>
          <w:szCs w:val="20"/>
          <w:lang w:val="en-US" w:eastAsia="zh-CN"/>
        </w:rPr>
        <w:t>要求</w:t>
      </w:r>
      <w:r>
        <w:rPr>
          <w:rFonts w:ascii="宋体" w:eastAsia="宋体" w:hAnsi="宋体" w:cs="Times New Roman" w:hint="eastAsia"/>
          <w:b/>
          <w:bCs/>
          <w:kern w:val="0"/>
          <w:sz w:val="24"/>
          <w:szCs w:val="20"/>
        </w:rPr>
        <w:t>偏离表</w:t>
      </w:r>
    </w:p>
    <w:p>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sz w:val="24"/>
          <w:szCs w:val="24"/>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val="en-US" w:eastAsia="zh-CN"/>
              </w:rPr>
            </w:pPr>
            <w:r>
              <w:rPr>
                <w:rFonts w:asciiTheme="minorEastAsia" w:hAnsiTheme="minorEastAsia" w:cs="Times New Roman" w:hint="eastAsia"/>
                <w:sz w:val="24"/>
                <w:szCs w:val="24"/>
                <w:lang w:val="en-US" w:eastAsia="zh-CN"/>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eastAsia="zh-CN"/>
              </w:rPr>
            </w:pPr>
            <w:r>
              <w:rPr>
                <w:rFonts w:asciiTheme="minorEastAsia" w:hAnsiTheme="minorEastAsia" w:cs="Times New Roman" w:hint="eastAsia"/>
                <w:sz w:val="24"/>
                <w:szCs w:val="24"/>
                <w:lang w:eastAsia="zh-CN"/>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hint="eastAsia"/>
          <w:b/>
          <w:sz w:val="24"/>
          <w:szCs w:val="24"/>
        </w:rPr>
      </w:pPr>
      <w:r>
        <w:rPr>
          <w:rFonts w:asciiTheme="minorEastAsia" w:hAnsiTheme="minorEastAsia" w:cs="Times New Roman" w:hint="eastAsia"/>
          <w:b/>
          <w:sz w:val="24"/>
          <w:szCs w:val="24"/>
        </w:rPr>
        <w:t>填写说明：</w:t>
      </w:r>
    </w:p>
    <w:p>
      <w:pPr>
        <w:ind w:firstLine="420" w:firstLineChars="200"/>
        <w:rPr>
          <w:b/>
          <w:sz w:val="24"/>
        </w:rPr>
      </w:pPr>
      <w:r>
        <w:rPr>
          <w:rFonts w:hint="eastAsia"/>
          <w:b/>
          <w:sz w:val="24"/>
        </w:rPr>
        <w:t>1、技术要求偏离表的序号、货物名称、招标技术要求等栏目</w:t>
      </w:r>
      <w:bookmarkStart w:id="27" w:name="_Hlk72094407"/>
      <w:r>
        <w:rPr>
          <w:rFonts w:hint="eastAsia"/>
          <w:b/>
          <w:sz w:val="24"/>
        </w:rPr>
        <w:t>对应“用户需求书”中的“技术要求</w:t>
      </w:r>
      <w:r>
        <w:rPr>
          <w:rFonts w:hint="eastAsia"/>
          <w:b/>
          <w:sz w:val="24"/>
          <w:lang w:val="en-US" w:eastAsia="zh-CN"/>
        </w:rPr>
        <w:t>部分</w:t>
      </w:r>
      <w:r>
        <w:rPr>
          <w:rFonts w:hint="eastAsia"/>
          <w:b/>
          <w:sz w:val="24"/>
        </w:rPr>
        <w:t>”章节</w:t>
      </w:r>
      <w:bookmarkEnd w:id="27"/>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28" w:name="_Hlk72096106"/>
      <w:r>
        <w:rPr>
          <w:rFonts w:hint="eastAsia"/>
          <w:b/>
          <w:sz w:val="24"/>
        </w:rPr>
        <w:t>证明资料条款响应要求</w:t>
      </w:r>
      <w:bookmarkEnd w:id="28"/>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lang w:eastAsia="zh-CN"/>
        </w:rPr>
        <w:t>，</w:t>
      </w:r>
      <w:r>
        <w:rPr>
          <w:rFonts w:hint="eastAsia"/>
          <w:b/>
          <w:sz w:val="24"/>
        </w:rPr>
        <w:t>以便评审；</w:t>
      </w:r>
      <w:bookmarkStart w:id="29"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rPr>
        <w:t>且投标人在“偏离情况”一栏响应为“正偏离”或“无偏离”的，经评审委员会认定，将判定为负偏离。</w:t>
      </w:r>
      <w:bookmarkEnd w:id="29"/>
      <w:bookmarkEnd w:id="30"/>
    </w:p>
    <w:p>
      <w:pPr>
        <w:ind w:firstLine="420" w:firstLineChars="200"/>
        <w:rPr>
          <w:rFonts w:hint="eastAsia"/>
          <w:b/>
          <w:sz w:val="24"/>
        </w:rPr>
      </w:pPr>
      <w:r>
        <w:rPr>
          <w:rFonts w:hint="eastAsia"/>
          <w:b/>
          <w:sz w:val="24"/>
          <w:lang w:val="en-US" w:eastAsia="zh-CN"/>
        </w:rPr>
        <w:t>6、</w:t>
      </w:r>
      <w:r>
        <w:rPr>
          <w:rFonts w:hint="eastAsia"/>
          <w:b/>
          <w:sz w:val="24"/>
        </w:rPr>
        <w:t>评审委员会有权对投标人是否存在虚假响应予以认定，并视情况经</w:t>
      </w:r>
      <w:r>
        <w:rPr>
          <w:rFonts w:hint="eastAsia"/>
          <w:b/>
          <w:sz w:val="24"/>
          <w:lang w:val="en-US" w:eastAsia="zh-CN"/>
        </w:rPr>
        <w:t>招标</w:t>
      </w:r>
      <w:r>
        <w:rPr>
          <w:rFonts w:hint="eastAsia"/>
          <w:b/>
          <w:sz w:val="24"/>
        </w:rPr>
        <w:t>机构报主管部门进行处理；</w:t>
      </w:r>
    </w:p>
    <w:p>
      <w:pPr>
        <w:ind w:firstLine="420" w:firstLineChars="200"/>
        <w:rPr>
          <w:rFonts w:hint="eastAsia"/>
          <w:b/>
          <w:sz w:val="24"/>
        </w:rPr>
      </w:pPr>
      <w:r>
        <w:rPr>
          <w:rFonts w:hint="eastAsia"/>
          <w:b/>
          <w:sz w:val="24"/>
          <w:lang w:val="en-US" w:eastAsia="zh-CN"/>
        </w:rPr>
        <w:t>7、</w:t>
      </w:r>
      <w:r>
        <w:rPr>
          <w:rFonts w:hint="eastAsia"/>
          <w:b/>
          <w:sz w:val="24"/>
        </w:rPr>
        <w:t>除招标文件另有注明外，投标文件其它位置如出现与本表中投标参数不一致的信息，均以本表信息为准。</w:t>
      </w:r>
    </w:p>
    <w:p>
      <w:pPr>
        <w:keepNext w:val="0"/>
        <w:keepLines w:val="0"/>
        <w:pageBreakBefore w:val="0"/>
        <w:widowControl/>
        <w:kinsoku/>
        <w:wordWrap/>
        <w:overflowPunct/>
        <w:topLinePunct w:val="0"/>
        <w:autoSpaceDE/>
        <w:autoSpaceDN/>
        <w:bidi w:val="0"/>
        <w:adjustRightInd/>
        <w:snapToGrid/>
        <w:jc w:val="center"/>
        <w:textAlignment w:val="auto"/>
        <w:outlineLvl w:val="3"/>
        <w:rPr>
          <w:rFonts w:ascii="黑体" w:eastAsia="黑体" w:hAnsi="宋体"/>
          <w:kern w:val="0"/>
          <w:sz w:val="24"/>
          <w:szCs w:val="20"/>
        </w:rPr>
      </w:pPr>
      <w:r>
        <w:br w:type="page"/>
      </w:r>
      <w:r>
        <w:rPr>
          <w:rFonts w:ascii="宋体" w:eastAsia="宋体" w:hAnsi="宋体" w:cs="Times New Roman" w:hint="eastAsia"/>
          <w:b/>
          <w:bCs/>
          <w:kern w:val="0"/>
          <w:sz w:val="24"/>
          <w:szCs w:val="20"/>
          <w:lang w:val="en-US" w:eastAsia="zh-CN"/>
        </w:rPr>
        <w:t>5.</w:t>
      </w:r>
      <w:r>
        <w:rPr>
          <w:rFonts w:ascii="宋体" w:eastAsia="宋体" w:hAnsi="宋体" w:cs="Times New Roman" w:hint="eastAsia"/>
          <w:b/>
          <w:bCs/>
          <w:kern w:val="0"/>
          <w:sz w:val="24"/>
          <w:szCs w:val="20"/>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负责人/投标授权代表签名：</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知悉人（公章）：</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 xml:space="preserve">     日期：</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highlight w:val="none"/>
        </w:rPr>
      </w:pPr>
      <w:r>
        <w:rPr>
          <w:rFonts w:ascii="宋体" w:hAnsi="宋体" w:eastAsiaTheme="minorEastAsia" w:hint="eastAsia"/>
          <w:spacing w:val="-4"/>
          <w:kern w:val="0"/>
          <w:szCs w:val="21"/>
          <w:highlight w:val="none"/>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1.</w:t>
      </w:r>
      <w:r>
        <w:rPr>
          <w:rFonts w:hint="eastAsia"/>
          <w:highlight w:val="none"/>
        </w:rPr>
        <w:t xml:space="preserve"> </w:t>
      </w:r>
      <w:r>
        <w:rPr>
          <w:rFonts w:ascii="宋体" w:hAnsi="宋体" w:eastAsiaTheme="minorEastAsia" w:hint="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highlight w:val="none"/>
        </w:rPr>
        <w:t>2.投标供应商负责人或投标授权代表签字</w:t>
      </w:r>
      <w:r>
        <w:rPr>
          <w:rFonts w:ascii="宋体" w:hAnsi="宋体" w:eastAsiaTheme="minorEastAsia" w:hint="eastAsia"/>
          <w:b/>
          <w:bCs/>
          <w:color w:val="FF0000"/>
          <w:spacing w:val="-4"/>
          <w:kern w:val="0"/>
          <w:szCs w:val="21"/>
          <w:highlight w:val="none"/>
          <w:u w:val="single"/>
        </w:rPr>
        <w:t>并加盖单位公章</w:t>
      </w:r>
      <w:r>
        <w:rPr>
          <w:rFonts w:ascii="宋体" w:hAnsi="宋体" w:eastAsiaTheme="minorEastAsia" w:hint="eastAsia"/>
          <w:b/>
          <w:bCs/>
          <w:color w:val="FF0000"/>
          <w:spacing w:val="-4"/>
          <w:kern w:val="0"/>
          <w:szCs w:val="21"/>
          <w:highlight w:val="none"/>
        </w:rPr>
        <w:t>后，扫描上传</w:t>
      </w:r>
      <w:r>
        <w:rPr>
          <w:rFonts w:ascii="宋体" w:hAnsi="宋体" w:eastAsiaTheme="minorEastAsia" w:hint="eastAsia"/>
          <w:b/>
          <w:bCs/>
          <w:color w:val="FF0000"/>
          <w:spacing w:val="-4"/>
          <w:kern w:val="0"/>
          <w:szCs w:val="21"/>
        </w:rPr>
        <w:t>至投标文件一并提交。</w:t>
      </w: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rPr>
          <w:rFonts w:ascii="宋体" w:eastAsia="宋体" w:hAnsi="宋体" w:cs="Times New Roman" w:hint="eastAsia"/>
          <w:b/>
          <w:bCs/>
          <w:kern w:val="0"/>
          <w:sz w:val="28"/>
          <w:szCs w:val="28"/>
        </w:rPr>
      </w:pPr>
      <w:r>
        <w:rPr>
          <w:rFonts w:ascii="宋体" w:eastAsia="宋体" w:hAnsi="宋体" w:cs="Times New Roman" w:hint="eastAsia"/>
          <w:b/>
          <w:bCs/>
          <w:kern w:val="0"/>
          <w:sz w:val="28"/>
          <w:szCs w:val="28"/>
        </w:rP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pPr>
        <w:widowControl/>
        <w:jc w:val="center"/>
        <w:rPr>
          <w:rFonts w:ascii="宋体" w:eastAsia="黑体" w:hAnsi="宋体" w:cs="Times New Roman"/>
          <w:bCs/>
          <w:kern w:val="44"/>
          <w:sz w:val="28"/>
          <w:szCs w:val="44"/>
        </w:rPr>
      </w:pPr>
      <w:bookmarkStart w:id="31" w:name="_Hlk72574405"/>
      <w:r>
        <w:rPr>
          <w:rFonts w:hint="eastAsia"/>
          <w:b/>
          <w:sz w:val="24"/>
        </w:rPr>
        <w:t>（仅供参考，具体以项目需求及采购结果为准）</w:t>
      </w:r>
      <w:bookmarkEnd w:id="31"/>
    </w:p>
    <w:p>
      <w:pPr>
        <w:snapToGrid w:val="0"/>
        <w:spacing w:line="300" w:lineRule="auto"/>
        <w:jc w:val="center"/>
        <w:rPr>
          <w:rFonts w:ascii="仿宋" w:eastAsia="仿宋" w:hAnsi="仿宋" w:cs="Times New Roman"/>
          <w:sz w:val="28"/>
          <w:szCs w:val="28"/>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b/>
          <w:bCs/>
          <w:szCs w:val="21"/>
        </w:rPr>
        <w:t>甲方：</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bookmarkStart w:id="32" w:name="_Hlk75014453"/>
      <w:r>
        <w:rPr>
          <w:rFonts w:ascii="宋体" w:hAnsi="宋体" w:hint="eastAsia"/>
          <w:szCs w:val="21"/>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联系人：</w:t>
      </w:r>
      <w:r>
        <w:rPr>
          <w:rFonts w:ascii="宋体" w:hAnsi="宋体"/>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szCs w:val="21"/>
        </w:rPr>
        <w:t>联系电话：</w:t>
      </w:r>
      <w:bookmarkEnd w:id="32"/>
      <w:r>
        <w:rPr>
          <w:rFonts w:ascii="宋体" w:hAnsi="宋体" w:hint="eastAsia"/>
          <w:b/>
          <w:bCs/>
          <w:szCs w:val="21"/>
        </w:rPr>
        <w:t xml:space="preserve">      </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联系人：</w:t>
      </w:r>
      <w:r>
        <w:rPr>
          <w:rFonts w:ascii="宋体" w:hAnsi="宋体"/>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联系电话：</w:t>
      </w:r>
      <w:r>
        <w:rPr>
          <w:rFonts w:ascii="宋体" w:hAnsi="宋体" w:hint="eastAsia"/>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bookmarkStart w:id="33" w:name="_Hlk72574434"/>
      <w:r>
        <w:rPr>
          <w:rFonts w:hint="eastAsia"/>
          <w:szCs w:val="21"/>
        </w:rPr>
        <w:t>根据深圳公共资源交易中心（深圳交易集团有限公司*</w:t>
      </w:r>
      <w:r>
        <w:rPr>
          <w:szCs w:val="21"/>
        </w:rPr>
        <w:t>**</w:t>
      </w:r>
      <w:r>
        <w:rPr>
          <w:rFonts w:hint="eastAsia"/>
          <w:szCs w:val="21"/>
        </w:rPr>
        <w:t>分公司）</w:t>
      </w:r>
      <w:r>
        <w:rPr>
          <w:rFonts w:hint="eastAsia"/>
          <w:szCs w:val="21"/>
          <w:u w:val="single"/>
        </w:rPr>
        <w:t xml:space="preserve">        </w:t>
      </w:r>
      <w:r>
        <w:rPr>
          <w:rFonts w:hint="eastAsia"/>
          <w:szCs w:val="21"/>
        </w:rPr>
        <w:t>号项目结果，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33"/>
      <w:r>
        <w:rPr>
          <w:rFonts w:hint="eastAsia"/>
          <w:szCs w:val="21"/>
        </w:rPr>
        <w:t>按照《中华人民共和国民法典》（第三编 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第一条  合同标的</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乙方根据甲方需求提供下列货物：</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货物名称、规格及数量详见</w:t>
      </w:r>
      <w:r>
        <w:rPr>
          <w:rFonts w:hint="eastAsia"/>
          <w:b/>
          <w:szCs w:val="21"/>
          <w:u w:val="single"/>
        </w:rPr>
        <w:t xml:space="preserve">                  </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第二条  合同价款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。本合同总价款已包括乙方为履行本合同义务所发生的一切费用，系固定不变价格，且不随通货膨胀的影响而波动。</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 xml:space="preserve"> 履行期限</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outlineLvl w:val="9"/>
        <w:rPr>
          <w:rFonts w:ascii="宋体" w:hAnsi="宋体"/>
          <w:szCs w:val="21"/>
        </w:rPr>
      </w:pPr>
      <w:r>
        <w:rPr>
          <w:rFonts w:ascii="宋体" w:hAnsi="宋体" w:hint="eastAsia"/>
          <w:szCs w:val="21"/>
        </w:rPr>
        <w:t>乙方应于本合同签订之日其</w:t>
      </w:r>
      <w:r>
        <w:rPr>
          <w:rFonts w:hint="eastAsia"/>
          <w:szCs w:val="21"/>
          <w:u w:val="single"/>
        </w:rPr>
        <w:t xml:space="preserve">             </w:t>
      </w:r>
      <w:r>
        <w:rPr>
          <w:rFonts w:ascii="宋体" w:hAnsi="宋体" w:hint="eastAsia"/>
          <w:szCs w:val="21"/>
        </w:rPr>
        <w:t>日内将符合要求的产品向甲方交付（含安装调试），但乙方交付前应向书面通知甲方并征得甲方同意。</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权利保证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第五条  质量保证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3、乙方保证交货时一并提供货物的质量合格凭证或文件。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第六条  交货和验收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5、货物的所有权和灭失的风险自乙方将货物交付给甲方时转移。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第七条  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第八条 保密条款</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pPr>
      <w:r>
        <w:t>1</w:t>
      </w:r>
      <w:r>
        <w:rPr>
          <w:rFonts w:hint="eastAsia"/>
        </w:rPr>
        <w:t>、乙方对在本合同履行中获取或者知悉甲方提供的资料、信息负有保密义务。</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b/>
        </w:rPr>
      </w:pPr>
      <w:r>
        <w:t>3</w:t>
      </w:r>
      <w:r>
        <w:rPr>
          <w:rFonts w:hint="eastAsia"/>
        </w:rPr>
        <w:t>、保密期限自本协议签订生效之日起至保密信息被依法公开披露或成为公开信息之日止。合同中止、终止或者解除不视为免除保密义务，乙方仍应当承担保密义务。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第九条  履约保证金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1、乙方应在签订本合同之日，向甲方或甲方指定的机构提交履约保证金_________元。</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2、如乙方未能履行合同规定的义务，甲方有权从履约保证金中取得补偿。</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3、甲方在乙方履行完毕本合同项下全部义务后______天内无息退还乙方。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outlineLvl w:val="9"/>
        <w:rPr>
          <w:b/>
          <w:szCs w:val="21"/>
        </w:rPr>
      </w:pPr>
      <w:r>
        <w:rPr>
          <w:rFonts w:hint="eastAsia"/>
          <w:b/>
          <w:szCs w:val="21"/>
        </w:rPr>
        <w:t>第十条  货款支付</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pPr>
      <w:r>
        <w:rPr>
          <w:rFonts w:hint="eastAsia"/>
        </w:rPr>
        <w:t xml:space="preserve">   </w:t>
      </w:r>
      <w:r>
        <w:rPr>
          <w:b/>
          <w:szCs w:val="21"/>
          <w:u w:val="single"/>
        </w:rPr>
        <w:t xml:space="preserve">   </w:t>
      </w:r>
      <w:r>
        <w:rPr>
          <w:rFonts w:hint="eastAsia"/>
          <w:b/>
          <w:szCs w:val="21"/>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outlineLvl w:val="9"/>
        <w:rPr>
          <w:b/>
          <w:szCs w:val="21"/>
        </w:rPr>
      </w:pPr>
      <w:r>
        <w:rPr>
          <w:rFonts w:hint="eastAsia"/>
          <w:b/>
          <w:szCs w:val="21"/>
        </w:rPr>
        <w:t>第十一条 违约责任</w:t>
      </w:r>
      <w:r>
        <w:rPr>
          <w:rFonts w:hint="eastAsia"/>
          <w:b/>
          <w:szCs w:val="21"/>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１、甲方无正当理由拒收货物、拒付货物款的，由甲方向乙方偿付合同总价的【】%违约金。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6.</w:t>
      </w:r>
      <w:bookmarkStart w:id="3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34"/>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7、</w:t>
      </w:r>
      <w:bookmarkStart w:id="3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35"/>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二</w:t>
      </w:r>
      <w:r>
        <w:rPr>
          <w:rFonts w:hint="eastAsia"/>
          <w:b/>
          <w:szCs w:val="21"/>
        </w:rPr>
        <w:t>条    合同的变更和终止</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除</w:t>
      </w:r>
      <w:bookmarkStart w:id="36" w:name="_Hlk75015119"/>
      <w:r>
        <w:rPr>
          <w:rFonts w:ascii="宋体" w:hAnsi="宋体" w:hint="eastAsia"/>
          <w:szCs w:val="21"/>
        </w:rPr>
        <w:t>《深圳经济特区政府采购条例》第40条、</w:t>
      </w:r>
      <w:bookmarkEnd w:id="36"/>
      <w:r>
        <w:rPr>
          <w:rFonts w:ascii="宋体" w:hAnsi="宋体" w:hint="eastAsia"/>
          <w:szCs w:val="21"/>
        </w:rPr>
        <w:t>《中华人民共和国政府采购法》第50条第二款规定或者主管部门另有政策规定的情形外，本合同一经签订，甲乙双方不得擅自变更、中止或终止合同。</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三</w:t>
      </w:r>
      <w:r>
        <w:rPr>
          <w:rFonts w:hint="eastAsia"/>
          <w:b/>
          <w:szCs w:val="21"/>
        </w:rPr>
        <w:t>条   争议的解决</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四</w:t>
      </w:r>
      <w:r>
        <w:rPr>
          <w:rFonts w:hint="eastAsia"/>
          <w:b/>
          <w:szCs w:val="21"/>
        </w:rPr>
        <w:t>条   合同生效及其他</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1、下列文件均为本合同的组成部分：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（2）乙方的投标文件；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（3）本合同执行中甲乙双方共同签署的补充与修正文件。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甲方（采购人）：   （盖章）       乙方（供应商）：    （盖章）</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 xml:space="preserve">法定代表人：                     法定代表人：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委托代理人：                     委托代理人：</w:t>
      </w:r>
    </w:p>
    <w:p>
      <w:pPr>
        <w:keepNext w:val="0"/>
        <w:keepLines w:val="0"/>
        <w:pageBreakBefore w:val="0"/>
        <w:widowControl w:val="0"/>
        <w:kinsoku/>
        <w:wordWrap/>
        <w:overflowPunct/>
        <w:topLinePunct w:val="0"/>
        <w:autoSpaceDE/>
        <w:autoSpaceDN/>
        <w:bidi w:val="0"/>
        <w:adjustRightInd/>
        <w:snapToGrid/>
        <w:ind w:firstLine="525" w:firstLineChars="250"/>
        <w:textAlignment w:val="auto"/>
        <w:outlineLvl w:val="9"/>
        <w:rPr>
          <w:rFonts w:ascii="宋体" w:hAnsi="宋体"/>
          <w:b/>
          <w:szCs w:val="21"/>
        </w:rPr>
      </w:pPr>
      <w:r>
        <w:rPr>
          <w:rFonts w:ascii="宋体" w:hAnsi="宋体" w:hint="eastAsia"/>
          <w:szCs w:val="21"/>
        </w:rPr>
        <w:t>日期：   年     月    日         日期：   年     月    日</w:t>
      </w:r>
    </w:p>
    <w:p>
      <w:pPr>
        <w:widowControl/>
        <w:jc w:val="left"/>
        <w:rPr>
          <w:rFonts w:ascii="Arial" w:eastAsia="宋体" w:hAnsi="Arial" w:cs="Times New Roman"/>
          <w:color w:val="FF0000"/>
          <w:szCs w:val="24"/>
        </w:rPr>
      </w:pPr>
    </w:p>
    <w:p>
      <w:pPr>
        <w:widowControl/>
        <w:jc w:val="left"/>
        <w:rPr>
          <w:rFonts w:ascii="宋体" w:eastAsia="黑体" w:hAnsi="宋体" w:cs="Times New Roman"/>
          <w:b/>
          <w:bCs/>
          <w:color w:val="0000FF"/>
          <w:kern w:val="44"/>
          <w:sz w:val="36"/>
          <w:szCs w:val="44"/>
        </w:rPr>
      </w:pPr>
      <w:r>
        <w:br w:type="page"/>
      </w:r>
    </w:p>
    <w:p>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  通用条款（公开招标）</w:t>
      </w:r>
    </w:p>
    <w:p>
      <w:pPr>
        <w:keepNext/>
        <w:keepLines/>
        <w:numPr>
          <w:ilvl w:val="0"/>
          <w:numId w:val="8"/>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7" w:name="_Hlk72399513"/>
      <w:r>
        <w:rPr>
          <w:rFonts w:asciiTheme="majorHAnsi" w:eastAsiaTheme="majorEastAsia" w:hAnsiTheme="majorHAnsi" w:cstheme="majorBidi" w:hint="eastAsia"/>
          <w:b/>
          <w:bCs/>
          <w:sz w:val="28"/>
          <w:szCs w:val="28"/>
        </w:rPr>
        <w:t>总则</w:t>
      </w:r>
      <w:bookmarkEnd w:id="37"/>
    </w:p>
    <w:p>
      <w:pPr>
        <w:rPr>
          <w:rFonts w:ascii="黑体" w:eastAsia="黑体" w:hAnsi="宋体"/>
          <w:sz w:val="24"/>
        </w:rPr>
      </w:pPr>
      <w:bookmarkStart w:id="38" w:name="_Hlk72439706"/>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9" w:name="_Hlk72399729"/>
      <w:r>
        <w:rPr>
          <w:rFonts w:ascii="宋体" w:hAnsi="宋体" w:hint="eastAsia"/>
          <w:szCs w:val="21"/>
        </w:rPr>
        <w:t>如有需要，政府集中采购机构可以对通用条款的内容进行补充。</w:t>
      </w:r>
      <w:bookmarkEnd w:id="39"/>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0"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1"/>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0"/>
    </w:p>
    <w:p>
      <w:pPr>
        <w:ind w:firstLine="412" w:firstLineChars="196"/>
        <w:rPr>
          <w:rFonts w:ascii="宋体" w:hAnsi="宋体"/>
        </w:rPr>
      </w:pPr>
    </w:p>
    <w:p>
      <w:pPr>
        <w:pStyle w:val="Heading2"/>
        <w:numPr>
          <w:ilvl w:val="0"/>
          <w:numId w:val="8"/>
        </w:numPr>
        <w:spacing w:before="156" w:beforeLines="50" w:after="156"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2"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2"/>
    </w:p>
    <w:p>
      <w:pPr>
        <w:rPr>
          <w:rFonts w:ascii="宋体" w:hAnsi="宋体"/>
          <w:szCs w:val="21"/>
        </w:rPr>
      </w:pPr>
    </w:p>
    <w:p>
      <w:pPr>
        <w:pStyle w:val="Heading2"/>
        <w:numPr>
          <w:ilvl w:val="0"/>
          <w:numId w:val="8"/>
        </w:numPr>
        <w:spacing w:before="156" w:beforeLines="50" w:after="156"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43"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3"/>
    </w:p>
    <w:p>
      <w:pPr>
        <w:rPr>
          <w:rFonts w:ascii="黑体" w:eastAsia="黑体" w:hAnsi="宋体"/>
          <w:sz w:val="24"/>
        </w:rPr>
      </w:pPr>
      <w:r>
        <w:rPr>
          <w:rFonts w:ascii="黑体" w:eastAsia="黑体" w:hAnsi="宋体" w:hint="eastAsia"/>
          <w:sz w:val="24"/>
        </w:rPr>
        <w:t>15．</w:t>
      </w:r>
      <w:bookmarkStart w:id="44"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44"/>
    </w:p>
    <w:p>
      <w:pPr>
        <w:rPr>
          <w:rFonts w:ascii="黑体" w:eastAsia="黑体" w:hAnsi="宋体"/>
          <w:sz w:val="24"/>
        </w:rPr>
      </w:pPr>
      <w:r>
        <w:rPr>
          <w:rFonts w:ascii="黑体" w:eastAsia="黑体" w:hAnsi="宋体" w:hint="eastAsia"/>
          <w:sz w:val="24"/>
        </w:rPr>
        <w:t>18．</w:t>
      </w:r>
      <w:bookmarkStart w:id="4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5"/>
    </w:p>
    <w:p>
      <w:pPr>
        <w:rPr>
          <w:rFonts w:ascii="黑体" w:eastAsia="黑体" w:hAnsi="宋体"/>
          <w:sz w:val="24"/>
        </w:rPr>
      </w:pPr>
      <w:r>
        <w:rPr>
          <w:rFonts w:ascii="黑体" w:eastAsia="黑体" w:hAnsi="宋体" w:hint="eastAsia"/>
          <w:sz w:val="24"/>
        </w:rPr>
        <w:t>19．</w:t>
      </w:r>
      <w:bookmarkStart w:id="46"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7" w:name="_Hlk71407299"/>
      <w:bookmarkEnd w:id="47"/>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46"/>
    </w:p>
    <w:p>
      <w:pPr>
        <w:ind w:firstLine="412" w:firstLineChars="196"/>
        <w:rPr>
          <w:rFonts w:ascii="宋体" w:hAnsi="宋体"/>
          <w:szCs w:val="21"/>
        </w:rPr>
      </w:pPr>
      <w:bookmarkStart w:id="4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8"/>
    </w:p>
    <w:p>
      <w:pPr>
        <w:rPr>
          <w:rFonts w:ascii="黑体" w:eastAsia="黑体" w:hAnsi="宋体"/>
          <w:sz w:val="24"/>
        </w:rPr>
      </w:pPr>
      <w:r>
        <w:rPr>
          <w:rFonts w:ascii="黑体" w:eastAsia="黑体" w:hAnsi="宋体" w:hint="eastAsia"/>
          <w:sz w:val="24"/>
        </w:rPr>
        <w:t>21．</w:t>
      </w:r>
      <w:bookmarkStart w:id="49"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9"/>
    </w:p>
    <w:p>
      <w:pPr>
        <w:rPr>
          <w:rFonts w:ascii="黑体" w:eastAsia="黑体" w:hAnsi="宋体"/>
          <w:sz w:val="24"/>
        </w:rPr>
      </w:pPr>
      <w:r>
        <w:rPr>
          <w:rFonts w:ascii="黑体" w:eastAsia="黑体" w:hAnsi="宋体" w:hint="eastAsia"/>
          <w:sz w:val="24"/>
        </w:rPr>
        <w:t>23．</w:t>
      </w:r>
      <w:bookmarkStart w:id="5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0"/>
    </w:p>
    <w:p>
      <w:pPr>
        <w:ind w:firstLine="412" w:firstLineChars="196"/>
        <w:rPr>
          <w:rFonts w:ascii="宋体" w:hAnsi="宋体"/>
          <w:szCs w:val="21"/>
        </w:rPr>
      </w:pPr>
    </w:p>
    <w:p>
      <w:pPr>
        <w:pStyle w:val="Heading2"/>
        <w:numPr>
          <w:ilvl w:val="0"/>
          <w:numId w:val="8"/>
        </w:numPr>
        <w:spacing w:before="156" w:beforeLines="50" w:after="156" w:afterLines="50"/>
        <w:ind w:left="562" w:hanging="562"/>
        <w:rPr>
          <w:sz w:val="28"/>
          <w:szCs w:val="28"/>
        </w:rPr>
      </w:pPr>
      <w:r>
        <w:rPr>
          <w:rFonts w:hint="eastAsia"/>
          <w:sz w:val="28"/>
          <w:szCs w:val="28"/>
        </w:rPr>
        <w:t>投标文件的递交</w:t>
      </w:r>
    </w:p>
    <w:p>
      <w:pPr>
        <w:rPr>
          <w:rFonts w:ascii="黑体" w:eastAsia="黑体" w:hAnsi="宋体"/>
          <w:sz w:val="24"/>
        </w:rPr>
      </w:pPr>
      <w:bookmarkStart w:id="51"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lang w:val="en-US" w:eastAsia="zh-CN"/>
        </w:rPr>
        <w:t>一</w:t>
      </w:r>
      <w:r>
        <w:rPr>
          <w:rFonts w:ascii="宋体" w:hAnsi="宋体" w:hint="eastAsia"/>
          <w:b/>
          <w:bCs/>
        </w:rPr>
        <w:t>楼</w:t>
      </w:r>
      <w:r>
        <w:rPr>
          <w:rFonts w:ascii="宋体" w:hAnsi="宋体" w:hint="eastAsia"/>
          <w:b/>
          <w:bCs/>
          <w:lang w:val="en-US" w:eastAsia="zh-CN"/>
        </w:rPr>
        <w:t>服务大厅</w:t>
      </w:r>
      <w:r>
        <w:rPr>
          <w:rFonts w:ascii="宋体" w:hAnsi="宋体" w:hint="eastAsia"/>
          <w:b/>
          <w:bCs/>
        </w:rPr>
        <w:t>（地址：</w:t>
      </w:r>
      <w:r>
        <w:rPr>
          <w:rFonts w:ascii="宋体" w:hAnsi="宋体" w:hint="eastAsia"/>
          <w:b/>
          <w:bCs/>
          <w:lang w:val="en-US" w:eastAsia="zh-CN"/>
        </w:rPr>
        <w:t>深圳市宝安区湖滨东路40号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bookmarkEnd w:id="51"/>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2"/>
    </w:p>
    <w:p>
      <w:pPr>
        <w:pStyle w:val="Heading2"/>
        <w:numPr>
          <w:ilvl w:val="0"/>
          <w:numId w:val="8"/>
        </w:numPr>
        <w:spacing w:before="156" w:beforeLines="50" w:after="156"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8"/>
        </w:numPr>
        <w:spacing w:before="156" w:beforeLines="50" w:after="156"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5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8"/>
        </w:numPr>
        <w:spacing w:before="156" w:beforeLines="50" w:after="156"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5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4"/>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55" w:name="_Toc73517673"/>
      <w:bookmarkStart w:id="56" w:name="_Toc100052400"/>
      <w:bookmarkStart w:id="57" w:name="_Toc73521669"/>
      <w:bookmarkStart w:id="58" w:name="_Toc73518151"/>
      <w:bookmarkStart w:id="59" w:name="_Toc73521581"/>
      <w:r>
        <w:rPr>
          <w:rFonts w:ascii="黑体" w:eastAsia="黑体" w:hAnsi="宋体" w:hint="eastAsia"/>
          <w:sz w:val="24"/>
        </w:rPr>
        <w:t>34．错误的修正</w:t>
      </w:r>
      <w:bookmarkEnd w:id="55"/>
      <w:bookmarkEnd w:id="56"/>
      <w:bookmarkEnd w:id="57"/>
      <w:bookmarkEnd w:id="58"/>
      <w:bookmarkEnd w:id="59"/>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0"/>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8"/>
        </w:numPr>
        <w:spacing w:before="156" w:beforeLines="50" w:after="156"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61"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62" w:name="_Hlk73821177"/>
      <w:r>
        <w:rPr>
          <w:rFonts w:ascii="ˎ̥" w:hAnsi="ˎ̥" w:hint="eastAsia"/>
          <w:lang w:val="en-US" w:eastAsia="zh-CN"/>
        </w:rPr>
        <w:t>唯一候选</w:t>
      </w:r>
      <w:r>
        <w:rPr>
          <w:rFonts w:ascii="ˎ̥" w:hAnsi="ˎ̥" w:hint="eastAsia"/>
        </w:rPr>
        <w:t>中标供应商</w:t>
      </w:r>
      <w:bookmarkEnd w:id="62"/>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为唯一</w:t>
      </w:r>
      <w:r>
        <w:rPr>
          <w:rFonts w:ascii="ˎ̥" w:hAnsi="ˎ̥" w:hint="eastAsia"/>
          <w:lang w:val="en-US" w:eastAsia="zh-CN"/>
        </w:rPr>
        <w:t>候选</w:t>
      </w:r>
      <w:r>
        <w:rPr>
          <w:rFonts w:ascii="ˎ̥" w:hAnsi="ˎ̥" w:hint="eastAsia"/>
        </w:rPr>
        <w:t>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ascii="ˎ̥" w:hAnsi="ˎ̥" w:hint="eastAsia"/>
          <w:lang w:eastAsia="zh-CN"/>
        </w:rPr>
        <w:t>（</w:t>
      </w:r>
      <w:r>
        <w:rPr>
          <w:rFonts w:ascii="ˎ̥" w:hAnsi="ˎ̥" w:hint="eastAsia"/>
          <w:lang w:val="en-US" w:eastAsia="zh-CN"/>
        </w:rPr>
        <w:t>如“专用条款”中另有规定的以“专用条款”相关规定内容为准</w:t>
      </w:r>
      <w:r>
        <w:rPr>
          <w:rFonts w:ascii="ˎ̥" w:hAnsi="ˎ̥" w:hint="eastAsia"/>
          <w:lang w:eastAsia="zh-CN"/>
        </w:rPr>
        <w:t>）</w:t>
      </w:r>
      <w:r>
        <w:rPr>
          <w:rFonts w:ascii="ˎ̥" w:hAnsi="ˎ̥" w:hint="eastAsia"/>
        </w:rPr>
        <w:t>。如唯一候选中标供应商被认定投标或中标无效，采购人应当重新开展采购活动</w:t>
      </w:r>
      <w:r>
        <w:rPr>
          <w:rFonts w:ascii="ˎ̥" w:hAnsi="ˎ̥" w:hint="eastAsia"/>
          <w:lang w:eastAsia="zh-CN"/>
        </w:rPr>
        <w:t>。</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3"/>
      <w:bookmarkEnd w:id="6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61"/>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6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5"/>
      <w:bookmarkStart w:id="6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6"/>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68" w:name="_Hlk71407340"/>
      <w:r>
        <w:rPr>
          <w:rFonts w:ascii="宋体" w:hAnsi="宋体" w:hint="eastAsia"/>
          <w:szCs w:val="21"/>
        </w:rPr>
        <w:t>41.3因质疑投诉或其它原因导致项目结果变更或采购终止的，政府集中采购机构有权吊销中标通知书。</w:t>
      </w:r>
      <w:bookmarkEnd w:id="68"/>
    </w:p>
    <w:p>
      <w:pPr>
        <w:ind w:firstLine="412" w:firstLineChars="196"/>
        <w:rPr>
          <w:rFonts w:ascii="宋体" w:hAnsi="宋体"/>
          <w:szCs w:val="21"/>
        </w:rPr>
      </w:pPr>
    </w:p>
    <w:p>
      <w:pPr>
        <w:pStyle w:val="Heading2"/>
        <w:numPr>
          <w:ilvl w:val="0"/>
          <w:numId w:val="8"/>
        </w:numPr>
        <w:spacing w:before="156" w:beforeLines="50" w:after="156"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8"/>
        </w:numPr>
        <w:spacing w:before="156" w:beforeLines="50" w:after="156" w:afterLines="50"/>
        <w:ind w:left="562" w:hanging="562"/>
        <w:rPr>
          <w:sz w:val="28"/>
          <w:szCs w:val="28"/>
        </w:rPr>
      </w:pPr>
      <w:bookmarkStart w:id="69" w:name="_Hlk72439043"/>
      <w:r>
        <w:rPr>
          <w:rFonts w:hint="eastAsia"/>
          <w:sz w:val="28"/>
          <w:szCs w:val="28"/>
        </w:rPr>
        <w:t>合同的授予与备案</w:t>
      </w:r>
      <w:bookmarkEnd w:id="69"/>
    </w:p>
    <w:p>
      <w:pPr>
        <w:rPr>
          <w:rFonts w:ascii="黑体" w:eastAsia="黑体" w:hAnsi="宋体"/>
          <w:sz w:val="24"/>
        </w:rPr>
      </w:pPr>
      <w:bookmarkStart w:id="70" w:name="_Toc73517679"/>
      <w:bookmarkStart w:id="71" w:name="_Toc100052408"/>
      <w:bookmarkStart w:id="72" w:name="_Toc73521586"/>
      <w:bookmarkStart w:id="73" w:name="_Toc73518157"/>
      <w:bookmarkStart w:id="74" w:name="_Toc73521674"/>
      <w:bookmarkStart w:id="75" w:name="_Hlk72439088"/>
      <w:r>
        <w:rPr>
          <w:rFonts w:ascii="黑体" w:eastAsia="黑体" w:hAnsi="宋体" w:hint="eastAsia"/>
          <w:sz w:val="24"/>
        </w:rPr>
        <w:t>43．合同授予标准</w:t>
      </w:r>
      <w:bookmarkEnd w:id="70"/>
      <w:bookmarkEnd w:id="71"/>
      <w:bookmarkEnd w:id="72"/>
      <w:bookmarkEnd w:id="73"/>
      <w:bookmarkEnd w:id="7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76" w:name="_Toc73521675"/>
      <w:bookmarkStart w:id="77" w:name="_Toc73517680"/>
      <w:bookmarkStart w:id="78" w:name="_Toc73521587"/>
      <w:bookmarkStart w:id="79" w:name="_Toc100052409"/>
      <w:bookmarkStart w:id="80" w:name="_Toc73518158"/>
      <w:r>
        <w:rPr>
          <w:rFonts w:ascii="黑体" w:eastAsia="黑体" w:hAnsi="宋体" w:hint="eastAsia"/>
          <w:sz w:val="24"/>
        </w:rPr>
        <w:t>44．</w:t>
      </w:r>
      <w:bookmarkEnd w:id="76"/>
      <w:bookmarkEnd w:id="77"/>
      <w:bookmarkEnd w:id="78"/>
      <w:bookmarkEnd w:id="79"/>
      <w:bookmarkEnd w:id="8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1" w:name="_Toc73521677"/>
      <w:bookmarkStart w:id="82" w:name="_Toc73517682"/>
      <w:bookmarkStart w:id="83" w:name="_Toc73518160"/>
      <w:bookmarkStart w:id="84" w:name="_Toc100052410"/>
      <w:bookmarkStart w:id="85" w:name="_Toc73521589"/>
      <w:r>
        <w:rPr>
          <w:rFonts w:ascii="黑体" w:eastAsia="黑体" w:hAnsi="宋体" w:hint="eastAsia"/>
          <w:sz w:val="24"/>
        </w:rPr>
        <w:t>45．合同的签订</w:t>
      </w:r>
      <w:bookmarkEnd w:id="81"/>
      <w:bookmarkEnd w:id="82"/>
      <w:bookmarkEnd w:id="83"/>
      <w:bookmarkEnd w:id="84"/>
      <w:bookmarkEnd w:id="8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86" w:name="_Toc73517683"/>
      <w:bookmarkStart w:id="87" w:name="_Toc73521678"/>
      <w:bookmarkStart w:id="88" w:name="_Toc73518161"/>
      <w:bookmarkStart w:id="89" w:name="_Toc100052411"/>
      <w:bookmarkStart w:id="90" w:name="_Toc73521590"/>
      <w:r>
        <w:rPr>
          <w:rFonts w:ascii="黑体" w:eastAsia="黑体" w:hAnsi="宋体" w:hint="eastAsia"/>
          <w:sz w:val="24"/>
        </w:rPr>
        <w:t>46．履约担保</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黑体" w:eastAsia="黑体" w:hAnsi="宋体"/>
          <w:sz w:val="24"/>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91" w:name="_Hlk72440769"/>
      <w:r>
        <w:rPr>
          <w:rFonts w:ascii="宋体" w:hAnsi="宋体" w:hint="eastAsia"/>
          <w:szCs w:val="21"/>
        </w:rPr>
        <w:t>政府集中采购机构或采购人不予退还其交纳的谈判保证金，情节严重的，并由主管部门</w:t>
      </w:r>
      <w:bookmarkEnd w:id="9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5"/>
    </w:p>
    <w:p>
      <w:pPr>
        <w:pStyle w:val="Heading2"/>
        <w:numPr>
          <w:ilvl w:val="0"/>
          <w:numId w:val="8"/>
        </w:numPr>
        <w:spacing w:before="156" w:beforeLines="50" w:after="156" w:afterLines="50"/>
        <w:ind w:left="562" w:hanging="562"/>
        <w:rPr>
          <w:sz w:val="28"/>
          <w:szCs w:val="28"/>
        </w:rPr>
      </w:pPr>
      <w:r>
        <w:rPr>
          <w:rFonts w:hint="eastAsia"/>
          <w:sz w:val="28"/>
          <w:szCs w:val="28"/>
        </w:rPr>
        <w:t>质疑处理</w:t>
      </w:r>
    </w:p>
    <w:p>
      <w:pPr>
        <w:rPr>
          <w:rFonts w:ascii="黑体" w:eastAsia="黑体" w:hAnsi="宋体"/>
          <w:sz w:val="24"/>
        </w:rPr>
      </w:pPr>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92" w:name="_Hlk75374941"/>
      <w:r>
        <w:rPr>
          <w:rFonts w:ascii="宋体" w:hAnsi="宋体" w:hint="eastAsia"/>
          <w:szCs w:val="21"/>
        </w:rPr>
        <w:t>以联合体形式参与的，质疑应当由组成联合体的所有成员共同提出</w:t>
      </w:r>
      <w:bookmarkEnd w:id="92"/>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p>
    <w:p>
      <w:pPr>
        <w:jc w:val="center"/>
        <w:rPr>
          <w:rFonts w:ascii="Times New Roman" w:eastAsia="宋体" w:hAnsi="Times New Roman" w:cs="Times New Roman"/>
          <w:szCs w:val="24"/>
        </w:rPr>
      </w:pPr>
      <w:r>
        <w:rPr>
          <w:rFonts w:ascii="Times New Roman" w:eastAsia="宋体" w:hAnsi="Times New Roman" w:cs="Times New Roman"/>
          <w:szCs w:val="24"/>
        </w:rPr>
        <w:t>---- END ----</w:t>
      </w:r>
      <w:bookmarkEnd w:id="38"/>
    </w:p>
    <w:p>
      <w:pPr>
        <w:rPr>
          <w:b/>
          <w:color w:val="FF0000"/>
          <w:sz w:val="52"/>
          <w:szCs w:val="52"/>
        </w:rPr>
      </w:pPr>
    </w:p>
    <w:p>
      <w:pPr>
        <w:rPr>
          <w:rFonts w:ascii="宋体" w:eastAsia="黑体" w:hAnsi="宋体" w:cs="Times New Roman"/>
          <w:b/>
          <w:bCs/>
          <w:color w:val="0000FF"/>
          <w:kern w:val="44"/>
          <w:sz w:val="36"/>
          <w:szCs w:val="44"/>
        </w:rPr>
      </w:pPr>
    </w:p>
    <w:sectPr>
      <w:headerReference w:type="even" r:id="rId10"/>
      <w:footerReference w:type="even" r:id="rId11"/>
      <w:footerReference w:type="default" r:id="rId12"/>
      <w:headerReference w:type="first" r:id="rId13"/>
      <w:footerReference w:type="first" r:id="rId14"/>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docPartObj>
        <w:docPartGallery w:val="autotext"/>
      </w:docPartObj>
    </w:sdtPr>
    <w:sdtContent>
      <w:p>
        <w:pPr>
          <w:pStyle w:val="Footer"/>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singleLevel"/>
    <w:tmpl w:val="B5E306ED"/>
    <w:lvl w:ilvl="0">
      <w:start w:val="3"/>
      <w:numFmt w:val="chineseCounting"/>
      <w:suff w:val="space"/>
      <w:lvlText w:val="第%1条"/>
      <w:lvlJc w:val="left"/>
      <w:rPr>
        <w:rFonts w:hint="eastAsia"/>
      </w:rPr>
    </w:lvl>
  </w:abstractNum>
  <w:abstractNum w:abstractNumId="1">
    <w:nsid w:val="BF205925"/>
    <w:multiLevelType w:val="multilevel"/>
    <w:tmpl w:val="BF20592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CB21311E"/>
    <w:multiLevelType w:val="singleLevel"/>
    <w:tmpl w:val="CB21311E"/>
    <w:lvl w:ilvl="0">
      <w:start w:val="1"/>
      <w:numFmt w:val="chineseCounting"/>
      <w:suff w:val="nothing"/>
      <w:lvlText w:val="（%1）"/>
      <w:lvlJc w:val="left"/>
      <w:rPr>
        <w:rFonts w:hint="eastAsia"/>
      </w:rPr>
    </w:lvl>
  </w:abstractNum>
  <w:abstractNum w:abstractNumId="3">
    <w:nsid w:val="CF092B84"/>
    <w:multiLevelType w:val="multilevel"/>
    <w:tmpl w:val="CF092B84"/>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03D62ECE"/>
    <w:multiLevelType w:val="multilevel"/>
    <w:tmpl w:val="03D62ECE"/>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0EA9968C"/>
    <w:multiLevelType w:val="multilevel"/>
    <w:tmpl w:val="0EA9968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752BB04"/>
    <w:multiLevelType w:val="singleLevel"/>
    <w:tmpl w:val="3752BB04"/>
    <w:lvl w:ilvl="0">
      <w:start w:val="1"/>
      <w:numFmt w:val="decimal"/>
      <w:lvlText w:val="%1."/>
      <w:lvlJc w:val="left"/>
      <w:pPr>
        <w:ind w:left="425" w:hanging="425"/>
      </w:pPr>
      <w:rPr>
        <w:rFonts w:hint="default"/>
      </w:rPr>
    </w:lvl>
  </w:abstractNum>
  <w:abstractNum w:abstractNumId="7">
    <w:nsid w:val="59ADCABA"/>
    <w:multiLevelType w:val="multilevel"/>
    <w:tmpl w:val="59ADCABA"/>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2"/>
  </w:num>
  <w:num w:numId="3">
    <w:abstractNumId w:val="6"/>
  </w:num>
  <w:num w:numId="4">
    <w:abstractNumId w:val="3"/>
  </w:num>
  <w:num w:numId="5">
    <w:abstractNumId w:val="7"/>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ZThkZmY1YjQxY2E2MWQ1MDA5NDYyYmRiZGZjZmMifQ=="/>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qFormat="1"/>
    <w:lsdException w:name="HTML Address"/>
    <w:lsdException w:name="HTML Cite"/>
    <w:lsdException w:name="HTML Code"/>
    <w:lsdException w:name="HTML Definition" w:qFormat="1"/>
    <w:lsdException w:name="HTML Keyboard"/>
    <w:lsdException w:name="HTML Preformatted"/>
    <w:lsdException w:name="HTML Sample" w:qFormat="1"/>
    <w:lsdException w:name="HTML Typewriter" w:qFormat="1"/>
    <w:lsdException w:name="HTML Variable" w:qFormat="1"/>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autoRedefine/>
    <w:qFormat/>
    <w:pPr>
      <w:keepNext/>
      <w:keepLines/>
      <w:spacing w:before="340" w:afterLines="25" w:line="578" w:lineRule="auto"/>
      <w:outlineLvl w:val="0"/>
    </w:pPr>
    <w:rPr>
      <w:rFonts w:ascii="Arial" w:eastAsia="宋体" w:hAnsi="Arial" w:cs="Times New Roman"/>
      <w:b/>
      <w:bCs/>
      <w:kern w:val="44"/>
      <w:sz w:val="44"/>
      <w:szCs w:val="44"/>
    </w:rPr>
  </w:style>
  <w:style w:type="paragraph" w:styleId="Heading2">
    <w:name w:val="heading 2"/>
    <w:basedOn w:val="Heading3"/>
    <w:next w:val="Heading4"/>
    <w:link w:val="2Char"/>
    <w:autoRedefine/>
    <w:uiPriority w:val="9"/>
    <w:semiHidden/>
    <w:unhideWhenUsed/>
    <w:qFormat/>
    <w:pPr>
      <w:keepNext/>
      <w:keepLines/>
      <w:spacing w:before="260" w:after="260" w:line="416" w:lineRule="auto"/>
      <w:outlineLvl w:val="1"/>
    </w:pPr>
    <w:rPr>
      <w:rFonts w:asciiTheme="majorHAnsi" w:eastAsiaTheme="majorEastAsia" w:hAnsiTheme="majorHAnsi" w:cstheme="majorBidi"/>
      <w:sz w:val="32"/>
      <w:szCs w:val="32"/>
    </w:rPr>
  </w:style>
  <w:style w:type="paragraph" w:styleId="Heading3">
    <w:name w:val="heading 3"/>
    <w:basedOn w:val="Normal"/>
    <w:next w:val="Normal"/>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autoRedefine/>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autoRedefine/>
    <w:qFormat/>
    <w:pPr>
      <w:ind w:firstLine="420"/>
    </w:pPr>
    <w:rPr>
      <w:szCs w:val="20"/>
    </w:rPr>
  </w:style>
  <w:style w:type="paragraph" w:styleId="DocumentMap">
    <w:name w:val="Document Map"/>
    <w:basedOn w:val="Normal"/>
    <w:autoRedefine/>
    <w:uiPriority w:val="99"/>
    <w:semiHidden/>
    <w:unhideWhenUsed/>
    <w:qFormat/>
    <w:rPr>
      <w:rFonts w:ascii="宋体" w:eastAsia="宋体"/>
      <w:sz w:val="18"/>
      <w:szCs w:val="18"/>
    </w:rPr>
  </w:style>
  <w:style w:type="paragraph" w:styleId="CommentText">
    <w:name w:val="annotation text"/>
    <w:basedOn w:val="Normal"/>
    <w:autoRedefine/>
    <w:uiPriority w:val="99"/>
    <w:unhideWhenUsed/>
    <w:qFormat/>
    <w:pPr>
      <w:jc w:val="left"/>
    </w:pPr>
  </w:style>
  <w:style w:type="paragraph" w:styleId="BodyText">
    <w:name w:val="Body Text"/>
    <w:basedOn w:val="Normal"/>
    <w:next w:val="Normal"/>
    <w:autoRedefine/>
    <w:qFormat/>
    <w:pPr>
      <w:spacing w:line="360" w:lineRule="auto"/>
    </w:pPr>
    <w:rPr>
      <w:b/>
      <w:bCs/>
      <w:sz w:val="24"/>
    </w:rPr>
  </w:style>
  <w:style w:type="paragraph" w:styleId="BalloonText">
    <w:name w:val="Balloon Text"/>
    <w:basedOn w:val="Normal"/>
    <w:autoRedefine/>
    <w:uiPriority w:val="99"/>
    <w:semiHidden/>
    <w:unhideWhenUsed/>
    <w:qFormat/>
    <w:rPr>
      <w:sz w:val="18"/>
      <w:szCs w:val="18"/>
    </w:rPr>
  </w:style>
  <w:style w:type="paragraph" w:styleId="Footer">
    <w:name w:val="footer"/>
    <w:basedOn w:val="Normal"/>
    <w:autoRedefine/>
    <w:uiPriority w:val="99"/>
    <w:unhideWhenUsed/>
    <w:qFormat/>
    <w:pPr>
      <w:tabs>
        <w:tab w:val="center" w:pos="4153"/>
        <w:tab w:val="right" w:pos="8306"/>
      </w:tabs>
      <w:snapToGrid w:val="0"/>
      <w:jc w:val="left"/>
    </w:pPr>
    <w:rPr>
      <w:sz w:val="18"/>
      <w:szCs w:val="18"/>
    </w:rPr>
  </w:style>
  <w:style w:type="paragraph" w:styleId="Header">
    <w:name w:val="header"/>
    <w:basedOn w:val="Normal"/>
    <w:autoRedefine/>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autoRedefine/>
    <w:qFormat/>
    <w:pPr>
      <w:spacing w:line="360" w:lineRule="auto"/>
    </w:pPr>
    <w:rPr>
      <w:sz w:val="24"/>
    </w:rPr>
  </w:style>
  <w:style w:type="paragraph" w:styleId="NormalWeb">
    <w:name w:val="Normal (Web)"/>
    <w:basedOn w:val="Normal"/>
    <w:autoRedefine/>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autoRedefine/>
    <w:uiPriority w:val="99"/>
    <w:semiHidden/>
    <w:unhideWhenUsed/>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FollowedHyperlink">
    <w:name w:val="FollowedHyperlink"/>
    <w:basedOn w:val="DefaultParagraphFont"/>
    <w:autoRedefine/>
    <w:uiPriority w:val="99"/>
    <w:semiHidden/>
    <w:unhideWhenUsed/>
    <w:qFormat/>
    <w:rPr>
      <w:color w:val="800080" w:themeColor="followedHyperlink"/>
      <w:u w:val="single"/>
    </w:rPr>
  </w:style>
  <w:style w:type="character" w:styleId="Emphasis">
    <w:name w:val="Emphasis"/>
    <w:basedOn w:val="DefaultParagraphFont"/>
    <w:autoRedefine/>
    <w:uiPriority w:val="20"/>
    <w:qFormat/>
    <w:rPr>
      <w:b/>
      <w:bCs/>
    </w:rPr>
  </w:style>
  <w:style w:type="character" w:styleId="HTMLDefinition">
    <w:name w:val="HTML Definition"/>
    <w:basedOn w:val="DefaultParagraphFont"/>
    <w:autoRedefine/>
    <w:uiPriority w:val="99"/>
    <w:semiHidden/>
    <w:unhideWhenUsed/>
    <w:qFormat/>
  </w:style>
  <w:style w:type="character" w:styleId="HTMLTypewriter">
    <w:name w:val="HTML Typewriter"/>
    <w:basedOn w:val="DefaultParagraphFont"/>
    <w:autoRedefine/>
    <w:uiPriority w:val="99"/>
    <w:semiHidden/>
    <w:unhideWhenUsed/>
    <w:qFormat/>
    <w:rPr>
      <w:rFonts w:ascii="monospace" w:eastAsia="monospace" w:hAnsi="monospace" w:cs="monospace" w:hint="default"/>
      <w:sz w:val="20"/>
    </w:rPr>
  </w:style>
  <w:style w:type="character" w:styleId="HTMLAcronym">
    <w:name w:val="HTML Acronym"/>
    <w:basedOn w:val="DefaultParagraphFont"/>
    <w:uiPriority w:val="99"/>
    <w:semiHidden/>
    <w:unhideWhenUsed/>
    <w:qFormat/>
  </w:style>
  <w:style w:type="character" w:styleId="HTMLVariable">
    <w:name w:val="HTML Variable"/>
    <w:basedOn w:val="DefaultParagraphFont"/>
    <w:autoRedefine/>
    <w:uiPriority w:val="99"/>
    <w:semiHidden/>
    <w:unhideWhenUsed/>
    <w:qFormat/>
  </w:style>
  <w:style w:type="character" w:styleId="Hyperlink">
    <w:name w:val="Hyperlink"/>
    <w:basedOn w:val="DefaultParagraphFont"/>
    <w:autoRedefine/>
    <w:uiPriority w:val="99"/>
    <w:unhideWhenUsed/>
    <w:qFormat/>
    <w:rPr>
      <w:color w:val="0000FF" w:themeColor="hyperlink"/>
      <w:u w:val="single"/>
    </w:rPr>
  </w:style>
  <w:style w:type="character" w:styleId="HTMLCode">
    <w:name w:val="HTML Code"/>
    <w:basedOn w:val="DefaultParagraphFont"/>
    <w:autoRedefine/>
    <w:uiPriority w:val="99"/>
    <w:semiHidden/>
    <w:unhideWhenUsed/>
    <w:rPr>
      <w:rFonts w:ascii="monospace" w:eastAsia="monospace" w:hAnsi="monospace" w:cs="monospace" w:hint="default"/>
      <w:sz w:val="20"/>
    </w:rPr>
  </w:style>
  <w:style w:type="character" w:styleId="CommentReference">
    <w:name w:val="annotation reference"/>
    <w:basedOn w:val="DefaultParagraphFont"/>
    <w:autoRedefine/>
    <w:uiPriority w:val="99"/>
    <w:semiHidden/>
    <w:unhideWhenUsed/>
    <w:qFormat/>
    <w:rPr>
      <w:sz w:val="21"/>
      <w:szCs w:val="21"/>
    </w:rPr>
  </w:style>
  <w:style w:type="character" w:styleId="HTMLCite">
    <w:name w:val="HTML Cite"/>
    <w:basedOn w:val="DefaultParagraphFont"/>
    <w:autoRedefine/>
    <w:uiPriority w:val="99"/>
    <w:semiHidden/>
    <w:unhideWhenUsed/>
  </w:style>
  <w:style w:type="character" w:styleId="HTMLKeyboard">
    <w:name w:val="HTML Keyboard"/>
    <w:basedOn w:val="DefaultParagraphFont"/>
    <w:autoRedefine/>
    <w:uiPriority w:val="99"/>
    <w:semiHidden/>
    <w:unhideWhenUsed/>
    <w:rPr>
      <w:rFonts w:ascii="monospace" w:eastAsia="monospace" w:hAnsi="monospace" w:cs="monospace"/>
      <w:sz w:val="20"/>
    </w:rPr>
  </w:style>
  <w:style w:type="character" w:styleId="HTMLSample">
    <w:name w:val="HTML Sample"/>
    <w:basedOn w:val="DefaultParagraphFont"/>
    <w:uiPriority w:val="99"/>
    <w:semiHidden/>
    <w:unhideWhenUsed/>
    <w:qFormat/>
    <w:rPr>
      <w:rFonts w:ascii="monospace" w:eastAsia="monospace" w:hAnsi="monospace" w:cs="monospace" w:hint="default"/>
    </w:rPr>
  </w:style>
  <w:style w:type="character" w:customStyle="1" w:styleId="Char">
    <w:name w:val="页眉 Char"/>
    <w:basedOn w:val="DefaultParagraphFont"/>
    <w:autoRedefine/>
    <w:uiPriority w:val="99"/>
    <w:semiHidden/>
    <w:qFormat/>
    <w:rPr>
      <w:sz w:val="18"/>
      <w:szCs w:val="18"/>
    </w:rPr>
  </w:style>
  <w:style w:type="character" w:customStyle="1" w:styleId="Char0">
    <w:name w:val="页脚 Char"/>
    <w:basedOn w:val="DefaultParagraphFont"/>
    <w:autoRedefine/>
    <w:uiPriority w:val="99"/>
    <w:qFormat/>
    <w:rPr>
      <w:sz w:val="18"/>
      <w:szCs w:val="18"/>
    </w:rPr>
  </w:style>
  <w:style w:type="character" w:customStyle="1" w:styleId="Char1">
    <w:name w:val="批注框文本 Char"/>
    <w:basedOn w:val="DefaultParagraphFont"/>
    <w:autoRedefine/>
    <w:uiPriority w:val="99"/>
    <w:semiHidden/>
    <w:qFormat/>
    <w:rPr>
      <w:sz w:val="18"/>
      <w:szCs w:val="18"/>
    </w:rPr>
  </w:style>
  <w:style w:type="character" w:customStyle="1" w:styleId="Char2">
    <w:name w:val="普通(网站) Char"/>
    <w:autoRedefine/>
    <w:uiPriority w:val="99"/>
    <w:qFormat/>
    <w:rPr>
      <w:rFonts w:ascii="宋体" w:hAnsi="宋体"/>
      <w:sz w:val="24"/>
      <w:szCs w:val="24"/>
    </w:rPr>
  </w:style>
  <w:style w:type="character" w:customStyle="1" w:styleId="1Char">
    <w:name w:val="标题 1 Char"/>
    <w:basedOn w:val="DefaultParagraphFont"/>
    <w:link w:val="Heading1"/>
    <w:qFormat/>
    <w:rPr>
      <w:rFonts w:ascii="Arial" w:eastAsia="宋体" w:hAnsi="Arial" w:cs="Times New Roman"/>
      <w:b/>
      <w:bCs/>
      <w:kern w:val="44"/>
      <w:sz w:val="44"/>
      <w:szCs w:val="44"/>
    </w:rPr>
  </w:style>
  <w:style w:type="paragraph" w:styleId="ListParagraph">
    <w:name w:val="List Paragraph"/>
    <w:basedOn w:val="Normal"/>
    <w:autoRedefine/>
    <w:uiPriority w:val="34"/>
    <w:qFormat/>
    <w:pPr>
      <w:ind w:firstLine="420" w:firstLineChars="200"/>
    </w:pPr>
  </w:style>
  <w:style w:type="character" w:customStyle="1" w:styleId="Char3">
    <w:name w:val="文档结构图 Char"/>
    <w:basedOn w:val="DefaultParagraphFont"/>
    <w:autoRedefine/>
    <w:uiPriority w:val="99"/>
    <w:semiHidden/>
    <w:qFormat/>
    <w:rPr>
      <w:rFonts w:ascii="宋体" w:eastAsia="宋体"/>
      <w:sz w:val="18"/>
      <w:szCs w:val="18"/>
    </w:rPr>
  </w:style>
  <w:style w:type="character" w:customStyle="1" w:styleId="2Char">
    <w:name w:val="标题 2 Char"/>
    <w:basedOn w:val="DefaultParagraphFont"/>
    <w:link w:val="Heading2"/>
    <w:autoRedefine/>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autoRedefine/>
    <w:uiPriority w:val="99"/>
    <w:qFormat/>
  </w:style>
  <w:style w:type="character" w:customStyle="1" w:styleId="3Char">
    <w:name w:val="标题 3 Char"/>
    <w:autoRedefine/>
    <w:qFormat/>
    <w:rPr>
      <w:rFonts w:ascii="黑体" w:eastAsia="黑体"/>
      <w:bCs/>
      <w:sz w:val="30"/>
    </w:rPr>
  </w:style>
  <w:style w:type="character" w:customStyle="1" w:styleId="Char5">
    <w:name w:val="批注主题 Char"/>
    <w:basedOn w:val="Char4"/>
    <w:autoRedefine/>
    <w:uiPriority w:val="99"/>
    <w:semiHidden/>
    <w:qFormat/>
    <w:rPr>
      <w:b/>
      <w:bCs/>
    </w:rPr>
  </w:style>
  <w:style w:type="table" w:customStyle="1" w:styleId="1">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31">
    <w:name w:val="font31"/>
    <w:autoRedefine/>
    <w:qFormat/>
    <w:rPr>
      <w:rFonts w:ascii="宋体" w:eastAsia="宋体" w:hAnsi="宋体" w:cs="宋体" w:hint="eastAsia"/>
      <w:color w:val="000000"/>
      <w:sz w:val="22"/>
      <w:szCs w:val="22"/>
      <w:u w:val="none"/>
    </w:rPr>
  </w:style>
  <w:style w:type="character" w:customStyle="1" w:styleId="hover">
    <w:name w:val="hover"/>
    <w:basedOn w:val="DefaultParagraphFont"/>
    <w:autoRedefine/>
    <w:rPr>
      <w:color w:val="2590EB"/>
      <w:shd w:val="clear" w:color="auto" w:fill="E9F4FD"/>
    </w:rPr>
  </w:style>
  <w:style w:type="character" w:customStyle="1" w:styleId="hover1">
    <w:name w:val="hover1"/>
    <w:basedOn w:val="DefaultParagraphFont"/>
    <w:autoRedefine/>
    <w:qFormat/>
  </w:style>
  <w:style w:type="character" w:customStyle="1" w:styleId="hover2">
    <w:name w:val="hover2"/>
    <w:basedOn w:val="DefaultParagraphFont"/>
    <w:rPr>
      <w:color w:val="2590EB"/>
    </w:rPr>
  </w:style>
  <w:style w:type="character" w:customStyle="1" w:styleId="hover3">
    <w:name w:val="hover3"/>
    <w:basedOn w:val="DefaultParagraphFont"/>
    <w:qFormat/>
    <w:rPr>
      <w:color w:val="2590EB"/>
    </w:rPr>
  </w:style>
  <w:style w:type="character" w:customStyle="1" w:styleId="hover4">
    <w:name w:val="hover4"/>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2.xml" /><Relationship Id="rId14" Type="http://schemas.openxmlformats.org/officeDocument/2006/relationships/footer" Target="footer3.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2024-04-09T03:41:54Z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0</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a2967b57-97d5-47e6-bfe7-5e5c1edbf97b}">
  <ds:schemaRefs/>
</ds:datastoreItem>
</file>

<file path=customXml/itemProps2.xml><?xml version="1.0" encoding="utf-8"?>
<ds:datastoreItem xmlns:ds="http://schemas.openxmlformats.org/officeDocument/2006/customXml" ds:itemID="{2b272c5e-4834-4962-9f7d-2d87acc8fdd2}">
  <ds:schemaRefs/>
</ds:datastoreItem>
</file>

<file path=customXml/itemProps3.xml><?xml version="1.0" encoding="utf-8"?>
<ds:datastoreItem xmlns:ds="http://schemas.openxmlformats.org/officeDocument/2006/customXml" ds:itemID="{4841f916-8da6-4282-8729-0903d896686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6654</Words>
  <Characters>37933</Characters>
  <Application>Microsoft Office Word</Application>
  <DocSecurity>0</DocSecurity>
  <Lines>316</Lines>
  <Paragraphs>88</Paragraphs>
  <ScaleCrop>false</ScaleCrop>
  <Company>Microsoft</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wjx</cp:lastModifiedBy>
  <cp:revision>426</cp:revision>
  <cp:lastPrinted>2021-01-15T01:17:00Z</cp:lastPrinted>
  <dcterms:created xsi:type="dcterms:W3CDTF">2021-03-03T00:56:00Z</dcterms:created>
  <dcterms:modified xsi:type="dcterms:W3CDTF">2024-04-22T05:52:29Z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E199077A401B469CB7043F15F5E2E609_13</vt:lpwstr>
  </property>
  <property fmtid="{D5CDD505-2E9C-101B-9397-08002B2CF9AE}" pid="3" name="KSOProductBuildVer">
    <vt:lpwstr>2052-12.1.0.16417</vt:lpwstr>
  </property>
</Properties>
</file>