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Times New Roman" w:eastAsia="宋体" w:hAnsi="Times New Roman" w:cs="Times New Roman" w:hint="eastAsia"/>
          <w:b/>
          <w:bCs/>
          <w:kern w:val="0"/>
          <w:sz w:val="40"/>
          <w:szCs w:val="40"/>
          <w:lang w:eastAsia="zh-CN"/>
        </w:rPr>
      </w:pPr>
      <w:bookmarkStart w:id="0" w:name="_GoBack"/>
      <w:bookmarkEnd w:id="0"/>
      <w:r>
        <w:rPr>
          <w:rFonts w:ascii="Times New Roman" w:eastAsia="宋体" w:hAnsi="Times New Roman" w:cs="Times New Roman" w:hint="eastAsia"/>
          <w:b/>
          <w:bCs/>
          <w:kern w:val="0"/>
          <w:sz w:val="40"/>
          <w:szCs w:val="40"/>
          <w:lang w:eastAsia="zh-CN"/>
        </w:rPr>
        <w:t>宝安区孝德学校理科实验考试设备采购项目</w:t>
      </w:r>
    </w:p>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38" w:type="dxa"/>
        <w:jc w:val="center"/>
        <w:tblCellSpacing w:w="0" w:type="dxa"/>
        <w:tblCellMar>
          <w:top w:w="36" w:type="dxa"/>
          <w:left w:w="36" w:type="dxa"/>
          <w:bottom w:w="36" w:type="dxa"/>
          <w:right w:w="36" w:type="dxa"/>
        </w:tblCellMar>
      </w:tblPr>
      <w:tblGrid>
        <w:gridCol w:w="2722"/>
        <w:gridCol w:w="5216"/>
      </w:tblGrid>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2722" w:type="dxa"/>
            <w:vAlign w:val="center"/>
          </w:tcPr>
          <w:p>
            <w:pPr>
              <w:jc w:val="right"/>
              <w:rPr>
                <w:sz w:val="30"/>
                <w:szCs w:val="30"/>
              </w:rPr>
            </w:pPr>
            <w:r>
              <w:rPr>
                <w:sz w:val="30"/>
                <w:szCs w:val="30"/>
              </w:rPr>
              <w:t>项目编号：</w:t>
            </w:r>
          </w:p>
        </w:tc>
        <w:tc>
          <w:tcPr>
            <w:tcW w:w="0" w:type="auto"/>
            <w:vAlign w:val="center"/>
          </w:tcPr>
          <w:p>
            <w:pPr>
              <w:rPr>
                <w:rFonts w:eastAsiaTheme="minorEastAsia" w:hint="eastAsia"/>
                <w:sz w:val="30"/>
                <w:szCs w:val="30"/>
                <w:lang w:eastAsia="zh-CN"/>
              </w:rPr>
            </w:pPr>
            <w:r>
              <w:rPr>
                <w:rFonts w:asciiTheme="minorEastAsia" w:hAnsiTheme="minorEastAsia" w:hint="eastAsia"/>
                <w:sz w:val="30"/>
                <w:szCs w:val="30"/>
                <w:lang w:eastAsia="zh-CN"/>
              </w:rPr>
              <w:t>BACG2024000097</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项目名称：</w:t>
            </w:r>
          </w:p>
        </w:tc>
        <w:tc>
          <w:tcPr>
            <w:tcW w:w="0" w:type="auto"/>
            <w:vAlign w:val="center"/>
          </w:tcPr>
          <w:p>
            <w:pPr>
              <w:rPr>
                <w:rFonts w:eastAsiaTheme="minorEastAsia" w:hint="eastAsia"/>
                <w:sz w:val="30"/>
                <w:szCs w:val="30"/>
                <w:lang w:eastAsia="zh-CN"/>
              </w:rPr>
            </w:pPr>
            <w:r>
              <w:rPr>
                <w:rFonts w:asciiTheme="minorEastAsia" w:hAnsiTheme="minorEastAsia" w:hint="eastAsia"/>
                <w:sz w:val="30"/>
                <w:szCs w:val="30"/>
                <w:lang w:eastAsia="zh-CN"/>
              </w:rPr>
              <w:t>宝安区孝德学校理科实验考试设备采购项目</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包</w:t>
            </w:r>
            <w:r>
              <w:rPr>
                <w:rFonts w:hint="eastAsia"/>
                <w:sz w:val="30"/>
                <w:szCs w:val="30"/>
                <w:lang w:val="en-US" w:eastAsia="zh-CN"/>
              </w:rPr>
              <w:t xml:space="preserve">    </w:t>
            </w:r>
            <w:r>
              <w:rPr>
                <w:sz w:val="30"/>
                <w:szCs w:val="30"/>
              </w:rPr>
              <w:t>号：</w:t>
            </w:r>
          </w:p>
        </w:tc>
        <w:tc>
          <w:tcPr>
            <w:tcW w:w="0" w:type="auto"/>
            <w:vAlign w:val="center"/>
          </w:tcPr>
          <w:p>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项目类型：</w:t>
            </w:r>
          </w:p>
        </w:tc>
        <w:tc>
          <w:tcPr>
            <w:tcW w:w="0" w:type="auto"/>
            <w:vAlign w:val="center"/>
          </w:tcPr>
          <w:p>
            <w:pPr>
              <w:rPr>
                <w:sz w:val="30"/>
                <w:szCs w:val="30"/>
              </w:rPr>
            </w:pPr>
            <w:r>
              <w:rPr>
                <w:rFonts w:hint="eastAsia"/>
                <w:sz w:val="30"/>
                <w:szCs w:val="30"/>
                <w:lang w:val="en-US" w:eastAsia="zh-CN"/>
              </w:rPr>
              <w:t>货物</w:t>
            </w:r>
            <w:r>
              <w:rPr>
                <w:sz w:val="30"/>
                <w:szCs w:val="30"/>
              </w:rPr>
              <w:t>类</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采购方式：</w:t>
            </w:r>
          </w:p>
        </w:tc>
        <w:tc>
          <w:tcPr>
            <w:tcW w:w="0" w:type="auto"/>
            <w:vAlign w:val="center"/>
          </w:tcPr>
          <w:p>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货币类型：</w:t>
            </w:r>
          </w:p>
        </w:tc>
        <w:tc>
          <w:tcPr>
            <w:tcW w:w="0" w:type="auto"/>
            <w:vAlign w:val="center"/>
          </w:tcPr>
          <w:p>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评标方法：</w:t>
            </w:r>
          </w:p>
        </w:tc>
        <w:tc>
          <w:tcPr>
            <w:tcW w:w="0" w:type="auto"/>
            <w:vAlign w:val="center"/>
          </w:tcPr>
          <w:p>
            <w:pPr>
              <w:rPr>
                <w:sz w:val="30"/>
                <w:szCs w:val="30"/>
              </w:rPr>
            </w:pPr>
            <w:r>
              <w:rPr>
                <w:sz w:val="30"/>
                <w:szCs w:val="30"/>
              </w:rPr>
              <w:t>综合评分法（新价格分算法）</w:t>
            </w:r>
          </w:p>
        </w:tc>
      </w:tr>
    </w:tbl>
    <w:p>
      <w:pPr>
        <w:tabs>
          <w:tab w:val="left" w:pos="2790"/>
        </w:tabs>
        <w:snapToGrid w:val="0"/>
        <w:spacing w:line="440" w:lineRule="exact"/>
        <w:jc w:val="left"/>
        <w:rPr>
          <w:rFonts w:asciiTheme="minorEastAsia" w:hAnsiTheme="minorEastAsia"/>
          <w:sz w:val="30"/>
          <w:szCs w:val="3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Style w:val="TableNormal"/>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pPr>
        <w:tabs>
          <w:tab w:val="left" w:pos="2790"/>
        </w:tabs>
        <w:snapToGrid w:val="0"/>
        <w:jc w:val="center"/>
        <w:rPr>
          <w:rFonts w:ascii="黑体" w:eastAsia="黑体" w:hAnsi="黑体" w:cs="Times New Roman"/>
          <w:sz w:val="40"/>
          <w:szCs w:val="4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Style w:val="TableNormal"/>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分项报价或投标总价不得高于</w:t>
            </w:r>
            <w:bookmarkStart w:id="1" w:name="_Hlk71832186"/>
            <w:r>
              <w:rPr>
                <w:rFonts w:hint="eastAsia"/>
              </w:rPr>
              <w:t>相应预算金额（或设定的预算金额下的最高限价）</w:t>
            </w:r>
            <w:bookmarkEnd w:id="1"/>
            <w:r>
              <w:rPr>
                <w:rFonts w:ascii="Calibri" w:eastAsia="宋体" w:hAnsi="Calibri" w:cs="Times New Roman"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投标文件存在列放位置错误，导致属于信息公开情形的没有被公开；</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》中作出声明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法律、法规、规章、规范性文件规定的其他情形。</w:t>
            </w:r>
          </w:p>
        </w:tc>
      </w:tr>
    </w:tbl>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rPr>
          <w:rFonts w:ascii="黑体" w:eastAsia="黑体" w:hAnsi="黑体" w:hint="eastAsia"/>
          <w:sz w:val="40"/>
          <w:szCs w:val="40"/>
        </w:rPr>
      </w:pPr>
      <w:r>
        <w:rPr>
          <w:rFonts w:ascii="黑体" w:eastAsia="黑体" w:hAnsi="黑体" w:hint="eastAsia"/>
          <w:sz w:val="40"/>
          <w:szCs w:val="40"/>
        </w:rPr>
        <w:br w:type="page"/>
      </w:r>
    </w:p>
    <w:p>
      <w:pPr>
        <w:pStyle w:val="NormalWeb"/>
        <w:keepNext w:val="0"/>
        <w:keepLines w:val="0"/>
        <w:pageBreakBefore w:val="0"/>
        <w:widowControl/>
        <w:kinsoku/>
        <w:wordWrap/>
        <w:overflowPunct/>
        <w:topLinePunct w:val="0"/>
        <w:autoSpaceDE/>
        <w:autoSpaceDN/>
        <w:bidi w:val="0"/>
        <w:adjustRightInd/>
        <w:snapToGrid/>
        <w:jc w:val="center"/>
        <w:textAlignment w:val="auto"/>
        <w:outlineLvl w:val="0"/>
        <w:rPr>
          <w:rFonts w:ascii="黑体" w:eastAsia="黑体"/>
          <w:sz w:val="40"/>
          <w:szCs w:val="40"/>
        </w:rPr>
      </w:pPr>
      <w:r>
        <w:rPr>
          <w:rFonts w:ascii="黑体" w:eastAsia="黑体" w:hAnsi="黑体" w:hint="eastAsia"/>
          <w:sz w:val="40"/>
          <w:szCs w:val="40"/>
        </w:rPr>
        <w:t>评标信息</w:t>
      </w:r>
    </w:p>
    <w:p>
      <w:r>
        <w:rPr>
          <w:rFonts w:ascii="宋体" w:hAnsi="宋体"/>
          <w:b/>
          <w:bCs/>
        </w:rPr>
        <w:t>评标方法：综合评分法（新价格分算法）</w:t>
      </w:r>
    </w:p>
    <w:p>
      <w:pPr>
        <w:spacing w:line="324" w:lineRule="auto"/>
        <w:ind w:firstLine="420"/>
      </w:pPr>
      <w:r>
        <w:rPr>
          <w:rFonts w:ascii="宋体" w:hAnsi="宋体"/>
        </w:rPr>
        <w:t>综合评分法，是指投标文件满足招标文件全部实质性要求，且按照评审因素的量化指标评审得分最高的投标人为中标候选人的评标方法。</w:t>
      </w:r>
      <w:r>
        <w:t xml:space="preserve"> </w:t>
      </w:r>
    </w:p>
    <w:p>
      <w:pPr>
        <w:ind w:firstLine="420"/>
      </w:pPr>
      <w:r>
        <w:rPr>
          <w:rFonts w:ascii="宋体" w:hAnsi="宋体"/>
        </w:rPr>
        <w:t>价格分计算方法：</w:t>
      </w:r>
    </w:p>
    <w:p>
      <w:r>
        <w:rPr>
          <w:rFonts w:ascii="宋体" w:hAnsi="宋体"/>
        </w:rPr>
        <w:t>采用低价优先法计算，即满足招标文件要求且投标价格最低的投标报价为评标基准价，其价格分为满分。其他投标人的价格分统一按照下列公式计算：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r>
      <w:r>
        <w:t>F1</w:t>
      </w:r>
      <w:r>
        <w:rPr>
          <w:rFonts w:ascii="宋体" w:hAnsi="宋体"/>
        </w:rPr>
        <w:t>、</w:t>
      </w:r>
      <w:r>
        <w:t>F2……Fn</w:t>
      </w:r>
      <w:r>
        <w:rPr>
          <w:rFonts w:ascii="宋体" w:hAnsi="宋体"/>
        </w:rPr>
        <w:t xml:space="preserve">分别为各项评审因素的得分； </w:t>
      </w:r>
      <w:r>
        <w:br/>
      </w:r>
      <w: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p>
      <w:pPr>
        <w:snapToGrid w:val="0"/>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
      <w:tblGrid>
        <w:gridCol w:w="700"/>
        <w:gridCol w:w="660"/>
        <w:gridCol w:w="1793"/>
        <w:gridCol w:w="1100"/>
        <w:gridCol w:w="4819"/>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Ex>
        <w:trPr>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序号</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评分项</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权重（%）</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1</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价格</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30</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2</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技术部分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default"/>
                <w:b/>
                <w:bCs/>
                <w:sz w:val="21"/>
                <w:szCs w:val="21"/>
                <w:highlight w:val="none"/>
                <w:lang w:val="en-US" w:eastAsia="zh-CN"/>
              </w:rPr>
            </w:pPr>
            <w:r>
              <w:rPr>
                <w:rFonts w:ascii="宋体" w:eastAsia="宋体" w:hAnsi="宋体" w:cs="宋体" w:hint="eastAsia"/>
                <w:b/>
                <w:bCs/>
                <w:sz w:val="21"/>
                <w:szCs w:val="21"/>
                <w:highlight w:val="none"/>
                <w:lang w:val="en-US" w:eastAsia="zh-CN"/>
              </w:rPr>
              <w:t>60</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b/>
                <w:sz w:val="21"/>
                <w:szCs w:val="21"/>
                <w:highlight w:val="none"/>
              </w:rPr>
            </w:pPr>
            <w:r>
              <w:rPr>
                <w:rFonts w:ascii="宋体" w:eastAsia="宋体" w:hAnsi="宋体" w:cs="宋体" w:hint="eastAsia"/>
                <w:bCs/>
                <w:sz w:val="21"/>
                <w:szCs w:val="21"/>
                <w:highlight w:val="none"/>
              </w:rPr>
              <w:t>▲参数响应情况评价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35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top"/>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以投标文件《技术</w:t>
            </w:r>
            <w:r>
              <w:rPr>
                <w:rFonts w:ascii="宋体" w:eastAsia="宋体" w:hAnsi="宋体" w:cs="宋体" w:hint="eastAsia"/>
                <w:sz w:val="21"/>
                <w:szCs w:val="21"/>
                <w:highlight w:val="none"/>
                <w:lang w:val="en-US" w:eastAsia="zh-CN"/>
              </w:rPr>
              <w:t>要求</w:t>
            </w:r>
            <w:r>
              <w:rPr>
                <w:rFonts w:ascii="宋体" w:eastAsia="宋体" w:hAnsi="宋体" w:cs="宋体" w:hint="eastAsia"/>
                <w:sz w:val="21"/>
                <w:szCs w:val="21"/>
                <w:highlight w:val="none"/>
              </w:rPr>
              <w:t>偏离表》响应招标要求情况为评价依据，完全符合招标要求的，得100分。</w:t>
            </w:r>
          </w:p>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有1项</w:t>
            </w:r>
            <w:r>
              <w:rPr>
                <w:rFonts w:ascii="宋体" w:eastAsia="宋体" w:hAnsi="宋体" w:cs="宋体" w:hint="eastAsia"/>
                <w:b/>
                <w:color w:val="0000FF"/>
                <w:sz w:val="21"/>
                <w:szCs w:val="21"/>
                <w:highlight w:val="none"/>
              </w:rPr>
              <w:t>▲号参数</w:t>
            </w:r>
            <w:r>
              <w:rPr>
                <w:rFonts w:ascii="宋体" w:eastAsia="宋体" w:hAnsi="宋体" w:cs="宋体" w:hint="eastAsia"/>
                <w:sz w:val="21"/>
                <w:szCs w:val="21"/>
                <w:highlight w:val="none"/>
              </w:rPr>
              <w:t>不符合招标要求（或缺漏）的扣</w:t>
            </w:r>
            <w:r>
              <w:rPr>
                <w:rFonts w:ascii="宋体" w:eastAsia="宋体" w:hAnsi="宋体" w:cs="宋体" w:hint="eastAsia"/>
                <w:sz w:val="21"/>
                <w:szCs w:val="21"/>
                <w:highlight w:val="none"/>
                <w:lang w:val="en-US" w:eastAsia="zh-CN"/>
              </w:rPr>
              <w:t>15</w:t>
            </w:r>
            <w:r>
              <w:rPr>
                <w:rFonts w:ascii="宋体" w:eastAsia="宋体" w:hAnsi="宋体" w:cs="宋体" w:hint="eastAsia"/>
                <w:sz w:val="21"/>
                <w:szCs w:val="21"/>
                <w:highlight w:val="none"/>
              </w:rPr>
              <w:t>分，最低得0分。</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lang w:val="en-US" w:eastAsia="zh-CN"/>
              </w:rPr>
              <w:t>2</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b/>
                <w:sz w:val="21"/>
                <w:szCs w:val="21"/>
                <w:highlight w:val="none"/>
              </w:rPr>
            </w:pPr>
            <w:r>
              <w:rPr>
                <w:rFonts w:ascii="宋体" w:eastAsia="宋体" w:hAnsi="宋体" w:cs="宋体" w:hint="eastAsia"/>
                <w:bCs/>
                <w:sz w:val="21"/>
                <w:szCs w:val="21"/>
                <w:highlight w:val="none"/>
              </w:rPr>
              <w:t>非▲参数响应情况评价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15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以投标文件《技术</w:t>
            </w:r>
            <w:r>
              <w:rPr>
                <w:rFonts w:ascii="宋体" w:eastAsia="宋体" w:hAnsi="宋体" w:cs="宋体" w:hint="eastAsia"/>
                <w:sz w:val="21"/>
                <w:szCs w:val="21"/>
                <w:highlight w:val="none"/>
                <w:lang w:val="en-US" w:eastAsia="zh-CN"/>
              </w:rPr>
              <w:t>要求</w:t>
            </w:r>
            <w:r>
              <w:rPr>
                <w:rFonts w:ascii="宋体" w:eastAsia="宋体" w:hAnsi="宋体" w:cs="宋体" w:hint="eastAsia"/>
                <w:sz w:val="21"/>
                <w:szCs w:val="21"/>
                <w:highlight w:val="none"/>
              </w:rPr>
              <w:t>偏离表》响应招标要求情况为评价依据，完全符合招标要求的，得100分。</w:t>
            </w:r>
          </w:p>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有1项</w:t>
            </w:r>
            <w:r>
              <w:rPr>
                <w:rFonts w:ascii="宋体" w:eastAsia="宋体" w:hAnsi="宋体" w:cs="宋体" w:hint="eastAsia"/>
                <w:b/>
                <w:color w:val="0000FF"/>
                <w:sz w:val="21"/>
                <w:szCs w:val="21"/>
                <w:highlight w:val="none"/>
              </w:rPr>
              <w:t>非▲号参数</w:t>
            </w:r>
            <w:r>
              <w:rPr>
                <w:rFonts w:ascii="宋体" w:eastAsia="宋体" w:hAnsi="宋体" w:cs="宋体" w:hint="eastAsia"/>
                <w:sz w:val="21"/>
                <w:szCs w:val="21"/>
                <w:highlight w:val="none"/>
              </w:rPr>
              <w:t>不符合招标要求（或缺漏）的扣</w:t>
            </w:r>
            <w:r>
              <w:rPr>
                <w:rFonts w:ascii="宋体" w:eastAsia="宋体" w:hAnsi="宋体" w:cs="宋体" w:hint="eastAsia"/>
                <w:sz w:val="21"/>
                <w:szCs w:val="21"/>
                <w:highlight w:val="none"/>
                <w:lang w:val="en-US" w:eastAsia="zh-CN"/>
              </w:rPr>
              <w:t>1.5</w:t>
            </w:r>
            <w:r>
              <w:rPr>
                <w:rFonts w:ascii="宋体" w:eastAsia="宋体" w:hAnsi="宋体" w:cs="宋体" w:hint="eastAsia"/>
                <w:sz w:val="21"/>
                <w:szCs w:val="21"/>
                <w:highlight w:val="none"/>
              </w:rPr>
              <w:t>分，最低得0分。</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lang w:val="en-US" w:eastAsia="zh-CN"/>
              </w:rPr>
              <w:t>3</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sz w:val="21"/>
                <w:szCs w:val="21"/>
                <w:highlight w:val="none"/>
              </w:rPr>
            </w:pPr>
            <w:r>
              <w:rPr>
                <w:rFonts w:ascii="宋体" w:eastAsia="宋体" w:hAnsi="宋体" w:cs="宋体" w:hint="eastAsia"/>
                <w:sz w:val="21"/>
                <w:szCs w:val="21"/>
                <w:highlight w:val="none"/>
              </w:rPr>
              <w:t>项目施工方案评价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6</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top"/>
          </w:tcPr>
          <w:p>
            <w:pPr>
              <w:widowControl/>
              <w:snapToGrid w:val="0"/>
              <w:spacing w:line="320" w:lineRule="exact"/>
              <w:jc w:val="left"/>
              <w:rPr>
                <w:rFonts w:ascii="宋体" w:hAnsi="宋体" w:cs="宋体"/>
                <w:szCs w:val="21"/>
              </w:rPr>
            </w:pPr>
            <w:r>
              <w:rPr>
                <w:rFonts w:ascii="宋体" w:hAnsi="宋体" w:cs="宋体" w:hint="eastAsia"/>
                <w:szCs w:val="21"/>
              </w:rPr>
              <w:t xml:space="preserve">（一）评审内容： </w:t>
            </w:r>
          </w:p>
          <w:p>
            <w:pPr>
              <w:widowControl/>
              <w:snapToGrid w:val="0"/>
              <w:spacing w:line="320" w:lineRule="exact"/>
              <w:jc w:val="left"/>
              <w:rPr>
                <w:rFonts w:ascii="宋体" w:hAnsi="宋体" w:cs="宋体"/>
                <w:szCs w:val="21"/>
              </w:rPr>
            </w:pPr>
            <w:r>
              <w:rPr>
                <w:rFonts w:ascii="宋体" w:hAnsi="宋体" w:cs="宋体" w:hint="eastAsia"/>
                <w:szCs w:val="21"/>
              </w:rPr>
              <w:t>投标人提供本项目施工方案内容进行评审，包括但不限于以下内容：</w:t>
            </w:r>
          </w:p>
          <w:p>
            <w:pPr>
              <w:widowControl/>
              <w:snapToGrid w:val="0"/>
              <w:spacing w:line="320" w:lineRule="exact"/>
              <w:jc w:val="left"/>
              <w:rPr>
                <w:rFonts w:ascii="宋体" w:hAnsi="宋体" w:cs="宋体"/>
                <w:szCs w:val="21"/>
              </w:rPr>
            </w:pPr>
            <w:r>
              <w:rPr>
                <w:rFonts w:ascii="宋体" w:hAnsi="宋体" w:cs="宋体" w:hint="eastAsia"/>
                <w:szCs w:val="21"/>
              </w:rPr>
              <w:t>1、供货方案；</w:t>
            </w:r>
          </w:p>
          <w:p>
            <w:pPr>
              <w:widowControl/>
              <w:snapToGrid w:val="0"/>
              <w:spacing w:line="320" w:lineRule="exact"/>
              <w:jc w:val="left"/>
              <w:rPr>
                <w:rFonts w:ascii="宋体" w:hAnsi="宋体" w:cs="宋体"/>
                <w:szCs w:val="21"/>
              </w:rPr>
            </w:pPr>
            <w:r>
              <w:rPr>
                <w:rFonts w:ascii="宋体" w:hAnsi="宋体" w:cs="宋体" w:hint="eastAsia"/>
                <w:szCs w:val="21"/>
              </w:rPr>
              <w:t>2、质量保障措施；</w:t>
            </w:r>
          </w:p>
          <w:p>
            <w:pPr>
              <w:widowControl/>
              <w:snapToGrid w:val="0"/>
              <w:spacing w:line="320" w:lineRule="exact"/>
              <w:jc w:val="left"/>
              <w:rPr>
                <w:rFonts w:ascii="宋体" w:hAnsi="宋体" w:cs="宋体"/>
                <w:szCs w:val="21"/>
              </w:rPr>
            </w:pPr>
            <w:r>
              <w:rPr>
                <w:rFonts w:ascii="宋体" w:hAnsi="宋体" w:cs="宋体" w:hint="eastAsia"/>
                <w:szCs w:val="21"/>
              </w:rPr>
              <w:t>3、项目组织构架及实施团队；</w:t>
            </w:r>
          </w:p>
          <w:p>
            <w:pPr>
              <w:widowControl/>
              <w:snapToGrid w:val="0"/>
              <w:spacing w:line="320" w:lineRule="exact"/>
              <w:jc w:val="left"/>
              <w:rPr>
                <w:rFonts w:ascii="宋体" w:hAnsi="宋体" w:cs="宋体"/>
                <w:szCs w:val="21"/>
              </w:rPr>
            </w:pPr>
            <w:r>
              <w:rPr>
                <w:rFonts w:ascii="宋体" w:hAnsi="宋体" w:cs="宋体" w:hint="eastAsia"/>
                <w:szCs w:val="21"/>
              </w:rPr>
              <w:t>4、设备安装方案和施工布线设计图。</w:t>
            </w:r>
          </w:p>
          <w:p>
            <w:pPr>
              <w:widowControl/>
              <w:snapToGrid w:val="0"/>
              <w:spacing w:line="320" w:lineRule="exact"/>
              <w:ind w:firstLine="420" w:firstLineChars="200"/>
              <w:jc w:val="left"/>
              <w:rPr>
                <w:rFonts w:ascii="宋体" w:hAnsi="宋体" w:cs="宋体"/>
                <w:szCs w:val="21"/>
              </w:rPr>
            </w:pPr>
            <w:r>
              <w:rPr>
                <w:rFonts w:ascii="宋体" w:hAnsi="宋体" w:cs="宋体" w:hint="eastAsia"/>
                <w:szCs w:val="21"/>
              </w:rPr>
              <w:t>提供的方案满足上述四点得 60分，满足任意三点得40分，满足任意两点得20分，满足任意一点得 10分，未满足不得分。</w:t>
            </w:r>
          </w:p>
          <w:p>
            <w:pPr>
              <w:widowControl/>
              <w:snapToGrid w:val="0"/>
              <w:spacing w:line="320" w:lineRule="exact"/>
              <w:ind w:firstLine="420" w:firstLineChars="200"/>
              <w:jc w:val="left"/>
              <w:rPr>
                <w:rFonts w:ascii="宋体" w:hAnsi="宋体" w:cs="宋体"/>
                <w:color w:val="000000"/>
                <w:szCs w:val="21"/>
              </w:rPr>
            </w:pPr>
            <w:r>
              <w:rPr>
                <w:rFonts w:ascii="宋体" w:hAnsi="宋体" w:cs="宋体" w:hint="eastAsia"/>
                <w:color w:val="000000"/>
                <w:szCs w:val="21"/>
              </w:rPr>
              <w:t>在此基础上，由评审委员会对具体响应内容进一步评审：</w:t>
            </w:r>
          </w:p>
          <w:p>
            <w:pPr>
              <w:widowControl/>
              <w:snapToGrid w:val="0"/>
              <w:spacing w:line="320" w:lineRule="exact"/>
              <w:jc w:val="left"/>
              <w:rPr>
                <w:rFonts w:ascii="宋体" w:hAnsi="宋体" w:cs="宋体"/>
                <w:szCs w:val="21"/>
              </w:rPr>
            </w:pPr>
            <w:r>
              <w:rPr>
                <w:rFonts w:ascii="宋体" w:hAnsi="宋体" w:cs="宋体" w:hint="eastAsia"/>
                <w:szCs w:val="21"/>
              </w:rPr>
              <w:t>①施工方案内容非常全面、具体，可操作性、针对性极强，极科学合理的（且提供现场各角度照片不少于5张），得40分；</w:t>
            </w:r>
          </w:p>
          <w:p>
            <w:pPr>
              <w:widowControl/>
              <w:snapToGrid w:val="0"/>
              <w:spacing w:line="320" w:lineRule="exact"/>
              <w:jc w:val="left"/>
              <w:rPr>
                <w:rFonts w:ascii="宋体" w:hAnsi="宋体" w:cs="宋体"/>
                <w:szCs w:val="21"/>
              </w:rPr>
            </w:pPr>
            <w:r>
              <w:rPr>
                <w:rFonts w:ascii="宋体" w:hAnsi="宋体" w:cs="宋体" w:hint="eastAsia"/>
                <w:szCs w:val="21"/>
              </w:rPr>
              <w:t>②施工方案内容全面、具体，可操作性、针对性强，科学合理的，得30分；</w:t>
            </w:r>
          </w:p>
          <w:p>
            <w:pPr>
              <w:widowControl/>
              <w:snapToGrid w:val="0"/>
              <w:spacing w:line="320" w:lineRule="exact"/>
              <w:jc w:val="left"/>
              <w:rPr>
                <w:rFonts w:ascii="宋体" w:hAnsi="宋体" w:cs="宋体"/>
                <w:szCs w:val="21"/>
              </w:rPr>
            </w:pPr>
            <w:r>
              <w:rPr>
                <w:rFonts w:ascii="宋体" w:hAnsi="宋体" w:cs="宋体" w:hint="eastAsia"/>
                <w:szCs w:val="21"/>
              </w:rPr>
              <w:t>③施工方案内容较为全面、具体，可操作性、针对性较强，较科学合理的，得20分；</w:t>
            </w:r>
          </w:p>
          <w:p>
            <w:pPr>
              <w:widowControl/>
              <w:snapToGrid w:val="0"/>
              <w:spacing w:line="320" w:lineRule="exact"/>
              <w:jc w:val="left"/>
              <w:rPr>
                <w:rFonts w:ascii="宋体" w:hAnsi="宋体" w:cs="宋体"/>
                <w:szCs w:val="21"/>
              </w:rPr>
            </w:pPr>
            <w:r>
              <w:rPr>
                <w:rFonts w:ascii="宋体" w:hAnsi="宋体" w:cs="宋体" w:hint="eastAsia"/>
                <w:szCs w:val="21"/>
              </w:rPr>
              <w:t>④施工方案内容一般，可操作性、针对性一般的，得10分；</w:t>
            </w:r>
          </w:p>
          <w:p>
            <w:pPr>
              <w:widowControl/>
              <w:snapToGrid w:val="0"/>
              <w:spacing w:line="320" w:lineRule="exact"/>
              <w:jc w:val="left"/>
              <w:rPr>
                <w:rFonts w:ascii="宋体" w:eastAsia="宋体" w:hAnsi="宋体" w:cs="宋体" w:hint="eastAsia"/>
                <w:kern w:val="2"/>
                <w:sz w:val="21"/>
                <w:szCs w:val="21"/>
                <w:highlight w:val="none"/>
                <w:lang w:val="en-US" w:eastAsia="zh-CN" w:bidi="ar-SA"/>
              </w:rPr>
            </w:pPr>
            <w:r>
              <w:rPr>
                <w:rFonts w:ascii="宋体" w:hAnsi="宋体" w:cs="宋体" w:hint="eastAsia"/>
                <w:szCs w:val="21"/>
              </w:rPr>
              <w:t>⑤施工方案内容不合理，可操作性、针对性差、不科学合理的，不得分。</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lang w:val="en-US" w:eastAsia="zh-CN"/>
              </w:rPr>
              <w:t>4</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sz w:val="21"/>
                <w:szCs w:val="21"/>
                <w:highlight w:val="none"/>
              </w:rPr>
            </w:pPr>
            <w:r>
              <w:rPr>
                <w:rFonts w:ascii="宋体" w:eastAsia="宋体" w:hAnsi="宋体" w:cs="宋体" w:hint="eastAsia"/>
                <w:bCs/>
                <w:sz w:val="21"/>
                <w:szCs w:val="21"/>
                <w:highlight w:val="none"/>
              </w:rPr>
              <w:t>售后服务评价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4</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top"/>
          </w:tcPr>
          <w:p>
            <w:pPr>
              <w:autoSpaceDE w:val="0"/>
              <w:autoSpaceDN w:val="0"/>
              <w:adjustRightInd w:val="0"/>
              <w:spacing w:line="320" w:lineRule="exact"/>
              <w:rPr>
                <w:rFonts w:ascii="宋体" w:hAnsi="宋体" w:cs="宋体"/>
                <w:szCs w:val="21"/>
              </w:rPr>
            </w:pPr>
            <w:r>
              <w:rPr>
                <w:rFonts w:ascii="宋体" w:hAnsi="宋体" w:cs="宋体" w:hint="eastAsia"/>
                <w:szCs w:val="21"/>
              </w:rPr>
              <w:t>（一）评审内容：</w:t>
            </w:r>
          </w:p>
          <w:p>
            <w:pPr>
              <w:spacing w:line="320" w:lineRule="exact"/>
              <w:rPr>
                <w:rFonts w:ascii="宋体" w:hAnsi="宋体" w:cs="宋体"/>
                <w:szCs w:val="21"/>
              </w:rPr>
            </w:pPr>
            <w:r>
              <w:rPr>
                <w:rFonts w:ascii="宋体" w:hAnsi="宋体" w:cs="宋体" w:hint="eastAsia"/>
                <w:szCs w:val="21"/>
              </w:rPr>
              <w:t>对投标人提供的售后服务方案进行评价，内容包括但不限于：</w:t>
            </w:r>
          </w:p>
          <w:p>
            <w:pPr>
              <w:spacing w:line="320" w:lineRule="exact"/>
              <w:rPr>
                <w:rFonts w:ascii="宋体" w:hAnsi="宋体" w:cs="宋体"/>
                <w:szCs w:val="21"/>
              </w:rPr>
            </w:pPr>
            <w:r>
              <w:rPr>
                <w:rFonts w:ascii="宋体" w:hAnsi="宋体" w:cs="宋体" w:hint="eastAsia"/>
                <w:szCs w:val="21"/>
              </w:rPr>
              <w:t>1、服务内容方案；</w:t>
            </w:r>
          </w:p>
          <w:p>
            <w:pPr>
              <w:spacing w:line="320" w:lineRule="exact"/>
              <w:rPr>
                <w:rFonts w:ascii="宋体" w:hAnsi="宋体" w:cs="宋体"/>
                <w:szCs w:val="21"/>
              </w:rPr>
            </w:pPr>
            <w:r>
              <w:rPr>
                <w:rFonts w:ascii="宋体" w:hAnsi="宋体" w:cs="宋体" w:hint="eastAsia"/>
                <w:szCs w:val="21"/>
              </w:rPr>
              <w:t>2、响应时间安排；</w:t>
            </w:r>
          </w:p>
          <w:p>
            <w:pPr>
              <w:spacing w:line="320" w:lineRule="exact"/>
              <w:rPr>
                <w:rFonts w:ascii="宋体" w:hAnsi="宋体" w:cs="宋体"/>
                <w:szCs w:val="21"/>
              </w:rPr>
            </w:pPr>
            <w:r>
              <w:rPr>
                <w:rFonts w:ascii="宋体" w:hAnsi="宋体" w:cs="宋体" w:hint="eastAsia"/>
                <w:szCs w:val="21"/>
              </w:rPr>
              <w:t>3、维修应急方案；</w:t>
            </w:r>
          </w:p>
          <w:p>
            <w:pPr>
              <w:spacing w:line="320" w:lineRule="exact"/>
              <w:rPr>
                <w:rFonts w:ascii="宋体" w:hAnsi="宋体" w:cs="宋体"/>
                <w:szCs w:val="21"/>
              </w:rPr>
            </w:pPr>
            <w:r>
              <w:rPr>
                <w:rFonts w:ascii="宋体" w:hAnsi="宋体" w:cs="宋体" w:hint="eastAsia"/>
                <w:szCs w:val="21"/>
              </w:rPr>
              <w:t>4、培训计划。</w:t>
            </w:r>
          </w:p>
          <w:p>
            <w:pPr>
              <w:autoSpaceDE w:val="0"/>
              <w:autoSpaceDN w:val="0"/>
              <w:adjustRightInd w:val="0"/>
              <w:spacing w:line="320" w:lineRule="exact"/>
              <w:ind w:firstLine="420" w:firstLineChars="200"/>
              <w:rPr>
                <w:rFonts w:ascii="宋体" w:hAnsi="宋体" w:cs="宋体"/>
                <w:szCs w:val="21"/>
              </w:rPr>
            </w:pPr>
            <w:r>
              <w:rPr>
                <w:rFonts w:ascii="宋体" w:hAnsi="宋体" w:cs="宋体" w:hint="eastAsia"/>
                <w:szCs w:val="21"/>
              </w:rPr>
              <w:t>提供的方案每满足上述1点的得15分，最高得60分；</w:t>
            </w:r>
          </w:p>
          <w:p>
            <w:pPr>
              <w:spacing w:line="320" w:lineRule="exact"/>
              <w:ind w:firstLine="420" w:firstLineChars="200"/>
              <w:rPr>
                <w:rFonts w:ascii="宋体" w:hAnsi="宋体" w:cs="宋体"/>
                <w:szCs w:val="21"/>
              </w:rPr>
            </w:pPr>
            <w:r>
              <w:rPr>
                <w:rFonts w:ascii="宋体" w:hAnsi="宋体" w:cs="宋体" w:hint="eastAsia"/>
                <w:color w:val="000000"/>
                <w:szCs w:val="21"/>
              </w:rPr>
              <w:t>在此基础上，由评审委员会对具体响应内容进一步评审</w:t>
            </w:r>
            <w:r>
              <w:rPr>
                <w:rFonts w:ascii="宋体" w:hAnsi="宋体" w:cs="宋体" w:hint="eastAsia"/>
                <w:szCs w:val="21"/>
              </w:rPr>
              <w:t>:</w:t>
            </w:r>
          </w:p>
          <w:p>
            <w:pPr>
              <w:spacing w:line="320" w:lineRule="exact"/>
              <w:rPr>
                <w:rFonts w:ascii="宋体" w:hAnsi="宋体" w:cs="宋体"/>
                <w:szCs w:val="21"/>
              </w:rPr>
            </w:pPr>
            <w:r>
              <w:rPr>
                <w:rFonts w:ascii="宋体" w:hAnsi="宋体" w:cs="宋体" w:hint="eastAsia"/>
                <w:szCs w:val="21"/>
              </w:rPr>
              <w:t>①方案极合理、条理极清晰、可操作性极强的得40分；</w:t>
            </w:r>
          </w:p>
          <w:p>
            <w:pPr>
              <w:spacing w:line="320" w:lineRule="exact"/>
              <w:rPr>
                <w:rFonts w:ascii="宋体" w:hAnsi="宋体" w:cs="宋体"/>
                <w:szCs w:val="21"/>
              </w:rPr>
            </w:pPr>
            <w:r>
              <w:rPr>
                <w:rFonts w:ascii="宋体" w:hAnsi="宋体" w:cs="宋体" w:hint="eastAsia"/>
                <w:szCs w:val="21"/>
              </w:rPr>
              <w:t>②方案合理、条理清晰、可操作强的得30分；</w:t>
            </w:r>
          </w:p>
          <w:p>
            <w:pPr>
              <w:spacing w:line="320" w:lineRule="exact"/>
              <w:rPr>
                <w:rFonts w:ascii="宋体" w:hAnsi="宋体" w:cs="宋体"/>
                <w:szCs w:val="21"/>
              </w:rPr>
            </w:pPr>
            <w:r>
              <w:rPr>
                <w:rFonts w:ascii="宋体" w:hAnsi="宋体" w:cs="宋体" w:hint="eastAsia"/>
                <w:szCs w:val="21"/>
              </w:rPr>
              <w:t>③方案较合理、条理较清晰、可操作较强的得20分；</w:t>
            </w:r>
          </w:p>
          <w:p>
            <w:pPr>
              <w:spacing w:line="320" w:lineRule="exact"/>
              <w:rPr>
                <w:rFonts w:ascii="宋体" w:hAnsi="宋体" w:cs="宋体"/>
                <w:szCs w:val="21"/>
              </w:rPr>
            </w:pPr>
            <w:r>
              <w:rPr>
                <w:rFonts w:ascii="宋体" w:hAnsi="宋体" w:cs="宋体" w:hint="eastAsia"/>
                <w:szCs w:val="21"/>
              </w:rPr>
              <w:t>④方案一般合理、条理一般、可操作一般的得10分；</w:t>
            </w:r>
          </w:p>
          <w:p>
            <w:pPr>
              <w:pStyle w:val="CommentText"/>
              <w:spacing w:line="320" w:lineRule="exact"/>
              <w:rPr>
                <w:rFonts w:ascii="宋体" w:eastAsia="宋体" w:hAnsi="宋体" w:cs="宋体" w:hint="eastAsia"/>
                <w:sz w:val="21"/>
                <w:szCs w:val="21"/>
                <w:highlight w:val="none"/>
              </w:rPr>
            </w:pPr>
            <w:r>
              <w:rPr>
                <w:rFonts w:ascii="宋体" w:hAnsi="宋体" w:cs="宋体" w:hint="eastAsia"/>
                <w:szCs w:val="21"/>
              </w:rPr>
              <w:t>⑤方案极不合理、条理极不清晰、可操作极差的不得分。</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val="restart"/>
            <w:tcBorders>
              <w:top w:val="single" w:sz="8" w:space="0" w:color="000000"/>
              <w:left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3</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lang w:val="en-US" w:eastAsia="zh-CN"/>
              </w:rPr>
              <w:t>商务</w:t>
            </w:r>
            <w:r>
              <w:rPr>
                <w:rFonts w:ascii="宋体" w:eastAsia="宋体" w:hAnsi="宋体" w:cs="宋体" w:hint="eastAsia"/>
                <w:b/>
                <w:bCs/>
                <w:sz w:val="21"/>
                <w:szCs w:val="21"/>
                <w:highlight w:val="none"/>
              </w:rPr>
              <w:t>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default"/>
                <w:b/>
                <w:bCs/>
                <w:sz w:val="21"/>
                <w:szCs w:val="21"/>
                <w:highlight w:val="none"/>
                <w:lang w:val="en-US" w:eastAsia="zh-CN"/>
              </w:rPr>
            </w:pPr>
            <w:r>
              <w:rPr>
                <w:rFonts w:ascii="宋体" w:eastAsia="宋体" w:hAnsi="宋体" w:cs="宋体" w:hint="eastAsia"/>
                <w:b/>
                <w:bCs/>
                <w:sz w:val="21"/>
                <w:szCs w:val="21"/>
                <w:highlight w:val="none"/>
                <w:lang w:val="en-US" w:eastAsia="zh-CN"/>
              </w:rPr>
              <w:t>5</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同类项目经验评价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3</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pPr>
              <w:pStyle w:val="CommentText"/>
              <w:keepNext w:val="0"/>
              <w:keepLines w:val="0"/>
              <w:pageBreakBefore w:val="0"/>
              <w:kinsoku/>
              <w:wordWrap/>
              <w:overflowPunct/>
              <w:topLinePunct w:val="0"/>
              <w:bidi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（一）评审内容：</w:t>
            </w:r>
          </w:p>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rPr>
              <w:t>投标人</w:t>
            </w:r>
            <w:r>
              <w:rPr>
                <w:rFonts w:ascii="宋体" w:eastAsia="宋体" w:hAnsi="宋体" w:cs="宋体" w:hint="eastAsia"/>
                <w:sz w:val="21"/>
                <w:szCs w:val="21"/>
                <w:highlight w:val="none"/>
                <w:lang w:val="en-US" w:eastAsia="zh-CN"/>
              </w:rPr>
              <w:t>自</w:t>
            </w:r>
            <w:r>
              <w:rPr>
                <w:rFonts w:ascii="宋体" w:eastAsia="宋体" w:hAnsi="宋体" w:cs="宋体" w:hint="eastAsia"/>
                <w:sz w:val="21"/>
                <w:szCs w:val="21"/>
                <w:highlight w:val="none"/>
              </w:rPr>
              <w:t>2021年1月1日</w:t>
            </w:r>
            <w:r>
              <w:rPr>
                <w:rFonts w:ascii="宋体" w:eastAsia="宋体" w:hAnsi="宋体" w:cs="宋体" w:hint="eastAsia"/>
                <w:sz w:val="21"/>
                <w:szCs w:val="21"/>
                <w:highlight w:val="none"/>
                <w:lang w:val="en-US" w:eastAsia="zh-CN"/>
              </w:rPr>
              <w:t>以来（</w:t>
            </w:r>
            <w:r>
              <w:rPr>
                <w:rFonts w:ascii="宋体" w:eastAsia="宋体" w:hAnsi="宋体" w:cs="宋体" w:hint="eastAsia"/>
                <w:sz w:val="21"/>
                <w:szCs w:val="21"/>
                <w:highlight w:val="none"/>
              </w:rPr>
              <w:t>以合同签订时间为准）</w:t>
            </w:r>
            <w:r>
              <w:rPr>
                <w:rFonts w:ascii="宋体" w:eastAsia="宋体" w:hAnsi="宋体" w:cs="宋体" w:hint="eastAsia"/>
                <w:sz w:val="21"/>
                <w:szCs w:val="21"/>
                <w:highlight w:val="none"/>
                <w:lang w:eastAsia="zh-CN"/>
              </w:rPr>
              <w:t>：</w:t>
            </w:r>
          </w:p>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具有理科实验室考试设备类项目业绩经验的，每提供1个得15分，最高得100分。</w:t>
            </w:r>
          </w:p>
          <w:p>
            <w:pPr>
              <w:pStyle w:val="CommentText"/>
              <w:keepNext w:val="0"/>
              <w:keepLines w:val="0"/>
              <w:pageBreakBefore w:val="0"/>
              <w:kinsoku/>
              <w:wordWrap/>
              <w:overflowPunct/>
              <w:topLinePunct w:val="0"/>
              <w:bidi w:val="0"/>
              <w:spacing w:line="32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（二）评审标准：</w:t>
            </w:r>
          </w:p>
          <w:p>
            <w:pPr>
              <w:keepNext w:val="0"/>
              <w:keepLines w:val="0"/>
              <w:pageBreakBefore w:val="0"/>
              <w:kinsoku/>
              <w:wordWrap/>
              <w:overflowPunct/>
              <w:topLinePunct w:val="0"/>
              <w:bidi w:val="0"/>
              <w:spacing w:line="320" w:lineRule="exact"/>
              <w:textAlignment w:val="auto"/>
              <w:rPr>
                <w:rFonts w:ascii="宋体" w:eastAsia="宋体" w:hAnsi="宋体" w:cs="宋体" w:hint="eastAsia"/>
                <w:color w:val="0000FF"/>
                <w:sz w:val="21"/>
                <w:szCs w:val="21"/>
                <w:highlight w:val="none"/>
                <w:lang w:eastAsia="zh-CN"/>
              </w:rPr>
            </w:pPr>
            <w:r>
              <w:rPr>
                <w:rFonts w:ascii="宋体" w:eastAsia="宋体" w:hAnsi="宋体" w:cs="宋体" w:hint="eastAsia"/>
                <w:color w:val="0000FF"/>
                <w:sz w:val="21"/>
                <w:szCs w:val="21"/>
                <w:highlight w:val="none"/>
              </w:rPr>
              <w:t>1、同时提供：①合同关键页（含签订合同双方的单位名称、合同项目名称、含签订合同双方的落款盖章，签订日期的关键页）扫描件；②</w:t>
            </w:r>
            <w:r>
              <w:rPr>
                <w:rFonts w:ascii="宋体" w:eastAsia="宋体" w:hAnsi="宋体" w:cs="宋体" w:hint="eastAsia"/>
                <w:color w:val="0000FF"/>
                <w:sz w:val="21"/>
                <w:szCs w:val="21"/>
                <w:highlight w:val="none"/>
                <w:lang w:val="en-US" w:eastAsia="zh-CN"/>
              </w:rPr>
              <w:t>合同甲方出具的</w:t>
            </w:r>
            <w:r>
              <w:rPr>
                <w:rFonts w:ascii="宋体" w:eastAsia="宋体" w:hAnsi="宋体" w:cs="宋体" w:hint="eastAsia"/>
                <w:color w:val="0000FF"/>
                <w:sz w:val="21"/>
                <w:szCs w:val="21"/>
                <w:highlight w:val="none"/>
              </w:rPr>
              <w:t>验收报告[加盖合同甲方公章（或甲方业务章）]；③项目中标（成交）书证明材料扫描件（需体现项目名称，且与合同项目名称保持一持）</w:t>
            </w:r>
            <w:r>
              <w:rPr>
                <w:rFonts w:ascii="宋体" w:eastAsia="宋体" w:hAnsi="宋体" w:cs="宋体" w:hint="eastAsia"/>
                <w:color w:val="0000FF"/>
                <w:sz w:val="21"/>
                <w:szCs w:val="21"/>
                <w:highlight w:val="none"/>
                <w:lang w:eastAsia="zh-CN"/>
              </w:rPr>
              <w:t>。</w:t>
            </w:r>
          </w:p>
          <w:p>
            <w:pPr>
              <w:keepNext w:val="0"/>
              <w:keepLines w:val="0"/>
              <w:pageBreakBefore w:val="0"/>
              <w:kinsoku/>
              <w:wordWrap/>
              <w:overflowPunct/>
              <w:topLinePunct w:val="0"/>
              <w:bidi w:val="0"/>
              <w:spacing w:line="320" w:lineRule="exact"/>
              <w:textAlignment w:val="auto"/>
              <w:rPr>
                <w:rFonts w:ascii="宋体" w:eastAsia="宋体" w:hAnsi="宋体" w:cs="宋体" w:hint="eastAsia"/>
                <w:bCs/>
                <w:kern w:val="2"/>
                <w:sz w:val="21"/>
                <w:szCs w:val="21"/>
                <w:highlight w:val="none"/>
                <w:lang w:val="en-US" w:eastAsia="zh-CN" w:bidi="ar-SA"/>
              </w:rPr>
            </w:pPr>
            <w:r>
              <w:rPr>
                <w:rFonts w:ascii="宋体" w:eastAsia="宋体" w:hAnsi="宋体" w:cs="宋体" w:hint="eastAsia"/>
                <w:color w:val="0000FF"/>
                <w:sz w:val="21"/>
                <w:szCs w:val="21"/>
                <w:highlight w:val="none"/>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lang w:val="en-US" w:eastAsia="zh-CN"/>
              </w:rPr>
              <w:t>2</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rPr>
              <w:t>政府采购节能环保产品</w:t>
            </w:r>
            <w:r>
              <w:rPr>
                <w:rFonts w:ascii="宋体" w:eastAsia="宋体" w:hAnsi="宋体" w:cs="宋体" w:hint="eastAsia"/>
                <w:sz w:val="21"/>
                <w:szCs w:val="21"/>
                <w:highlight w:val="none"/>
                <w:lang w:val="en-US" w:eastAsia="zh-CN"/>
              </w:rPr>
              <w:t>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default"/>
                <w:b w:val="0"/>
                <w:bCs/>
                <w:sz w:val="21"/>
                <w:szCs w:val="21"/>
                <w:highlight w:val="none"/>
                <w:lang w:val="en-US" w:eastAsia="zh-CN"/>
              </w:rPr>
            </w:pPr>
            <w:r>
              <w:rPr>
                <w:rFonts w:ascii="宋体" w:eastAsia="宋体" w:hAnsi="宋体" w:cs="宋体" w:hint="eastAsia"/>
                <w:b w:val="0"/>
                <w:bCs/>
                <w:sz w:val="21"/>
                <w:szCs w:val="21"/>
                <w:highlight w:val="none"/>
                <w:lang w:val="en-US" w:eastAsia="zh-CN"/>
              </w:rPr>
              <w:t>1</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b/>
                <w:bCs/>
                <w:sz w:val="21"/>
                <w:szCs w:val="21"/>
                <w:highlight w:val="none"/>
                <w:lang w:val="en-US" w:eastAsia="zh-CN"/>
              </w:rPr>
            </w:pPr>
            <w:r>
              <w:rPr>
                <w:rFonts w:ascii="宋体" w:eastAsia="宋体" w:hAnsi="宋体" w:cs="宋体" w:hint="eastAsia"/>
                <w:b/>
                <w:bCs/>
                <w:sz w:val="21"/>
                <w:szCs w:val="21"/>
                <w:highlight w:val="none"/>
                <w:lang w:val="en-US" w:eastAsia="zh-CN"/>
              </w:rPr>
              <w:t>一、评审内容：</w:t>
            </w:r>
          </w:p>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根据《关于印发节能产品政府采购品目清单的通知》（财库〔2019〕19号）以及《关于印发环境标志产品政府采购品目清单的通知》（财库〔2019〕18号）的要求，投标人所投任一产品（以</w:t>
            </w:r>
            <w:r>
              <w:rPr>
                <w:rFonts w:ascii="宋体" w:eastAsia="宋体" w:hAnsi="宋体" w:cs="宋体" w:hint="eastAsia"/>
                <w:sz w:val="21"/>
                <w:szCs w:val="21"/>
                <w:highlight w:val="none"/>
                <w:lang w:val="en-US" w:eastAsia="zh-CN"/>
              </w:rPr>
              <w:t>招标文件</w:t>
            </w:r>
            <w:r>
              <w:rPr>
                <w:rFonts w:ascii="宋体" w:eastAsia="宋体" w:hAnsi="宋体" w:cs="宋体" w:hint="eastAsia"/>
                <w:sz w:val="21"/>
                <w:szCs w:val="21"/>
                <w:highlight w:val="none"/>
              </w:rPr>
              <w:t>第三章 用户需求书 二、货物需求明细中“货物名称”为准）被列入节能产品政府采购品目清单（</w:t>
            </w:r>
            <w:r>
              <w:rPr>
                <w:rFonts w:ascii="宋体" w:eastAsia="宋体" w:hAnsi="宋体" w:cs="宋体" w:hint="eastAsia"/>
                <w:color w:val="FF0000"/>
                <w:sz w:val="21"/>
                <w:szCs w:val="21"/>
                <w:highlight w:val="none"/>
              </w:rPr>
              <w:t>已标注</w:t>
            </w:r>
            <w:r>
              <w:rPr>
                <w:rFonts w:ascii="宋体" w:eastAsia="宋体" w:hAnsi="宋体" w:cs="宋体" w:hint="eastAsia"/>
                <w:color w:val="FF0000"/>
                <w:sz w:val="21"/>
                <w:szCs w:val="21"/>
                <w:highlight w:val="none"/>
                <w:lang w:eastAsia="zh-CN"/>
              </w:rPr>
              <w:t>“</w:t>
            </w:r>
            <w:r>
              <w:rPr>
                <w:rFonts w:ascii="宋体" w:eastAsia="宋体" w:hAnsi="宋体" w:cs="宋体" w:hint="eastAsia"/>
                <w:color w:val="FF0000"/>
                <w:sz w:val="21"/>
                <w:szCs w:val="21"/>
                <w:highlight w:val="none"/>
              </w:rPr>
              <w:t>★</w:t>
            </w:r>
            <w:r>
              <w:rPr>
                <w:rFonts w:ascii="宋体" w:eastAsia="宋体" w:hAnsi="宋体" w:cs="宋体" w:hint="eastAsia"/>
                <w:color w:val="FF0000"/>
                <w:sz w:val="21"/>
                <w:szCs w:val="21"/>
                <w:highlight w:val="none"/>
                <w:lang w:eastAsia="zh-CN"/>
              </w:rPr>
              <w:t>”</w:t>
            </w:r>
            <w:r>
              <w:rPr>
                <w:rFonts w:ascii="宋体" w:eastAsia="宋体" w:hAnsi="宋体" w:cs="宋体" w:hint="eastAsia"/>
                <w:color w:val="FF0000"/>
                <w:sz w:val="21"/>
                <w:szCs w:val="21"/>
                <w:highlight w:val="none"/>
                <w:lang w:val="en-US" w:eastAsia="zh-CN"/>
              </w:rPr>
              <w:t>号属</w:t>
            </w:r>
            <w:r>
              <w:rPr>
                <w:rFonts w:ascii="宋体" w:eastAsia="宋体" w:hAnsi="宋体" w:cs="宋体" w:hint="eastAsia"/>
                <w:color w:val="FF0000"/>
                <w:sz w:val="21"/>
                <w:szCs w:val="21"/>
                <w:highlight w:val="none"/>
              </w:rPr>
              <w:t>政府强制采购产品</w:t>
            </w:r>
            <w:r>
              <w:rPr>
                <w:rFonts w:ascii="宋体" w:eastAsia="宋体" w:hAnsi="宋体" w:cs="宋体" w:hint="eastAsia"/>
                <w:color w:val="FF0000"/>
                <w:sz w:val="21"/>
                <w:szCs w:val="21"/>
                <w:highlight w:val="none"/>
                <w:lang w:val="en-US" w:eastAsia="zh-CN"/>
              </w:rPr>
              <w:t>需具有</w:t>
            </w:r>
            <w:r>
              <w:rPr>
                <w:rFonts w:ascii="宋体" w:eastAsia="宋体" w:hAnsi="宋体" w:cs="宋体" w:hint="eastAsia"/>
                <w:color w:val="FF0000"/>
                <w:sz w:val="21"/>
                <w:szCs w:val="21"/>
                <w:highlight w:val="none"/>
              </w:rPr>
              <w:t>节能产品认证证书的除外</w:t>
            </w:r>
            <w:r>
              <w:rPr>
                <w:rFonts w:ascii="宋体" w:eastAsia="宋体" w:hAnsi="宋体" w:cs="宋体" w:hint="eastAsia"/>
                <w:sz w:val="21"/>
                <w:szCs w:val="21"/>
                <w:highlight w:val="none"/>
              </w:rPr>
              <w:t>）或环境标志产品政府采购品目清单</w:t>
            </w: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且具有有效期内的</w:t>
            </w:r>
            <w:r>
              <w:rPr>
                <w:rFonts w:ascii="宋体" w:eastAsia="宋体" w:hAnsi="宋体" w:cs="宋体" w:hint="eastAsia"/>
                <w:sz w:val="21"/>
                <w:szCs w:val="21"/>
                <w:highlight w:val="none"/>
              </w:rPr>
              <w:t>节能产品</w:t>
            </w:r>
            <w:r>
              <w:rPr>
                <w:rFonts w:ascii="宋体" w:eastAsia="宋体" w:hAnsi="宋体" w:cs="宋体" w:hint="eastAsia"/>
                <w:sz w:val="21"/>
                <w:szCs w:val="21"/>
                <w:highlight w:val="none"/>
                <w:lang w:val="en-US" w:eastAsia="zh-CN"/>
              </w:rPr>
              <w:t>或</w:t>
            </w:r>
            <w:r>
              <w:rPr>
                <w:rFonts w:ascii="宋体" w:eastAsia="宋体" w:hAnsi="宋体" w:cs="宋体" w:hint="eastAsia"/>
                <w:sz w:val="21"/>
                <w:szCs w:val="21"/>
                <w:highlight w:val="none"/>
              </w:rPr>
              <w:t>环境标志产品认证证书的</w:t>
            </w: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每提供1项得100分，最高</w:t>
            </w:r>
            <w:r>
              <w:rPr>
                <w:rFonts w:ascii="宋体" w:eastAsia="宋体" w:hAnsi="宋体" w:cs="宋体" w:hint="eastAsia"/>
                <w:sz w:val="21"/>
                <w:szCs w:val="21"/>
                <w:highlight w:val="none"/>
              </w:rPr>
              <w:t>得100分。</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b/>
                <w:bCs/>
                <w:color w:val="0000CC"/>
                <w:sz w:val="21"/>
                <w:szCs w:val="21"/>
                <w:highlight w:val="none"/>
                <w:lang w:val="en-US" w:eastAsia="zh-CN"/>
              </w:rPr>
            </w:pPr>
            <w:r>
              <w:rPr>
                <w:rFonts w:ascii="宋体" w:eastAsia="宋体" w:hAnsi="宋体" w:cs="宋体" w:hint="eastAsia"/>
                <w:b/>
                <w:bCs/>
                <w:color w:val="0000CC"/>
                <w:sz w:val="21"/>
                <w:szCs w:val="21"/>
                <w:highlight w:val="none"/>
                <w:lang w:val="en-US" w:eastAsia="zh-CN"/>
              </w:rPr>
              <w:t>二、评审依据：</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color w:val="0000FF"/>
                <w:sz w:val="21"/>
                <w:szCs w:val="21"/>
                <w:highlight w:val="none"/>
                <w:lang w:eastAsia="zh-CN"/>
              </w:rPr>
            </w:pPr>
            <w:r>
              <w:rPr>
                <w:rFonts w:ascii="宋体" w:eastAsia="宋体" w:hAnsi="宋体" w:cs="宋体" w:hint="eastAsia"/>
                <w:color w:val="0000FF"/>
                <w:sz w:val="21"/>
                <w:szCs w:val="21"/>
                <w:highlight w:val="none"/>
                <w:lang w:val="en-US" w:eastAsia="zh-CN"/>
              </w:rPr>
              <w:t>1、</w:t>
            </w:r>
            <w:r>
              <w:rPr>
                <w:rFonts w:ascii="宋体" w:eastAsia="宋体" w:hAnsi="宋体" w:cs="宋体" w:hint="eastAsia"/>
                <w:color w:val="0000FF"/>
                <w:sz w:val="21"/>
                <w:szCs w:val="21"/>
                <w:highlight w:val="none"/>
              </w:rPr>
              <w:t>提供《市场监管总局关于发布参与实施政府采购节能产品、环境标志产品认证机构名录的公告》（2019年第16号）确定的认证机构出具的</w:t>
            </w:r>
            <w:r>
              <w:rPr>
                <w:rFonts w:ascii="宋体" w:eastAsia="宋体" w:hAnsi="宋体" w:cs="宋体" w:hint="eastAsia"/>
                <w:color w:val="0000FF"/>
                <w:sz w:val="21"/>
                <w:szCs w:val="21"/>
                <w:highlight w:val="none"/>
                <w:lang w:val="en-US" w:eastAsia="zh-CN"/>
              </w:rPr>
              <w:t>且</w:t>
            </w:r>
            <w:r>
              <w:rPr>
                <w:rFonts w:ascii="宋体" w:eastAsia="宋体" w:hAnsi="宋体" w:cs="宋体" w:hint="eastAsia"/>
                <w:color w:val="0000FF"/>
                <w:sz w:val="21"/>
                <w:szCs w:val="21"/>
                <w:highlight w:val="none"/>
              </w:rPr>
              <w:t>处于有效期内的节能产品</w:t>
            </w:r>
            <w:r>
              <w:rPr>
                <w:rFonts w:ascii="宋体" w:eastAsia="宋体" w:hAnsi="宋体" w:cs="宋体" w:hint="eastAsia"/>
                <w:color w:val="0000FF"/>
                <w:sz w:val="21"/>
                <w:szCs w:val="21"/>
                <w:highlight w:val="none"/>
                <w:lang w:val="en-US" w:eastAsia="zh-CN"/>
              </w:rPr>
              <w:t>或</w:t>
            </w:r>
            <w:r>
              <w:rPr>
                <w:rFonts w:ascii="宋体" w:eastAsia="宋体" w:hAnsi="宋体" w:cs="宋体" w:hint="eastAsia"/>
                <w:color w:val="0000FF"/>
                <w:sz w:val="21"/>
                <w:szCs w:val="21"/>
                <w:highlight w:val="none"/>
              </w:rPr>
              <w:t>环境标志产品认证证书扫描件</w:t>
            </w:r>
            <w:r>
              <w:rPr>
                <w:rFonts w:ascii="宋体" w:eastAsia="宋体" w:hAnsi="宋体" w:cs="宋体" w:hint="eastAsia"/>
                <w:color w:val="0000FF"/>
                <w:sz w:val="21"/>
                <w:szCs w:val="21"/>
                <w:highlight w:val="none"/>
                <w:lang w:eastAsia="zh-CN"/>
              </w:rPr>
              <w:t>；</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sz w:val="21"/>
                <w:szCs w:val="21"/>
                <w:highlight w:val="none"/>
              </w:rPr>
            </w:pPr>
            <w:r>
              <w:rPr>
                <w:rFonts w:ascii="宋体" w:eastAsia="宋体" w:hAnsi="宋体" w:cs="宋体" w:hint="eastAsia"/>
                <w:color w:val="0000FF"/>
                <w:sz w:val="21"/>
                <w:szCs w:val="21"/>
                <w:highlight w:val="none"/>
                <w:lang w:val="en-US" w:eastAsia="zh-CN"/>
              </w:rPr>
              <w:t>2、未按要求提供证明材料（或证明材料无法判断是否符合评分要求）的不得分，原件备查。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lang w:val="en-US" w:eastAsia="zh-CN"/>
              </w:rPr>
              <w:t>3</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绿色采购</w:t>
            </w:r>
            <w:r>
              <w:rPr>
                <w:rFonts w:ascii="宋体" w:eastAsia="宋体" w:hAnsi="宋体" w:cs="宋体" w:hint="eastAsia"/>
                <w:sz w:val="21"/>
                <w:szCs w:val="21"/>
                <w:highlight w:val="none"/>
                <w:lang w:val="en-US" w:eastAsia="zh-CN"/>
              </w:rPr>
              <w:t>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default"/>
                <w:b w:val="0"/>
                <w:bCs/>
                <w:sz w:val="21"/>
                <w:szCs w:val="21"/>
                <w:highlight w:val="none"/>
                <w:lang w:val="en-US" w:eastAsia="zh-CN"/>
              </w:rPr>
            </w:pPr>
            <w:r>
              <w:rPr>
                <w:rFonts w:ascii="宋体" w:eastAsia="宋体" w:hAnsi="宋体" w:cs="宋体" w:hint="eastAsia"/>
                <w:b w:val="0"/>
                <w:bCs/>
                <w:sz w:val="21"/>
                <w:szCs w:val="21"/>
                <w:highlight w:val="none"/>
                <w:lang w:val="en-US" w:eastAsia="zh-CN"/>
              </w:rPr>
              <w:t>1</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b/>
                <w:bCs/>
                <w:sz w:val="21"/>
                <w:szCs w:val="21"/>
                <w:highlight w:val="none"/>
                <w:lang w:val="en-US" w:eastAsia="zh-CN"/>
              </w:rPr>
            </w:pPr>
            <w:r>
              <w:rPr>
                <w:rFonts w:ascii="宋体" w:eastAsia="宋体" w:hAnsi="宋体" w:cs="宋体" w:hint="eastAsia"/>
                <w:b/>
                <w:bCs/>
                <w:sz w:val="21"/>
                <w:szCs w:val="21"/>
                <w:highlight w:val="none"/>
                <w:lang w:val="en-US" w:eastAsia="zh-CN"/>
              </w:rPr>
              <w:t>一、评审内容：</w:t>
            </w:r>
          </w:p>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lang w:val="en-US" w:eastAsia="zh-CN"/>
              </w:rPr>
              <w:t>本</w:t>
            </w:r>
            <w:r>
              <w:rPr>
                <w:rFonts w:ascii="宋体" w:eastAsia="宋体" w:hAnsi="宋体" w:cs="宋体" w:hint="eastAsia"/>
                <w:sz w:val="21"/>
                <w:szCs w:val="21"/>
                <w:highlight w:val="none"/>
              </w:rPr>
              <w:t>项目采购内容中需要对相关产品进行商品包装和快递包装，投标人承诺</w:t>
            </w:r>
            <w:r>
              <w:rPr>
                <w:rFonts w:ascii="宋体" w:eastAsia="宋体" w:hAnsi="宋体" w:cs="宋体" w:hint="eastAsia"/>
                <w:sz w:val="21"/>
                <w:szCs w:val="21"/>
                <w:highlight w:val="none"/>
                <w:lang w:val="en-US" w:eastAsia="zh-CN"/>
              </w:rPr>
              <w:t>以下内容的得100分：</w:t>
            </w:r>
          </w:p>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所进行的商品包装和快递包装满足财政部《商品包装政府采购需求标准（试行）》《快递包装政府采购需求标准（试行）》（财办库〔2020〕123号）的要求，采用环保材料进行包装。</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b/>
                <w:bCs/>
                <w:color w:val="0000CC"/>
                <w:sz w:val="21"/>
                <w:szCs w:val="21"/>
                <w:highlight w:val="none"/>
                <w:lang w:val="en-US" w:eastAsia="zh-CN"/>
              </w:rPr>
            </w:pPr>
            <w:r>
              <w:rPr>
                <w:rFonts w:ascii="宋体" w:eastAsia="宋体" w:hAnsi="宋体" w:cs="宋体" w:hint="eastAsia"/>
                <w:b/>
                <w:bCs/>
                <w:color w:val="0000CC"/>
                <w:sz w:val="21"/>
                <w:szCs w:val="21"/>
                <w:highlight w:val="none"/>
                <w:lang w:val="en-US" w:eastAsia="zh-CN"/>
              </w:rPr>
              <w:t>二、评审依据：</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color w:val="0000FF"/>
                <w:sz w:val="21"/>
                <w:szCs w:val="21"/>
                <w:highlight w:val="none"/>
                <w:lang w:val="en-US" w:eastAsia="zh-CN"/>
              </w:rPr>
            </w:pPr>
            <w:r>
              <w:rPr>
                <w:rFonts w:ascii="宋体" w:eastAsia="宋体" w:hAnsi="宋体" w:cs="宋体" w:hint="eastAsia"/>
                <w:color w:val="0000FF"/>
                <w:sz w:val="21"/>
                <w:szCs w:val="21"/>
                <w:highlight w:val="none"/>
                <w:lang w:val="en-US" w:eastAsia="zh-CN"/>
              </w:rPr>
              <w:t>提供相关承诺函（格式自定），未按要求提供证明材料（或证明材料无法判断是否符合评分要求）的不得分，原件备查。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4</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其他部分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5</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诚信情况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Pr>
        <w:jc w:val="center"/>
        <w:rPr>
          <w:b/>
          <w:sz w:val="44"/>
          <w:szCs w:val="44"/>
        </w:rPr>
      </w:pPr>
      <w:r>
        <w:rPr>
          <w:rFonts w:ascii="宋体" w:hAnsi="宋体" w:hint="eastAsia"/>
          <w:b/>
          <w:sz w:val="44"/>
          <w:szCs w:val="44"/>
        </w:rPr>
        <w:t>深圳公共资源交易中心</w:t>
      </w:r>
    </w:p>
    <w:p>
      <w:pPr>
        <w:jc w:val="center"/>
        <w:rPr>
          <w:b/>
          <w:sz w:val="44"/>
          <w:szCs w:val="44"/>
        </w:rPr>
      </w:pPr>
      <w:r>
        <w:rPr>
          <w:rFonts w:ascii="宋体" w:hAnsi="宋体"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ascii="宋体" w:hAnsi="宋体" w:hint="eastAsia"/>
          <w:b/>
          <w:sz w:val="44"/>
          <w:szCs w:val="44"/>
        </w:rPr>
        <w:t>）</w:t>
      </w:r>
    </w:p>
    <w:p>
      <w:pPr>
        <w:ind w:firstLine="2730" w:firstLineChars="1300"/>
        <w:jc w:val="center"/>
        <w:rPr>
          <w:bCs/>
          <w:color w:val="FF0000"/>
        </w:rPr>
      </w:pPr>
      <w:r>
        <w:br w:type="page"/>
      </w:r>
    </w:p>
    <w:p>
      <w:pPr>
        <w:keepNext w:val="0"/>
        <w:keepLines w:val="0"/>
        <w:pageBreakBefore w:val="0"/>
        <w:widowControl w:val="0"/>
        <w:kinsoku/>
        <w:wordWrap/>
        <w:overflowPunct/>
        <w:topLinePunct w:val="0"/>
        <w:autoSpaceDE/>
        <w:autoSpaceDN/>
        <w:bidi w:val="0"/>
        <w:adjustRightInd/>
        <w:snapToGrid/>
        <w:ind w:firstLine="2730" w:firstLineChars="1300"/>
        <w:textAlignment w:val="auto"/>
        <w:outlineLvl w:val="0"/>
        <w:rPr>
          <w:rFonts w:ascii="宋体" w:hAnsi="宋体"/>
          <w:color w:val="FF0000"/>
          <w:szCs w:val="21"/>
        </w:rPr>
      </w:pPr>
      <w:bookmarkStart w:id="2" w:name="_Hlk73564573"/>
      <w:r>
        <w:rPr>
          <w:rFonts w:ascii="宋体" w:eastAsia="黑体" w:hAnsi="宋体" w:hint="eastAsia"/>
          <w:b/>
          <w:bCs/>
          <w:color w:val="FF0000"/>
          <w:kern w:val="44"/>
          <w:sz w:val="28"/>
          <w:szCs w:val="44"/>
        </w:rPr>
        <w:t>警示条款</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w:t>
      </w:r>
      <w:r>
        <w:rPr>
          <w:rFonts w:asciiTheme="minorEastAsia" w:eastAsiaTheme="minorEastAsia" w:hAnsiTheme="minorEastAsia" w:cstheme="minorEastAsia" w:hint="eastAsia"/>
          <w:b/>
          <w:bCs/>
          <w:color w:val="FF0000"/>
          <w:sz w:val="21"/>
          <w:szCs w:val="21"/>
        </w:rPr>
        <w:t>《深圳经济特区政府采购条例》第五十七条</w:t>
      </w:r>
      <w:r>
        <w:rPr>
          <w:rFonts w:asciiTheme="minorEastAsia" w:eastAsiaTheme="minorEastAsia" w:hAnsiTheme="minorEastAsia" w:cstheme="minorEastAsia" w:hint="eastAsia"/>
          <w:color w:val="FF0000"/>
          <w:sz w:val="21"/>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（一）在采购活动中应当回避而未回避的；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（二）未按本条例规定签订、履行采购合同，造成严重后果的；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（三）隐瞒真实情况，提供虚假资料的；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（四）以非法手段排斥其他供应商参与竞争的；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（五）与其他采购参加人串通投标的；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（六）恶意投诉的；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（七）向采购项目相关人行贿或者提供其他不当利益的；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（八）阻碍、抗拒主管部门监督检查的；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（九）其他违反本条例规定的行为。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二、《深圳经济特区政府采购条例实施细则》第七十五条 </w:t>
      </w:r>
      <w:r>
        <w:rPr>
          <w:rFonts w:asciiTheme="minorEastAsia" w:eastAsiaTheme="minorEastAsia" w:hAnsiTheme="minorEastAsia" w:cstheme="minorEastAsia" w:hint="eastAsia"/>
          <w:color w:val="FF0000"/>
          <w:sz w:val="21"/>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三、《深圳经济特区政府采购条例实施细则》第七十七条 </w:t>
      </w:r>
      <w:r>
        <w:rPr>
          <w:rFonts w:asciiTheme="minorEastAsia" w:eastAsiaTheme="minorEastAsia" w:hAnsiTheme="minorEastAsia" w:cstheme="minorEastAsia" w:hint="eastAsia"/>
          <w:color w:val="FF0000"/>
          <w:sz w:val="21"/>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投标供应商不能提供项目负责人或者主要技术人员的劳动合同、社会保险等劳动关系证明材料的，视为存在前款第（三）项规定的情形。</w:t>
      </w:r>
      <w:bookmarkEnd w:id="2"/>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color w:val="FF0000"/>
          <w:sz w:val="21"/>
          <w:szCs w:val="21"/>
        </w:rPr>
      </w:pPr>
      <w:r>
        <w:rPr>
          <w:rFonts w:asciiTheme="minorEastAsia" w:eastAsiaTheme="minorEastAsia" w:hAnsiTheme="minorEastAsia" w:cstheme="minorEastAsia" w:hint="eastAsia"/>
          <w:b/>
          <w:color w:val="FF0000"/>
          <w:sz w:val="21"/>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为避免出现不同供应商投标文件的文件制作机器码、文件创建标识码、IP 地址一致的异常情况，建议各供应商编制、上传投标文件时不要使用公共电脑设备或公共网络。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napToGrid w:val="0"/>
        <w:spacing w:line="360" w:lineRule="exact"/>
        <w:jc w:val="left"/>
        <w:rPr>
          <w:rFonts w:ascii="宋体" w:eastAsia="宋体" w:hAnsi="宋体" w:cs="宋体"/>
          <w:color w:val="000000"/>
          <w:kern w:val="0"/>
          <w:sz w:val="24"/>
          <w:szCs w:val="24"/>
        </w:rPr>
      </w:pPr>
    </w:p>
    <w:p>
      <w:pPr>
        <w:snapToGrid w:val="0"/>
        <w:spacing w:line="360" w:lineRule="exact"/>
        <w:jc w:val="left"/>
        <w:rPr>
          <w:rFonts w:ascii="宋体" w:eastAsia="宋体" w:hAnsi="宋体" w:cs="宋体"/>
          <w:color w:val="000000"/>
          <w:kern w:val="0"/>
          <w:sz w:val="24"/>
          <w:szCs w:val="24"/>
        </w:r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   录</w:t>
      </w:r>
    </w:p>
    <w:p>
      <w:pPr>
        <w:rPr>
          <w:b/>
          <w:sz w:val="24"/>
          <w:szCs w:val="24"/>
        </w:rPr>
      </w:pPr>
      <w:r>
        <w:rPr>
          <w:rFonts w:hint="eastAsia"/>
          <w:b/>
          <w:sz w:val="24"/>
          <w:szCs w:val="24"/>
        </w:rPr>
        <w:t>第一册  专用条款</w:t>
      </w:r>
    </w:p>
    <w:p>
      <w:pPr>
        <w:ind w:left="630" w:firstLine="412" w:leftChars="300" w:firstLineChars="196"/>
        <w:rPr>
          <w:rFonts w:ascii="宋体" w:hAnsi="宋体"/>
          <w:szCs w:val="21"/>
        </w:rPr>
      </w:pPr>
      <w:r>
        <w:rPr>
          <w:rFonts w:ascii="宋体" w:hAnsi="宋体" w:hint="eastAsia"/>
          <w:szCs w:val="21"/>
        </w:rPr>
        <w:tab/>
      </w:r>
      <w:r>
        <w:rPr>
          <w:rFonts w:ascii="宋体" w:hAnsi="宋体" w:hint="eastAsia"/>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412" w:leftChars="300" w:firstLineChars="196"/>
        <w:rPr>
          <w:rFonts w:ascii="宋体" w:hAnsi="宋体"/>
          <w:szCs w:val="21"/>
        </w:rPr>
      </w:pPr>
      <w:r>
        <w:rPr>
          <w:rFonts w:ascii="宋体" w:hAnsi="宋体" w:hint="eastAsia"/>
          <w:szCs w:val="21"/>
        </w:rPr>
        <w:t>第五章  合同条款及格式</w:t>
      </w:r>
    </w:p>
    <w:p>
      <w:pPr>
        <w:rPr>
          <w:b/>
          <w:sz w:val="24"/>
        </w:rPr>
      </w:pPr>
    </w:p>
    <w:p>
      <w:pPr>
        <w:rPr>
          <w:b/>
          <w:sz w:val="24"/>
          <w:szCs w:val="24"/>
        </w:rPr>
      </w:pPr>
      <w:r>
        <w:rPr>
          <w:rFonts w:hint="eastAsia"/>
          <w:b/>
          <w:sz w:val="24"/>
          <w:szCs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r>
        <w:rPr>
          <w:rFonts w:hint="eastAsia"/>
        </w:rPr>
        <w:t xml:space="preserve">          第十一章  质疑处理</w:t>
      </w:r>
    </w:p>
    <w:p/>
    <w:p/>
    <w:p>
      <w:pPr>
        <w:widowControl/>
        <w:jc w:val="left"/>
      </w:pPr>
      <w:r>
        <w:br w:type="page"/>
      </w:r>
    </w:p>
    <w:p>
      <w:pPr>
        <w:pStyle w:val="Heading1"/>
        <w:spacing w:after="78"/>
        <w:jc w:val="center"/>
        <w:rPr>
          <w:sz w:val="32"/>
          <w:szCs w:val="32"/>
        </w:rPr>
      </w:pPr>
      <w:r>
        <w:rPr>
          <w:rFonts w:hint="eastAsia"/>
          <w:sz w:val="32"/>
          <w:szCs w:val="32"/>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pPr>
        <w:snapToGrid w:val="0"/>
        <w:spacing w:line="300" w:lineRule="exact"/>
        <w:rPr>
          <w:rFonts w:ascii="Arial" w:eastAsia="宋体" w:hAnsi="Arial" w:cs="Times New Roman"/>
          <w:sz w:val="28"/>
          <w:szCs w:val="28"/>
        </w:rPr>
      </w:pPr>
      <w:r>
        <w:rPr>
          <w:rFonts w:ascii="Arial" w:eastAsia="宋体" w:hAnsi="Arial" w:cs="Times New Roman" w:hint="eastAsia"/>
          <w:b/>
          <w:bCs/>
          <w:sz w:val="28"/>
          <w:szCs w:val="28"/>
        </w:rPr>
        <w:t>申请人的资格要求：</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2）本项目不接受联合体投标</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不接受投标人选用进口产品参与投标。</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3</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参与本项目政府采购活动时不存在被有关部门禁止参与政府采购活动且在有效期内的情况（由供应商在《政府采购投标及履约承诺函》中作出声明）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具备《中华人民共和国政府采购法》第二十二条第一款的条件（由供应商在《政府采购投标及履约承诺函》中作出声明）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未被列入失信被执行人、重大税收违法案件当事人名单、政府采购严重违法失信行为记录名单（由供应商在《政府采购投标及履约承诺函》中作出声明）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yellow"/>
          <w:lang w:val="en-US" w:eastAsia="zh-CN"/>
        </w:rPr>
      </w:pPr>
      <w:r>
        <w:rPr>
          <w:rFonts w:asciiTheme="minorEastAsia" w:eastAsiaTheme="minorEastAsia" w:hAnsiTheme="minorEastAsia" w:cstheme="minorEastAsia" w:hint="eastAsia"/>
          <w:bCs/>
          <w:sz w:val="24"/>
          <w:szCs w:val="24"/>
          <w:highlight w:val="none"/>
          <w:lang w:val="en-US" w:eastAsia="zh-CN"/>
        </w:rPr>
        <w:t>7</w:t>
      </w:r>
      <w:r>
        <w:rPr>
          <w:rFonts w:asciiTheme="minorEastAsia" w:eastAsiaTheme="minorEastAsia" w:hAnsiTheme="minorEastAsia" w:cstheme="minorEastAsia" w:hint="eastAsia"/>
          <w:bCs/>
          <w:sz w:val="24"/>
          <w:szCs w:val="24"/>
          <w:highlight w:val="none"/>
        </w:rPr>
        <w:t>）本项目是（否）专门面向中小企业采购：</w:t>
      </w:r>
      <w:r>
        <w:rPr>
          <w:rFonts w:asciiTheme="minorEastAsia" w:eastAsiaTheme="minorEastAsia" w:hAnsiTheme="minorEastAsia" w:cstheme="minorEastAsia" w:hint="eastAsia"/>
          <w:bCs/>
          <w:sz w:val="24"/>
          <w:szCs w:val="24"/>
          <w:highlight w:val="none"/>
          <w:lang w:val="en-US" w:eastAsia="zh-CN"/>
        </w:rPr>
        <w:t>否。</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注：</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（1）“信用中国”中“信用服务”栏的“重大税收违法失信主体”“失信被执行人”</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“中国政府采购网”中的“政府采购严重违法失信行为记录名单”</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“深圳信用网”以及“深圳市政府采购监管网”为供应商信用信息的查询渠道，相关信息以开标当日的查询结果为准；</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（2）供应商投标（上传投标文件）必须先行办理注册手续，具体请按照本公告“六、其他补充事宜”相关内容指引办理。</w:t>
      </w:r>
    </w:p>
    <w:p>
      <w:pPr>
        <w:snapToGrid w:val="0"/>
        <w:spacing w:line="300" w:lineRule="auto"/>
        <w:ind w:firstLine="420" w:firstLineChars="200"/>
        <w:rPr>
          <w:rFonts w:ascii="Arial" w:eastAsia="宋体" w:hAnsi="Arial" w:cs="Times New Roman"/>
          <w:sz w:val="24"/>
          <w:szCs w:val="24"/>
        </w:rPr>
      </w:pPr>
    </w:p>
    <w:p>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rPr>
          <w:rStyle w:val="Hyperlink"/>
          <w:b/>
          <w:sz w:val="30"/>
          <w:szCs w:val="30"/>
        </w:rPr>
        <w:fldChar w:fldCharType="end"/>
      </w:r>
      <w:r>
        <w:rPr>
          <w:rFonts w:hint="eastAsia"/>
          <w:b/>
          <w:color w:val="FF0000"/>
          <w:sz w:val="30"/>
          <w:szCs w:val="30"/>
        </w:rPr>
        <w:t>）</w:t>
      </w:r>
    </w:p>
    <w:p>
      <w:pPr>
        <w:spacing w:after="78" w:afterLines="25"/>
        <w:rPr>
          <w:rFonts w:ascii="Arial" w:eastAsia="宋体" w:hAnsi="Arial" w:cs="Times New Roman"/>
          <w:b/>
          <w:color w:val="FF0000"/>
          <w:sz w:val="30"/>
          <w:szCs w:val="30"/>
        </w:rPr>
      </w:pPr>
    </w:p>
    <w:p>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3" w:name="_Hlk71926094"/>
      <w:r>
        <w:rPr>
          <w:rFonts w:ascii="宋体" w:eastAsia="宋体" w:hAnsi="宋体" w:cs="Times New Roman" w:hint="eastAsia"/>
          <w:b/>
          <w:bCs/>
          <w:kern w:val="0"/>
          <w:sz w:val="28"/>
          <w:szCs w:val="28"/>
        </w:rPr>
        <w:t>对通用条款的补充内容及其他关键信息</w:t>
      </w:r>
      <w:bookmarkEnd w:id="3"/>
    </w:p>
    <w:p>
      <w:pPr>
        <w:keepNext/>
        <w:keepLines/>
        <w:adjustRightInd w:val="0"/>
        <w:spacing w:before="156" w:beforeLines="50" w:after="156" w:afterLines="50"/>
        <w:jc w:val="center"/>
        <w:textAlignment w:val="baseline"/>
        <w:outlineLvl w:val="2"/>
        <w:rPr>
          <w:rFonts w:ascii="宋体" w:eastAsia="宋体" w:hAnsi="宋体" w:cs="Times New Roman" w:hint="eastAsia"/>
          <w:b/>
          <w:bCs/>
          <w:kern w:val="0"/>
          <w:sz w:val="24"/>
          <w:szCs w:val="24"/>
        </w:rPr>
      </w:pPr>
      <w:bookmarkStart w:id="4" w:name="_Toc73521547"/>
      <w:bookmarkStart w:id="5" w:name="_Toc73521635"/>
      <w:bookmarkStart w:id="6" w:name="_Toc73518117"/>
      <w:bookmarkStart w:id="7" w:name="_Toc100052364"/>
      <w:bookmarkStart w:id="8" w:name="_Toc73517639"/>
      <w:bookmarkStart w:id="9" w:name="_Toc101074876"/>
      <w:bookmarkStart w:id="10" w:name="_Toc60560625"/>
      <w:bookmarkStart w:id="11" w:name="_Toc60631620"/>
      <w:r>
        <w:rPr>
          <w:rFonts w:ascii="宋体" w:eastAsia="宋体" w:hAnsi="宋体" w:cs="Times New Roman" w:hint="eastAsia"/>
          <w:b/>
          <w:bCs/>
          <w:kern w:val="0"/>
          <w:sz w:val="24"/>
          <w:szCs w:val="24"/>
        </w:rPr>
        <w:t>一、对通用条款的补充内容</w:t>
      </w:r>
    </w:p>
    <w:tbl>
      <w:tblPr>
        <w:tblStyle w:val="TableNormal"/>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1755" w:type="dxa"/>
            <w:vAlign w:val="center"/>
          </w:tcPr>
          <w:p>
            <w:pPr>
              <w:jc w:val="center"/>
              <w:rPr>
                <w:rFonts w:ascii="宋体" w:hAnsi="宋体"/>
                <w:b/>
                <w:bCs/>
              </w:rPr>
            </w:pPr>
            <w:r>
              <w:rPr>
                <w:rFonts w:ascii="宋体" w:hAnsi="宋体" w:hint="eastAsia"/>
                <w:b/>
                <w:bCs/>
              </w:rPr>
              <w:t>涉及事项</w:t>
            </w:r>
          </w:p>
        </w:tc>
        <w:tc>
          <w:tcPr>
            <w:tcW w:w="6795"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1755" w:type="dxa"/>
            <w:vAlign w:val="center"/>
          </w:tcPr>
          <w:p>
            <w:pPr>
              <w:jc w:val="center"/>
            </w:pPr>
            <w:r>
              <w:rPr>
                <w:rFonts w:hint="eastAsia"/>
              </w:rPr>
              <w:t>采购人</w:t>
            </w:r>
          </w:p>
        </w:tc>
        <w:tc>
          <w:tcPr>
            <w:tcW w:w="6795" w:type="dxa"/>
            <w:vAlign w:val="center"/>
          </w:tcPr>
          <w:p>
            <w:pPr>
              <w:jc w:val="left"/>
              <w:rPr>
                <w:rFonts w:ascii="宋体" w:hAnsi="宋体" w:eastAsiaTheme="minorEastAsia" w:hint="eastAsia"/>
                <w:lang w:eastAsia="zh-CN"/>
              </w:rPr>
            </w:pPr>
            <w:r>
              <w:rPr>
                <w:rFonts w:ascii="宋体" w:eastAsia="宋体" w:hAnsi="宋体" w:cs="Arial" w:hint="eastAsia"/>
                <w:b/>
                <w:szCs w:val="21"/>
                <w:lang w:eastAsia="zh-CN"/>
              </w:rPr>
              <w:t>深圳市宝安区孝德学校</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1755" w:type="dxa"/>
            <w:vAlign w:val="center"/>
          </w:tcPr>
          <w:p>
            <w:pPr>
              <w:jc w:val="center"/>
              <w:rPr>
                <w:rFonts w:ascii="宋体" w:hAnsi="宋体"/>
              </w:rPr>
            </w:pPr>
            <w:r>
              <w:rPr>
                <w:rFonts w:ascii="宋体" w:hAnsi="宋体" w:hint="eastAsia"/>
              </w:rPr>
              <w:t>政府集中采购机构</w:t>
            </w:r>
          </w:p>
        </w:tc>
        <w:tc>
          <w:tcPr>
            <w:tcW w:w="6795" w:type="dxa"/>
            <w:vAlign w:val="center"/>
          </w:tcPr>
          <w:p>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1755" w:type="dxa"/>
            <w:vAlign w:val="center"/>
          </w:tcPr>
          <w:p>
            <w:pPr>
              <w:jc w:val="center"/>
              <w:rPr>
                <w:rFonts w:ascii="宋体" w:hAnsi="宋体"/>
              </w:rPr>
            </w:pPr>
            <w:r>
              <w:rPr>
                <w:rFonts w:ascii="宋体" w:hAnsi="宋体" w:hint="eastAsia"/>
              </w:rPr>
              <w:t>联合体投标</w:t>
            </w:r>
          </w:p>
        </w:tc>
        <w:tc>
          <w:tcPr>
            <w:tcW w:w="6795" w:type="dxa"/>
            <w:vAlign w:val="center"/>
          </w:tcPr>
          <w:p>
            <w:pPr>
              <w:jc w:val="left"/>
              <w:rPr>
                <w:rFonts w:ascii="宋体" w:hAnsi="宋体" w:eastAsiaTheme="minorEastAsia" w:hint="default"/>
                <w:lang w:val="en-US" w:eastAsia="zh-CN"/>
              </w:rPr>
            </w:pPr>
            <w:r>
              <w:rPr>
                <w:rFonts w:ascii="宋体" w:hAnsi="宋体" w:hint="eastAsia"/>
                <w:lang w:val="en-US" w:eastAsia="zh-CN"/>
              </w:rPr>
              <w:t>详见本项目招标公告申请人的资格要求</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1755" w:type="dxa"/>
            <w:vAlign w:val="center"/>
          </w:tcPr>
          <w:p>
            <w:pPr>
              <w:jc w:val="center"/>
              <w:rPr>
                <w:rFonts w:ascii="宋体" w:hAnsi="宋体"/>
                <w:highlight w:val="none"/>
              </w:rPr>
            </w:pPr>
            <w:r>
              <w:rPr>
                <w:rFonts w:ascii="宋体" w:hAnsi="宋体" w:hint="eastAsia"/>
                <w:highlight w:val="none"/>
              </w:rPr>
              <w:t>踏勘现场</w:t>
            </w:r>
          </w:p>
        </w:tc>
        <w:tc>
          <w:tcPr>
            <w:tcW w:w="6795" w:type="dxa"/>
            <w:vAlign w:val="center"/>
          </w:tcPr>
          <w:p>
            <w:pPr>
              <w:pStyle w:val="CommentText"/>
              <w:rPr>
                <w:rFonts w:hint="default"/>
                <w:highlight w:val="none"/>
                <w:lang w:val="en-US" w:eastAsia="zh-CN"/>
              </w:rPr>
            </w:pPr>
            <w:r>
              <w:rPr>
                <w:rFonts w:hint="default"/>
                <w:highlight w:val="none"/>
                <w:lang w:val="en-US" w:eastAsia="zh-CN"/>
              </w:rPr>
              <w:t>踏勘要求：</w:t>
            </w:r>
          </w:p>
          <w:p>
            <w:pPr>
              <w:pStyle w:val="CommentText"/>
              <w:ind w:firstLine="420" w:firstLineChars="200"/>
              <w:rPr>
                <w:rFonts w:ascii="宋体" w:eastAsia="宋体" w:hAnsi="宋体" w:cs="宋体" w:hint="eastAsia"/>
                <w:highlight w:val="none"/>
                <w:lang w:val="en-US" w:eastAsia="zh-CN"/>
              </w:rPr>
            </w:pPr>
            <w:r>
              <w:rPr>
                <w:rFonts w:hint="default"/>
                <w:highlight w:val="none"/>
                <w:lang w:val="en-US" w:eastAsia="zh-CN"/>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w:t>
            </w:r>
            <w:r>
              <w:rPr>
                <w:rFonts w:ascii="宋体" w:eastAsia="宋体" w:hAnsi="宋体" w:cs="宋体" w:hint="eastAsia"/>
                <w:highlight w:val="none"/>
                <w:lang w:val="en-US" w:eastAsia="zh-CN"/>
              </w:rPr>
              <w:t>察，以明确施工场地情况并准确了解相关工程量等。</w:t>
            </w:r>
          </w:p>
          <w:p>
            <w:pPr>
              <w:pStyle w:val="CommentText"/>
              <w:ind w:firstLine="420" w:firstLineChars="200"/>
              <w:rPr>
                <w:rFonts w:ascii="宋体" w:hAnsi="宋体"/>
                <w:highlight w:val="none"/>
              </w:rPr>
            </w:pPr>
            <w:r>
              <w:rPr>
                <w:rFonts w:ascii="宋体" w:eastAsia="宋体" w:hAnsi="宋体" w:cs="宋体" w:hint="eastAsia"/>
                <w:color w:val="FF0000"/>
                <w:highlight w:val="none"/>
                <w:lang w:val="en-US" w:eastAsia="zh-CN"/>
              </w:rPr>
              <w:t>有应标意向的投标人请于招标公告发布5日内自行踏勘或联系采购人（联系人：林老师，电话：13528488255），按采购人规定的集合时间和地点进行踏勘。</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1755" w:type="dxa"/>
            <w:vAlign w:val="center"/>
          </w:tcPr>
          <w:p>
            <w:pPr>
              <w:jc w:val="center"/>
              <w:rPr>
                <w:rFonts w:ascii="宋体" w:hAnsi="宋体"/>
              </w:rPr>
            </w:pPr>
            <w:r>
              <w:rPr>
                <w:rFonts w:ascii="宋体" w:hAnsi="宋体" w:hint="eastAsia"/>
              </w:rPr>
              <w:t>标前会议</w:t>
            </w:r>
          </w:p>
        </w:tc>
        <w:tc>
          <w:tcPr>
            <w:tcW w:w="6795" w:type="dxa"/>
            <w:vAlign w:val="center"/>
          </w:tcPr>
          <w:p>
            <w:pPr>
              <w:jc w:val="left"/>
              <w:rPr>
                <w:rFonts w:ascii="宋体" w:hAnsi="宋体"/>
              </w:rPr>
            </w:pPr>
            <w:r>
              <w:rPr>
                <w:rFonts w:ascii="宋体" w:eastAsia="宋体" w:hAnsi="宋体" w:cs="Arial" w:hint="eastAsia"/>
                <w:szCs w:val="21"/>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pPr>
              <w:jc w:val="center"/>
              <w:rPr>
                <w:rFonts w:ascii="宋体" w:hAnsi="宋体"/>
              </w:rPr>
            </w:pPr>
            <w:r>
              <w:rPr>
                <w:rFonts w:ascii="宋体" w:hAnsi="宋体" w:hint="eastAsia"/>
              </w:rPr>
              <w:t>招标文件的澄清和修改</w:t>
            </w:r>
          </w:p>
        </w:tc>
        <w:tc>
          <w:tcPr>
            <w:tcW w:w="6795" w:type="dxa"/>
            <w:vAlign w:val="center"/>
          </w:tcPr>
          <w:p>
            <w:pPr>
              <w:jc w:val="left"/>
              <w:rPr>
                <w:rFonts w:ascii="宋体" w:hAnsi="宋体" w:eastAsiaTheme="minorEastAsia" w:hint="eastAsia"/>
                <w:lang w:eastAsia="zh-CN"/>
              </w:rPr>
            </w:pPr>
            <w:r>
              <w:rPr>
                <w:rFonts w:ascii="宋体" w:hAnsi="宋体" w:hint="eastAsia"/>
              </w:rPr>
              <w:t>对招标文件澄清/修改时间不晚于投标截止日三日前，投标人有义务在招标期间在政府集中采购机构网站浏览与本项目有关的澄清和修改信息</w:t>
            </w:r>
            <w:r>
              <w:rPr>
                <w:rFonts w:ascii="宋体" w:hAnsi="宋体" w:hint="eastAsia"/>
                <w:lang w:eastAsia="zh-CN"/>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1755" w:type="dxa"/>
            <w:vAlign w:val="center"/>
          </w:tcPr>
          <w:p>
            <w:pPr>
              <w:jc w:val="center"/>
              <w:rPr>
                <w:rFonts w:ascii="宋体" w:hAnsi="宋体"/>
              </w:rPr>
            </w:pPr>
            <w:r>
              <w:rPr>
                <w:rFonts w:ascii="宋体" w:hAnsi="宋体" w:hint="eastAsia"/>
              </w:rPr>
              <w:t>投标有效期</w:t>
            </w:r>
          </w:p>
        </w:tc>
        <w:tc>
          <w:tcPr>
            <w:tcW w:w="6795" w:type="dxa"/>
            <w:vAlign w:val="center"/>
          </w:tcPr>
          <w:p>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个日历日。</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1755" w:type="dxa"/>
            <w:vAlign w:val="center"/>
          </w:tcPr>
          <w:p>
            <w:pPr>
              <w:jc w:val="center"/>
              <w:rPr>
                <w:rFonts w:ascii="宋体" w:hAnsi="宋体"/>
              </w:rPr>
            </w:pPr>
            <w:r>
              <w:rPr>
                <w:rFonts w:ascii="宋体" w:hAnsi="宋体" w:hint="eastAsia"/>
              </w:rPr>
              <w:t>投标人的替代方案</w:t>
            </w:r>
          </w:p>
        </w:tc>
        <w:tc>
          <w:tcPr>
            <w:tcW w:w="6795" w:type="dxa"/>
            <w:vAlign w:val="center"/>
          </w:tcPr>
          <w:p>
            <w:pPr>
              <w:jc w:val="left"/>
              <w:rPr>
                <w:rFonts w:ascii="宋体" w:hAnsi="宋体"/>
              </w:rPr>
            </w:pPr>
            <w:r>
              <w:rPr>
                <w:rFonts w:ascii="宋体" w:hAnsi="宋体" w:hint="eastAsia"/>
                <w:lang w:val="en-US" w:eastAsia="zh-CN"/>
              </w:rPr>
              <w:t>不接受</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1755" w:type="dxa"/>
            <w:vAlign w:val="center"/>
          </w:tcPr>
          <w:p>
            <w:pPr>
              <w:jc w:val="center"/>
              <w:rPr>
                <w:rFonts w:ascii="宋体" w:hAnsi="宋体"/>
              </w:rPr>
            </w:pPr>
            <w:r>
              <w:rPr>
                <w:rFonts w:ascii="宋体" w:hAnsi="宋体" w:hint="eastAsia"/>
              </w:rPr>
              <w:t>投标文件的大小</w:t>
            </w:r>
          </w:p>
        </w:tc>
        <w:tc>
          <w:tcPr>
            <w:tcW w:w="6795" w:type="dxa"/>
            <w:vAlign w:val="center"/>
          </w:tcPr>
          <w:p>
            <w:pPr>
              <w:jc w:val="left"/>
              <w:rPr>
                <w:rFonts w:ascii="宋体" w:hAnsi="宋体"/>
              </w:rPr>
            </w:pPr>
            <w:r>
              <w:rPr>
                <w:rFonts w:ascii="宋体" w:eastAsia="宋体" w:hAnsi="宋体" w:cs="Arial" w:hint="eastAsia"/>
                <w:szCs w:val="21"/>
              </w:rPr>
              <w:t>投标文件大小不得超过 100MB</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1755" w:type="dxa"/>
            <w:vAlign w:val="center"/>
          </w:tcPr>
          <w:p>
            <w:pPr>
              <w:jc w:val="center"/>
              <w:rPr>
                <w:rFonts w:ascii="宋体" w:hAnsi="宋体"/>
              </w:rPr>
            </w:pPr>
            <w:bookmarkStart w:id="12" w:name="_Hlk71664860"/>
            <w:r>
              <w:rPr>
                <w:rFonts w:ascii="宋体" w:hAnsi="宋体" w:hint="eastAsia"/>
              </w:rPr>
              <w:t>样品、现场演示、方案讲解</w:t>
            </w:r>
            <w:bookmarkEnd w:id="12"/>
          </w:p>
        </w:tc>
        <w:tc>
          <w:tcPr>
            <w:tcW w:w="6795" w:type="dxa"/>
            <w:vAlign w:val="center"/>
          </w:tcPr>
          <w:p>
            <w:pPr>
              <w:jc w:val="left"/>
              <w:rPr>
                <w:rFonts w:ascii="宋体" w:hAnsi="宋体"/>
              </w:rPr>
            </w:pPr>
            <w:r>
              <w:rPr>
                <w:rFonts w:ascii="宋体" w:hAnsi="宋体" w:hint="eastAsia"/>
              </w:rPr>
              <w:t>不要求提供样品；不组织现场演示；不组织方案讲解。</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1755" w:type="dxa"/>
            <w:vAlign w:val="center"/>
          </w:tcPr>
          <w:p>
            <w:pPr>
              <w:jc w:val="center"/>
              <w:rPr>
                <w:rFonts w:ascii="宋体" w:hAnsi="宋体"/>
              </w:rPr>
            </w:pPr>
            <w:r>
              <w:rPr>
                <w:rFonts w:ascii="宋体" w:hAnsi="宋体" w:hint="eastAsia"/>
              </w:rPr>
              <w:t>评审方法</w:t>
            </w:r>
          </w:p>
        </w:tc>
        <w:tc>
          <w:tcPr>
            <w:tcW w:w="6795" w:type="dxa"/>
            <w:vAlign w:val="center"/>
          </w:tcPr>
          <w:p>
            <w:pPr>
              <w:jc w:val="left"/>
              <w:rPr>
                <w:rFonts w:ascii="宋体" w:hAnsi="宋体"/>
              </w:rPr>
            </w:pPr>
            <w:r>
              <w:rPr>
                <w:rFonts w:ascii="宋体" w:hAnsi="宋体"/>
                <w:b/>
                <w:bCs/>
              </w:rPr>
              <w:t>综合评分法</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1755" w:type="dxa"/>
            <w:vAlign w:val="center"/>
          </w:tcPr>
          <w:p>
            <w:pPr>
              <w:jc w:val="center"/>
              <w:rPr>
                <w:rFonts w:ascii="宋体" w:hAnsi="宋体"/>
                <w:highlight w:val="none"/>
              </w:rPr>
            </w:pPr>
            <w:r>
              <w:rPr>
                <w:rFonts w:ascii="宋体" w:hAnsi="宋体" w:hint="eastAsia"/>
                <w:highlight w:val="none"/>
              </w:rPr>
              <w:t>定标方法</w:t>
            </w:r>
          </w:p>
        </w:tc>
        <w:tc>
          <w:tcPr>
            <w:tcW w:w="6795" w:type="dxa"/>
            <w:vAlign w:val="center"/>
          </w:tcPr>
          <w:p>
            <w:pPr>
              <w:jc w:val="left"/>
              <w:rPr>
                <w:rFonts w:ascii="宋体" w:hAnsi="宋体" w:hint="eastAsia"/>
                <w:b/>
                <w:bCs/>
                <w:highlight w:val="none"/>
              </w:rPr>
            </w:pPr>
            <w:r>
              <w:rPr>
                <w:rFonts w:ascii="宋体" w:eastAsia="宋体" w:hAnsi="宋体" w:cs="Times New Roman" w:hint="eastAsia"/>
                <w:b/>
                <w:bCs/>
                <w:szCs w:val="21"/>
                <w:highlight w:val="none"/>
              </w:rPr>
              <w:t>非评定分离</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1755" w:type="dxa"/>
            <w:vAlign w:val="center"/>
          </w:tcPr>
          <w:p>
            <w:pPr>
              <w:jc w:val="center"/>
              <w:rPr>
                <w:rFonts w:ascii="宋体" w:hAnsi="宋体"/>
                <w:highlight w:val="none"/>
              </w:rPr>
            </w:pPr>
            <w:r>
              <w:rPr>
                <w:rFonts w:ascii="宋体" w:hAnsi="宋体" w:hint="eastAsia"/>
                <w:highlight w:val="none"/>
              </w:rPr>
              <w:t>履约担保</w:t>
            </w:r>
          </w:p>
        </w:tc>
        <w:tc>
          <w:tcPr>
            <w:tcW w:w="6795" w:type="dxa"/>
            <w:vAlign w:val="center"/>
          </w:tcPr>
          <w:p>
            <w:pPr>
              <w:jc w:val="left"/>
              <w:rPr>
                <w:rFonts w:ascii="宋体" w:hAnsi="宋体" w:eastAsiaTheme="minorEastAsia" w:hint="eastAsia"/>
                <w:highlight w:val="none"/>
                <w:lang w:val="en-US" w:eastAsia="zh-CN"/>
              </w:rPr>
            </w:pPr>
            <w:bookmarkEnd w:id="4"/>
            <w:bookmarkEnd w:id="5"/>
            <w:bookmarkEnd w:id="6"/>
            <w:bookmarkEnd w:id="7"/>
            <w:bookmarkEnd w:id="8"/>
            <w:bookmarkEnd w:id="9"/>
            <w:bookmarkEnd w:id="10"/>
            <w:bookmarkEnd w:id="11"/>
            <w:r>
              <w:rPr>
                <w:rFonts w:ascii="宋体" w:eastAsia="宋体" w:hAnsi="宋体" w:cs="Arial" w:hint="eastAsia"/>
                <w:color w:val="000000"/>
                <w:szCs w:val="21"/>
                <w:highlight w:val="none"/>
                <w:lang w:val="en-US" w:eastAsia="zh-CN"/>
              </w:rPr>
              <w:t>不需要</w:t>
            </w:r>
          </w:p>
        </w:tc>
      </w:tr>
    </w:tbl>
    <w:p>
      <w:pPr>
        <w:widowControl/>
        <w:jc w:val="center"/>
        <w:rPr>
          <w:szCs w:val="21"/>
        </w:rPr>
      </w:pPr>
      <w:r>
        <w:rPr>
          <w:rFonts w:hint="eastAsia"/>
          <w:szCs w:val="21"/>
        </w:rPr>
        <w:t>备注：本表是通用条款相关条款的补充和明确，如与通用条款内容相冲突的，以本表为准。</w:t>
      </w:r>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pPr>
        <w:tabs>
          <w:tab w:val="left" w:pos="720"/>
        </w:tabs>
        <w:rPr>
          <w:rFonts w:ascii="黑体" w:eastAsia="黑体" w:hAnsi="宋体" w:hint="eastAsia"/>
          <w:bCs/>
          <w:sz w:val="24"/>
          <w:lang w:val="en-US" w:eastAsia="zh-CN"/>
        </w:rPr>
      </w:pPr>
      <w:r>
        <w:rPr>
          <w:rFonts w:ascii="黑体" w:eastAsia="黑体" w:hAnsi="宋体" w:hint="eastAsia"/>
          <w:bCs/>
          <w:sz w:val="24"/>
          <w:lang w:val="en-US" w:eastAsia="zh-CN"/>
        </w:rPr>
        <w:t>1、评标定标信息</w:t>
      </w:r>
    </w:p>
    <w:p>
      <w:pPr>
        <w:tabs>
          <w:tab w:val="left" w:pos="720"/>
        </w:tabs>
        <w:jc w:val="center"/>
        <w:rPr>
          <w:rFonts w:eastAsiaTheme="minorEastAsia" w:hint="default"/>
          <w:lang w:val="en-US" w:eastAsia="zh-CN"/>
        </w:rPr>
      </w:pPr>
      <w:r>
        <w:rPr>
          <w:rFonts w:hint="eastAsia"/>
          <w:lang w:val="en-US" w:eastAsia="zh-CN"/>
        </w:rPr>
        <w:t>非评定分离项目</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64" w:type="dxa"/>
          </w:tcPr>
          <w:p>
            <w:pPr>
              <w:jc w:val="center"/>
            </w:pPr>
            <w:bookmarkStart w:id="13" w:name="_Hlk74239733"/>
            <w:r>
              <w:rPr>
                <w:rFonts w:hint="eastAsia"/>
              </w:rPr>
              <w:t>评标方法</w:t>
            </w:r>
          </w:p>
        </w:tc>
        <w:tc>
          <w:tcPr>
            <w:tcW w:w="4265" w:type="dxa"/>
          </w:tcPr>
          <w:p>
            <w:pPr>
              <w:jc w:val="center"/>
            </w:pPr>
            <w:r>
              <w:rPr>
                <w:rFonts w:hint="eastAsia"/>
              </w:rPr>
              <w:t>综合评分法</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候选中标供应商家数</w:t>
            </w:r>
          </w:p>
        </w:tc>
        <w:tc>
          <w:tcPr>
            <w:tcW w:w="4265" w:type="dxa"/>
          </w:tcPr>
          <w:p>
            <w:pPr>
              <w:jc w:val="center"/>
              <w:rPr>
                <w:rFonts w:eastAsiaTheme="minorEastAsia" w:hint="eastAsia"/>
                <w:highlight w:val="none"/>
                <w:lang w:eastAsia="zh-CN"/>
              </w:rPr>
            </w:pPr>
            <w:r>
              <w:rPr>
                <w:rFonts w:eastAsiaTheme="minorEastAsia" w:hint="eastAsia"/>
                <w:highlight w:val="none"/>
                <w:lang w:eastAsia="zh-CN"/>
              </w:rPr>
              <w:t>1</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中标供应商家数</w:t>
            </w:r>
          </w:p>
        </w:tc>
        <w:tc>
          <w:tcPr>
            <w:tcW w:w="4265" w:type="dxa"/>
          </w:tcPr>
          <w:p>
            <w:pPr>
              <w:jc w:val="center"/>
            </w:pPr>
            <w:r>
              <w:rPr>
                <w:rFonts w:hint="eastAsia"/>
              </w:rPr>
              <w:t>1</w:t>
            </w:r>
            <w:bookmarkEnd w:id="13"/>
          </w:p>
        </w:tc>
      </w:tr>
    </w:tbl>
    <w:p>
      <w:pPr>
        <w:tabs>
          <w:tab w:val="left" w:pos="720"/>
        </w:tabs>
        <w:rPr>
          <w:rFonts w:ascii="黑体" w:eastAsia="黑体" w:hAnsi="宋体" w:hint="eastAsia"/>
          <w:bCs/>
          <w:sz w:val="24"/>
          <w:lang w:val="en-US" w:eastAsia="zh-CN"/>
        </w:rPr>
      </w:pPr>
    </w:p>
    <w:p>
      <w:pPr>
        <w:tabs>
          <w:tab w:val="left" w:pos="720"/>
        </w:tabs>
        <w:rPr>
          <w:rFonts w:ascii="黑体" w:eastAsia="黑体" w:hAnsi="宋体"/>
          <w:bCs/>
          <w:sz w:val="24"/>
        </w:rPr>
      </w:pPr>
      <w:r>
        <w:rPr>
          <w:rFonts w:ascii="黑体" w:eastAsia="黑体" w:hAnsi="宋体" w:hint="eastAsia"/>
          <w:bCs/>
          <w:sz w:val="24"/>
          <w:lang w:val="en-US" w:eastAsia="zh-CN"/>
        </w:rPr>
        <w:t>2</w:t>
      </w:r>
      <w:r>
        <w:rPr>
          <w:rFonts w:ascii="黑体" w:eastAsia="黑体" w:hAnsi="宋体" w:hint="eastAsia"/>
          <w:bCs/>
          <w:sz w:val="24"/>
        </w:rPr>
        <w:t>、关于包组的定义</w:t>
      </w:r>
    </w:p>
    <w:p>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pPr>
        <w:tabs>
          <w:tab w:val="left" w:pos="720"/>
        </w:tabs>
        <w:rPr>
          <w:rFonts w:ascii="黑体" w:eastAsia="黑体" w:hAnsi="宋体"/>
          <w:sz w:val="24"/>
        </w:rPr>
      </w:pPr>
      <w:r>
        <w:rPr>
          <w:rFonts w:ascii="黑体" w:eastAsia="黑体" w:hAnsi="宋体" w:hint="eastAsia"/>
          <w:sz w:val="24"/>
          <w:lang w:val="en-US" w:eastAsia="zh-CN"/>
        </w:rPr>
        <w:t>3</w:t>
      </w:r>
      <w:r>
        <w:rPr>
          <w:rFonts w:ascii="黑体" w:eastAsia="黑体" w:hAnsi="宋体" w:hint="eastAsia"/>
          <w:sz w:val="24"/>
        </w:rPr>
        <w:t>、关于涉及采取随机抽取方式确定中标候选人（候选中标供应商）的规则</w:t>
      </w:r>
    </w:p>
    <w:p>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且同号的情况，则对同号的投标人重新摇签确定中签。抽签过程中遇抽签机器卡球的，被卡球方当轮重新抽签。</w:t>
      </w:r>
    </w:p>
    <w:p>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pPr>
        <w:tabs>
          <w:tab w:val="left" w:pos="720"/>
        </w:tabs>
        <w:rPr>
          <w:rFonts w:ascii="黑体" w:eastAsia="黑体" w:hAnsi="宋体"/>
          <w:sz w:val="24"/>
        </w:rPr>
      </w:pPr>
    </w:p>
    <w:p>
      <w:pPr>
        <w:tabs>
          <w:tab w:val="left" w:pos="720"/>
        </w:tabs>
        <w:rPr>
          <w:rFonts w:ascii="黑体" w:eastAsia="黑体" w:hAnsi="宋体"/>
          <w:sz w:val="24"/>
        </w:rPr>
      </w:pPr>
      <w:r>
        <w:rPr>
          <w:rFonts w:ascii="黑体" w:eastAsia="黑体" w:hAnsi="宋体" w:hint="eastAsia"/>
          <w:sz w:val="24"/>
        </w:rPr>
        <w:t>（二）其他事项</w:t>
      </w:r>
    </w:p>
    <w:p>
      <w:pPr>
        <w:tabs>
          <w:tab w:val="left" w:pos="720"/>
        </w:tabs>
        <w:rPr>
          <w:rFonts w:ascii="黑体" w:eastAsia="黑体" w:hAnsi="宋体"/>
          <w:sz w:val="24"/>
        </w:rPr>
      </w:pPr>
      <w:r>
        <w:rPr>
          <w:rFonts w:ascii="黑体" w:eastAsia="黑体" w:hAnsi="宋体" w:hint="eastAsia"/>
          <w:sz w:val="24"/>
        </w:rPr>
        <w:t>1、关于享受优惠政策的主体及价格扣除比例</w:t>
      </w:r>
    </w:p>
    <w:p>
      <w:pPr>
        <w:ind w:firstLine="412" w:firstLineChars="196"/>
        <w:rPr>
          <w:rFonts w:ascii="Arial" w:eastAsia="宋体" w:hAnsi="Arial" w:cs="Times New Roman"/>
          <w:b/>
          <w:color w:val="0000FF"/>
          <w:szCs w:val="21"/>
          <w:highlight w:val="none"/>
        </w:rPr>
      </w:pPr>
      <w:r>
        <w:rPr>
          <w:rFonts w:ascii="宋体" w:hAnsi="宋体" w:hint="eastAsia"/>
        </w:rPr>
        <w:t>（1）投标人提供的货物（以招标文件用户需求书“货物</w:t>
      </w:r>
      <w:r>
        <w:rPr>
          <w:rFonts w:ascii="宋体" w:hAnsi="宋体" w:hint="eastAsia"/>
          <w:lang w:val="en-US" w:eastAsia="zh-CN"/>
        </w:rPr>
        <w:t>需求</w:t>
      </w:r>
      <w:r>
        <w:rPr>
          <w:rFonts w:ascii="宋体" w:hAnsi="宋体" w:hint="eastAsia"/>
        </w:rPr>
        <w:t>明细”的“货物名称”一栏为准）全部均由优惠主体制造的，对其投标</w:t>
      </w:r>
      <w:r>
        <w:rPr>
          <w:rFonts w:ascii="宋体" w:hAnsi="宋体" w:hint="eastAsia"/>
          <w:highlight w:val="none"/>
        </w:rPr>
        <w:t>总价给予</w:t>
      </w:r>
      <w:r>
        <w:rPr>
          <w:rFonts w:ascii="宋体" w:eastAsia="宋体" w:hAnsi="宋体" w:cs="Times New Roman" w:hint="eastAsia"/>
          <w:b/>
          <w:sz w:val="24"/>
          <w:szCs w:val="24"/>
          <w:highlight w:val="none"/>
          <w:u w:val="single"/>
        </w:rPr>
        <w:t>10%</w:t>
      </w:r>
      <w:r>
        <w:rPr>
          <w:rFonts w:ascii="宋体" w:hAnsi="宋体" w:hint="eastAsia"/>
          <w:highlight w:val="none"/>
        </w:rPr>
        <w:t>的扣除，用扣除后的价格参与评审。满足多项优惠政策的企业，不重复享受多项价格扣除政策。</w:t>
      </w:r>
      <w:r>
        <w:rPr>
          <w:rFonts w:ascii="Arial" w:eastAsia="宋体" w:hAnsi="Arial" w:cs="Times New Roman" w:hint="eastAsia"/>
          <w:b/>
          <w:strike w:val="0"/>
          <w:dstrike w:val="0"/>
          <w:szCs w:val="21"/>
          <w:highlight w:val="none"/>
        </w:rPr>
        <w:t>政策调整后价格仅作为评审依据，不作为中标价格。</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highlight w:val="none"/>
        </w:rPr>
        <w:t>备注：</w:t>
      </w:r>
      <w:r>
        <w:rPr>
          <w:rFonts w:asciiTheme="minorEastAsia" w:hAnsiTheme="minorEastAsia" w:cstheme="minorEastAsia" w:hint="eastAsia"/>
          <w:b/>
          <w:bCs/>
          <w:sz w:val="21"/>
          <w:szCs w:val="21"/>
          <w:highlight w:val="none"/>
          <w:lang w:eastAsia="zh-CN"/>
        </w:rPr>
        <w:t>（</w:t>
      </w:r>
      <w:r>
        <w:rPr>
          <w:rFonts w:asciiTheme="minorEastAsia" w:hAnsiTheme="minorEastAsia" w:cstheme="minorEastAsia" w:hint="eastAsia"/>
          <w:b/>
          <w:bCs/>
          <w:sz w:val="21"/>
          <w:szCs w:val="21"/>
          <w:highlight w:val="none"/>
          <w:lang w:val="en-US" w:eastAsia="zh-CN"/>
        </w:rPr>
        <w:t>a</w:t>
      </w:r>
      <w:r>
        <w:rPr>
          <w:rFonts w:asciiTheme="minorEastAsia" w:hAnsiTheme="minorEastAsia" w:cstheme="minorEastAsia" w:hint="eastAsia"/>
          <w:b/>
          <w:bCs/>
          <w:sz w:val="21"/>
          <w:szCs w:val="21"/>
          <w:highlight w:val="none"/>
          <w:lang w:eastAsia="zh-CN"/>
        </w:rPr>
        <w:t>）</w:t>
      </w:r>
      <w:r>
        <w:rPr>
          <w:rFonts w:asciiTheme="minorEastAsia" w:eastAsiaTheme="minorEastAsia" w:hAnsiTheme="minorEastAsia" w:cstheme="minorEastAsia" w:hint="eastAsia"/>
          <w:sz w:val="21"/>
          <w:szCs w:val="21"/>
          <w:highlight w:val="none"/>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w:t>
      </w:r>
      <w:r>
        <w:rPr>
          <w:rFonts w:asciiTheme="minorEastAsia" w:eastAsiaTheme="minorEastAsia" w:hAnsiTheme="minorEastAsia" w:cstheme="minorEastAsia" w:hint="eastAsia"/>
          <w:sz w:val="21"/>
          <w:szCs w:val="21"/>
        </w:rPr>
        <w:t>直接控股、管理关系的除外；符合中小企业划分标准的个体工商户，在政府采购活动中视同中小企业；</w:t>
      </w:r>
      <w:r>
        <w:rPr>
          <w:rFonts w:ascii="宋体" w:hAnsi="宋体" w:hint="eastAsia"/>
          <w:highlight w:val="none"/>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 w:val="21"/>
          <w:szCs w:val="21"/>
          <w:lang w:val="en-US" w:eastAsia="zh-CN"/>
        </w:rPr>
        <w:t>(b)</w:t>
      </w:r>
      <w:r>
        <w:rPr>
          <w:rFonts w:asciiTheme="minorEastAsia" w:eastAsiaTheme="minorEastAsia" w:hAnsiTheme="minorEastAsia" w:cstheme="minorEastAsia" w:hint="eastAsia"/>
          <w:sz w:val="21"/>
          <w:szCs w:val="21"/>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（2）根据《工业和信息化部、国家统计局、国家发展和改革委员会、财政部关于印发中小企业划型标准规定的通知》（工信部联企业〔2011〕300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《统计上大中小微型企业划分办法（2017）》（国统字〔2017〕213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kern w:val="0"/>
          <w:sz w:val="21"/>
          <w:szCs w:val="21"/>
        </w:rPr>
        <w:t>《金融业企业划型标准规定》</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kern w:val="0"/>
          <w:sz w:val="21"/>
          <w:szCs w:val="21"/>
        </w:rPr>
        <w:t>银发〔2015〕309号</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sz w:val="21"/>
          <w:szCs w:val="21"/>
        </w:rPr>
        <w:t>或国务院批准的其他中小企业划分标准文件，</w:t>
      </w:r>
      <w:bookmarkStart w:id="14" w:name="_Hlk71970739"/>
      <w:r>
        <w:rPr>
          <w:rFonts w:asciiTheme="minorEastAsia" w:eastAsiaTheme="minorEastAsia" w:hAnsiTheme="minorEastAsia" w:cstheme="minorEastAsia" w:hint="eastAsia"/>
          <w:sz w:val="21"/>
          <w:szCs w:val="21"/>
        </w:rPr>
        <w:t>本项目</w:t>
      </w:r>
      <w:bookmarkStart w:id="15" w:name="_Hlk71924718"/>
      <w:r>
        <w:rPr>
          <w:rFonts w:asciiTheme="minorEastAsia" w:eastAsiaTheme="minorEastAsia" w:hAnsiTheme="minorEastAsia" w:cstheme="minorEastAsia" w:hint="eastAsia"/>
          <w:sz w:val="21"/>
          <w:szCs w:val="21"/>
        </w:rPr>
        <w:t>采购标的（货物）对应的中小企业划分标准所属行业</w:t>
      </w:r>
      <w:bookmarkEnd w:id="15"/>
      <w:r>
        <w:rPr>
          <w:rFonts w:asciiTheme="minorEastAsia" w:eastAsiaTheme="minorEastAsia" w:hAnsiTheme="minorEastAsia" w:cstheme="minorEastAsia" w:hint="eastAsia"/>
          <w:sz w:val="21"/>
          <w:szCs w:val="21"/>
        </w:rPr>
        <w:t>为</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color w:val="FF0000"/>
          <w:sz w:val="24"/>
          <w:szCs w:val="24"/>
          <w:u w:val="single"/>
        </w:rPr>
        <w:t xml:space="preserve"> </w:t>
      </w:r>
      <w:r>
        <w:rPr>
          <w:rFonts w:asciiTheme="minorEastAsia" w:eastAsiaTheme="minorEastAsia" w:hAnsiTheme="minorEastAsia" w:cstheme="minorEastAsia" w:hint="eastAsia"/>
          <w:b/>
          <w:bCs/>
          <w:color w:val="FF0000"/>
          <w:sz w:val="24"/>
          <w:szCs w:val="24"/>
          <w:u w:val="single"/>
        </w:rPr>
        <w:t>软件和信息技术服务业</w:t>
      </w:r>
      <w:r>
        <w:rPr>
          <w:rFonts w:asciiTheme="minorEastAsia" w:eastAsiaTheme="minorEastAsia" w:hAnsiTheme="minorEastAsia" w:cstheme="minorEastAsia" w:hint="eastAsia"/>
          <w:sz w:val="21"/>
          <w:szCs w:val="21"/>
        </w:rPr>
        <w:t>。</w:t>
      </w:r>
      <w:bookmarkEnd w:id="14"/>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（4）享受价格扣除获得政府采购合同的，小微企业不得将合同分包给大中型企业。</w:t>
      </w:r>
    </w:p>
    <w:p>
      <w:pPr>
        <w:tabs>
          <w:tab w:val="left" w:pos="720"/>
        </w:tabs>
        <w:ind w:firstLine="420" w:firstLineChars="200"/>
        <w:rPr>
          <w:rFonts w:ascii="宋体" w:hAnsi="宋体"/>
          <w:bCs/>
        </w:rPr>
      </w:pPr>
    </w:p>
    <w:p>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pPr>
        <w:ind w:firstLine="420" w:firstLineChars="200"/>
        <w:rPr>
          <w:rFonts w:ascii="宋体" w:eastAsia="宋体" w:hAnsi="宋体" w:cs="Times New Roman"/>
          <w:b/>
          <w:szCs w:val="24"/>
        </w:rPr>
      </w:pPr>
      <w:r>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tabs>
          <w:tab w:val="left" w:pos="720"/>
        </w:tabs>
        <w:rPr>
          <w:rFonts w:ascii="黑体" w:eastAsia="黑体" w:hAnsi="宋体"/>
          <w:sz w:val="24"/>
        </w:rPr>
      </w:pPr>
    </w:p>
    <w:p>
      <w:pPr>
        <w:tabs>
          <w:tab w:val="left" w:pos="720"/>
        </w:tabs>
        <w:rPr>
          <w:rFonts w:ascii="Arial" w:hAnsi="Arial" w:hint="eastAsia"/>
          <w:b/>
          <w:bCs/>
          <w:color w:val="FF0000"/>
        </w:rPr>
      </w:pPr>
      <w:r>
        <w:rPr>
          <w:rFonts w:ascii="Arial" w:hAnsi="Arial" w:hint="eastAsia"/>
          <w:b/>
          <w:bCs/>
          <w:color w:val="FF0000"/>
        </w:rPr>
        <w:t>3、本项目不向中标供应商收取代理服务费。</w:t>
      </w:r>
    </w:p>
    <w:p>
      <w:pPr>
        <w:widowControl/>
        <w:ind w:firstLine="420"/>
        <w:jc w:val="left"/>
        <w:rPr>
          <w:rFonts w:ascii="宋体" w:eastAsia="黑体" w:hAnsi="宋体" w:cs="Times New Roman"/>
          <w:bCs/>
          <w:kern w:val="44"/>
          <w:szCs w:val="21"/>
        </w:rPr>
      </w:pPr>
    </w:p>
    <w:p>
      <w:pPr>
        <w:widowControl/>
        <w:jc w:val="left"/>
        <w:rPr>
          <w:rFonts w:ascii="宋体" w:eastAsia="黑体" w:hAnsi="宋体" w:cs="Times New Roman"/>
          <w:bCs/>
          <w:kern w:val="44"/>
          <w:sz w:val="28"/>
          <w:szCs w:val="44"/>
        </w:rPr>
      </w:pPr>
      <w: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Style w:val="TableNormal"/>
        <w:tblW w:w="8931" w:type="dxa"/>
        <w:jc w:val="center"/>
        <w:tblLayout w:type="fixed"/>
        <w:tblCellMar>
          <w:top w:w="15" w:type="dxa"/>
          <w:left w:w="15" w:type="dxa"/>
          <w:bottom w:w="15" w:type="dxa"/>
          <w:right w:w="15" w:type="dxa"/>
        </w:tblCellMar>
      </w:tblPr>
      <w:tblGrid>
        <w:gridCol w:w="710"/>
        <w:gridCol w:w="2693"/>
        <w:gridCol w:w="2906"/>
        <w:gridCol w:w="2622"/>
      </w:tblGrid>
      <w:tr>
        <w:tblPrEx>
          <w:tblW w:w="8931" w:type="dxa"/>
          <w:jc w:val="center"/>
          <w:tblLayout w:type="fixed"/>
          <w:tblCellMar>
            <w:top w:w="15" w:type="dxa"/>
            <w:left w:w="15" w:type="dxa"/>
            <w:bottom w:w="15" w:type="dxa"/>
            <w:right w:w="15" w:type="dxa"/>
          </w:tblCellMar>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rPr>
            </w:pPr>
            <w:r>
              <w:rPr>
                <w:rFonts w:hint="eastAsia"/>
                <w:b w:val="0"/>
                <w:bCs w:val="0"/>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rPr>
            </w:pPr>
            <w:r>
              <w:rPr>
                <w:rFonts w:hint="eastAsia"/>
                <w:b w:val="0"/>
                <w:bCs w:val="0"/>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hint="eastAsia"/>
                <w:b w:val="0"/>
                <w:bCs w:val="0"/>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asciiTheme="minorEastAsia" w:hAnsiTheme="minorEastAsia" w:hint="eastAsia"/>
                <w:b w:val="0"/>
                <w:bCs w:val="0"/>
                <w:sz w:val="24"/>
                <w:szCs w:val="24"/>
              </w:rPr>
              <w:t>财政预算限额（元）</w:t>
            </w:r>
          </w:p>
        </w:tc>
      </w:tr>
      <w:tr>
        <w:tblPrEx>
          <w:tblW w:w="8931" w:type="dxa"/>
          <w:jc w:val="center"/>
          <w:tblLayout w:type="fixed"/>
          <w:tblCellMar>
            <w:top w:w="15" w:type="dxa"/>
            <w:left w:w="15" w:type="dxa"/>
            <w:bottom w:w="15" w:type="dxa"/>
            <w:right w:w="15" w:type="dxa"/>
          </w:tblCellMar>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1</w:t>
            </w:r>
          </w:p>
        </w:tc>
        <w:tc>
          <w:tcPr>
            <w:tcW w:w="269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default"/>
                <w:b w:val="0"/>
                <w:bCs w:val="0"/>
                <w:sz w:val="24"/>
                <w:szCs w:val="24"/>
                <w:highlight w:val="none"/>
                <w:lang w:val="en-US" w:eastAsia="zh-CN"/>
              </w:rPr>
              <w:t>PLAN-2024-440306000-112090-01946</w:t>
            </w:r>
          </w:p>
        </w:tc>
        <w:tc>
          <w:tcPr>
            <w:tcW w:w="2906" w:type="dxa"/>
            <w:tcBorders>
              <w:top w:val="single" w:sz="4" w:space="0" w:color="000000"/>
              <w:left w:val="single" w:sz="4" w:space="0" w:color="000000"/>
              <w:right w:val="single" w:sz="4" w:space="0" w:color="000000"/>
            </w:tcBorders>
            <w:vAlign w:val="center"/>
          </w:tcPr>
          <w:p>
            <w:pPr>
              <w:jc w:val="center"/>
              <w:rPr>
                <w:rFonts w:asciiTheme="minorEastAsia" w:eastAsiaTheme="minorEastAsia" w:hAnsiTheme="minorEastAsia" w:hint="eastAsia"/>
                <w:b w:val="0"/>
                <w:bCs w:val="0"/>
                <w:sz w:val="24"/>
                <w:szCs w:val="24"/>
                <w:highlight w:val="none"/>
                <w:lang w:eastAsia="zh-CN"/>
              </w:rPr>
            </w:pPr>
            <w:r>
              <w:rPr>
                <w:rFonts w:asciiTheme="minorEastAsia" w:hAnsiTheme="minorEastAsia" w:hint="eastAsia"/>
                <w:b w:val="0"/>
                <w:bCs w:val="0"/>
                <w:sz w:val="24"/>
                <w:szCs w:val="24"/>
                <w:highlight w:val="none"/>
                <w:lang w:eastAsia="zh-CN"/>
              </w:rPr>
              <w:t>宝安区孝德学校理科实验考试设备采购项目</w:t>
            </w:r>
          </w:p>
          <w:p>
            <w:pPr>
              <w:jc w:val="center"/>
              <w:rPr>
                <w:b w:val="0"/>
                <w:bCs w:val="0"/>
                <w:highlight w:val="none"/>
              </w:rPr>
            </w:pPr>
            <w:r>
              <w:rPr>
                <w:rFonts w:asciiTheme="minorEastAsia" w:hAnsiTheme="minorEastAsia" w:hint="eastAsia"/>
                <w:b w:val="0"/>
                <w:bCs w:val="0"/>
                <w:sz w:val="24"/>
                <w:szCs w:val="24"/>
                <w:highlight w:val="none"/>
              </w:rPr>
              <w:t>（</w:t>
            </w:r>
            <w:r>
              <w:rPr>
                <w:rFonts w:asciiTheme="minorEastAsia" w:hAnsiTheme="minorEastAsia" w:cs="Times New Roman" w:hint="eastAsia"/>
                <w:b w:val="0"/>
                <w:bCs w:val="0"/>
                <w:sz w:val="24"/>
                <w:szCs w:val="24"/>
                <w:highlight w:val="none"/>
              </w:rPr>
              <w:t>A包</w:t>
            </w:r>
            <w:r>
              <w:rPr>
                <w:rFonts w:asciiTheme="minorEastAsia" w:hAnsiTheme="minorEastAsia" w:hint="eastAsia"/>
                <w:b w:val="0"/>
                <w:bCs w:val="0"/>
                <w:sz w:val="24"/>
                <w:szCs w:val="24"/>
                <w:highlight w:val="none"/>
              </w:rPr>
              <w:t>）</w:t>
            </w:r>
          </w:p>
        </w:tc>
        <w:tc>
          <w:tcPr>
            <w:tcW w:w="2622"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lang w:val="en-US" w:eastAsia="zh-CN"/>
              </w:rPr>
              <w:t>1,500,000.00</w:t>
            </w:r>
          </w:p>
        </w:tc>
      </w:tr>
      <w:tr>
        <w:tblPrEx>
          <w:tblW w:w="8931" w:type="dxa"/>
          <w:jc w:val="center"/>
          <w:tblLayout w:type="fixed"/>
          <w:tblCellMar>
            <w:top w:w="15" w:type="dxa"/>
            <w:left w:w="15" w:type="dxa"/>
            <w:bottom w:w="15" w:type="dxa"/>
            <w:right w:w="15" w:type="dxa"/>
          </w:tblCellMar>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pPr>
              <w:jc w:val="center"/>
              <w:rPr>
                <w:rFonts w:eastAsiaTheme="minorEastAsia" w:hint="eastAsia"/>
                <w:b w:val="0"/>
                <w:bCs w:val="0"/>
                <w:highlight w:val="none"/>
                <w:lang w:val="en-US" w:eastAsia="zh-CN"/>
              </w:rPr>
            </w:pPr>
            <w:r>
              <w:rPr>
                <w:rFonts w:hint="eastAsia"/>
                <w:b w:val="0"/>
                <w:bCs w:val="0"/>
                <w:highlight w:val="none"/>
                <w:lang w:val="en-US" w:eastAsia="zh-CN"/>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lang w:val="en-US" w:eastAsia="zh-CN"/>
              </w:rPr>
              <w:t>1,500,000.00</w:t>
            </w:r>
          </w:p>
        </w:tc>
      </w:tr>
    </w:tbl>
    <w:p>
      <w:pPr>
        <w:jc w:val="both"/>
        <w:rPr>
          <w:rFonts w:ascii="Arial" w:eastAsia="宋体" w:hAnsi="Arial" w:cs="Times New Roman" w:hint="eastAsia"/>
          <w:b/>
          <w:color w:val="FF0000"/>
          <w:sz w:val="24"/>
          <w:szCs w:val="24"/>
          <w:highlight w:val="none"/>
        </w:rPr>
      </w:pPr>
      <w:r>
        <w:rPr>
          <w:rFonts w:ascii="宋体" w:eastAsia="宋体" w:hAnsi="宋体" w:cs="宋体" w:hint="eastAsia"/>
          <w:b/>
          <w:color w:val="FF0000"/>
          <w:sz w:val="32"/>
          <w:szCs w:val="32"/>
          <w:highlight w:val="yellow"/>
        </w:rPr>
        <w:t>本项目</w:t>
      </w:r>
      <w:r>
        <w:rPr>
          <w:rFonts w:ascii="宋体" w:eastAsia="宋体" w:hAnsi="宋体" w:cs="宋体" w:hint="eastAsia"/>
          <w:b/>
          <w:color w:val="FF0000"/>
          <w:sz w:val="32"/>
          <w:szCs w:val="32"/>
          <w:highlight w:val="yellow"/>
          <w:lang w:val="en-US" w:eastAsia="zh-CN"/>
        </w:rPr>
        <w:t>预算金额为</w:t>
      </w:r>
      <w:r>
        <w:rPr>
          <w:rFonts w:ascii="宋体" w:eastAsia="宋体" w:hAnsi="宋体" w:cs="宋体" w:hint="eastAsia"/>
          <w:b/>
          <w:color w:val="FF0000"/>
          <w:sz w:val="32"/>
          <w:szCs w:val="32"/>
          <w:highlight w:val="yellow"/>
        </w:rPr>
        <w:t>人民币</w:t>
      </w:r>
      <w:r>
        <w:rPr>
          <w:rFonts w:ascii="宋体" w:eastAsia="宋体" w:hAnsi="宋体" w:cs="宋体" w:hint="eastAsia"/>
          <w:b/>
          <w:color w:val="0000FF"/>
          <w:sz w:val="32"/>
          <w:szCs w:val="32"/>
          <w:highlight w:val="yellow"/>
          <w:lang w:val="en-US" w:eastAsia="zh-CN"/>
        </w:rPr>
        <w:t>1,500,000.00元，</w:t>
      </w:r>
      <w:r>
        <w:rPr>
          <w:rFonts w:ascii="宋体" w:eastAsia="宋体" w:hAnsi="宋体" w:cs="宋体" w:hint="eastAsia"/>
          <w:b/>
          <w:color w:val="FF0000"/>
          <w:sz w:val="32"/>
          <w:szCs w:val="32"/>
          <w:highlight w:val="yellow"/>
        </w:rPr>
        <w:t>控制金额为人民币</w:t>
      </w:r>
      <w:r>
        <w:rPr>
          <w:rFonts w:ascii="宋体" w:eastAsia="宋体" w:hAnsi="宋体" w:cs="宋体" w:hint="eastAsia"/>
          <w:b/>
          <w:color w:val="0000FF"/>
          <w:sz w:val="32"/>
          <w:szCs w:val="32"/>
          <w:highlight w:val="yellow"/>
          <w:lang w:val="en-US" w:eastAsia="zh-CN"/>
        </w:rPr>
        <w:t>1,495,180.00元</w:t>
      </w:r>
      <w:r>
        <w:rPr>
          <w:rFonts w:ascii="宋体" w:eastAsia="宋体" w:hAnsi="宋体" w:cs="宋体" w:hint="eastAsia"/>
          <w:b/>
          <w:color w:val="FF0000"/>
          <w:sz w:val="32"/>
          <w:szCs w:val="32"/>
          <w:highlight w:val="yellow"/>
        </w:rPr>
        <w:t>，投标报价超出控制金额将作投标无效处理。</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pPr>
        <w:rPr>
          <w:highlight w:val="none"/>
        </w:rPr>
      </w:pPr>
      <w:r>
        <w:rPr>
          <w:rFonts w:ascii="宋体" w:hAnsi="宋体" w:hint="eastAsia"/>
          <w:b/>
          <w:color w:val="FF0000"/>
          <w:sz w:val="32"/>
          <w:szCs w:val="32"/>
          <w:highlight w:val="none"/>
        </w:rPr>
        <w:t>本项目核心产品为：</w:t>
      </w:r>
      <w:r>
        <w:rPr>
          <w:rFonts w:ascii="宋体" w:hAnsi="宋体" w:hint="eastAsia"/>
          <w:b/>
          <w:color w:val="FF0000"/>
          <w:sz w:val="32"/>
          <w:szCs w:val="32"/>
          <w:highlight w:val="none"/>
          <w:u w:val="single"/>
        </w:rPr>
        <w:t xml:space="preserve">   实验信息采集终端    </w:t>
      </w:r>
    </w:p>
    <w:tbl>
      <w:tblPr>
        <w:tblStyle w:val="TableNormal"/>
        <w:tblW w:w="8712" w:type="dxa"/>
        <w:jc w:val="center"/>
        <w:tblLayout w:type="fixed"/>
        <w:tblCellMar>
          <w:top w:w="15" w:type="dxa"/>
          <w:left w:w="15" w:type="dxa"/>
          <w:bottom w:w="15" w:type="dxa"/>
          <w:right w:w="15" w:type="dxa"/>
        </w:tblCellMar>
      </w:tblPr>
      <w:tblGrid>
        <w:gridCol w:w="639"/>
        <w:gridCol w:w="3750"/>
        <w:gridCol w:w="709"/>
        <w:gridCol w:w="780"/>
        <w:gridCol w:w="1417"/>
        <w:gridCol w:w="1417"/>
      </w:tblGrid>
      <w:tr>
        <w:tblPrEx>
          <w:tblW w:w="8712" w:type="dxa"/>
          <w:jc w:val="center"/>
          <w:tblLayout w:type="fixed"/>
          <w:tblCellMar>
            <w:top w:w="15" w:type="dxa"/>
            <w:left w:w="15" w:type="dxa"/>
            <w:bottom w:w="15" w:type="dxa"/>
            <w:right w:w="15" w:type="dxa"/>
          </w:tblCellMar>
        </w:tblPrEx>
        <w:trPr>
          <w:trHeight w:val="552"/>
          <w:jc w:val="center"/>
        </w:trPr>
        <w:tc>
          <w:tcPr>
            <w:tcW w:w="639"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序号</w:t>
            </w:r>
          </w:p>
        </w:tc>
        <w:tc>
          <w:tcPr>
            <w:tcW w:w="3750"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highlight w:val="green"/>
              </w:rPr>
            </w:pPr>
            <w:r>
              <w:rPr>
                <w:rFonts w:ascii="宋体" w:eastAsia="宋体" w:hAnsi="宋体" w:cs="宋体" w:hint="eastAsia"/>
                <w:b w:val="0"/>
                <w:bCs w:val="0"/>
                <w:sz w:val="21"/>
                <w:szCs w:val="21"/>
                <w:lang w:val="en-US" w:eastAsia="zh-CN"/>
              </w:rPr>
              <w:t>货物</w:t>
            </w:r>
            <w:r>
              <w:rPr>
                <w:rFonts w:ascii="宋体" w:eastAsia="宋体" w:hAnsi="宋体" w:cs="宋体" w:hint="eastAsia"/>
                <w:b w:val="0"/>
                <w:bCs w:val="0"/>
                <w:sz w:val="21"/>
                <w:szCs w:val="21"/>
              </w:rPr>
              <w:t>名称（标的名称）</w:t>
            </w:r>
          </w:p>
        </w:tc>
        <w:tc>
          <w:tcPr>
            <w:tcW w:w="709"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数量</w:t>
            </w:r>
          </w:p>
        </w:tc>
        <w:tc>
          <w:tcPr>
            <w:tcW w:w="780"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highlight w:val="yellow"/>
              </w:rPr>
            </w:pPr>
            <w:r>
              <w:rPr>
                <w:rFonts w:ascii="宋体" w:eastAsia="宋体" w:hAnsi="宋体" w:cs="宋体" w:hint="eastAsia"/>
                <w:b w:val="0"/>
                <w:bCs w:val="0"/>
                <w:sz w:val="21"/>
                <w:szCs w:val="21"/>
                <w:highlight w:val="none"/>
              </w:rPr>
              <w:t>所属行业</w:t>
            </w:r>
          </w:p>
        </w:tc>
      </w:tr>
      <w:tr>
        <w:tblPrEx>
          <w:tblW w:w="8712" w:type="dxa"/>
          <w:jc w:val="center"/>
          <w:tblLayout w:type="fixed"/>
          <w:tblCellMar>
            <w:top w:w="15" w:type="dxa"/>
            <w:left w:w="15" w:type="dxa"/>
            <w:bottom w:w="15" w:type="dxa"/>
            <w:right w:w="15" w:type="dxa"/>
          </w:tblCellMar>
        </w:tblPrEx>
        <w:trPr>
          <w:trHeight w:val="317"/>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lang w:val="en-US" w:eastAsia="zh-CN"/>
              </w:rPr>
            </w:pPr>
            <w:r>
              <w:rPr>
                <w:rFonts w:ascii="宋体" w:eastAsia="宋体" w:hAnsi="宋体" w:cs="宋体" w:hint="eastAsia"/>
                <w:color w:val="000000"/>
                <w:kern w:val="0"/>
                <w:sz w:val="21"/>
                <w:szCs w:val="21"/>
              </w:rPr>
              <w:t>1</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green"/>
              </w:rPr>
            </w:pPr>
            <w:r>
              <w:rPr>
                <w:rFonts w:ascii="宋体" w:eastAsia="宋体" w:hAnsi="宋体" w:cs="宋体" w:hint="eastAsia"/>
                <w:color w:val="000000"/>
                <w:kern w:val="0"/>
                <w:sz w:val="21"/>
                <w:szCs w:val="21"/>
              </w:rPr>
              <w:t>考试专用服务器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val="restart"/>
            <w:tcBorders>
              <w:top w:val="single" w:sz="4" w:space="0" w:color="000000"/>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bCs/>
                <w:color w:val="000000"/>
                <w:kern w:val="0"/>
                <w:sz w:val="21"/>
                <w:szCs w:val="21"/>
              </w:rPr>
              <w:t>软件和信息技术服务业</w:t>
            </w: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lang w:val="en-US" w:eastAsia="zh-CN"/>
              </w:rPr>
            </w:pPr>
            <w:r>
              <w:rPr>
                <w:rFonts w:ascii="宋体" w:eastAsia="宋体" w:hAnsi="宋体" w:cs="宋体" w:hint="eastAsia"/>
                <w:color w:val="000000"/>
                <w:kern w:val="0"/>
                <w:sz w:val="21"/>
                <w:szCs w:val="21"/>
              </w:rPr>
              <w:t>2</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green"/>
              </w:rPr>
            </w:pPr>
            <w:r>
              <w:rPr>
                <w:rFonts w:ascii="宋体" w:eastAsia="宋体" w:hAnsi="宋体" w:cs="宋体" w:hint="eastAsia"/>
                <w:color w:val="000000"/>
                <w:kern w:val="0"/>
                <w:sz w:val="21"/>
                <w:szCs w:val="21"/>
              </w:rPr>
              <w:t>AI算力服务器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3</w:t>
            </w:r>
          </w:p>
        </w:tc>
        <w:tc>
          <w:tcPr>
            <w:tcW w:w="3750" w:type="dxa"/>
            <w:tcBorders>
              <w:top w:val="single" w:sz="4" w:space="0" w:color="000000"/>
              <w:left w:val="single" w:sz="4" w:space="0" w:color="auto"/>
              <w:bottom w:val="single" w:sz="4" w:space="0" w:color="000000"/>
              <w:right w:val="single" w:sz="4" w:space="0" w:color="000000"/>
            </w:tcBorders>
            <w:vAlign w:val="center"/>
          </w:tcPr>
          <w:p>
            <w:pPr>
              <w:jc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sz w:val="21"/>
                <w:szCs w:val="21"/>
              </w:rPr>
              <w:t>视频存储服务器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4</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移动硬盘</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5</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汇聚交换机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6</w:t>
            </w:r>
          </w:p>
        </w:tc>
        <w:tc>
          <w:tcPr>
            <w:tcW w:w="3750" w:type="dxa"/>
            <w:tcBorders>
              <w:top w:val="single" w:sz="4" w:space="0" w:color="000000"/>
              <w:left w:val="single" w:sz="4" w:space="0" w:color="auto"/>
              <w:bottom w:val="single" w:sz="4" w:space="0" w:color="000000"/>
              <w:right w:val="single" w:sz="4" w:space="0" w:color="000000"/>
            </w:tcBorders>
            <w:vAlign w:val="center"/>
          </w:tcPr>
          <w:p>
            <w:pPr>
              <w:jc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sz w:val="21"/>
                <w:szCs w:val="21"/>
              </w:rPr>
              <w:t>接入交换机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7</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考场监考管理主机</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8</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校级管理平台</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90"/>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9</w:t>
            </w:r>
          </w:p>
        </w:tc>
        <w:tc>
          <w:tcPr>
            <w:tcW w:w="3750" w:type="dxa"/>
            <w:tcBorders>
              <w:top w:val="single" w:sz="4" w:space="0" w:color="000000"/>
              <w:left w:val="single" w:sz="4" w:space="0" w:color="auto"/>
              <w:bottom w:val="single" w:sz="4" w:space="0" w:color="000000"/>
              <w:right w:val="single" w:sz="4" w:space="0" w:color="000000"/>
            </w:tcBorders>
            <w:vAlign w:val="center"/>
          </w:tcPr>
          <w:p>
            <w:pPr>
              <w:jc w:val="center"/>
              <w:rPr>
                <w:rFonts w:ascii="宋体" w:eastAsia="宋体" w:hAnsi="宋体" w:cs="宋体" w:hint="eastAsia"/>
                <w:b w:val="0"/>
                <w:bCs w:val="0"/>
                <w:sz w:val="21"/>
                <w:szCs w:val="21"/>
                <w:highlight w:val="none"/>
                <w:lang w:eastAsia="zh-CN"/>
              </w:rPr>
            </w:pPr>
            <w:r>
              <w:rPr>
                <w:rFonts w:ascii="宋体" w:eastAsia="宋体" w:hAnsi="宋体" w:cs="宋体" w:hint="eastAsia"/>
                <w:color w:val="FF0000"/>
                <w:sz w:val="21"/>
                <w:szCs w:val="21"/>
              </w:rPr>
              <w:t>实验信息采集终端</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10</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电子目镜</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50</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11</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UPS</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12</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机柜</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13</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无线扩音系统</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14</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综合布线</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15</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电源布线</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auto"/>
              <w:right w:val="single" w:sz="4" w:space="0" w:color="auto"/>
            </w:tcBorders>
            <w:vAlign w:val="center"/>
          </w:tcPr>
          <w:p>
            <w:pPr>
              <w:widowControl/>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16</w:t>
            </w:r>
          </w:p>
        </w:tc>
        <w:tc>
          <w:tcPr>
            <w:tcW w:w="3750" w:type="dxa"/>
            <w:tcBorders>
              <w:top w:val="single" w:sz="4" w:space="0" w:color="000000"/>
              <w:left w:val="single" w:sz="4" w:space="0" w:color="auto"/>
              <w:bottom w:val="single" w:sz="4" w:space="0" w:color="auto"/>
              <w:right w:val="single" w:sz="4" w:space="0" w:color="000000"/>
            </w:tcBorders>
            <w:vAlign w:val="center"/>
          </w:tcPr>
          <w:p>
            <w:pPr>
              <w:widowControl/>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考点视频监控设备</w:t>
            </w:r>
          </w:p>
        </w:tc>
        <w:tc>
          <w:tcPr>
            <w:tcW w:w="709" w:type="dxa"/>
            <w:tcBorders>
              <w:top w:val="single" w:sz="4" w:space="0" w:color="000000"/>
              <w:left w:val="single" w:sz="4" w:space="0" w:color="000000"/>
              <w:bottom w:val="single" w:sz="4" w:space="0" w:color="auto"/>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9</w:t>
            </w:r>
          </w:p>
        </w:tc>
        <w:tc>
          <w:tcPr>
            <w:tcW w:w="780" w:type="dxa"/>
            <w:tcBorders>
              <w:top w:val="single" w:sz="4" w:space="0" w:color="000000"/>
              <w:left w:val="single" w:sz="4" w:space="0" w:color="000000"/>
              <w:bottom w:val="single" w:sz="4" w:space="0" w:color="auto"/>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color w:val="000000"/>
                <w:sz w:val="21"/>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pPr>
              <w:jc w:val="center"/>
              <w:rPr>
                <w:rFonts w:ascii="宋体" w:eastAsia="宋体" w:hAnsi="宋体" w:cs="宋体" w:hint="eastAsia"/>
                <w:b w:val="0"/>
                <w:bCs w:val="0"/>
                <w:sz w:val="21"/>
                <w:szCs w:val="21"/>
              </w:rPr>
            </w:pPr>
          </w:p>
        </w:tc>
        <w:tc>
          <w:tcPr>
            <w:tcW w:w="1417" w:type="dxa"/>
            <w:vMerge/>
            <w:tcBorders>
              <w:left w:val="single" w:sz="4" w:space="0" w:color="000000"/>
              <w:bottom w:val="single" w:sz="4" w:space="0" w:color="auto"/>
              <w:right w:val="single" w:sz="4" w:space="0" w:color="000000"/>
            </w:tcBorders>
            <w:vAlign w:val="center"/>
          </w:tcPr>
          <w:p>
            <w:pPr>
              <w:jc w:val="center"/>
              <w:rPr>
                <w:rFonts w:ascii="宋体" w:eastAsia="宋体" w:hAnsi="宋体" w:cs="宋体" w:hint="eastAsia"/>
                <w:b w:val="0"/>
                <w:bCs w:val="0"/>
                <w:sz w:val="21"/>
                <w:szCs w:val="21"/>
              </w:rPr>
            </w:pPr>
          </w:p>
        </w:tc>
      </w:tr>
    </w:tbl>
    <w:p>
      <w:pPr>
        <w:rPr>
          <w:color w:val="FF0000"/>
        </w:rPr>
      </w:pPr>
      <w:r>
        <w:rPr>
          <w:rFonts w:hint="eastAsia"/>
          <w:color w:val="FF0000"/>
        </w:rPr>
        <w:t>备注：</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1、</w:t>
      </w:r>
      <w:r>
        <w:rPr>
          <w:rFonts w:hint="eastAsia"/>
          <w:color w:val="FF0000"/>
        </w:rPr>
        <w:t>“备注”栏注明有“接受进口”或“允许进口”的产品允许投标人选用进口产品参与投标，但不排斥国内产品投标；未注明“接受进口”或“允许进口”的产品均不接受进口产品投标。</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color w:val="FF0000"/>
        </w:rPr>
      </w:pPr>
      <w:r>
        <w:rPr>
          <w:rFonts w:hint="eastAsia"/>
          <w:color w:val="FF0000"/>
          <w:lang w:val="en-US" w:eastAsia="zh-CN"/>
        </w:rPr>
        <w:t>2、</w:t>
      </w:r>
      <w:r>
        <w:rPr>
          <w:rFonts w:hint="eastAsia"/>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3、</w:t>
      </w:r>
      <w:r>
        <w:rPr>
          <w:rFonts w:hint="eastAsia"/>
          <w:color w:val="FF0000"/>
        </w:rPr>
        <w:t>如注明有单价控制金额的产品，投标人对该产品的报价不得超过控制金额，否则将作投标无效处理。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4、</w:t>
      </w:r>
      <w:r>
        <w:rPr>
          <w:rFonts w:hint="eastAsia"/>
          <w:color w:val="FF0000"/>
        </w:rPr>
        <w:t>根据《政府采购货物和服务招标投标管理办法》（财政部令第87号）第三十一条规定，单一产品项目或非单一产品项目中的核心产品均应明确品牌，投标人未填报品牌的将作投标无效处理。</w:t>
      </w:r>
    </w:p>
    <w:p>
      <w:pPr>
        <w:ind w:firstLine="420" w:firstLineChars="200"/>
        <w:rPr>
          <w:color w:val="FF0000"/>
        </w:rPr>
      </w:pPr>
    </w:p>
    <w:p>
      <w:pPr>
        <w:ind w:firstLine="420" w:firstLineChars="200"/>
        <w:rPr>
          <w:color w:val="FF0000"/>
        </w:rPr>
      </w:pPr>
    </w:p>
    <w:p>
      <w:pPr>
        <w:ind w:firstLine="420" w:firstLineChars="200"/>
        <w:rPr>
          <w:color w:val="FF0000"/>
        </w:rPr>
      </w:pPr>
    </w:p>
    <w:p>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pPr>
        <w:jc w:val="both"/>
        <w:rPr>
          <w:rFonts w:hint="eastAsia"/>
          <w:b/>
          <w:color w:val="FF0000"/>
        </w:rPr>
      </w:pPr>
      <w:r>
        <w:rPr>
          <w:rFonts w:hint="eastAsia"/>
          <w:b/>
          <w:color w:val="FF0000"/>
        </w:rPr>
        <w:t>1.本部分内容为项目正常开展的基本要求，均为★号条款要求，投标人必须完全响应满足本部分的全部内容，否则将导致投标无效。投标人是否满足本部分带★号条款要求，以《商务（服务）条款偏离表》响应为准。</w:t>
      </w:r>
    </w:p>
    <w:p>
      <w:pPr>
        <w:jc w:val="both"/>
        <w:rPr>
          <w:rFonts w:hint="eastAsia"/>
          <w:b/>
          <w:color w:val="FF0000"/>
        </w:rPr>
      </w:pPr>
      <w:r>
        <w:rPr>
          <w:rFonts w:hint="eastAsia"/>
          <w:b/>
          <w:color w:val="FF0000"/>
        </w:rPr>
        <w:t>2.如投标人中标后被发现不能满足本部分带★号条款要求的，采购单位有权拒绝签订合同，一切后果由投标人承担。</w:t>
      </w:r>
    </w:p>
    <w:p>
      <w:pPr>
        <w:spacing w:after="78" w:afterLines="25" w:line="300" w:lineRule="auto"/>
        <w:rPr>
          <w:rFonts w:ascii="Arial" w:eastAsia="宋体" w:hAnsi="Arial" w:cs="Times New Roman"/>
          <w:b/>
          <w:color w:val="FF0000"/>
          <w:szCs w:val="24"/>
        </w:rPr>
      </w:pPr>
    </w:p>
    <w:tbl>
      <w:tblPr>
        <w:tblStyle w:val="TableNormal"/>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43"/>
        <w:gridCol w:w="7797"/>
      </w:tblGrid>
      <w:tr>
        <w:tblPrEx>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color w:val="FF0000"/>
                <w:sz w:val="21"/>
                <w:szCs w:val="21"/>
              </w:rPr>
            </w:pPr>
            <w:r>
              <w:rPr>
                <w:rFonts w:ascii="宋体" w:eastAsia="宋体" w:hAnsi="宋体" w:cs="宋体" w:hint="eastAsia"/>
                <w:b/>
                <w:color w:val="FF0000"/>
                <w:sz w:val="21"/>
                <w:szCs w:val="21"/>
              </w:rPr>
              <w:t>报价要求</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napToGrid w:val="0"/>
              <w:spacing w:line="320" w:lineRule="exact"/>
              <w:ind w:firstLine="420"/>
              <w:jc w:val="both"/>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tblPrEx>
          <w:tblW w:w="9640" w:type="dxa"/>
          <w:jc w:val="center"/>
          <w:tblCellMar>
            <w:top w:w="0" w:type="dxa"/>
            <w:left w:w="108" w:type="dxa"/>
            <w:bottom w:w="0" w:type="dxa"/>
            <w:right w:w="108" w:type="dxa"/>
          </w:tblCellMar>
        </w:tblPrEx>
        <w:trPr>
          <w:trHeight w:val="294"/>
          <w:jc w:val="center"/>
        </w:trPr>
        <w:tc>
          <w:tcPr>
            <w:tcW w:w="1843"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color w:val="FF0000"/>
                <w:sz w:val="21"/>
                <w:szCs w:val="21"/>
              </w:rPr>
            </w:pPr>
            <w:r>
              <w:rPr>
                <w:rFonts w:ascii="宋体" w:eastAsia="宋体" w:hAnsi="宋体" w:cs="宋体" w:hint="eastAsia"/>
                <w:b/>
                <w:color w:val="FF0000"/>
                <w:sz w:val="21"/>
                <w:szCs w:val="21"/>
              </w:rPr>
              <w:t>交货地点</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both"/>
              <w:textAlignment w:val="auto"/>
              <w:rPr>
                <w:rFonts w:ascii="宋体" w:eastAsia="宋体" w:hAnsi="宋体" w:cs="宋体" w:hint="eastAsia"/>
                <w:color w:val="FF0000"/>
                <w:sz w:val="21"/>
                <w:szCs w:val="21"/>
                <w:lang w:eastAsia="zh-CN"/>
              </w:rPr>
            </w:pPr>
            <w:r>
              <w:rPr>
                <w:rFonts w:ascii="宋体" w:eastAsia="宋体" w:hAnsi="宋体" w:cs="宋体" w:hint="eastAsia"/>
                <w:color w:val="FF0000"/>
                <w:sz w:val="21"/>
                <w:szCs w:val="21"/>
                <w:lang w:eastAsia="zh-CN"/>
              </w:rPr>
              <w:t>深圳市宝安区孝德学校</w:t>
            </w:r>
          </w:p>
        </w:tc>
      </w:tr>
      <w:tr>
        <w:tblPrEx>
          <w:tblW w:w="9640" w:type="dxa"/>
          <w:jc w:val="center"/>
          <w:tblCellMar>
            <w:top w:w="0" w:type="dxa"/>
            <w:left w:w="108" w:type="dxa"/>
            <w:bottom w:w="0" w:type="dxa"/>
            <w:right w:w="108" w:type="dxa"/>
          </w:tblCellMar>
        </w:tblPrEx>
        <w:trPr>
          <w:trHeight w:val="398"/>
          <w:jc w:val="center"/>
        </w:trPr>
        <w:tc>
          <w:tcPr>
            <w:tcW w:w="1843"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交货期或完工期</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both"/>
              <w:textAlignment w:val="auto"/>
              <w:rPr>
                <w:rFonts w:ascii="宋体" w:eastAsia="宋体" w:hAnsi="宋体" w:cs="宋体" w:hint="eastAsia"/>
                <w:color w:val="FF0000"/>
                <w:sz w:val="21"/>
                <w:szCs w:val="21"/>
                <w:lang w:eastAsia="zh-CN"/>
              </w:rPr>
            </w:pPr>
            <w:r>
              <w:rPr>
                <w:rFonts w:ascii="宋体" w:eastAsia="宋体" w:hAnsi="宋体" w:cs="宋体" w:hint="eastAsia"/>
                <w:color w:val="FF0000"/>
                <w:sz w:val="21"/>
                <w:szCs w:val="21"/>
              </w:rPr>
              <w:t>本项目要求在合同签订日起30个日历日内完工</w:t>
            </w:r>
            <w:r>
              <w:rPr>
                <w:rFonts w:ascii="宋体" w:eastAsia="宋体" w:hAnsi="宋体" w:cs="宋体" w:hint="eastAsia"/>
                <w:color w:val="FF0000"/>
                <w:sz w:val="21"/>
                <w:szCs w:val="21"/>
                <w:lang w:eastAsia="zh-CN"/>
              </w:rPr>
              <w:t>。</w:t>
            </w:r>
          </w:p>
        </w:tc>
      </w:tr>
      <w:tr>
        <w:tblPrEx>
          <w:tblW w:w="9640" w:type="dxa"/>
          <w:jc w:val="center"/>
          <w:tblCellMar>
            <w:top w:w="0" w:type="dxa"/>
            <w:left w:w="108" w:type="dxa"/>
            <w:bottom w:w="0" w:type="dxa"/>
            <w:right w:w="108" w:type="dxa"/>
          </w:tblCellMar>
        </w:tblPrEx>
        <w:trPr>
          <w:trHeight w:val="660"/>
          <w:jc w:val="center"/>
        </w:trPr>
        <w:tc>
          <w:tcPr>
            <w:tcW w:w="1843"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bCs/>
                <w:color w:val="FF0000"/>
                <w:sz w:val="21"/>
                <w:szCs w:val="21"/>
              </w:rPr>
            </w:pPr>
            <w:r>
              <w:rPr>
                <w:rFonts w:ascii="宋体" w:eastAsia="宋体" w:hAnsi="宋体" w:cs="宋体" w:hint="eastAsia"/>
                <w:b/>
                <w:color w:val="FF0000"/>
                <w:sz w:val="21"/>
                <w:szCs w:val="21"/>
              </w:rPr>
              <w:t>付款方式</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both"/>
              <w:textAlignment w:val="auto"/>
              <w:rPr>
                <w:rFonts w:ascii="宋体" w:eastAsia="宋体" w:hAnsi="宋体" w:cs="宋体" w:hint="eastAsia"/>
                <w:color w:val="FF0000"/>
                <w:kern w:val="0"/>
                <w:sz w:val="21"/>
                <w:szCs w:val="21"/>
              </w:rPr>
            </w:pPr>
            <w:r>
              <w:rPr>
                <w:rFonts w:ascii="宋体" w:eastAsia="宋体" w:hAnsi="宋体" w:cs="宋体" w:hint="eastAsia"/>
                <w:color w:val="FF0000"/>
                <w:sz w:val="21"/>
                <w:szCs w:val="21"/>
              </w:rPr>
              <w:t>本项目完成并经验收合格后，对于满足合同约定支付条件的，采购人应当自收到发票后30日内将资金支付到合同约定的中标供应商账户。</w:t>
            </w:r>
          </w:p>
        </w:tc>
      </w:tr>
      <w:tr>
        <w:tblPrEx>
          <w:tblW w:w="9640" w:type="dxa"/>
          <w:jc w:val="center"/>
          <w:tblCellMar>
            <w:top w:w="0" w:type="dxa"/>
            <w:left w:w="108" w:type="dxa"/>
            <w:bottom w:w="0" w:type="dxa"/>
            <w:right w:w="108" w:type="dxa"/>
          </w:tblCellMar>
        </w:tblPrEx>
        <w:trPr>
          <w:trHeight w:val="466"/>
          <w:jc w:val="center"/>
        </w:trPr>
        <w:tc>
          <w:tcPr>
            <w:tcW w:w="1843" w:type="dxa"/>
            <w:tcBorders>
              <w:top w:val="single" w:sz="4" w:space="0" w:color="auto"/>
              <w:left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bCs/>
                <w:color w:val="FF0000"/>
                <w:sz w:val="21"/>
                <w:szCs w:val="21"/>
              </w:rPr>
            </w:pPr>
            <w:r>
              <w:rPr>
                <w:rFonts w:ascii="宋体" w:eastAsia="宋体" w:hAnsi="宋体" w:cs="宋体" w:hint="eastAsia"/>
                <w:b/>
                <w:color w:val="FF0000"/>
                <w:sz w:val="21"/>
                <w:szCs w:val="21"/>
              </w:rPr>
              <w:t>验收方式</w:t>
            </w:r>
          </w:p>
        </w:tc>
        <w:tc>
          <w:tcPr>
            <w:tcW w:w="7797" w:type="dxa"/>
            <w:tcBorders>
              <w:top w:val="single" w:sz="4" w:space="0" w:color="auto"/>
              <w:left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both"/>
              <w:textAlignment w:val="auto"/>
              <w:rPr>
                <w:rFonts w:ascii="宋体" w:eastAsia="宋体" w:hAnsi="宋体" w:cs="宋体" w:hint="eastAsia"/>
                <w:bCs/>
                <w:color w:val="FF0000"/>
                <w:sz w:val="21"/>
                <w:szCs w:val="21"/>
              </w:rPr>
            </w:pPr>
            <w:r>
              <w:rPr>
                <w:rFonts w:ascii="宋体" w:eastAsia="宋体" w:hAnsi="宋体" w:cs="宋体" w:hint="eastAsia"/>
                <w:color w:val="FF0000"/>
                <w:sz w:val="21"/>
                <w:szCs w:val="21"/>
              </w:rPr>
              <w:t>由监理单位协助学校、中标单位进行验收。</w:t>
            </w:r>
          </w:p>
        </w:tc>
      </w:tr>
      <w:tr>
        <w:tblPrEx>
          <w:tblW w:w="9640" w:type="dxa"/>
          <w:jc w:val="center"/>
          <w:tblCellMar>
            <w:top w:w="0" w:type="dxa"/>
            <w:left w:w="108" w:type="dxa"/>
            <w:bottom w:w="0" w:type="dxa"/>
            <w:right w:w="108" w:type="dxa"/>
          </w:tblCellMar>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320" w:lineRule="exact"/>
              <w:jc w:val="center"/>
              <w:textAlignment w:val="auto"/>
              <w:rPr>
                <w:rFonts w:ascii="宋体" w:eastAsia="宋体" w:hAnsi="宋体" w:cs="宋体" w:hint="eastAsia"/>
                <w:bCs/>
                <w:color w:val="FF0000"/>
                <w:sz w:val="21"/>
                <w:szCs w:val="21"/>
              </w:rPr>
            </w:pPr>
            <w:r>
              <w:rPr>
                <w:rFonts w:ascii="宋体" w:eastAsia="宋体" w:hAnsi="宋体" w:cs="宋体" w:hint="eastAsia"/>
                <w:b/>
                <w:bCs/>
                <w:color w:val="FF0000"/>
                <w:sz w:val="21"/>
                <w:szCs w:val="21"/>
              </w:rPr>
              <w:t>售后服务要求</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ind w:firstLine="420" w:firstLineChars="200"/>
              <w:jc w:val="left"/>
              <w:textAlignment w:val="auto"/>
              <w:rPr>
                <w:rFonts w:ascii="宋体" w:eastAsia="宋体" w:hAnsi="宋体" w:cs="宋体" w:hint="eastAsia"/>
                <w:color w:val="FF0000"/>
                <w:kern w:val="0"/>
                <w:sz w:val="21"/>
                <w:szCs w:val="21"/>
              </w:rPr>
            </w:pPr>
            <w:r>
              <w:rPr>
                <w:rFonts w:ascii="宋体" w:eastAsia="宋体" w:hAnsi="宋体" w:cs="宋体" w:hint="eastAsia"/>
                <w:color w:val="FF0000"/>
                <w:kern w:val="0"/>
                <w:sz w:val="21"/>
                <w:szCs w:val="21"/>
              </w:rPr>
              <w:t>（1）所有货物及系统集成免费保修期三年，时间自最终验收合格并交付使用之日起计算。免费保修期内，所有服务及配件全部免费。（有注明的除外）。</w:t>
            </w:r>
          </w:p>
          <w:p>
            <w:pPr>
              <w:keepNext w:val="0"/>
              <w:keepLines w:val="0"/>
              <w:pageBreakBefore w:val="0"/>
              <w:kinsoku/>
              <w:wordWrap/>
              <w:overflowPunct/>
              <w:topLinePunct w:val="0"/>
              <w:autoSpaceDE/>
              <w:autoSpaceDN/>
              <w:bidi w:val="0"/>
              <w:adjustRightInd/>
              <w:spacing w:line="320" w:lineRule="exact"/>
              <w:ind w:firstLine="420" w:firstLineChars="200"/>
              <w:jc w:val="left"/>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（2）在保修期内，一旦发生质量问题，投标人保证在接到通知4小时内赶到现场进行修理或更换，并承诺24小时内修复。</w:t>
            </w:r>
          </w:p>
          <w:p>
            <w:pPr>
              <w:keepNext w:val="0"/>
              <w:keepLines w:val="0"/>
              <w:pageBreakBefore w:val="0"/>
              <w:kinsoku/>
              <w:wordWrap/>
              <w:overflowPunct/>
              <w:topLinePunct w:val="0"/>
              <w:autoSpaceDE/>
              <w:autoSpaceDN/>
              <w:bidi w:val="0"/>
              <w:adjustRightInd/>
              <w:spacing w:line="320" w:lineRule="exact"/>
              <w:ind w:firstLine="420" w:firstLineChars="200"/>
              <w:jc w:val="left"/>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（3）对保修期外采购方设备发生故障需更换的，以优惠价格提供配件。</w:t>
            </w:r>
          </w:p>
          <w:p>
            <w:pPr>
              <w:keepNext w:val="0"/>
              <w:keepLines w:val="0"/>
              <w:pageBreakBefore w:val="0"/>
              <w:kinsoku/>
              <w:wordWrap/>
              <w:overflowPunct/>
              <w:topLinePunct w:val="0"/>
              <w:autoSpaceDE/>
              <w:autoSpaceDN/>
              <w:bidi w:val="0"/>
              <w:adjustRightInd/>
              <w:spacing w:line="320" w:lineRule="exact"/>
              <w:ind w:firstLine="420" w:firstLineChars="200"/>
              <w:jc w:val="left"/>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4）考试保障：项目验收后，提供三年的考试保障服务，包括：每年提供模拟考、正式考两次考试保障服务。①考前巡检：配置至少1名工程师的考前设备系统检查。②考中配置至少2名工程师的现场技术保障和支持。</w:t>
            </w:r>
          </w:p>
        </w:tc>
      </w:tr>
      <w:tr>
        <w:tblPrEx>
          <w:tblW w:w="9640" w:type="dxa"/>
          <w:jc w:val="center"/>
          <w:tblCellMar>
            <w:top w:w="0" w:type="dxa"/>
            <w:left w:w="108" w:type="dxa"/>
            <w:bottom w:w="0" w:type="dxa"/>
            <w:right w:w="108" w:type="dxa"/>
          </w:tblCellMar>
        </w:tblPrEx>
        <w:trPr>
          <w:trHeight w:val="694"/>
          <w:jc w:val="center"/>
        </w:trPr>
        <w:tc>
          <w:tcPr>
            <w:tcW w:w="1843"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320" w:lineRule="exact"/>
              <w:jc w:val="center"/>
              <w:textAlignment w:val="auto"/>
              <w:rPr>
                <w:rFonts w:ascii="宋体" w:eastAsia="宋体" w:hAnsi="宋体" w:cs="宋体" w:hint="eastAsia"/>
                <w:b/>
                <w:bCs/>
                <w:color w:val="FF0000"/>
                <w:sz w:val="21"/>
                <w:szCs w:val="21"/>
                <w:highlight w:val="none"/>
              </w:rPr>
            </w:pPr>
            <w:r>
              <w:rPr>
                <w:rFonts w:ascii="宋体" w:eastAsia="宋体" w:hAnsi="宋体" w:cs="宋体" w:hint="eastAsia"/>
                <w:b/>
                <w:bCs/>
                <w:color w:val="FF0000"/>
                <w:sz w:val="21"/>
                <w:szCs w:val="21"/>
                <w:highlight w:val="none"/>
              </w:rPr>
              <w:t>其他要求</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1）投标人必须在区级平台建设好后与区级平台对接，接受区级平台的考务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万像素，单张图片大小不大于 5MB，支持 4:3 长宽比。</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2）投标人必须签订合同前向采购方逐一按投标文件中的响应情况演示设备清单中“▲”符号技术参数，演示内容完全符合投标文件中的相应技术参数响应内容要求方可签订合同，否则采购方有权按相关政府采购法律法规中如供应商存在弄虚作假骗取中标行为的相关规定进行处理。</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color w:val="FF0000"/>
                <w:sz w:val="21"/>
                <w:szCs w:val="21"/>
              </w:rPr>
            </w:pPr>
            <w:r>
              <w:rPr>
                <w:rFonts w:ascii="宋体" w:eastAsia="宋体" w:hAnsi="宋体" w:cs="宋体" w:hint="eastAsia"/>
                <w:color w:val="FF0000"/>
                <w:sz w:val="21"/>
                <w:szCs w:val="21"/>
              </w:rPr>
              <w:t>（3）投标商必须确保中标后提供的货物为正规渠道供货，不存在违反国家法律法规的情况。</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Cs/>
                <w:color w:val="FF0000"/>
                <w:sz w:val="21"/>
                <w:szCs w:val="21"/>
                <w:highlight w:val="none"/>
              </w:rPr>
            </w:pPr>
            <w:r>
              <w:rPr>
                <w:rFonts w:ascii="宋体" w:eastAsia="宋体" w:hAnsi="宋体" w:cs="宋体" w:hint="eastAsia"/>
                <w:color w:val="FF0000"/>
                <w:sz w:val="21"/>
                <w:szCs w:val="21"/>
              </w:rPr>
              <w:t>（4）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tc>
      </w:tr>
    </w:tbl>
    <w:p>
      <w:pPr>
        <w:spacing w:after="78" w:afterLines="25" w:line="300" w:lineRule="auto"/>
        <w:rPr>
          <w:rFonts w:ascii="Arial" w:eastAsia="宋体" w:hAnsi="Arial" w:cs="Times New Roman"/>
          <w:szCs w:val="24"/>
        </w:rPr>
      </w:pPr>
    </w:p>
    <w:p>
      <w:pPr>
        <w:widowControl/>
        <w:jc w:val="left"/>
        <w:rPr>
          <w:rFonts w:ascii="Arial" w:eastAsia="宋体" w:hAnsi="Arial" w:cs="Times New Roman"/>
          <w:szCs w:val="24"/>
        </w:rPr>
      </w:pPr>
    </w:p>
    <w:p>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w:t>
      </w:r>
      <w:r>
        <w:rPr>
          <w:rFonts w:ascii="Arial" w:eastAsia="宋体" w:hAnsi="Arial" w:cs="Times New Roman" w:hint="eastAsia"/>
          <w:b/>
          <w:bCs/>
          <w:sz w:val="32"/>
          <w:szCs w:val="32"/>
          <w:lang w:val="en-US" w:eastAsia="zh-CN"/>
        </w:rPr>
        <w:t>要求</w:t>
      </w:r>
      <w:r>
        <w:rPr>
          <w:rFonts w:ascii="Arial" w:eastAsia="宋体" w:hAnsi="Arial" w:cs="Times New Roman" w:hint="eastAsia"/>
          <w:b/>
          <w:bCs/>
          <w:sz w:val="32"/>
          <w:szCs w:val="32"/>
        </w:rPr>
        <w:t>部分</w:t>
      </w:r>
    </w:p>
    <w:p>
      <w:pPr>
        <w:rPr>
          <w:rFonts w:ascii="宋体" w:eastAsia="宋体" w:hAnsi="宋体" w:cs="Times New Roman"/>
          <w:b/>
          <w:color w:val="FF0000"/>
          <w:szCs w:val="21"/>
          <w:highlight w:val="none"/>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号要求为不可偏离要求，如出现负偏离，将导致投标无效。带▲号参数为重要参数，其他参数（非▲号参数）为普通参数，如出现负偏离，将按照评分准</w:t>
      </w:r>
      <w:r>
        <w:rPr>
          <w:rFonts w:ascii="宋体" w:eastAsia="宋体" w:hAnsi="宋体" w:cs="Times New Roman" w:hint="eastAsia"/>
          <w:b/>
          <w:color w:val="FF0000"/>
          <w:szCs w:val="21"/>
          <w:highlight w:val="none"/>
        </w:rPr>
        <w:t>则做扣分处理。如注明要求提供相关佐证材料的，需以佐证材料作为是否偏离的依据。</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2、所列的技术</w:t>
      </w:r>
      <w:r>
        <w:rPr>
          <w:rFonts w:ascii="Calibri" w:eastAsia="宋体" w:hAnsi="Calibri" w:cs="Times New Roman"/>
          <w:color w:val="FF0000"/>
          <w:szCs w:val="21"/>
        </w:rPr>
        <w:t>参数</w:t>
      </w:r>
      <w:r>
        <w:rPr>
          <w:rFonts w:ascii="Calibri" w:eastAsia="宋体" w:hAnsi="Calibri" w:cs="Times New Roman" w:hint="eastAsia"/>
          <w:color w:val="FF0000"/>
          <w:szCs w:val="21"/>
        </w:rPr>
        <w:t>需求中如出现品牌信息仅供参考，不作为参数要求，目的只为投标人更清楚地了解采购需求，投标人可提供其他品牌设备投标。</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3、如有</w:t>
      </w:r>
      <w:r>
        <w:rPr>
          <w:rFonts w:ascii="Calibri" w:eastAsia="宋体" w:hAnsi="Calibri" w:cs="Times New Roman"/>
          <w:color w:val="FF0000"/>
          <w:szCs w:val="21"/>
        </w:rPr>
        <w:t>方案表述中有出现类似可实现、</w:t>
      </w:r>
      <w:r>
        <w:rPr>
          <w:rFonts w:ascii="Calibri" w:eastAsia="宋体" w:hAnsi="Calibri" w:cs="Times New Roman" w:hint="eastAsia"/>
          <w:color w:val="FF0000"/>
          <w:szCs w:val="21"/>
        </w:rPr>
        <w:t>实现</w:t>
      </w:r>
      <w:r>
        <w:rPr>
          <w:rFonts w:ascii="Calibri" w:eastAsia="宋体" w:hAnsi="Calibri" w:cs="Times New Roman"/>
          <w:color w:val="FF0000"/>
          <w:szCs w:val="21"/>
        </w:rPr>
        <w:t>、</w:t>
      </w:r>
      <w:r>
        <w:rPr>
          <w:rFonts w:ascii="Calibri" w:eastAsia="宋体" w:hAnsi="Calibri" w:cs="Times New Roman" w:hint="eastAsia"/>
          <w:color w:val="FF0000"/>
          <w:szCs w:val="21"/>
        </w:rPr>
        <w:t>可</w:t>
      </w:r>
      <w:r>
        <w:rPr>
          <w:rFonts w:ascii="Calibri" w:eastAsia="宋体" w:hAnsi="Calibri" w:cs="Times New Roman"/>
          <w:color w:val="FF0000"/>
          <w:szCs w:val="21"/>
        </w:rPr>
        <w:t>支持、支持</w:t>
      </w:r>
      <w:r>
        <w:rPr>
          <w:rFonts w:ascii="Calibri" w:eastAsia="宋体" w:hAnsi="Calibri" w:cs="Times New Roman" w:hint="eastAsia"/>
          <w:color w:val="FF0000"/>
          <w:szCs w:val="21"/>
        </w:rPr>
        <w:t>等</w:t>
      </w:r>
      <w:r>
        <w:rPr>
          <w:rFonts w:ascii="Calibri" w:eastAsia="宋体" w:hAnsi="Calibri" w:cs="Times New Roman"/>
          <w:color w:val="FF0000"/>
          <w:szCs w:val="21"/>
        </w:rPr>
        <w:t>描述的，均表示方案需要实现的功能或</w:t>
      </w:r>
      <w:r>
        <w:rPr>
          <w:rFonts w:ascii="Calibri" w:eastAsia="宋体" w:hAnsi="Calibri" w:cs="Times New Roman" w:hint="eastAsia"/>
          <w:color w:val="FF0000"/>
          <w:szCs w:val="21"/>
        </w:rPr>
        <w:t>应满足的</w:t>
      </w:r>
      <w:r>
        <w:rPr>
          <w:rFonts w:ascii="Calibri" w:eastAsia="宋体" w:hAnsi="Calibri" w:cs="Times New Roman"/>
          <w:color w:val="FF0000"/>
          <w:szCs w:val="21"/>
        </w:rPr>
        <w:t>要求，即项目在验收时无须增加其他</w:t>
      </w:r>
      <w:r>
        <w:rPr>
          <w:rFonts w:ascii="Calibri" w:eastAsia="宋体" w:hAnsi="Calibri" w:cs="Times New Roman" w:hint="eastAsia"/>
          <w:color w:val="FF0000"/>
          <w:szCs w:val="21"/>
        </w:rPr>
        <w:t>额外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pPr>
        <w:spacing w:after="78"/>
        <w:jc w:val="left"/>
        <w:rPr>
          <w:rFonts w:ascii="Calibri" w:eastAsia="宋体" w:hAnsi="Calibri" w:cs="Times New Roman" w:hint="eastAsia"/>
          <w:color w:val="FF0000"/>
          <w:szCs w:val="21"/>
          <w:lang w:val="en-US" w:eastAsia="zh-CN"/>
        </w:rPr>
      </w:pPr>
      <w:r>
        <w:rPr>
          <w:rFonts w:ascii="Calibri" w:eastAsia="宋体" w:hAnsi="Calibri" w:cs="Times New Roman" w:hint="eastAsia"/>
          <w:color w:val="FF0000"/>
          <w:szCs w:val="21"/>
          <w:lang w:val="en-US" w:eastAsia="zh-CN"/>
        </w:rPr>
        <w:t>4、除有特别注明的以外，招标技术参数要求为区间范围值的，投标技术参数响应招标技术参数区间范围内的任意值或响应招标技术参数区间范围都视为符合招标文件要求（</w:t>
      </w:r>
      <w:r>
        <w:rPr>
          <w:rFonts w:ascii="Calibri" w:eastAsia="宋体" w:hAnsi="Calibri" w:cs="Times New Roman" w:hint="eastAsia"/>
          <w:color w:val="FF0000"/>
          <w:szCs w:val="21"/>
        </w:rPr>
        <w:t>例：</w:t>
      </w:r>
      <w:r>
        <w:rPr>
          <w:rFonts w:ascii="Calibri" w:eastAsia="宋体" w:hAnsi="Calibri" w:cs="Times New Roman" w:hint="eastAsia"/>
          <w:color w:val="FF0000"/>
          <w:szCs w:val="21"/>
          <w:lang w:val="en-US" w:eastAsia="zh-CN"/>
        </w:rPr>
        <w:t>如招标技术参数</w:t>
      </w:r>
      <w:r>
        <w:rPr>
          <w:rFonts w:ascii="Calibri" w:eastAsia="宋体" w:hAnsi="Calibri" w:cs="Times New Roman" w:hint="eastAsia"/>
          <w:color w:val="FF0000"/>
          <w:szCs w:val="21"/>
        </w:rPr>
        <w:t>区间要求为0-20ML</w:t>
      </w:r>
      <w:r>
        <w:rPr>
          <w:rFonts w:ascii="Calibri" w:eastAsia="宋体" w:hAnsi="Calibri" w:cs="Times New Roman" w:hint="eastAsia"/>
          <w:color w:val="FF0000"/>
          <w:szCs w:val="21"/>
          <w:lang w:eastAsia="zh-CN"/>
        </w:rPr>
        <w:t>，</w:t>
      </w:r>
      <w:r>
        <w:rPr>
          <w:rFonts w:ascii="Calibri" w:eastAsia="宋体" w:hAnsi="Calibri" w:cs="Times New Roman" w:hint="eastAsia"/>
          <w:color w:val="FF0000"/>
          <w:szCs w:val="21"/>
          <w:lang w:val="en-US" w:eastAsia="zh-CN"/>
        </w:rPr>
        <w:t>如投标技术参数响应为15ML或0-20ML的，视为符合招标文件要求）。</w:t>
      </w:r>
    </w:p>
    <w:tbl>
      <w:tblPr>
        <w:tblStyle w:val="TableNormal"/>
        <w:tblW w:w="9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17"/>
        <w:gridCol w:w="1189"/>
        <w:gridCol w:w="7395"/>
      </w:tblGrid>
      <w:tr>
        <w:tblPrEx>
          <w:tblW w:w="9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序号</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设备名称</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技术参数要求</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color w:val="000000"/>
                <w:kern w:val="0"/>
                <w:sz w:val="21"/>
                <w:szCs w:val="21"/>
              </w:rPr>
              <w:t>1</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sz w:val="21"/>
                <w:szCs w:val="21"/>
              </w:rPr>
            </w:pPr>
            <w:r>
              <w:rPr>
                <w:rFonts w:ascii="宋体" w:eastAsia="宋体" w:hAnsi="宋体" w:cs="宋体" w:hint="eastAsia"/>
                <w:color w:val="000000"/>
                <w:kern w:val="0"/>
                <w:sz w:val="21"/>
                <w:szCs w:val="21"/>
              </w:rPr>
              <w:t>考试专用服务器</w:t>
            </w:r>
          </w:p>
        </w:tc>
        <w:tc>
          <w:tcPr>
            <w:tcW w:w="7395" w:type="dxa"/>
            <w:vAlign w:val="center"/>
          </w:tcPr>
          <w:p>
            <w:pPr>
              <w:pStyle w:val="Heading3"/>
              <w:keepNext w:val="0"/>
              <w:keepLines w:val="0"/>
              <w:pageBreakBefore w:val="0"/>
              <w:kinsoku/>
              <w:wordWrap/>
              <w:overflowPunct/>
              <w:topLinePunct w:val="0"/>
              <w:autoSpaceDE/>
              <w:autoSpaceDN/>
              <w:bidi w:val="0"/>
              <w:spacing w:before="0" w:after="0" w:line="320" w:lineRule="exact"/>
              <w:ind w:left="43" w:firstLine="0"/>
              <w:rPr>
                <w:rFonts w:ascii="宋体" w:eastAsia="宋体" w:hAnsi="宋体" w:cs="宋体" w:hint="eastAsia"/>
                <w:sz w:val="21"/>
                <w:szCs w:val="21"/>
              </w:rPr>
            </w:pPr>
            <w:r>
              <w:rPr>
                <w:rFonts w:ascii="宋体" w:eastAsia="宋体" w:hAnsi="宋体" w:cs="宋体" w:hint="eastAsia"/>
                <w:color w:val="000000"/>
                <w:kern w:val="0"/>
                <w:sz w:val="21"/>
                <w:szCs w:val="21"/>
              </w:rPr>
              <w:t>1.CPU：不低于6核6线程，单核缓存不低于8MB，主频不低于2.4GHZ；内存：不低于64GB；硬盘：不小于机械4TB*2；网卡：不低于千兆，双口；双电源。</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2</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color w:val="000000"/>
                <w:kern w:val="0"/>
                <w:sz w:val="21"/>
                <w:szCs w:val="21"/>
              </w:rPr>
              <w:t>AI算力服务器</w:t>
            </w:r>
          </w:p>
        </w:tc>
        <w:tc>
          <w:tcPr>
            <w:tcW w:w="7395" w:type="dxa"/>
            <w:vAlign w:val="center"/>
          </w:tcPr>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color w:val="000000"/>
                <w:kern w:val="0"/>
                <w:sz w:val="21"/>
                <w:szCs w:val="21"/>
              </w:rPr>
              <w:t>1. 服务器CPU：2.5GHz数量不低于2个，不低于20核40线程，主频不低于2.5GHz；内存：不低于8个，单个不低于32GB；存储；数量不低于2个，单个容量不低于960GB；不低于SSD硬盘；算力卡GPU：不低于4个；不低于2个千兆网口。</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color w:val="000000"/>
                <w:kern w:val="0"/>
                <w:sz w:val="21"/>
                <w:szCs w:val="21"/>
              </w:rPr>
              <w:t>3</w:t>
            </w:r>
          </w:p>
        </w:tc>
        <w:tc>
          <w:tcPr>
            <w:tcW w:w="1189" w:type="dxa"/>
            <w:vAlign w:val="center"/>
          </w:tcPr>
          <w:p>
            <w:pPr>
              <w:keepNext w:val="0"/>
              <w:keepLines w:val="0"/>
              <w:pageBreakBefore w:val="0"/>
              <w:kinsoku/>
              <w:wordWrap/>
              <w:overflowPunct/>
              <w:topLinePunct w:val="0"/>
              <w:autoSpaceDE/>
              <w:autoSpaceDN/>
              <w:bidi w:val="0"/>
              <w:spacing w:line="320" w:lineRule="exact"/>
              <w:jc w:val="center"/>
              <w:rPr>
                <w:rFonts w:ascii="宋体" w:eastAsia="宋体" w:hAnsi="宋体" w:cs="宋体" w:hint="eastAsia"/>
                <w:color w:val="000000"/>
                <w:sz w:val="21"/>
                <w:szCs w:val="21"/>
              </w:rPr>
            </w:pPr>
            <w:r>
              <w:rPr>
                <w:rFonts w:ascii="宋体" w:eastAsia="宋体" w:hAnsi="宋体" w:cs="宋体" w:hint="eastAsia"/>
                <w:color w:val="000000"/>
                <w:sz w:val="21"/>
                <w:szCs w:val="21"/>
              </w:rPr>
              <w:t>视频存储</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支持接入≥64路分辨率为1920×1080的视频图像；支持最大接入带宽1024Mbps，最大存储带宽1024Mbps，最大转发带宽1024Mbps，最大回放带宽1024Mbps；支持接入AI硬盘；支持≥2路HDMI接口（支持HDMI转VGA）；支持≥3个USB接口；支持≥1路音频输入输出接口；支持≥2个千兆网口；</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2.支持活动目标与实时预览同屏显示，实时预览的同时可以提取视频画面中的活动目标；支持录像文件自带水印，水印包括设备的序列号、MAC地址、录像时间、通道号等，录像文件编辑或转码后，水印消失；</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3.支持多级扩展柜存储：可通过miniSAS接口外接2台存储扩展柜进行录像存储，可扩展48块SATA硬盘；支持接入具有断网续传功能的IPC，当设备与IPC之间网络中断并恢复后，可自动接收IPC内存储的视频图像；配置3.5 HDD,不少于8TB*2块,7200RPM, 256MB, SATA 6Gb/s*1</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支持设置一台设备为最多32台的热备机，当主设备断网时，备份设备替换主设备进行录像工作；当主设备正常时，备份机可回传录像文件至主设备。支持自动维护功能，可根据设置时间点启用系统自动维护流程，包括自检、重启、取流、录像、恢复系统运行。</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color w:val="000000"/>
                <w:kern w:val="0"/>
                <w:sz w:val="21"/>
                <w:szCs w:val="21"/>
              </w:rPr>
              <w:t>4</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sz w:val="21"/>
                <w:szCs w:val="21"/>
              </w:rPr>
            </w:pPr>
            <w:r>
              <w:rPr>
                <w:rFonts w:ascii="宋体" w:eastAsia="宋体" w:hAnsi="宋体" w:cs="宋体" w:hint="eastAsia"/>
                <w:color w:val="000000"/>
                <w:kern w:val="0"/>
                <w:sz w:val="21"/>
                <w:szCs w:val="21"/>
              </w:rPr>
              <w:t>移动硬盘</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1、存储容量≥2TB，读写速度不低于400MB/s，支持Type-C/USB2.0/USB3.0</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5</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汇聚交换机</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1.交换容量≥432Gbps，包转发率≥144Mpps；≥24个以太网端口，≥2个万兆SFP+，支持业务扩展插槽数≥1；</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2.支持4K VLAN，支持QinQ，灵活QinQ.支持端口VLAN、协议VLAN、IP子网VLAN；支持静态路由、RIP v1/v2、OSPF、BGP、ISIS、RIPng、OSPFv3、ISISv6、BGP4+；支持VxLAN功能，支持BGP EVPN，WEB认证；支持对真实业务流标记，以获得丢包数量和丢包率的实时统计；</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color w:val="000000"/>
                <w:kern w:val="0"/>
                <w:sz w:val="21"/>
                <w:szCs w:val="21"/>
              </w:rPr>
              <w:t>6</w:t>
            </w:r>
          </w:p>
        </w:tc>
        <w:tc>
          <w:tcPr>
            <w:tcW w:w="1189" w:type="dxa"/>
            <w:vAlign w:val="center"/>
          </w:tcPr>
          <w:p>
            <w:pPr>
              <w:keepNext w:val="0"/>
              <w:keepLines w:val="0"/>
              <w:pageBreakBefore w:val="0"/>
              <w:kinsoku/>
              <w:wordWrap/>
              <w:overflowPunct/>
              <w:topLinePunct w:val="0"/>
              <w:autoSpaceDE/>
              <w:autoSpaceDN/>
              <w:bidi w:val="0"/>
              <w:spacing w:line="320" w:lineRule="exact"/>
              <w:jc w:val="center"/>
              <w:rPr>
                <w:rFonts w:ascii="宋体" w:eastAsia="宋体" w:hAnsi="宋体" w:cs="宋体" w:hint="eastAsia"/>
                <w:color w:val="000000"/>
                <w:sz w:val="21"/>
                <w:szCs w:val="21"/>
              </w:rPr>
            </w:pPr>
            <w:r>
              <w:rPr>
                <w:rFonts w:ascii="宋体" w:eastAsia="宋体" w:hAnsi="宋体" w:cs="宋体" w:hint="eastAsia"/>
                <w:color w:val="000000"/>
                <w:sz w:val="21"/>
                <w:szCs w:val="21"/>
              </w:rPr>
              <w:t>接入交换机</w:t>
            </w:r>
          </w:p>
        </w:tc>
        <w:tc>
          <w:tcPr>
            <w:tcW w:w="7395" w:type="dxa"/>
            <w:vAlign w:val="center"/>
          </w:tcPr>
          <w:p>
            <w:pPr>
              <w:pStyle w:val="Heading3"/>
              <w:keepNext w:val="0"/>
              <w:keepLines w:val="0"/>
              <w:pageBreakBefore w:val="0"/>
              <w:kinsoku/>
              <w:wordWrap/>
              <w:overflowPunct/>
              <w:topLinePunct w:val="0"/>
              <w:autoSpaceDE/>
              <w:autoSpaceDN/>
              <w:bidi w:val="0"/>
              <w:spacing w:before="0" w:after="0" w:line="320" w:lineRule="exact"/>
              <w:ind w:left="0" w:firstLine="0"/>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1.交换容量≥136Gbps，包转发率≥80Mpps；≥48个10/100/1000Base-T以太网端口，≥2个万兆SFP；</w:t>
            </w:r>
          </w:p>
          <w:p>
            <w:pPr>
              <w:pStyle w:val="Heading3"/>
              <w:keepNext w:val="0"/>
              <w:keepLines w:val="0"/>
              <w:pageBreakBefore w:val="0"/>
              <w:kinsoku/>
              <w:wordWrap/>
              <w:overflowPunct/>
              <w:topLinePunct w:val="0"/>
              <w:autoSpaceDE/>
              <w:autoSpaceDN/>
              <w:bidi w:val="0"/>
              <w:spacing w:before="0" w:after="0" w:line="320" w:lineRule="exact"/>
              <w:ind w:left="0" w:firstLine="0"/>
              <w:rPr>
                <w:rFonts w:ascii="宋体" w:eastAsia="宋体" w:hAnsi="宋体" w:cs="宋体" w:hint="eastAsia"/>
                <w:sz w:val="21"/>
                <w:szCs w:val="21"/>
              </w:rPr>
            </w:pPr>
            <w:r>
              <w:rPr>
                <w:rFonts w:ascii="宋体" w:eastAsia="宋体" w:hAnsi="宋体" w:cs="宋体" w:hint="eastAsia"/>
                <w:color w:val="000000"/>
                <w:kern w:val="0"/>
                <w:sz w:val="21"/>
                <w:szCs w:val="21"/>
              </w:rPr>
              <w:t>2.支持ARP表项≥4K；支持RIP、RIPng、OSPF、OSPFv3路由协议；按用户配置本项目需要的千兆或万兆模块。</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7</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color w:val="000000"/>
                <w:kern w:val="0"/>
                <w:sz w:val="21"/>
                <w:szCs w:val="21"/>
              </w:rPr>
              <w:t>考场监考管理主机</w:t>
            </w:r>
          </w:p>
        </w:tc>
        <w:tc>
          <w:tcPr>
            <w:tcW w:w="7395" w:type="dxa"/>
            <w:vAlign w:val="center"/>
          </w:tcPr>
          <w:p>
            <w:pPr>
              <w:keepNext w:val="0"/>
              <w:keepLines w:val="0"/>
              <w:pageBreakBefore w:val="0"/>
              <w:widowControl/>
              <w:kinsoku/>
              <w:wordWrap/>
              <w:overflowPunct/>
              <w:topLinePunct w:val="0"/>
              <w:autoSpaceDE/>
              <w:autoSpaceDN/>
              <w:bidi w:val="0"/>
              <w:spacing w:line="320" w:lineRule="exact"/>
              <w:rPr>
                <w:rFonts w:ascii="宋体" w:eastAsia="宋体" w:hAnsi="宋体" w:cs="宋体" w:hint="eastAsia"/>
                <w:kern w:val="0"/>
                <w:sz w:val="21"/>
                <w:szCs w:val="21"/>
              </w:rPr>
            </w:pPr>
            <w:r>
              <w:rPr>
                <w:rFonts w:ascii="宋体" w:eastAsia="宋体" w:hAnsi="宋体" w:cs="宋体" w:hint="eastAsia"/>
                <w:kern w:val="0"/>
                <w:sz w:val="21"/>
                <w:szCs w:val="21"/>
              </w:rPr>
              <w:t>1.不低以下配置标准：硬盘≥500G固态硬盘，内存≥16GB，不低于6核心 3.10 GHz CPU,带操作系统，显示器≥21 英寸,分辨率：1920*1080.</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color w:val="FF0000"/>
                <w:kern w:val="0"/>
                <w:sz w:val="21"/>
                <w:szCs w:val="21"/>
              </w:rPr>
              <w:t>★投标时提供所投产品获得国家认可的认证机构出具的处于有效期内的节能产品认证证书</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8</w:t>
            </w:r>
          </w:p>
        </w:tc>
        <w:tc>
          <w:tcPr>
            <w:tcW w:w="1189" w:type="dxa"/>
            <w:vAlign w:val="center"/>
          </w:tcPr>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00"/>
                <w:sz w:val="21"/>
                <w:szCs w:val="21"/>
              </w:rPr>
            </w:pPr>
            <w:r>
              <w:rPr>
                <w:rFonts w:ascii="宋体" w:eastAsia="宋体" w:hAnsi="宋体" w:cs="宋体" w:hint="eastAsia"/>
                <w:color w:val="000000"/>
                <w:sz w:val="21"/>
                <w:szCs w:val="21"/>
              </w:rPr>
              <w:t>校级管理平台</w:t>
            </w:r>
          </w:p>
        </w:tc>
        <w:tc>
          <w:tcPr>
            <w:tcW w:w="7395" w:type="dxa"/>
            <w:vAlign w:val="center"/>
          </w:tcPr>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1、包含但不限于学校理、化、生实验考务管理、题库管理、</w:t>
            </w:r>
            <w:r>
              <w:rPr>
                <w:rFonts w:ascii="宋体" w:eastAsia="宋体" w:hAnsi="宋体" w:cs="宋体" w:hint="eastAsia"/>
                <w:color w:val="000000"/>
                <w:sz w:val="21"/>
                <w:szCs w:val="21"/>
              </w:rPr>
              <w:t>设备操控、</w:t>
            </w:r>
            <w:r>
              <w:rPr>
                <w:rFonts w:ascii="宋体" w:eastAsia="宋体" w:hAnsi="宋体" w:cs="宋体" w:hint="eastAsia"/>
                <w:sz w:val="21"/>
                <w:szCs w:val="21"/>
              </w:rPr>
              <w:t>抽签管理、</w:t>
            </w:r>
            <w:r>
              <w:rPr>
                <w:rFonts w:ascii="宋体" w:eastAsia="宋体" w:hAnsi="宋体" w:cs="宋体" w:hint="eastAsia"/>
                <w:color w:val="000000"/>
                <w:sz w:val="21"/>
                <w:szCs w:val="21"/>
              </w:rPr>
              <w:t>AI视频检测、监考功能、异常管理、</w:t>
            </w:r>
            <w:r>
              <w:rPr>
                <w:rFonts w:ascii="宋体" w:eastAsia="宋体" w:hAnsi="宋体" w:cs="宋体" w:hint="eastAsia"/>
                <w:sz w:val="21"/>
                <w:szCs w:val="21"/>
              </w:rPr>
              <w:t>阅卷管理、成绩查询统计等功能：</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2.支持管理员自定义考务角色，包括角色名称、功能权限、数据权限等；支持管理员新增、查询、编辑、删除用户信息；</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3.支持管理员查看实验室设备信息、关联考试信息、组别号信息；</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Style w:val="font31"/>
                <w:rFonts w:ascii="宋体" w:eastAsia="宋体" w:hAnsi="宋体" w:cs="宋体" w:hint="eastAsia"/>
                <w:sz w:val="21"/>
                <w:szCs w:val="21"/>
              </w:rPr>
              <w:t>4.支持管理配置终端答题流程，包括信息确认、摄像头检查、器材清单确认、考前倒计时、考生自主抓拍、重做功能、关闭场次、二次提交答卷、提前交卷等</w:t>
            </w:r>
            <w:r>
              <w:rPr>
                <w:rFonts w:ascii="宋体" w:eastAsia="宋体" w:hAnsi="宋体" w:cs="宋体" w:hint="eastAsia"/>
                <w:sz w:val="21"/>
                <w:szCs w:val="21"/>
              </w:rPr>
              <w:t>；</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5.支持管理员通过输入实验名称、选择实验科目进行新增实验；</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6.支持管理员编辑修改实验基本信息及相关材料，包括试卷内容、注意事项、器材清单、答题卡、评分点等；支持管理员通过实验名称、实验科目、实验状态查询实验；</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7.支持管理员启用有试卷材料的实验，实验启用后支持将试卷及相关材料添加到具体考试中；</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8.支持管理员停用实验，实验停用后支持删除；支持管理员删除已停用的实验；</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9.支持考点人员/考场人员通过抽签（系统抽签和抽方案）确定考生的考试场次；支持考点人员/考场人员查看抽签结果，包括考生姓名、准考证号、组别号、抽签结果等；支持考点人员/考场人员预览打印抽签结果；</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▲10.</w:t>
            </w:r>
            <w:r>
              <w:rPr>
                <w:rStyle w:val="font31"/>
                <w:rFonts w:ascii="宋体" w:eastAsia="宋体" w:hAnsi="宋体" w:cs="宋体" w:hint="eastAsia"/>
                <w:color w:val="0000FF"/>
                <w:sz w:val="21"/>
                <w:szCs w:val="21"/>
              </w:rPr>
              <w:t>具备AI视频检测功能：支持人为移动镜头和非自然镜头移动的检测；支持设备异常和人为遮挡镜头的检测；支持因设备异常掉线而黑屏和因网络异常而丢帧花屏的检测，支持人脸模糊处理的功能；</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highlight w:val="yellow"/>
              </w:rPr>
            </w:pPr>
            <w:r>
              <w:rPr>
                <w:rStyle w:val="font31"/>
                <w:rFonts w:ascii="宋体" w:eastAsia="宋体" w:hAnsi="宋体" w:cs="宋体" w:hint="eastAsia"/>
                <w:b/>
                <w:color w:val="0000FF"/>
                <w:sz w:val="21"/>
                <w:szCs w:val="21"/>
              </w:rPr>
              <w:t>(</w:t>
            </w:r>
            <w:r>
              <w:rPr>
                <w:rFonts w:ascii="宋体" w:eastAsia="宋体" w:hAnsi="宋体" w:cs="宋体" w:hint="eastAsia"/>
                <w:b/>
                <w:bCs/>
                <w:color w:val="0000F4"/>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11.查看终端设备监控：支持管理员查看终端设备监控画面，统一/单独切换监控视角的需求；查看教室监控：支持管理员查看教室监控摄像头的监控画面的需求；</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▲12.支持考场人员对未提交答卷的异常考生进行补时；考试过程中可以通过补时延长考生考试时间，以应对突发的异常情况，支持批量补时；</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highlight w:val="yellow"/>
              </w:rPr>
            </w:pPr>
            <w:r>
              <w:rPr>
                <w:rStyle w:val="font31"/>
                <w:rFonts w:ascii="宋体" w:eastAsia="宋体" w:hAnsi="宋体" w:cs="宋体" w:hint="eastAsia"/>
                <w:b/>
                <w:color w:val="0000FF"/>
                <w:sz w:val="21"/>
                <w:szCs w:val="21"/>
              </w:rPr>
              <w:t>(</w:t>
            </w:r>
            <w:r>
              <w:rPr>
                <w:rFonts w:ascii="宋体" w:eastAsia="宋体" w:hAnsi="宋体" w:cs="宋体" w:hint="eastAsia"/>
                <w:b/>
                <w:bCs/>
                <w:color w:val="0000F4"/>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▲13.支持管理员设置评卷流程、仲裁差异分、仲裁对比方式、关键帧评卷、考生面部打码、评卷页面展示AI评分等评卷规则；</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highlight w:val="yellow"/>
              </w:rPr>
            </w:pPr>
            <w:r>
              <w:rPr>
                <w:rStyle w:val="font31"/>
                <w:rFonts w:ascii="宋体" w:eastAsia="宋体" w:hAnsi="宋体" w:cs="宋体" w:hint="eastAsia"/>
                <w:b/>
                <w:color w:val="0000FF"/>
                <w:sz w:val="21"/>
                <w:szCs w:val="21"/>
              </w:rPr>
              <w:t>(</w:t>
            </w:r>
            <w:r>
              <w:rPr>
                <w:rFonts w:ascii="宋体" w:eastAsia="宋体" w:hAnsi="宋体" w:cs="宋体" w:hint="eastAsia"/>
                <w:b/>
                <w:bCs/>
                <w:color w:val="0000F4"/>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14.具备成绩查询统计模块：支持查询成绩、查看成绩、导出成绩、得分点统计等功能；</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15.支持管理员通过考试形成、考试类型、科目、考试状态查询答卷；支持管理员查看考生的一评、二评成绩和最终成绩；支持管理员导出考生的一评、二评成绩和最终成绩；</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▲16.支持管理员查看每套试卷每个得分点的统计情况，包括得分点内容、分值、一评得分率、二评得分率、仲裁率、仲裁采用一评率；</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17.具备理、化、生实验AI赋分功能，支持查看实验的AI评分成绩，支持查看AI出具对实验考评点的扣分理由：包含但不限于AI识别模块、评分点跳转等模块</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18.AI识别模块支持识别单路或多路视频中出现的人和物，根据实验操作题目涉及的器材，识别出每个物体的位置、数量，识别出视频内人体行为动作，物体位置/状态变化</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19.系统内置实验至少不少于15个实验数量能进行AI智能赋分，具体实验题目如下：（1）物理实验题目：实验1.用托盘天平测量物体的质量；实验2.测量固体和液体的密度；实验3.用常见温度计测量温度；实验4.用刻度尺测量长度，用表测量时间；实验5.测量物体运动的速度；实验6.用弹簧测力计测量力；实验7.用电流表测量电流；实验8.用电压表测量电压；实验9.用电流表和电压表测量电阻；实验10.探究水在沸腾前后温度变化的特点；实验11.探究滑动摩擦力大小与哪些因素有关；实验12.探究液体压强与哪些因素有关；实验13.探究浮力大小与哪些因素有关；实验14.探究杠杆的平衡条件；</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实验15.探究光的反射定律；实验16.探究平面镜成像的特；实验17.探究凸透镜成像的规律；实验18.探究通电螺线管外部磁场的方向；实验19.探究导体在磁场中运动时产生感应电流的条件；实验20.探究串联电路和并联电路中电流、电压的特点；实验21.探究电流与电压、电阻的关系。（2）化学实验题目：实验1.粗盐中难溶性杂质的除去；实验2.氧气的实验室制取与性质；实验3.二氧化碳的实验室制取与性质；实验4.常见金属的物理性质和化学性质；实验5.常见酸、碱的化学性质；实验6.一定溶质质量分数的氯化钠溶液的配制；实验7.水的组成及变化的探究；实验8.燃烧条件的探究；</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kern w:val="0"/>
                <w:sz w:val="21"/>
                <w:szCs w:val="21"/>
              </w:rPr>
              <w:t>20.具备物体识别功能：支持系统识别操作区域中桌面、操作区警示线以及实验器材：具备物理器材和化学器材识别功能</w:t>
            </w:r>
          </w:p>
          <w:p>
            <w:pPr>
              <w:keepNext w:val="0"/>
              <w:keepLines w:val="0"/>
              <w:pageBreakBefore w:val="0"/>
              <w:kinsoku/>
              <w:wordWrap/>
              <w:overflowPunct/>
              <w:topLinePunct w:val="0"/>
              <w:autoSpaceDE/>
              <w:autoSpaceDN/>
              <w:bidi w:val="0"/>
              <w:spacing w:line="320" w:lineRule="exact"/>
              <w:rPr>
                <w:rFonts w:ascii="宋体" w:eastAsia="宋体" w:hAnsi="宋体" w:cs="宋体" w:hint="eastAsia"/>
                <w:kern w:val="0"/>
                <w:sz w:val="21"/>
                <w:szCs w:val="21"/>
              </w:rPr>
            </w:pPr>
            <w:r>
              <w:rPr>
                <w:rFonts w:ascii="宋体" w:eastAsia="宋体" w:hAnsi="宋体" w:cs="宋体" w:hint="eastAsia"/>
                <w:kern w:val="0"/>
                <w:sz w:val="21"/>
                <w:szCs w:val="21"/>
              </w:rPr>
              <w:t>21.具备行为识别功能：支持识别人体行为动作，包括运动、姿态、手势等，支持系统识别出学生的动作和行为是否符合实验考试题目；</w:t>
            </w:r>
          </w:p>
          <w:p>
            <w:pPr>
              <w:keepNext w:val="0"/>
              <w:keepLines w:val="0"/>
              <w:pageBreakBefore w:val="0"/>
              <w:kinsoku/>
              <w:wordWrap/>
              <w:overflowPunct/>
              <w:topLinePunct w:val="0"/>
              <w:autoSpaceDE/>
              <w:autoSpaceDN/>
              <w:bidi w:val="0"/>
              <w:spacing w:line="320" w:lineRule="exact"/>
              <w:rPr>
                <w:rFonts w:ascii="宋体" w:eastAsia="宋体" w:hAnsi="宋体" w:cs="宋体" w:hint="eastAsia"/>
                <w:kern w:val="0"/>
                <w:sz w:val="21"/>
                <w:szCs w:val="21"/>
              </w:rPr>
            </w:pPr>
            <w:r>
              <w:rPr>
                <w:rFonts w:ascii="宋体" w:eastAsia="宋体" w:hAnsi="宋体" w:cs="宋体" w:hint="eastAsia"/>
                <w:kern w:val="0"/>
                <w:sz w:val="21"/>
                <w:szCs w:val="21"/>
              </w:rPr>
              <w:t>22.具备物体位置/状态变化识别功能：支持识别视频中物体位置或状态的变化，例如物品的移动、替换、变形等，还支持系统评估学生对物品的操作和处置能力等。</w:t>
            </w:r>
          </w:p>
          <w:p>
            <w:pPr>
              <w:keepNext w:val="0"/>
              <w:keepLines w:val="0"/>
              <w:pageBreakBefore w:val="0"/>
              <w:kinsoku/>
              <w:wordWrap/>
              <w:overflowPunct/>
              <w:topLinePunct w:val="0"/>
              <w:autoSpaceDE/>
              <w:autoSpaceDN/>
              <w:bidi w:val="0"/>
              <w:spacing w:line="320" w:lineRule="exact"/>
              <w:rPr>
                <w:rFonts w:ascii="宋体" w:eastAsia="宋体" w:hAnsi="宋体" w:cs="宋体" w:hint="eastAsia"/>
                <w:color w:val="0000FF"/>
                <w:sz w:val="21"/>
                <w:szCs w:val="21"/>
              </w:rPr>
            </w:pPr>
            <w:r>
              <w:rPr>
                <w:rFonts w:ascii="宋体" w:eastAsia="宋体" w:hAnsi="宋体" w:cs="宋体" w:hint="eastAsia"/>
                <w:color w:val="0000FF"/>
                <w:sz w:val="21"/>
                <w:szCs w:val="21"/>
              </w:rPr>
              <w:t>▲23.支持利用AI识别，将视频根据评分点数量分解为同等数量的关键画面，供教师在评分界面预览大图和选取播放，选取时可一键跳转至对应画面后退不少于5秒的位置开始播放；</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4"/>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widowControl/>
              <w:kinsoku/>
              <w:wordWrap/>
              <w:overflowPunct/>
              <w:topLinePunct w:val="0"/>
              <w:autoSpaceDE/>
              <w:autoSpaceDN/>
              <w:bidi w:val="0"/>
              <w:spacing w:line="320" w:lineRule="exac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24.具备实验AI评分准确率统计功能，支持对比实验AI评分与教师评分得到AI评分准确率：</w:t>
            </w:r>
            <w:r>
              <w:rPr>
                <w:rFonts w:ascii="宋体" w:eastAsia="宋体" w:hAnsi="宋体" w:cs="宋体" w:hint="eastAsia"/>
                <w:color w:val="000000"/>
                <w:sz w:val="21"/>
                <w:szCs w:val="21"/>
              </w:rPr>
              <w:t>包含但不限于多种文件格式、自定义AI评分点、人工复核、评分对比等功能：</w:t>
            </w:r>
          </w:p>
          <w:p>
            <w:pPr>
              <w:keepNext w:val="0"/>
              <w:keepLines w:val="0"/>
              <w:pageBreakBefore w:val="0"/>
              <w:widowControl/>
              <w:kinsoku/>
              <w:wordWrap/>
              <w:overflowPunct/>
              <w:topLinePunct w:val="0"/>
              <w:autoSpaceDE/>
              <w:autoSpaceDN/>
              <w:bidi w:val="0"/>
              <w:adjustRightInd w:val="0"/>
              <w:snapToGrid w:val="0"/>
              <w:spacing w:line="320" w:lineRule="exact"/>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25.支持多种文件格式（视频文件、图片文件）输入，满足不同场景下的阅卷需求；</w:t>
            </w:r>
          </w:p>
          <w:p>
            <w:pPr>
              <w:keepNext w:val="0"/>
              <w:keepLines w:val="0"/>
              <w:pageBreakBefore w:val="0"/>
              <w:widowControl/>
              <w:kinsoku/>
              <w:wordWrap/>
              <w:overflowPunct/>
              <w:topLinePunct w:val="0"/>
              <w:autoSpaceDE/>
              <w:autoSpaceDN/>
              <w:bidi w:val="0"/>
              <w:adjustRightInd w:val="0"/>
              <w:snapToGrid w:val="0"/>
              <w:spacing w:line="320" w:lineRule="exact"/>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26.支持按照实验操作评分细则自定义配置AI算法模型、评分点以及每个得分点的分值，支持一套试卷关联1-2个算法模型；</w:t>
            </w:r>
          </w:p>
          <w:p>
            <w:pPr>
              <w:keepNext w:val="0"/>
              <w:keepLines w:val="0"/>
              <w:pageBreakBefore w:val="0"/>
              <w:widowControl/>
              <w:kinsoku/>
              <w:wordWrap/>
              <w:overflowPunct/>
              <w:topLinePunct w:val="0"/>
              <w:autoSpaceDE/>
              <w:autoSpaceDN/>
              <w:bidi w:val="0"/>
              <w:adjustRightInd w:val="0"/>
              <w:snapToGrid w:val="0"/>
              <w:spacing w:line="320" w:lineRule="exact"/>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27.支持经授权的评分教师登陆系统进行人工复核AI的评分结果（学生实验操作的得分项、扣分项等信息）；关联的AI评分点，则对学生的操作视频进行抽帧，截取每个评分点的关键操作截图，便于人工检查判断；</w:t>
            </w:r>
          </w:p>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color w:val="000000"/>
                <w:sz w:val="21"/>
                <w:szCs w:val="21"/>
              </w:rPr>
              <w:t>28.支持AI评分与人工评分进行比对，超过仲裁差异分时自动进入仲裁任务；</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9</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实验信息采集终端</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一、实验信息采集终端硬件参数：</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一体化支架：（1）使用过程中应稳定维持固定拍摄角度，不可自由伸缩和旋转；（2）支架底座具备固定功能；支架线材不可完全外露；（3）可用于标准实验桌；（4）支持折叠收纳。外设静音悬挂式挂钩，方便学生悬挂耳机；</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2.设备支架底座有耐腐蚀性（中性盐雾试验）测试：</w:t>
            </w:r>
            <w:r>
              <w:rPr>
                <w:rFonts w:ascii="宋体" w:eastAsia="宋体" w:hAnsi="宋体" w:cs="宋体" w:hint="eastAsia"/>
                <w:sz w:val="21"/>
                <w:szCs w:val="21"/>
              </w:rPr>
              <w:t>不低于</w:t>
            </w:r>
            <w:r>
              <w:rPr>
                <w:rStyle w:val="font31"/>
                <w:rFonts w:ascii="宋体" w:eastAsia="宋体" w:hAnsi="宋体" w:cs="宋体" w:hint="eastAsia"/>
                <w:sz w:val="21"/>
                <w:szCs w:val="21"/>
              </w:rPr>
              <w:t>96h，结果“锈点数：0点，10级”</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3.视频采集摄像头：（1）每套终端配备</w:t>
            </w:r>
            <w:r>
              <w:rPr>
                <w:rFonts w:ascii="宋体" w:eastAsia="宋体" w:hAnsi="宋体" w:cs="宋体" w:hint="eastAsia"/>
                <w:sz w:val="21"/>
                <w:szCs w:val="21"/>
              </w:rPr>
              <w:t>不少于</w:t>
            </w:r>
            <w:r>
              <w:rPr>
                <w:rStyle w:val="font31"/>
                <w:rFonts w:ascii="宋体" w:eastAsia="宋体" w:hAnsi="宋体" w:cs="宋体" w:hint="eastAsia"/>
                <w:sz w:val="21"/>
                <w:szCs w:val="21"/>
              </w:rPr>
              <w:t>2个摄像头，其中</w:t>
            </w:r>
            <w:r>
              <w:rPr>
                <w:rFonts w:ascii="宋体" w:eastAsia="宋体" w:hAnsi="宋体" w:cs="宋体" w:hint="eastAsia"/>
                <w:sz w:val="21"/>
                <w:szCs w:val="21"/>
              </w:rPr>
              <w:t>不少于</w:t>
            </w:r>
            <w:r>
              <w:rPr>
                <w:rStyle w:val="font31"/>
                <w:rFonts w:ascii="宋体" w:eastAsia="宋体" w:hAnsi="宋体" w:cs="宋体" w:hint="eastAsia"/>
                <w:sz w:val="21"/>
                <w:szCs w:val="21"/>
              </w:rPr>
              <w:t>1个为俯视角；（2）自动白平衡；（3）支持多码流传输；（4）其中一个俯视角摄像头能在一个画面内拍摄整个实验台，其中一个侧视角摄像头可支持拍摄核心操作区内操作和刻度细节；（5）帧率不低于25fps；（6）支持3D数字降噪；（7）三个摄像头均不低于400万像素；（8）各摄像头视频同步偏差不高于80ms；（9）支持H.265/H.264/MJPEG视频压缩编码；（10）自动曝光，支持宽动态，宽动态范围不低于100dB。</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4.核心操作区标识：放置或粘贴在实验桌上，用于引导学生在核心区域操作，完成整个实验。</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5.显示器：尺寸不小于15英寸；分辨率不低于1920*1080；支持多点(不低于10点）触控。支持屏幕旋转定位功能，最大可翻转角度72°。</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6.处理器：不低于六核，主频不低于1.6GHz。内存：不低于4G。存储：不低于32GB。</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7.外设接口：</w:t>
            </w:r>
            <w:r>
              <w:rPr>
                <w:rFonts w:ascii="宋体" w:eastAsia="宋体" w:hAnsi="宋体" w:cs="宋体" w:hint="eastAsia"/>
                <w:sz w:val="21"/>
                <w:szCs w:val="21"/>
              </w:rPr>
              <w:t>不少于</w:t>
            </w:r>
            <w:r>
              <w:rPr>
                <w:rStyle w:val="font31"/>
                <w:rFonts w:ascii="宋体" w:eastAsia="宋体" w:hAnsi="宋体" w:cs="宋体" w:hint="eastAsia"/>
                <w:sz w:val="21"/>
                <w:szCs w:val="21"/>
              </w:rPr>
              <w:t>1个USB 2.0接口，1个USB 3.0接口。用于接入电子目镜或数码显微镜图像。</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8.网络模块：支持有线联网，不低于1000M网卡。电源接口：220V持续供电</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9.实验信息采集终端数据标准：标准的mp4格式，清晰度不低于1080P；单个5分钟时长的视频应不大于200MB；每位考生实验操作考试的双路视频图像播放全程应保持相互时延小于100毫秒；完整录制俯视角、侧视角中所有实验操作过程和评分点细节；采集像素200万的显微镜成像实时图片；标准的JPG格式，像素不低于200万像素，单张图片大小不大于5MB，支持4:3长宽比；</w:t>
            </w:r>
          </w:p>
          <w:p>
            <w:pPr>
              <w:keepNext w:val="0"/>
              <w:keepLines w:val="0"/>
              <w:pageBreakBefore w:val="0"/>
              <w:widowControl/>
              <w:kinsoku/>
              <w:wordWrap/>
              <w:overflowPunct/>
              <w:topLinePunct w:val="0"/>
              <w:autoSpaceDE/>
              <w:autoSpaceDN/>
              <w:bidi w:val="0"/>
              <w:spacing w:line="320" w:lineRule="exact"/>
              <w:jc w:val="left"/>
              <w:textAlignment w:val="center"/>
              <w:rPr>
                <w:rStyle w:val="font31"/>
                <w:rFonts w:ascii="宋体" w:eastAsia="宋体" w:hAnsi="宋体" w:cs="宋体" w:hint="eastAsia"/>
                <w:color w:val="0000FF"/>
                <w:sz w:val="21"/>
                <w:szCs w:val="21"/>
              </w:rPr>
            </w:pPr>
            <w:r>
              <w:rPr>
                <w:rStyle w:val="font31"/>
                <w:rFonts w:ascii="宋体" w:eastAsia="宋体" w:hAnsi="宋体" w:cs="宋体" w:hint="eastAsia"/>
                <w:color w:val="0000FF"/>
                <w:sz w:val="21"/>
                <w:szCs w:val="21"/>
              </w:rPr>
              <w:t>▲10.</w:t>
            </w:r>
            <w:r>
              <w:rPr>
                <w:rFonts w:ascii="宋体" w:eastAsia="宋体" w:hAnsi="宋体" w:cs="宋体" w:hint="eastAsia"/>
                <w:color w:val="0000FF"/>
                <w:sz w:val="21"/>
                <w:szCs w:val="21"/>
              </w:rPr>
              <w:t xml:space="preserve"> 设</w:t>
            </w:r>
            <w:r>
              <w:rPr>
                <w:rFonts w:ascii="宋体" w:eastAsia="宋体" w:hAnsi="宋体" w:cs="宋体" w:hint="eastAsia"/>
                <w:color w:val="0000FF"/>
                <w:sz w:val="21"/>
                <w:szCs w:val="21"/>
              </w:rPr>
              <w:t>备安全要求符合</w:t>
            </w:r>
            <w:r>
              <w:rPr>
                <w:rStyle w:val="font31"/>
                <w:rFonts w:ascii="宋体" w:eastAsia="宋体" w:hAnsi="宋体" w:cs="宋体" w:hint="eastAsia"/>
                <w:color w:val="0000FF"/>
                <w:sz w:val="21"/>
                <w:szCs w:val="21"/>
              </w:rPr>
              <w:t>射频电磁场辐射抗扰度：按照GB/T 17626.3-2016中的检测方法测试，满足GB/T 18268.1-2010中对设备射频电磁场辐射抗扰度的要求。</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FF"/>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FF"/>
                <w:sz w:val="21"/>
                <w:szCs w:val="21"/>
              </w:rPr>
            </w:pPr>
            <w:r>
              <w:rPr>
                <w:rStyle w:val="font31"/>
                <w:rFonts w:ascii="宋体" w:eastAsia="宋体" w:hAnsi="宋体" w:cs="宋体" w:hint="eastAsia"/>
                <w:color w:val="0000FF"/>
                <w:sz w:val="21"/>
                <w:szCs w:val="21"/>
              </w:rPr>
              <w:t>▲</w:t>
            </w:r>
            <w:r>
              <w:rPr>
                <w:rFonts w:ascii="宋体" w:eastAsia="宋体" w:hAnsi="宋体" w:cs="宋体" w:hint="eastAsia"/>
                <w:color w:val="0000FF"/>
                <w:sz w:val="21"/>
                <w:szCs w:val="21"/>
              </w:rPr>
              <w:t>11. 设备防湿热环境指标：按照GB/T 2423.3-2016的试验方法测试40℃，RH 93%，不低于48h，结果通过。</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FF"/>
                <w:sz w:val="21"/>
                <w:szCs w:val="21"/>
              </w:rPr>
            </w:pPr>
            <w:r>
              <w:rPr>
                <w:rStyle w:val="font31"/>
                <w:rFonts w:ascii="宋体" w:eastAsia="宋体" w:hAnsi="宋体" w:cs="宋体" w:hint="eastAsia"/>
                <w:b/>
                <w:color w:val="0000FF"/>
                <w:sz w:val="21"/>
                <w:szCs w:val="21"/>
              </w:rPr>
              <w:t>(</w:t>
            </w:r>
            <w:r>
              <w:rPr>
                <w:rFonts w:ascii="宋体" w:eastAsia="宋体" w:hAnsi="宋体" w:cs="宋体" w:hint="eastAsia"/>
                <w:b/>
                <w:bCs/>
                <w:color w:val="0000FF"/>
                <w:sz w:val="21"/>
                <w:szCs w:val="21"/>
              </w:rPr>
              <w:t>投标时同时提供：</w:t>
            </w:r>
            <w:r>
              <w:rPr>
                <w:rFonts w:ascii="宋体" w:eastAsia="宋体" w:hAnsi="宋体" w:cs="宋体" w:hint="eastAsia"/>
                <w:b/>
                <w:color w:val="0000FF"/>
                <w:sz w:val="21"/>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rPr>
              <w:t>)</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二、实验信息采集终端软件功能：</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12.支持测评模式功能：页面操作流程符合考试流程要求；学生可根据抽签结果对身份信息进行确认；</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13.支持理化同场考试功能：理化考试中，学生可在规定考试时间内自主选择实验顺序和时长操作，并按科目生成视频文件；</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14.支持摄像头异常提醒功能：录制过程中如检测到摄像头拍摄范围偏离预期或被遮挡，在本机上有明显提示，并通知实验考务平台；</w:t>
            </w:r>
          </w:p>
          <w:p>
            <w:pPr>
              <w:keepNext w:val="0"/>
              <w:keepLines w:val="0"/>
              <w:pageBreakBefore w:val="0"/>
              <w:widowControl/>
              <w:kinsoku/>
              <w:wordWrap/>
              <w:overflowPunct/>
              <w:topLinePunct w:val="0"/>
              <w:autoSpaceDE/>
              <w:autoSpaceDN/>
              <w:bidi w:val="0"/>
              <w:spacing w:line="320" w:lineRule="exact"/>
              <w:textAlignment w:val="center"/>
              <w:rPr>
                <w:rFonts w:ascii="宋体" w:eastAsia="宋体" w:hAnsi="宋体" w:cs="宋体" w:hint="eastAsia"/>
                <w:sz w:val="21"/>
                <w:szCs w:val="21"/>
              </w:rPr>
            </w:pPr>
            <w:r>
              <w:rPr>
                <w:rFonts w:ascii="宋体" w:eastAsia="宋体" w:hAnsi="宋体" w:cs="宋体" w:hint="eastAsia"/>
                <w:kern w:val="0"/>
                <w:sz w:val="21"/>
                <w:szCs w:val="21"/>
              </w:rPr>
              <w:t>15．</w:t>
            </w:r>
            <w:r>
              <w:rPr>
                <w:rFonts w:ascii="宋体" w:eastAsia="宋体" w:hAnsi="宋体" w:cs="宋体" w:hint="eastAsia"/>
                <w:sz w:val="21"/>
                <w:szCs w:val="21"/>
              </w:rPr>
              <w:t>支持实验教师对实验教学考试管理，教师可布置学生实验作业，可以设置实验项目的开始时间和截止时间；同时可查询学生学习时间、成绩等数据；</w:t>
            </w:r>
          </w:p>
          <w:p>
            <w:pPr>
              <w:keepNext w:val="0"/>
              <w:keepLines w:val="0"/>
              <w:pageBreakBefore w:val="0"/>
              <w:widowControl/>
              <w:kinsoku/>
              <w:wordWrap/>
              <w:overflowPunct/>
              <w:topLinePunct w:val="0"/>
              <w:autoSpaceDE/>
              <w:autoSpaceDN/>
              <w:bidi w:val="0"/>
              <w:spacing w:line="320" w:lineRule="exact"/>
              <w:textAlignment w:val="center"/>
              <w:rPr>
                <w:rFonts w:ascii="宋体" w:eastAsia="宋体" w:hAnsi="宋体" w:cs="宋体" w:hint="eastAsia"/>
                <w:sz w:val="21"/>
                <w:szCs w:val="21"/>
              </w:rPr>
            </w:pPr>
            <w:r>
              <w:rPr>
                <w:rFonts w:ascii="宋体" w:eastAsia="宋体" w:hAnsi="宋体" w:cs="宋体" w:hint="eastAsia"/>
                <w:sz w:val="21"/>
                <w:szCs w:val="21"/>
              </w:rPr>
              <w:t>16.支持实验原理视频讲解，实验知识点说明，实验视频步骤分段播放，实验视频内容可生成链接，插入到第三方播放；</w:t>
            </w:r>
          </w:p>
          <w:p>
            <w:pPr>
              <w:keepNext w:val="0"/>
              <w:keepLines w:val="0"/>
              <w:pageBreakBefore w:val="0"/>
              <w:widowControl/>
              <w:kinsoku/>
              <w:wordWrap/>
              <w:overflowPunct/>
              <w:topLinePunct w:val="0"/>
              <w:autoSpaceDE/>
              <w:autoSpaceDN/>
              <w:bidi w:val="0"/>
              <w:spacing w:line="320" w:lineRule="exact"/>
              <w:textAlignment w:val="center"/>
              <w:rPr>
                <w:rFonts w:ascii="宋体" w:eastAsia="宋体" w:hAnsi="宋体" w:cs="宋体" w:hint="eastAsia"/>
                <w:sz w:val="21"/>
                <w:szCs w:val="21"/>
              </w:rPr>
            </w:pPr>
            <w:r>
              <w:rPr>
                <w:rFonts w:ascii="宋体" w:eastAsia="宋体" w:hAnsi="宋体" w:cs="宋体" w:hint="eastAsia"/>
                <w:sz w:val="21"/>
                <w:szCs w:val="21"/>
              </w:rPr>
              <w:t>17．支持实验视频360度全景展示，可任意视角观察实验现象，在不同的视角中依然可以继续进行实验；</w:t>
            </w:r>
          </w:p>
          <w:p>
            <w:pPr>
              <w:keepNext w:val="0"/>
              <w:keepLines w:val="0"/>
              <w:pageBreakBefore w:val="0"/>
              <w:widowControl/>
              <w:kinsoku/>
              <w:wordWrap/>
              <w:overflowPunct/>
              <w:topLinePunct w:val="0"/>
              <w:autoSpaceDE/>
              <w:autoSpaceDN/>
              <w:bidi w:val="0"/>
              <w:spacing w:line="320" w:lineRule="exact"/>
              <w:textAlignment w:val="center"/>
              <w:rPr>
                <w:rFonts w:ascii="宋体" w:eastAsia="宋体" w:hAnsi="宋体" w:cs="宋体" w:hint="eastAsia"/>
                <w:sz w:val="21"/>
                <w:szCs w:val="21"/>
              </w:rPr>
            </w:pPr>
            <w:r>
              <w:rPr>
                <w:rFonts w:ascii="宋体" w:eastAsia="宋体" w:hAnsi="宋体" w:cs="宋体" w:hint="eastAsia"/>
                <w:sz w:val="21"/>
                <w:szCs w:val="21"/>
              </w:rPr>
              <w:t>18.支持实验的场景与模型严格参照现实中的对象进行高精度建模以第一人称视角进行操作，做到移动、拾起等动作，真实模拟实验中火焰、变色、烟雾、气泡、沉淀等特效。不同的操作方式会根据实际效果产生不同的结果，确保实验场景及模型的高保真及严谨性，还原真实实验场景；</w:t>
            </w:r>
          </w:p>
          <w:p>
            <w:pPr>
              <w:keepNext w:val="0"/>
              <w:keepLines w:val="0"/>
              <w:pageBreakBefore w:val="0"/>
              <w:widowControl/>
              <w:kinsoku/>
              <w:wordWrap/>
              <w:overflowPunct/>
              <w:topLinePunct w:val="0"/>
              <w:autoSpaceDE/>
              <w:autoSpaceDN/>
              <w:bidi w:val="0"/>
              <w:spacing w:line="320" w:lineRule="exact"/>
              <w:textAlignment w:val="center"/>
              <w:rPr>
                <w:rFonts w:ascii="宋体" w:eastAsia="宋体" w:hAnsi="宋体" w:cs="宋体" w:hint="eastAsia"/>
                <w:sz w:val="21"/>
                <w:szCs w:val="21"/>
              </w:rPr>
            </w:pPr>
            <w:r>
              <w:rPr>
                <w:rFonts w:ascii="宋体" w:eastAsia="宋体" w:hAnsi="宋体" w:cs="宋体" w:hint="eastAsia"/>
                <w:sz w:val="21"/>
                <w:szCs w:val="21"/>
              </w:rPr>
              <w:t>19.平台考试实验支持智能步骤分解，系统算法智能分解和判别实验步骤，精准识别和分析学生操作行为，对学生实验操作和理论成绩进行自动评价，帮助老师掌握学生学习效果；</w:t>
            </w:r>
          </w:p>
          <w:p>
            <w:pPr>
              <w:keepNext w:val="0"/>
              <w:keepLines w:val="0"/>
              <w:pageBreakBefore w:val="0"/>
              <w:widowControl/>
              <w:kinsoku/>
              <w:wordWrap/>
              <w:overflowPunct/>
              <w:topLinePunct w:val="0"/>
              <w:autoSpaceDE/>
              <w:autoSpaceDN/>
              <w:bidi w:val="0"/>
              <w:spacing w:line="320" w:lineRule="exact"/>
              <w:textAlignment w:val="center"/>
              <w:rPr>
                <w:rFonts w:ascii="宋体" w:eastAsia="宋体" w:hAnsi="宋体" w:cs="宋体" w:hint="eastAsia"/>
                <w:sz w:val="21"/>
                <w:szCs w:val="21"/>
              </w:rPr>
            </w:pPr>
            <w:r>
              <w:rPr>
                <w:rFonts w:ascii="宋体" w:eastAsia="宋体" w:hAnsi="宋体" w:cs="宋体" w:hint="eastAsia"/>
                <w:sz w:val="21"/>
                <w:szCs w:val="21"/>
              </w:rPr>
              <w:t>20.支持智能分析学生的操作行为，对学生实验操作和理论成绩进行自动评价，并且进行自动纠错，支持在线分析错误操作内容，对于学生操作实验给予实验点评；</w:t>
            </w:r>
          </w:p>
          <w:p>
            <w:pPr>
              <w:keepNext w:val="0"/>
              <w:keepLines w:val="0"/>
              <w:pageBreakBefore w:val="0"/>
              <w:widowControl/>
              <w:kinsoku/>
              <w:wordWrap/>
              <w:overflowPunct/>
              <w:topLinePunct w:val="0"/>
              <w:autoSpaceDE/>
              <w:autoSpaceDN/>
              <w:bidi w:val="0"/>
              <w:spacing w:line="320" w:lineRule="exact"/>
              <w:textAlignment w:val="center"/>
              <w:rPr>
                <w:rFonts w:ascii="宋体" w:eastAsia="宋体" w:hAnsi="宋体" w:cs="宋体" w:hint="eastAsia"/>
                <w:sz w:val="21"/>
                <w:szCs w:val="21"/>
              </w:rPr>
            </w:pPr>
            <w:r>
              <w:rPr>
                <w:rFonts w:ascii="宋体" w:eastAsia="宋体" w:hAnsi="宋体" w:cs="宋体" w:hint="eastAsia"/>
                <w:sz w:val="21"/>
                <w:szCs w:val="21"/>
              </w:rPr>
              <w:t xml:space="preserve">21.平台大数据统计，支持AI数据收集、大数据统计、大数据整理、大数据分析的功能；                             </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Fonts w:ascii="宋体" w:eastAsia="宋体" w:hAnsi="宋体" w:cs="宋体" w:hint="eastAsia"/>
                <w:sz w:val="21"/>
                <w:szCs w:val="21"/>
              </w:rPr>
              <w:t>22.平台可提供题库、试卷管理；教师可自行在题库中创建不同类型的习题；试卷可与实验项目绑定，学生可在学习过程中进行练习、自测等方式测试理论知识掌握情况；教师可查看学生答题情况的统计；</w:t>
            </w:r>
          </w:p>
        </w:tc>
      </w:tr>
      <w:tr>
        <w:tblPrEx>
          <w:tblW w:w="9101" w:type="dxa"/>
          <w:jc w:val="center"/>
          <w:tblLayout w:type="fixed"/>
          <w:tblCellMar>
            <w:top w:w="0" w:type="dxa"/>
            <w:left w:w="108" w:type="dxa"/>
            <w:bottom w:w="0" w:type="dxa"/>
            <w:right w:w="108" w:type="dxa"/>
          </w:tblCellMar>
        </w:tblPrEx>
        <w:trPr>
          <w:trHeight w:val="699"/>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10</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color w:val="000000"/>
                <w:kern w:val="0"/>
                <w:sz w:val="21"/>
                <w:szCs w:val="21"/>
              </w:rPr>
              <w:t>电子目镜</w:t>
            </w:r>
          </w:p>
        </w:tc>
        <w:tc>
          <w:tcPr>
            <w:tcW w:w="7395" w:type="dxa"/>
            <w:vAlign w:val="center"/>
          </w:tcPr>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pacing w:val="-7"/>
                <w:sz w:val="21"/>
                <w:szCs w:val="21"/>
              </w:rPr>
              <w:t>1、不低于500万像素数码摄像头，用于生物显微镜观察实验。信号输出接口为USB接口；自动曝光；自动白平衡；</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11</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color w:val="000000"/>
                <w:kern w:val="0"/>
                <w:sz w:val="21"/>
                <w:szCs w:val="21"/>
              </w:rPr>
              <w:t>UPS</w:t>
            </w:r>
          </w:p>
        </w:tc>
        <w:tc>
          <w:tcPr>
            <w:tcW w:w="7395" w:type="dxa"/>
            <w:vAlign w:val="center"/>
          </w:tcPr>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color w:val="000000"/>
                <w:kern w:val="0"/>
                <w:sz w:val="21"/>
                <w:szCs w:val="21"/>
              </w:rPr>
              <w:t>1.输出/入电压 220V/220V；2.额定功率不低于4.5KW；3.90%负载应急供电时间不少于30分钟。</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12</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color w:val="000000"/>
                <w:kern w:val="0"/>
                <w:sz w:val="21"/>
                <w:szCs w:val="21"/>
              </w:rPr>
              <w:t>机柜</w:t>
            </w:r>
          </w:p>
        </w:tc>
        <w:tc>
          <w:tcPr>
            <w:tcW w:w="7395" w:type="dxa"/>
            <w:vAlign w:val="center"/>
          </w:tcPr>
          <w:p>
            <w:pPr>
              <w:keepNext w:val="0"/>
              <w:keepLines w:val="0"/>
              <w:pageBreakBefore w:val="0"/>
              <w:kinsoku/>
              <w:wordWrap/>
              <w:overflowPunct/>
              <w:topLinePunct w:val="0"/>
              <w:autoSpaceDE/>
              <w:autoSpaceDN/>
              <w:bidi w:val="0"/>
              <w:spacing w:line="320" w:lineRule="exact"/>
              <w:rPr>
                <w:rFonts w:ascii="宋体" w:eastAsia="宋体" w:hAnsi="宋体" w:cs="宋体" w:hint="eastAsia"/>
                <w:sz w:val="21"/>
                <w:szCs w:val="21"/>
              </w:rPr>
            </w:pPr>
            <w:r>
              <w:rPr>
                <w:rFonts w:ascii="宋体" w:eastAsia="宋体" w:hAnsi="宋体" w:cs="宋体" w:hint="eastAsia"/>
                <w:sz w:val="21"/>
                <w:szCs w:val="21"/>
              </w:rPr>
              <w:t>1、不低于标准19英寸22U服务器机柜。</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color w:val="000000"/>
                <w:kern w:val="0"/>
                <w:sz w:val="21"/>
                <w:szCs w:val="21"/>
              </w:rPr>
              <w:t>13</w:t>
            </w:r>
          </w:p>
        </w:tc>
        <w:tc>
          <w:tcPr>
            <w:tcW w:w="1189" w:type="dxa"/>
            <w:vAlign w:val="center"/>
          </w:tcPr>
          <w:p>
            <w:pPr>
              <w:keepNext w:val="0"/>
              <w:keepLines w:val="0"/>
              <w:pageBreakBefore w:val="0"/>
              <w:kinsoku/>
              <w:wordWrap/>
              <w:overflowPunct/>
              <w:topLinePunct w:val="0"/>
              <w:autoSpaceDE/>
              <w:autoSpaceDN/>
              <w:bidi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无线扩音系统</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1.具备1个主箱和1个副箱，每个音箱都有1个5寸全频喇叭和1个3寸高音喇叭组成，输出功率不低于2x25W，高保真、宽动态；全内置天线，外观干净利落；要求一体式散热铝背板，具有可靠的稳定性和耐用性；</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2.具备2.4G、UHF、IR红外3种无线传输模式的无线教学话筒接收模块传输模式，无缝融合使用；2.4G、IR红外两种自动对频方式，无缝转换，适应任何室内环境使用。开机自动检测工作环境，自动选择最优工作信道；具备专业级话筒音质，48K,16bit，30~20KHz宽频响，感官无感觉延时；全数字化传输、DSP信号处理、数字调试和智能管理的性能；</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3.音箱额定声频率响应范围：90~19KHz；噪声声级≦25 dB（A）; 幅频响应差≦3 dB</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4.要求无线话筒音量和音调都可调，广播音量、有线话筒音量、线路输入音量都可调。具备6V有线话筒输入接口，低压安全；具备立体声线路输入、输出接口；要求集成智能传感器，放下静音，拿起说话；超时不用自动待机；具备内置DSP数字防啸叫功能，内置7段麦克风均衡器。具有Type-C数据接口和充电；具备IP广播接口、定义广播输入接口，兼容接入学校广播系统；带按键触发程序升级功能的工作指示灯。</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 xml:space="preserve">5.具备支持无线充电功能，放下充电，拿起讲话，配备多功能无线充电底座，U型槽式结构，防止话筒滚动，可桌面放置或挂墙插置充电；内置锂电，全智能充电管理；具备IR红外发射功能；具备双色充电指示灯。具备OLED显示屏，清晰显示系统状态及参数；具备自动静音功能，自动语音快速恢复，嘈杂环境，正常使用；拾音器结构及功能特殊设计，防喷、防风噪，声音通透自然，没有爆破音； </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Style w:val="font31"/>
                <w:rFonts w:ascii="宋体" w:eastAsia="宋体" w:hAnsi="宋体" w:cs="宋体" w:hint="eastAsia"/>
                <w:sz w:val="21"/>
                <w:szCs w:val="21"/>
              </w:rPr>
              <w:t>6.通过防电击保护的结构要求合格检测，设备的结构应确保可触及零部件或手动打开盖子后变成可触及的零部件不会引起电击危险，检测结果为“合格”。</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14</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color w:val="000000"/>
                <w:kern w:val="0"/>
                <w:sz w:val="21"/>
                <w:szCs w:val="21"/>
              </w:rPr>
              <w:t>综合布线</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1、含六类双绞线、面板/插座、跳线、配线架等安装配件，面板带信息口。</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15</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color w:val="000000"/>
                <w:kern w:val="0"/>
                <w:sz w:val="21"/>
                <w:szCs w:val="21"/>
              </w:rPr>
              <w:t>电源布线</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1、含室内配电箱主电源接入（主线不低于国标6平方*3电线）；UPS输出电源线不低于国标1.5平方*3电线，含线槽、插座和开关等安装配件。</w:t>
            </w:r>
          </w:p>
        </w:tc>
      </w:tr>
      <w:tr>
        <w:tblPrEx>
          <w:tblW w:w="9101" w:type="dxa"/>
          <w:jc w:val="center"/>
          <w:tblLayout w:type="fixed"/>
          <w:tblCellMar>
            <w:top w:w="0" w:type="dxa"/>
            <w:left w:w="108" w:type="dxa"/>
            <w:bottom w:w="0" w:type="dxa"/>
            <w:right w:w="108" w:type="dxa"/>
          </w:tblCellMar>
        </w:tblPrEx>
        <w:trPr>
          <w:trHeight w:val="416"/>
          <w:jc w:val="center"/>
        </w:trPr>
        <w:tc>
          <w:tcPr>
            <w:tcW w:w="517"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16</w:t>
            </w:r>
          </w:p>
        </w:tc>
        <w:tc>
          <w:tcPr>
            <w:tcW w:w="1189" w:type="dxa"/>
            <w:vAlign w:val="center"/>
          </w:tcPr>
          <w:p>
            <w:pPr>
              <w:keepNext w:val="0"/>
              <w:keepLines w:val="0"/>
              <w:pageBreakBefore w:val="0"/>
              <w:widowControl/>
              <w:kinsoku/>
              <w:wordWrap/>
              <w:overflowPunct/>
              <w:topLinePunct w:val="0"/>
              <w:autoSpaceDE/>
              <w:autoSpaceDN/>
              <w:bidi w:val="0"/>
              <w:spacing w:line="320" w:lineRule="exact"/>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考点视频监控</w:t>
            </w:r>
          </w:p>
        </w:tc>
        <w:tc>
          <w:tcPr>
            <w:tcW w:w="7395" w:type="dxa"/>
            <w:vAlign w:val="center"/>
          </w:tcPr>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1、图像传感器 1/2.7" 400万像素逐行扫描CMOS,图像尺寸 ≥2560×1920，最低照度 彩色:0.005Lux(F1.6,AGC ON),黑白:0.0025Lux(F1.6,AGC ON),0Lux(红外开启),镜头 焦距范围2.8-12mm 补光 红外补光距离室内30米</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2、视频编码 H.265/H.264/MJPEG，支持快速集成智能算法或应用APP，智能算法或APP可以独立升级；支持智能算法模块动态加载</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3、外部接口 1个RJ45 10M/100M自适应以太网口、1个半双工RS485接口、2路报警输入、1路报警输出、1路音频输入（内置MIC）、1路音频输出、提供MicroSD卡插槽，支持MicroSDHC/MicroSDXC，支持最大容量256GB内存卡，防护等级 IP67</w:t>
            </w:r>
          </w:p>
          <w:p>
            <w:pPr>
              <w:keepNext w:val="0"/>
              <w:keepLines w:val="0"/>
              <w:pageBreakBefore w:val="0"/>
              <w:widowControl/>
              <w:kinsoku/>
              <w:wordWrap/>
              <w:overflowPunct/>
              <w:topLinePunct w:val="0"/>
              <w:autoSpaceDE/>
              <w:autoSpaceDN/>
              <w:bidi w:val="0"/>
              <w:spacing w:line="320" w:lineRule="exact"/>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4、算法切换 支持多算法切换运行：人脸抓拍模式、行为分析模式、人群态势分析模式：排队长度、区域人数统计、过线统计、热度图</w:t>
            </w:r>
          </w:p>
        </w:tc>
      </w:tr>
    </w:tbl>
    <w:p>
      <w:pPr>
        <w:spacing w:after="78"/>
        <w:jc w:val="left"/>
        <w:rPr>
          <w:rFonts w:ascii="Calibri" w:eastAsia="宋体" w:hAnsi="Calibri" w:cs="Times New Roman" w:hint="default"/>
          <w:color w:val="FF0000"/>
          <w:szCs w:val="21"/>
          <w:lang w:val="en-US" w:eastAsia="zh-CN"/>
        </w:rPr>
      </w:pPr>
    </w:p>
    <w:p>
      <w:pPr>
        <w:pStyle w:val="Heading3"/>
        <w:keepNext/>
        <w:keepLines/>
        <w:pageBreakBefore w:val="0"/>
        <w:widowControl w:val="0"/>
        <w:kinsoku/>
        <w:wordWrap/>
        <w:overflowPunct/>
        <w:topLinePunct w:val="0"/>
        <w:autoSpaceDE/>
        <w:autoSpaceDN/>
        <w:bidi w:val="0"/>
        <w:adjustRightInd/>
        <w:snapToGrid/>
        <w:spacing w:before="156" w:beforeLines="50" w:after="156" w:afterLines="50" w:line="416" w:lineRule="auto"/>
        <w:jc w:val="center"/>
        <w:textAlignment w:val="auto"/>
        <w:outlineLvl w:val="2"/>
        <w:rPr>
          <w:sz w:val="28"/>
          <w:szCs w:val="28"/>
        </w:rPr>
      </w:pPr>
      <w:r>
        <w:br w:type="page"/>
      </w:r>
      <w:r>
        <w:rPr>
          <w:rFonts w:hint="eastAsia"/>
          <w:sz w:val="28"/>
          <w:szCs w:val="28"/>
          <w:lang w:val="en-US" w:eastAsia="zh-CN"/>
        </w:rPr>
        <w:t>五</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rFonts w:hint="eastAsia"/>
          <w:bCs/>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widowControl/>
        <w:jc w:val="left"/>
        <w:rPr>
          <w:rFonts w:ascii="宋体" w:eastAsia="黑体" w:hAnsi="宋体" w:cs="Times New Roman"/>
          <w:bCs/>
          <w:kern w:val="44"/>
          <w:sz w:val="28"/>
          <w:szCs w:val="4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pPr>
        <w:outlineLvl w:val="2"/>
        <w:rPr>
          <w:rFonts w:ascii="黑体" w:eastAsia="黑体"/>
          <w:b/>
          <w:bCs/>
          <w:color w:val="FF0000"/>
          <w:sz w:val="28"/>
        </w:rPr>
      </w:pPr>
      <w:r>
        <w:rPr>
          <w:rFonts w:ascii="黑体" w:eastAsia="黑体" w:hint="eastAsia"/>
          <w:b/>
          <w:bCs/>
          <w:color w:val="FF0000"/>
          <w:sz w:val="28"/>
        </w:rPr>
        <w:t>特别提醒：</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pPr>
        <w:jc w:val="center"/>
        <w:rPr>
          <w:rFonts w:ascii="黑体" w:eastAsia="黑体"/>
          <w:b/>
          <w:bCs/>
          <w:color w:val="FF0000"/>
          <w:sz w:val="28"/>
        </w:rPr>
      </w:pPr>
      <w: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pPr>
        <w:numPr>
          <w:ilvl w:val="0"/>
          <w:numId w:val="1"/>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 xml:space="preserve">投标函； </w:t>
      </w:r>
    </w:p>
    <w:p>
      <w:pPr>
        <w:numPr>
          <w:ilvl w:val="0"/>
          <w:numId w:val="1"/>
        </w:numPr>
        <w:snapToGrid w:val="0"/>
        <w:spacing w:after="78" w:afterLines="25"/>
        <w:jc w:val="left"/>
        <w:rPr>
          <w:rFonts w:ascii="宋体" w:eastAsia="宋体" w:hAnsi="宋体" w:cs="Times New Roman"/>
          <w:sz w:val="30"/>
          <w:szCs w:val="30"/>
        </w:rPr>
      </w:pPr>
      <w:bookmarkStart w:id="16" w:name="_Hlk72062521"/>
      <w:r>
        <w:rPr>
          <w:rFonts w:ascii="宋体" w:eastAsia="宋体" w:hAnsi="宋体" w:cs="Times New Roman" w:hint="eastAsia"/>
          <w:sz w:val="30"/>
          <w:szCs w:val="30"/>
        </w:rPr>
        <w:t>政府采购投标及履约承诺函</w:t>
      </w:r>
      <w:bookmarkEnd w:id="16"/>
      <w:r>
        <w:rPr>
          <w:rFonts w:ascii="宋体" w:eastAsia="宋体" w:hAnsi="宋体" w:cs="Times New Roman" w:hint="eastAsia"/>
          <w:sz w:val="30"/>
          <w:szCs w:val="30"/>
        </w:rPr>
        <w:t>；</w:t>
      </w:r>
    </w:p>
    <w:p>
      <w:pPr>
        <w:numPr>
          <w:ilvl w:val="0"/>
          <w:numId w:val="1"/>
        </w:numPr>
        <w:snapToGrid w:val="0"/>
        <w:spacing w:after="78" w:afterLines="25"/>
        <w:jc w:val="left"/>
        <w:rPr>
          <w:rFonts w:ascii="宋体" w:eastAsia="宋体" w:hAnsi="宋体" w:cs="Times New Roman"/>
          <w:sz w:val="30"/>
          <w:szCs w:val="30"/>
        </w:rPr>
      </w:pPr>
      <w:r>
        <w:rPr>
          <w:rFonts w:ascii="宋体" w:eastAsia="宋体" w:hAnsi="宋体" w:cs="Times New Roman" w:hint="eastAsia"/>
          <w:bCs/>
          <w:sz w:val="30"/>
          <w:szCs w:val="30"/>
        </w:rPr>
        <w:t>营业执照或事业单位法人证书等；</w:t>
      </w:r>
    </w:p>
    <w:p>
      <w:pPr>
        <w:numPr>
          <w:ilvl w:val="0"/>
          <w:numId w:val="1"/>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中小企业相关声明函</w:t>
      </w:r>
      <w:r>
        <w:rPr>
          <w:rFonts w:ascii="宋体" w:eastAsia="宋体" w:hAnsi="宋体" w:cs="Times New Roman" w:hint="eastAsia"/>
          <w:bCs/>
          <w:sz w:val="30"/>
          <w:szCs w:val="30"/>
          <w:lang w:eastAsia="zh-CN"/>
        </w:rPr>
        <w:t>（</w:t>
      </w:r>
      <w:r>
        <w:rPr>
          <w:rFonts w:ascii="宋体" w:eastAsia="宋体" w:hAnsi="宋体" w:cs="Times New Roman" w:hint="eastAsia"/>
          <w:bCs/>
          <w:sz w:val="30"/>
          <w:szCs w:val="30"/>
          <w:lang w:val="en-US" w:eastAsia="zh-CN"/>
        </w:rPr>
        <w:t>如有</w:t>
      </w: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w:t>
      </w:r>
    </w:p>
    <w:p>
      <w:pPr>
        <w:numPr>
          <w:ilvl w:val="0"/>
          <w:numId w:val="1"/>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分项报价清单；</w:t>
      </w:r>
    </w:p>
    <w:p>
      <w:pPr>
        <w:numPr>
          <w:ilvl w:val="0"/>
          <w:numId w:val="1"/>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同类项目经验</w:t>
      </w:r>
      <w:r>
        <w:rPr>
          <w:rFonts w:ascii="宋体" w:eastAsia="宋体" w:hAnsi="宋体" w:cs="Times New Roman" w:hint="eastAsia"/>
          <w:bCs/>
          <w:sz w:val="30"/>
          <w:szCs w:val="30"/>
          <w:lang w:eastAsia="zh-CN"/>
        </w:rPr>
        <w:t>；</w:t>
      </w:r>
    </w:p>
    <w:p>
      <w:pPr>
        <w:numPr>
          <w:ilvl w:val="0"/>
          <w:numId w:val="1"/>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政府采购节能环保产品</w:t>
      </w:r>
      <w:r>
        <w:rPr>
          <w:rFonts w:ascii="宋体" w:eastAsia="宋体" w:hAnsi="宋体" w:cs="Times New Roman" w:hint="eastAsia"/>
          <w:bCs/>
          <w:sz w:val="30"/>
          <w:szCs w:val="30"/>
          <w:lang w:eastAsia="zh-CN"/>
        </w:rPr>
        <w:t>；</w:t>
      </w:r>
    </w:p>
    <w:p>
      <w:pPr>
        <w:numPr>
          <w:ilvl w:val="0"/>
          <w:numId w:val="1"/>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绿色采购</w:t>
      </w:r>
      <w:r>
        <w:rPr>
          <w:rFonts w:ascii="宋体" w:eastAsia="宋体" w:hAnsi="宋体" w:cs="Times New Roman" w:hint="eastAsia"/>
          <w:bCs/>
          <w:sz w:val="30"/>
          <w:szCs w:val="30"/>
          <w:lang w:eastAsia="zh-CN"/>
        </w:rPr>
        <w:t>；</w:t>
      </w:r>
    </w:p>
    <w:p>
      <w:pPr>
        <w:numPr>
          <w:ilvl w:val="0"/>
          <w:numId w:val="1"/>
        </w:numPr>
        <w:snapToGrid w:val="0"/>
        <w:spacing w:after="78" w:afterLines="25"/>
        <w:ind w:left="1456"/>
        <w:rPr>
          <w:rFonts w:ascii="宋体" w:eastAsia="宋体" w:hAnsi="宋体" w:cs="Times New Roman"/>
          <w:sz w:val="30"/>
          <w:szCs w:val="30"/>
        </w:rPr>
      </w:pPr>
      <w:r>
        <w:rPr>
          <w:rFonts w:ascii="宋体" w:eastAsia="宋体" w:hAnsi="宋体" w:cs="Times New Roman" w:hint="eastAsia"/>
          <w:bCs/>
          <w:sz w:val="30"/>
          <w:szCs w:val="30"/>
        </w:rPr>
        <w:t>其他招标文件要</w:t>
      </w:r>
      <w:r>
        <w:rPr>
          <w:rFonts w:ascii="宋体" w:eastAsia="宋体" w:hAnsi="宋体" w:cs="Times New Roman" w:hint="eastAsia"/>
          <w:sz w:val="30"/>
          <w:szCs w:val="30"/>
        </w:rPr>
        <w:t>求或投标人认为需要补充的内容（公开）。</w:t>
      </w:r>
    </w:p>
    <w:p>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pPr>
        <w:numPr>
          <w:ilvl w:val="0"/>
          <w:numId w:val="2"/>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pPr>
        <w:numPr>
          <w:ilvl w:val="0"/>
          <w:numId w:val="2"/>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商务（服务）条款偏离表；</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考场监考管理主机</w:t>
      </w: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节能产品认证证书</w:t>
      </w:r>
      <w:r>
        <w:rPr>
          <w:rFonts w:ascii="宋体" w:eastAsia="宋体" w:hAnsi="宋体" w:cs="Times New Roman" w:hint="eastAsia"/>
          <w:bCs/>
          <w:sz w:val="30"/>
          <w:szCs w:val="30"/>
          <w:lang w:eastAsia="zh-CN"/>
        </w:rPr>
        <w:t>；</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技术</w:t>
      </w:r>
      <w:r>
        <w:rPr>
          <w:rFonts w:ascii="宋体" w:eastAsia="宋体" w:hAnsi="宋体" w:cs="Times New Roman" w:hint="eastAsia"/>
          <w:sz w:val="30"/>
          <w:szCs w:val="30"/>
          <w:lang w:val="en-US" w:eastAsia="zh-CN"/>
        </w:rPr>
        <w:t>要求</w:t>
      </w:r>
      <w:r>
        <w:rPr>
          <w:rFonts w:ascii="宋体" w:eastAsia="宋体" w:hAnsi="宋体" w:cs="Times New Roman" w:hint="eastAsia"/>
          <w:sz w:val="30"/>
          <w:szCs w:val="30"/>
        </w:rPr>
        <w:t>偏离表；</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项目施工方案</w:t>
      </w:r>
      <w:r>
        <w:rPr>
          <w:rFonts w:ascii="宋体" w:eastAsia="宋体" w:hAnsi="宋体" w:cs="Times New Roman" w:hint="eastAsia"/>
          <w:sz w:val="30"/>
          <w:szCs w:val="30"/>
          <w:lang w:eastAsia="zh-CN"/>
        </w:rPr>
        <w:t>；</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售后服务</w:t>
      </w:r>
      <w:r>
        <w:rPr>
          <w:rFonts w:ascii="宋体" w:eastAsia="宋体" w:hAnsi="宋体" w:cs="Times New Roman" w:hint="eastAsia"/>
          <w:sz w:val="30"/>
          <w:szCs w:val="30"/>
          <w:lang w:val="en-US" w:eastAsia="zh-CN"/>
        </w:rPr>
        <w:t>方案</w:t>
      </w:r>
      <w:r>
        <w:rPr>
          <w:rFonts w:ascii="宋体" w:eastAsia="宋体" w:hAnsi="宋体" w:cs="Times New Roman" w:hint="eastAsia"/>
          <w:sz w:val="30"/>
          <w:szCs w:val="30"/>
          <w:lang w:eastAsia="zh-CN"/>
        </w:rPr>
        <w:t>；</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rPr>
        <w:t>校级管理平台</w:t>
      </w:r>
      <w:r>
        <w:rPr>
          <w:rFonts w:ascii="宋体" w:eastAsia="宋体" w:hAnsi="宋体" w:cs="Times New Roman" w:hint="eastAsia"/>
          <w:sz w:val="30"/>
          <w:szCs w:val="30"/>
          <w:lang w:eastAsia="zh-CN"/>
        </w:rPr>
        <w:t>”</w:t>
      </w:r>
      <w:r>
        <w:rPr>
          <w:rFonts w:ascii="宋体" w:eastAsia="宋体" w:hAnsi="宋体" w:cs="Times New Roman" w:hint="eastAsia"/>
          <w:sz w:val="30"/>
          <w:szCs w:val="30"/>
        </w:rPr>
        <w:t>检测报告</w:t>
      </w:r>
      <w:r>
        <w:rPr>
          <w:rFonts w:ascii="宋体" w:eastAsia="宋体" w:hAnsi="宋体" w:cs="Times New Roman" w:hint="eastAsia"/>
          <w:sz w:val="30"/>
          <w:szCs w:val="30"/>
          <w:lang w:eastAsia="zh-CN"/>
        </w:rPr>
        <w:t>；</w:t>
      </w:r>
    </w:p>
    <w:p>
      <w:pPr>
        <w:numPr>
          <w:ilvl w:val="0"/>
          <w:numId w:val="2"/>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rPr>
        <w:t>实验信息采集终端</w:t>
      </w:r>
      <w:r>
        <w:rPr>
          <w:rFonts w:ascii="宋体" w:eastAsia="宋体" w:hAnsi="宋体" w:cs="Times New Roman" w:hint="eastAsia"/>
          <w:sz w:val="30"/>
          <w:szCs w:val="30"/>
          <w:lang w:eastAsia="zh-CN"/>
        </w:rPr>
        <w:t>”</w:t>
      </w:r>
      <w:r>
        <w:rPr>
          <w:rFonts w:ascii="宋体" w:eastAsia="宋体" w:hAnsi="宋体" w:cs="Times New Roman" w:hint="eastAsia"/>
          <w:sz w:val="30"/>
          <w:szCs w:val="30"/>
        </w:rPr>
        <w:t>检测报告</w:t>
      </w:r>
      <w:r>
        <w:rPr>
          <w:rFonts w:ascii="宋体" w:eastAsia="宋体" w:hAnsi="宋体" w:cs="Times New Roman" w:hint="eastAsia"/>
          <w:sz w:val="30"/>
          <w:szCs w:val="30"/>
          <w:lang w:eastAsia="zh-CN"/>
        </w:rPr>
        <w:t>；</w:t>
      </w:r>
    </w:p>
    <w:p>
      <w:pPr>
        <w:numPr>
          <w:ilvl w:val="0"/>
          <w:numId w:val="2"/>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pPr>
        <w:rPr>
          <w:rFonts w:ascii="宋体" w:hAnsi="宋体"/>
          <w:b/>
          <w:sz w:val="24"/>
          <w:szCs w:val="28"/>
        </w:rPr>
      </w:pPr>
      <w:bookmarkStart w:id="17" w:name="_Hlk72257771"/>
      <w:r>
        <w:rPr>
          <w:rFonts w:ascii="宋体" w:hAnsi="宋体" w:hint="eastAsia"/>
          <w:b/>
          <w:sz w:val="24"/>
          <w:szCs w:val="28"/>
        </w:rPr>
        <w:t>备注：</w:t>
      </w:r>
    </w:p>
    <w:p>
      <w:pPr>
        <w:snapToGrid w:val="0"/>
        <w:spacing w:after="78" w:afterLines="25"/>
        <w:ind w:firstLine="420" w:firstLineChars="200"/>
        <w:rPr>
          <w:rFonts w:ascii="宋体" w:hAnsi="宋体"/>
          <w:b/>
          <w:sz w:val="24"/>
          <w:szCs w:val="28"/>
        </w:rPr>
      </w:pPr>
      <w:r>
        <w:rPr>
          <w:rFonts w:ascii="宋体" w:hAnsi="宋体" w:hint="eastAsia"/>
          <w:b/>
          <w:sz w:val="24"/>
          <w:szCs w:val="28"/>
        </w:rPr>
        <w:t>1.本项目为网上电子投标项目，投标文件不需法人或授权委托人另行签字，无需加盖单位公章，招标文件专用条款另有规定的除外。</w:t>
      </w:r>
    </w:p>
    <w:p>
      <w:pPr>
        <w:snapToGrid w:val="0"/>
        <w:spacing w:after="78" w:afterLines="25"/>
        <w:ind w:firstLine="420" w:firstLineChars="200"/>
        <w:rPr>
          <w:rFonts w:ascii="宋体" w:eastAsia="黑体" w:hAnsi="宋体" w:cs="Times New Roman"/>
          <w:bCs/>
          <w:kern w:val="44"/>
          <w:sz w:val="32"/>
          <w:szCs w:val="32"/>
        </w:rPr>
      </w:pPr>
      <w:bookmarkStart w:id="18" w:name="_Hlk72263559"/>
      <w:r>
        <w:rPr>
          <w:rFonts w:ascii="宋体" w:hAnsi="宋体" w:hint="eastAsia"/>
          <w:b/>
          <w:sz w:val="24"/>
          <w:szCs w:val="28"/>
        </w:rPr>
        <w:t>2.关于填写“开标一览表”的说明：“开标一览表”中除“投标总价”外，其他信息不作评审依据。</w:t>
      </w:r>
      <w:bookmarkEnd w:id="17"/>
      <w:bookmarkEnd w:id="18"/>
      <w:r>
        <w:br w:type="page"/>
      </w:r>
    </w:p>
    <w:p>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30"/>
          <w:szCs w:val="30"/>
        </w:rPr>
        <w:t>1.投标</w:t>
      </w:r>
      <w:r>
        <w:rPr>
          <w:rFonts w:ascii="宋体" w:eastAsia="宋体" w:hAnsi="宋体" w:cs="Times New Roman" w:hint="eastAsia"/>
          <w:b/>
          <w:bCs/>
          <w:kern w:val="0"/>
          <w:sz w:val="30"/>
          <w:szCs w:val="30"/>
        </w:rPr>
        <w:t>函</w:t>
      </w:r>
    </w:p>
    <w:p>
      <w:pPr>
        <w:snapToGrid w:val="0"/>
        <w:spacing w:line="360" w:lineRule="auto"/>
        <w:rPr>
          <w:rFonts w:ascii="Arial" w:eastAsia="宋体" w:hAnsi="Arial" w:cs="Times New Roman"/>
          <w:szCs w:val="24"/>
        </w:rPr>
      </w:pPr>
    </w:p>
    <w:p>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pPr>
        <w:snapToGrid w:val="0"/>
        <w:spacing w:line="360" w:lineRule="auto"/>
        <w:rPr>
          <w:rFonts w:ascii="Arial" w:eastAsia="宋体" w:hAnsi="Arial" w:cs="Arial"/>
          <w:szCs w:val="21"/>
        </w:rPr>
      </w:pPr>
      <w:bookmarkStart w:id="19" w:name="_Hlk73818812"/>
      <w:r>
        <w:rPr>
          <w:rFonts w:ascii="Arial" w:eastAsia="宋体" w:hAnsi="Arial" w:cs="Arial" w:hint="eastAsia"/>
          <w:szCs w:val="21"/>
        </w:rPr>
        <w:t>1、根据已收到贵单位的项目编号为</w:t>
      </w:r>
      <w:r>
        <w:rPr>
          <w:rFonts w:ascii="Arial" w:eastAsia="宋体" w:hAnsi="Arial" w:cs="Arial" w:hint="eastAsia"/>
          <w:szCs w:val="21"/>
          <w:u w:val="single"/>
        </w:rPr>
        <w:t xml:space="preserve"> </w:t>
      </w:r>
      <w:r>
        <w:rPr>
          <w:rFonts w:ascii="Arial" w:eastAsia="宋体" w:hAnsi="Arial" w:cs="Arial" w:hint="eastAsia"/>
          <w:szCs w:val="21"/>
          <w:u w:val="single"/>
          <w:lang w:eastAsia="zh-CN"/>
        </w:rPr>
        <w:t>BACG2024000097</w:t>
      </w:r>
      <w:r>
        <w:rPr>
          <w:rFonts w:ascii="Arial" w:eastAsia="宋体" w:hAnsi="Arial" w:cs="Arial" w:hint="eastAsia"/>
          <w:szCs w:val="21"/>
          <w:u w:val="single"/>
        </w:rPr>
        <w:t xml:space="preserve"> </w:t>
      </w:r>
      <w:r>
        <w:rPr>
          <w:rFonts w:ascii="Arial" w:eastAsia="宋体" w:hAnsi="Arial" w:cs="Arial" w:hint="eastAsia"/>
          <w:szCs w:val="21"/>
        </w:rPr>
        <w:t>的</w:t>
      </w:r>
      <w:r>
        <w:rPr>
          <w:rFonts w:ascii="Arial" w:eastAsia="宋体" w:hAnsi="Arial" w:cs="Arial" w:hint="eastAsia"/>
          <w:szCs w:val="21"/>
          <w:u w:val="single"/>
        </w:rPr>
        <w:t xml:space="preserve">  </w:t>
      </w:r>
      <w:r>
        <w:rPr>
          <w:rFonts w:ascii="Arial" w:eastAsia="宋体" w:hAnsi="Arial" w:cs="Arial" w:hint="eastAsia"/>
          <w:szCs w:val="21"/>
          <w:u w:val="single"/>
          <w:lang w:eastAsia="zh-CN"/>
        </w:rPr>
        <w:t>宝安区孝德学校理科实验考试设备采购项目</w:t>
      </w:r>
      <w:r>
        <w:rPr>
          <w:rFonts w:ascii="Arial" w:eastAsia="宋体" w:hAnsi="Arial" w:cs="Arial" w:hint="eastAsia"/>
          <w:szCs w:val="21"/>
          <w:u w:val="single"/>
        </w:rPr>
        <w:t xml:space="preserve"> </w:t>
      </w:r>
      <w:r>
        <w:rPr>
          <w:rFonts w:ascii="Arial" w:eastAsia="宋体" w:hAnsi="Arial" w:cs="Arial" w:hint="eastAsia"/>
          <w:szCs w:val="21"/>
        </w:rPr>
        <w:t>项目的招标文件，遵照《深圳经济特区政府采购条例》和《深圳网上政府采购管理暂行办法》等有关规定，我单位经研究上述招标文件的专用条款及通用条款后，</w:t>
      </w:r>
      <w:bookmarkStart w:id="20" w:name="_Hlk72263588"/>
      <w:r>
        <w:rPr>
          <w:rFonts w:ascii="Arial" w:eastAsia="宋体" w:hAnsi="Arial" w:cs="Arial" w:hint="eastAsia"/>
          <w:szCs w:val="21"/>
        </w:rPr>
        <w:t>愿意按照招标文件要求承包上述项目并修补其任何缺陷。</w:t>
      </w:r>
      <w:bookmarkEnd w:id="20"/>
    </w:p>
    <w:p>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pPr>
        <w:snapToGrid w:val="0"/>
        <w:spacing w:line="360" w:lineRule="auto"/>
        <w:rPr>
          <w:rFonts w:ascii="Arial" w:eastAsia="宋体" w:hAnsi="Arial" w:cs="Arial"/>
          <w:szCs w:val="21"/>
        </w:rPr>
      </w:pPr>
      <w:r>
        <w:rPr>
          <w:rFonts w:ascii="Arial" w:eastAsia="宋体" w:hAnsi="Arial" w:cs="Arial" w:hint="eastAsia"/>
          <w:szCs w:val="21"/>
        </w:rPr>
        <w:t>3、如果我单位中标，我单位将按照招标文件的要求足额提交履约担保。</w:t>
      </w:r>
    </w:p>
    <w:p>
      <w:pPr>
        <w:snapToGrid w:val="0"/>
        <w:spacing w:line="360" w:lineRule="auto"/>
        <w:rPr>
          <w:rFonts w:ascii="Arial" w:eastAsia="宋体" w:hAnsi="Arial" w:cs="Arial"/>
          <w:szCs w:val="21"/>
        </w:rPr>
      </w:pPr>
      <w:r>
        <w:rPr>
          <w:rFonts w:ascii="Arial" w:eastAsia="宋体" w:hAnsi="Arial" w:cs="Arial" w:hint="eastAsia"/>
          <w:szCs w:val="21"/>
        </w:rPr>
        <w:t>4、我单位同意所递交的投标文件在“对通用条款的补充内容”中明确的投标有效期内有效，在此期间内我单位的投标有可能中标，我方将受此约束。</w:t>
      </w:r>
    </w:p>
    <w:p>
      <w:pPr>
        <w:snapToGrid w:val="0"/>
        <w:spacing w:line="360" w:lineRule="auto"/>
        <w:rPr>
          <w:rFonts w:ascii="Arial" w:eastAsia="宋体" w:hAnsi="Arial" w:cs="Arial"/>
          <w:szCs w:val="21"/>
        </w:rPr>
      </w:pPr>
      <w:r>
        <w:rPr>
          <w:rFonts w:ascii="Arial" w:eastAsia="宋体" w:hAnsi="Arial" w:cs="Arial" w:hint="eastAsia"/>
          <w:szCs w:val="21"/>
        </w:rPr>
        <w:t>5、除非另外达成协议并生效，贵单位的中标通知书和本投标文件将构成合同的重要内容。</w:t>
      </w:r>
    </w:p>
    <w:p>
      <w:pPr>
        <w:snapToGrid w:val="0"/>
        <w:spacing w:line="360" w:lineRule="auto"/>
        <w:rPr>
          <w:rFonts w:ascii="Arial" w:eastAsia="宋体" w:hAnsi="Arial" w:cs="Arial"/>
          <w:szCs w:val="21"/>
        </w:rPr>
      </w:pPr>
      <w:r>
        <w:rPr>
          <w:rFonts w:ascii="Arial" w:eastAsia="宋体" w:hAnsi="Arial" w:cs="Arial" w:hint="eastAsia"/>
          <w:szCs w:val="21"/>
        </w:rPr>
        <w:t>6、我单位理解贵单位将不受必须接受所收到的最低报价或其它任何投标文件的约束。</w:t>
      </w:r>
      <w:bookmarkEnd w:id="19"/>
    </w:p>
    <w:p>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pPr>
        <w:snapToGrid w:val="0"/>
        <w:spacing w:line="360" w:lineRule="auto"/>
        <w:rPr>
          <w:rFonts w:ascii="Arial" w:eastAsia="宋体" w:hAnsi="Arial" w:cs="Arial"/>
          <w:b/>
          <w:szCs w:val="21"/>
        </w:rPr>
      </w:pPr>
    </w:p>
    <w:p>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法定代表人（负责人）或其代理人：</w:t>
      </w:r>
      <w:r>
        <w:rPr>
          <w:rFonts w:ascii="Arial" w:eastAsia="宋体" w:hAnsi="Arial" w:cs="Arial" w:hint="eastAsia"/>
          <w:szCs w:val="21"/>
          <w:u w:val="single"/>
        </w:rPr>
        <w:t xml:space="preserve">           </w:t>
      </w:r>
    </w:p>
    <w:p>
      <w:pPr>
        <w:pStyle w:val="BodyText"/>
        <w:rPr>
          <w:rFonts w:ascii="Arial" w:eastAsia="宋体" w:hAnsi="Arial" w:cs="Arial" w:hint="default"/>
          <w:b w:val="0"/>
          <w:bCs w:val="0"/>
          <w:szCs w:val="21"/>
          <w:u w:val="single"/>
          <w:lang w:val="en-US" w:eastAsia="zh-CN"/>
        </w:rPr>
      </w:pPr>
      <w:r>
        <w:rPr>
          <w:rFonts w:ascii="Arial" w:eastAsia="宋体" w:hAnsi="Arial" w:cs="Arial" w:hint="eastAsia"/>
          <w:b w:val="0"/>
          <w:bCs w:val="0"/>
          <w:szCs w:val="21"/>
          <w:u w:val="none"/>
          <w:lang w:val="en-US" w:eastAsia="zh-CN"/>
        </w:rPr>
        <w:t>开户银行名称：</w:t>
      </w:r>
      <w:r>
        <w:rPr>
          <w:rFonts w:ascii="Arial" w:eastAsia="宋体" w:hAnsi="Arial" w:cs="Arial" w:hint="eastAsia"/>
          <w:szCs w:val="21"/>
          <w:u w:val="single"/>
        </w:rPr>
        <w:t xml:space="preserve">           </w:t>
      </w:r>
    </w:p>
    <w:p>
      <w:pPr>
        <w:pStyle w:val="BodyText2"/>
        <w:rPr>
          <w:rFonts w:hint="default"/>
          <w:b w:val="0"/>
          <w:bCs w:val="0"/>
          <w:u w:val="single"/>
          <w:lang w:val="en-US" w:eastAsia="zh-CN"/>
        </w:rPr>
      </w:pPr>
      <w:r>
        <w:rPr>
          <w:rFonts w:ascii="Arial" w:eastAsia="宋体" w:hAnsi="Arial" w:cs="Arial" w:hint="eastAsia"/>
          <w:b w:val="0"/>
          <w:bCs w:val="0"/>
          <w:szCs w:val="21"/>
          <w:u w:val="none"/>
          <w:lang w:val="en-US" w:eastAsia="zh-CN"/>
        </w:rPr>
        <w:t>开户银行账号：</w:t>
      </w:r>
      <w:r>
        <w:rPr>
          <w:rFonts w:ascii="Arial" w:eastAsia="宋体" w:hAnsi="Arial" w:cs="Arial" w:hint="eastAsia"/>
          <w:b w:val="0"/>
          <w:bCs w:val="0"/>
          <w:szCs w:val="21"/>
          <w:u w:val="single"/>
          <w:lang w:val="en-US" w:eastAsia="zh-CN"/>
        </w:rPr>
        <w:t xml:space="preserve">           </w:t>
      </w:r>
    </w:p>
    <w:p>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szCs w:val="21"/>
        </w:rPr>
        <w:t>邮箱：</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日期： 年  月  日</w:t>
      </w:r>
    </w:p>
    <w:p>
      <w:pPr>
        <w:snapToGrid w:val="0"/>
        <w:spacing w:line="360" w:lineRule="auto"/>
        <w:rPr>
          <w:rFonts w:ascii="Arial" w:eastAsia="宋体" w:hAnsi="Arial" w:cs="Arial"/>
          <w:szCs w:val="21"/>
        </w:rPr>
      </w:pPr>
    </w:p>
    <w:p>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ww.zfcg.sz.gov.cn）信息公开栏目或深圳政府采购网（www.cgzx.sz.gov.cn）政府采购订单融资栏目。如需解决融资难题，请投标人填写财务负责人或企业负责人联系方式，以便金融机构提供更精准的融资服务。财务负责人/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p>
    <w:p>
      <w:pPr>
        <w:widowControl/>
        <w:snapToGrid w:val="0"/>
        <w:spacing w:line="360" w:lineRule="auto"/>
        <w:jc w:val="left"/>
        <w:rPr>
          <w:rFonts w:ascii="Arial" w:eastAsia="宋体" w:hAnsi="Arial" w:cs="Times New Roman"/>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2.政府采购投标及履约承诺函</w:t>
      </w:r>
    </w:p>
    <w:p>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w:t>
      </w:r>
      <w:bookmarkStart w:id="21" w:name="_Hlk72587269"/>
      <w:bookmarkStart w:id="22"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1"/>
      <w:r>
        <w:rPr>
          <w:rFonts w:ascii="宋体" w:hAnsi="宋体" w:hint="eastAsia"/>
          <w:szCs w:val="21"/>
        </w:rPr>
        <w:t>。</w:t>
      </w:r>
      <w:bookmarkEnd w:id="22"/>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w:t>
      </w:r>
      <w:r>
        <w:rPr>
          <w:rFonts w:ascii="宋体" w:hAnsi="宋体" w:hint="default"/>
        </w:rPr>
        <w:t>（财办库〔2023〕7号）要求。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highlight w:val="none"/>
          <w:lang w:val="en-US" w:eastAsia="zh-CN"/>
        </w:rPr>
        <w:t>如</w:t>
      </w:r>
      <w:r>
        <w:rPr>
          <w:rFonts w:ascii="宋体" w:hAnsi="宋体" w:hint="eastAsia"/>
          <w:b w:val="0"/>
          <w:bCs/>
          <w:highlight w:val="none"/>
        </w:rPr>
        <w:t>存在“不同供应商的董事、股东或其他高级管理人员为同一人的”情形的，承诺不存在串通投标、恶意串通或者视为串通投标的情形</w:t>
      </w:r>
      <w:r>
        <w:rPr>
          <w:rFonts w:ascii="宋体" w:hAnsi="宋体" w:hint="eastAsia"/>
          <w:b w:val="0"/>
          <w:bCs/>
          <w:highlight w:val="none"/>
          <w:lang w:eastAsia="zh-CN"/>
        </w:rPr>
        <w:t>。</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pPr>
        <w:ind w:firstLine="420" w:firstLineChars="200"/>
        <w:rPr>
          <w:rFonts w:ascii="宋体" w:eastAsia="宋体" w:hAnsi="宋体" w:cs="Times New Roman" w:hint="eastAsia"/>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 xml:space="preserve">                </w:t>
      </w:r>
    </w:p>
    <w:p>
      <w:pPr>
        <w:ind w:firstLine="420" w:firstLineChars="200"/>
        <w:rPr>
          <w:rFonts w:ascii="宋体" w:eastAsia="宋体" w:hAnsi="宋体" w:cs="Times New Roman" w:hint="eastAsia"/>
          <w:szCs w:val="21"/>
        </w:rPr>
      </w:pPr>
      <w:r>
        <w:rPr>
          <w:rFonts w:ascii="宋体" w:eastAsia="宋体" w:hAnsi="宋体" w:cs="Times New Roman" w:hint="eastAsia"/>
          <w:szCs w:val="21"/>
        </w:rPr>
        <w:t xml:space="preserve">                                  </w:t>
      </w:r>
      <w:r>
        <w:rPr>
          <w:rFonts w:ascii="宋体" w:eastAsia="宋体" w:hAnsi="宋体" w:cs="Times New Roman" w:hint="eastAsia"/>
          <w:szCs w:val="21"/>
          <w:lang w:val="en-US" w:eastAsia="zh-CN"/>
        </w:rPr>
        <w:t xml:space="preserve">                    </w:t>
      </w:r>
      <w:r>
        <w:rPr>
          <w:rFonts w:ascii="宋体" w:eastAsia="宋体" w:hAnsi="宋体" w:cs="Times New Roman" w:hint="eastAsia"/>
          <w:szCs w:val="21"/>
        </w:rPr>
        <w:t xml:space="preserve">  </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pPr>
        <w:widowControl/>
        <w:rPr>
          <w:rFonts w:ascii="宋体" w:eastAsia="宋体" w:hAnsi="宋体" w:cs="Times New Roman"/>
          <w:b/>
          <w:color w:val="FF0000"/>
          <w:kern w:val="0"/>
          <w:sz w:val="18"/>
          <w:szCs w:val="18"/>
        </w:rPr>
      </w:pPr>
      <w:r>
        <w:rPr>
          <w:rFonts w:ascii="宋体" w:eastAsia="宋体" w:hAnsi="宋体" w:cs="Times New Roman" w:hint="eastAsia"/>
          <w:b/>
          <w:color w:val="FF0000"/>
          <w:kern w:val="0"/>
          <w:sz w:val="18"/>
          <w:szCs w:val="18"/>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3</w:t>
      </w:r>
      <w:r>
        <w:rPr>
          <w:rFonts w:ascii="宋体" w:eastAsia="宋体" w:hAnsi="宋体" w:cs="Times New Roman"/>
          <w:b/>
          <w:bCs/>
          <w:kern w:val="0"/>
          <w:sz w:val="30"/>
          <w:szCs w:val="30"/>
        </w:rPr>
        <w:t>.</w:t>
      </w:r>
      <w:r>
        <w:rPr>
          <w:rFonts w:ascii="宋体" w:eastAsia="宋体" w:hAnsi="宋体" w:cs="Times New Roman" w:hint="eastAsia"/>
          <w:b/>
          <w:bCs/>
          <w:kern w:val="0"/>
          <w:sz w:val="30"/>
          <w:szCs w:val="30"/>
        </w:rPr>
        <w:t>分项报价清单</w:t>
      </w:r>
    </w:p>
    <w:p>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p>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Style w:val="TableNormal"/>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5"/>
          <w:jc w:val="center"/>
        </w:trPr>
        <w:tc>
          <w:tcPr>
            <w:tcW w:w="672"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货物名称</w:t>
            </w:r>
          </w:p>
        </w:tc>
        <w:tc>
          <w:tcPr>
            <w:tcW w:w="1281"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规格</w:t>
            </w:r>
            <w:r>
              <w:rPr>
                <w:rFonts w:ascii="Arial" w:eastAsia="宋体" w:hAnsi="Arial" w:cs="Times New Roman" w:hint="eastAsia"/>
                <w:szCs w:val="24"/>
                <w:highlight w:val="none"/>
                <w:lang w:val="en-US" w:eastAsia="zh-CN"/>
              </w:rPr>
              <w:t>/品牌/</w:t>
            </w:r>
            <w:r>
              <w:rPr>
                <w:rFonts w:ascii="Arial" w:eastAsia="宋体" w:hAnsi="Arial" w:cs="Times New Roman" w:hint="eastAsia"/>
                <w:szCs w:val="24"/>
                <w:highlight w:val="none"/>
              </w:rPr>
              <w:t>型号</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b/>
                <w:szCs w:val="24"/>
                <w:highlight w:val="none"/>
              </w:rPr>
            </w:pPr>
            <w:r>
              <w:rPr>
                <w:rFonts w:ascii="Arial" w:eastAsia="宋体" w:hAnsi="Arial" w:cs="Times New Roman" w:hint="eastAsia"/>
                <w:b w:val="0"/>
                <w:bCs/>
                <w:szCs w:val="24"/>
                <w:highlight w:val="none"/>
              </w:rPr>
              <w:t>制造商名称</w:t>
            </w:r>
          </w:p>
        </w:tc>
        <w:tc>
          <w:tcPr>
            <w:tcW w:w="99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原产地</w:t>
            </w:r>
          </w:p>
        </w:tc>
        <w:tc>
          <w:tcPr>
            <w:tcW w:w="709"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数量</w:t>
            </w:r>
          </w:p>
        </w:tc>
        <w:tc>
          <w:tcPr>
            <w:tcW w:w="708"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单价(元)</w:t>
            </w:r>
          </w:p>
        </w:tc>
        <w:tc>
          <w:tcPr>
            <w:tcW w:w="132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合价(元)</w:t>
            </w:r>
          </w:p>
        </w:tc>
      </w:tr>
      <w:tr>
        <w:tblPrEx>
          <w:tblW w:w="9933" w:type="dxa"/>
          <w:jc w:val="center"/>
          <w:tblLayout w:type="fixed"/>
          <w:tblCellMar>
            <w:top w:w="0" w:type="dxa"/>
            <w:left w:w="108" w:type="dxa"/>
            <w:bottom w:w="0" w:type="dxa"/>
            <w:right w:w="108" w:type="dxa"/>
          </w:tblCellMar>
        </w:tblPrEx>
        <w:trPr>
          <w:trHeight w:val="90"/>
          <w:jc w:val="center"/>
        </w:trPr>
        <w:tc>
          <w:tcPr>
            <w:tcW w:w="672" w:type="dxa"/>
            <w:vAlign w:val="center"/>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0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32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201" w:type="dxa"/>
            <w:gridSpan w:val="5"/>
          </w:tcPr>
          <w:p>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w:t>
            </w:r>
            <w:r>
              <w:rPr>
                <w:rFonts w:ascii="Arial" w:eastAsia="宋体" w:hAnsi="Arial" w:cs="Times New Roman" w:hint="eastAsia"/>
                <w:szCs w:val="24"/>
                <w:lang w:val="en-US" w:eastAsia="zh-CN"/>
              </w:rPr>
              <w:t>以上各项之和；</w:t>
            </w:r>
            <w:r>
              <w:rPr>
                <w:rFonts w:ascii="Arial" w:eastAsia="宋体" w:hAnsi="Arial" w:cs="Times New Roman" w:hint="eastAsia"/>
                <w:szCs w:val="24"/>
              </w:rPr>
              <w:t>币种：人民币；单位：元）</w:t>
            </w:r>
          </w:p>
        </w:tc>
        <w:tc>
          <w:tcPr>
            <w:tcW w:w="3732" w:type="dxa"/>
            <w:gridSpan w:val="4"/>
          </w:tcPr>
          <w:p>
            <w:pPr>
              <w:spacing w:after="78" w:afterLines="25" w:line="300" w:lineRule="auto"/>
              <w:rPr>
                <w:rFonts w:ascii="Arial" w:eastAsia="宋体" w:hAnsi="Arial" w:cs="Times New Roman"/>
                <w:szCs w:val="24"/>
              </w:rPr>
            </w:pPr>
          </w:p>
        </w:tc>
      </w:tr>
    </w:tbl>
    <w:p>
      <w:pPr>
        <w:snapToGrid w:val="0"/>
        <w:rPr>
          <w:rFonts w:asciiTheme="minorEastAsia" w:hAnsiTheme="minorEastAsia" w:cs="Times New Roman"/>
          <w:b/>
          <w:szCs w:val="24"/>
        </w:rPr>
      </w:pPr>
      <w:r>
        <w:rPr>
          <w:rFonts w:asciiTheme="minorEastAsia" w:hAnsiTheme="minorEastAsia" w:cs="Times New Roman" w:hint="eastAsia"/>
          <w:b/>
          <w:szCs w:val="24"/>
        </w:rPr>
        <w:t>填写说明：</w:t>
      </w:r>
    </w:p>
    <w:p>
      <w:pPr>
        <w:snapToGrid w:val="0"/>
        <w:rPr>
          <w:rFonts w:asciiTheme="minorEastAsia" w:hAnsiTheme="minorEastAsia" w:cs="Times New Roman" w:hint="eastAsia"/>
          <w:b/>
          <w:szCs w:val="24"/>
        </w:rPr>
      </w:pPr>
      <w:r>
        <w:rPr>
          <w:rFonts w:asciiTheme="minorEastAsia" w:hAnsiTheme="minorEastAsia" w:cs="Times New Roman" w:hint="eastAsia"/>
          <w:b/>
          <w:szCs w:val="24"/>
        </w:rPr>
        <w:t>1.本表可按同样格式扩展。</w:t>
      </w:r>
    </w:p>
    <w:p>
      <w:pPr>
        <w:snapToGrid w:val="0"/>
        <w:rPr>
          <w:rFonts w:asciiTheme="minorEastAsia" w:hAnsiTheme="minorEastAsia" w:cs="Times New Roman" w:hint="eastAsia"/>
          <w:b/>
          <w:szCs w:val="24"/>
        </w:rPr>
      </w:pPr>
      <w:r>
        <w:rPr>
          <w:rFonts w:asciiTheme="minorEastAsia" w:hAnsiTheme="minorEastAsia" w:cs="Times New Roman" w:hint="eastAsia"/>
          <w:b/>
          <w:szCs w:val="24"/>
        </w:rPr>
        <w:t>2. 如所投货物属于定制类的非量产货物或无具体品牌、型号的货物，可以在“规格/品牌/型号”一栏仅填写规格信息而不填写品牌、型号等信息（品牌、型号信息用“定制”描述即可）；</w:t>
      </w:r>
      <w:bookmarkStart w:id="23" w:name="_Hlk73646428"/>
      <w:r>
        <w:rPr>
          <w:rFonts w:asciiTheme="minorEastAsia" w:hAnsiTheme="minorEastAsia" w:cs="Times New Roman" w:hint="eastAsia"/>
          <w:b/>
          <w:szCs w:val="24"/>
        </w:rPr>
        <w:t>此类填写错误（所投货物为定制类的非量产货物但供应商却错误填报了品牌、型号）</w:t>
      </w:r>
      <w:r>
        <w:rPr>
          <w:rFonts w:asciiTheme="minorEastAsia" w:hAnsiTheme="minorEastAsia" w:cs="Times New Roman" w:hint="eastAsia"/>
          <w:b/>
          <w:szCs w:val="24"/>
          <w:lang w:val="en-US" w:eastAsia="zh-CN"/>
        </w:rPr>
        <w:t>可能</w:t>
      </w:r>
      <w:r>
        <w:rPr>
          <w:rFonts w:asciiTheme="minorEastAsia" w:hAnsiTheme="minorEastAsia" w:cs="Times New Roman" w:hint="eastAsia"/>
          <w:b/>
          <w:szCs w:val="24"/>
        </w:rPr>
        <w:t>的不利后果由供应商承担。</w:t>
      </w:r>
      <w:bookmarkEnd w:id="23"/>
    </w:p>
    <w:p>
      <w:pPr>
        <w:snapToGrid w:val="0"/>
        <w:rPr>
          <w:rFonts w:asciiTheme="minorEastAsia" w:hAnsiTheme="minorEastAsia" w:cs="Times New Roman" w:hint="eastAsia"/>
          <w:b/>
          <w:szCs w:val="24"/>
        </w:rPr>
      </w:pPr>
      <w:r>
        <w:rPr>
          <w:rFonts w:asciiTheme="minorEastAsia" w:hAnsiTheme="minorEastAsia" w:cs="Times New Roman" w:hint="eastAsia"/>
          <w:b/>
          <w:szCs w:val="24"/>
        </w:rPr>
        <w:t>3.</w:t>
      </w:r>
      <w:bookmarkStart w:id="24" w:name="_Hlk72074795"/>
      <w:r>
        <w:rPr>
          <w:rFonts w:asciiTheme="minorEastAsia" w:hAnsiTheme="minorEastAsia" w:cs="Times New Roman" w:hint="eastAsia"/>
          <w:b/>
          <w:szCs w:val="24"/>
        </w:rPr>
        <w:t>“原产地”是指该货物的实际生产加工地，而非品牌总公司所在地</w:t>
      </w:r>
      <w:bookmarkEnd w:id="24"/>
      <w:r>
        <w:rPr>
          <w:rFonts w:asciiTheme="minorEastAsia" w:hAnsiTheme="minorEastAsia" w:cs="Times New Roman" w:hint="eastAsia"/>
          <w:b/>
          <w:szCs w:val="24"/>
        </w:rPr>
        <w:t>。</w:t>
      </w:r>
    </w:p>
    <w:p>
      <w:pPr>
        <w:snapToGrid w:val="0"/>
        <w:rPr>
          <w:rFonts w:asciiTheme="minorEastAsia" w:hAnsiTheme="minorEastAsia" w:cs="Times New Roman" w:hint="eastAsia"/>
          <w:b/>
          <w:szCs w:val="24"/>
        </w:rPr>
      </w:pPr>
      <w:r>
        <w:rPr>
          <w:rFonts w:asciiTheme="minorEastAsia" w:hAnsiTheme="minorEastAsia" w:cs="Times New Roman" w:hint="eastAsia"/>
          <w:b/>
          <w:szCs w:val="24"/>
        </w:rPr>
        <w:t>4.所投货物均应填写制造商名称。</w:t>
      </w:r>
    </w:p>
    <w:p>
      <w:pPr>
        <w:snapToGrid w:val="0"/>
        <w:rPr>
          <w:rFonts w:asciiTheme="minorEastAsia" w:hAnsiTheme="minorEastAsia" w:cs="Times New Roman" w:hint="eastAsia"/>
          <w:b/>
          <w:szCs w:val="24"/>
        </w:rPr>
      </w:pPr>
      <w:r>
        <w:rPr>
          <w:rFonts w:asciiTheme="minorEastAsia" w:hAnsiTheme="minorEastAsia" w:cs="Times New Roman" w:hint="eastAsia"/>
          <w:b/>
          <w:szCs w:val="24"/>
        </w:rPr>
        <w:t>5.以上分项报价表的投标总价应当与开标一览表的投标总价一致。</w:t>
      </w:r>
    </w:p>
    <w:p>
      <w:pPr>
        <w:snapToGrid w:val="0"/>
        <w:rPr>
          <w:rFonts w:asciiTheme="minorEastAsia" w:hAnsiTheme="minorEastAsia" w:cs="Times New Roman" w:hint="eastAsia"/>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pPr>
        <w:snapToGrid w:val="0"/>
        <w:rPr>
          <w:rFonts w:asciiTheme="minorEastAsia" w:hAnsiTheme="minorEastAsia" w:cs="Times New Roman" w:hint="eastAsia"/>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pPr>
        <w:snapToGrid w:val="0"/>
        <w:rPr>
          <w:rFonts w:asciiTheme="minorEastAsia" w:hAnsiTheme="minorEastAsia" w:cs="Times New Roman" w:hint="eastAsia"/>
          <w:b/>
          <w:szCs w:val="24"/>
        </w:rPr>
      </w:pPr>
    </w:p>
    <w:p>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highlight w:val="none"/>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pPr>
        <w:tabs>
          <w:tab w:val="left" w:pos="720"/>
        </w:tabs>
        <w:rPr>
          <w:rFonts w:ascii="Times New Roman" w:eastAsia="宋体" w:hAnsi="Times New Roman" w:cs="Times New Roman"/>
          <w:b/>
          <w:sz w:val="24"/>
          <w:szCs w:val="24"/>
        </w:rPr>
      </w:pPr>
    </w:p>
    <w:p>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pPr>
        <w:rPr>
          <w:rFonts w:ascii="Times New Roman" w:eastAsia="宋体" w:hAnsi="Times New Roman" w:cs="Times New Roman" w:hint="eastAsia"/>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u w:val="single"/>
        </w:rPr>
        <w:t xml:space="preserve">               </w:t>
      </w:r>
      <w:r>
        <w:rPr>
          <w:rFonts w:ascii="Times New Roman" w:eastAsia="宋体" w:hAnsi="Times New Roman" w:cs="Times New Roman" w:hint="eastAsia"/>
          <w:color w:val="FF0000"/>
          <w:sz w:val="24"/>
          <w:szCs w:val="24"/>
        </w:rPr>
        <w:t>。</w:t>
      </w:r>
    </w:p>
    <w:p>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pPr>
        <w:spacing w:after="78" w:afterLines="25" w:line="300" w:lineRule="auto"/>
        <w:rPr>
          <w:rFonts w:ascii="Arial" w:eastAsia="宋体" w:hAnsi="Arial" w:cs="Times New Roman"/>
          <w:b/>
          <w:szCs w:val="24"/>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pPr>
        <w:ind w:firstLine="420" w:firstLineChars="200"/>
        <w:rPr>
          <w:rFonts w:hAnsi="宋体" w:hint="eastAsia"/>
          <w:b/>
          <w:bCs/>
          <w:szCs w:val="21"/>
        </w:rPr>
      </w:pPr>
      <w:r>
        <w:rPr>
          <w:rFonts w:hAnsi="宋体" w:hint="eastAsia"/>
          <w:b/>
          <w:bCs/>
          <w:szCs w:val="21"/>
        </w:rPr>
        <w:t>注：格式可以参照《（一）</w:t>
      </w:r>
      <w:r>
        <w:rPr>
          <w:rFonts w:hAnsi="宋体" w:hint="eastAsia"/>
          <w:b/>
          <w:bCs/>
          <w:szCs w:val="21"/>
          <w:lang w:val="en-US" w:eastAsia="zh-CN"/>
        </w:rPr>
        <w:t>项目</w:t>
      </w:r>
      <w:r>
        <w:rPr>
          <w:rFonts w:hAnsi="宋体" w:hint="eastAsia"/>
          <w:b/>
          <w:bCs/>
          <w:szCs w:val="21"/>
        </w:rPr>
        <w:t>报价表》表格，并提供相应的品牌/规格/型号、原产地、制造商信息（没有品牌、型号的，用“定制”描述即可）、单价等详细信息</w:t>
      </w:r>
    </w:p>
    <w:p>
      <w:pPr>
        <w:ind w:firstLine="420" w:firstLineChars="200"/>
        <w:rPr>
          <w:rFonts w:hAnsi="宋体" w:hint="eastAsia"/>
          <w:b/>
          <w:bCs/>
          <w:szCs w:val="21"/>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pPr>
        <w:keepNext/>
        <w:keepLines/>
        <w:pageBreakBefore/>
        <w:adjustRightInd w:val="0"/>
        <w:snapToGrid w:val="0"/>
        <w:spacing w:line="360" w:lineRule="auto"/>
        <w:jc w:val="center"/>
        <w:textAlignment w:val="baseline"/>
        <w:outlineLvl w:val="3"/>
        <w:rPr>
          <w:rFonts w:ascii="宋体" w:eastAsia="宋体" w:hAnsi="宋体" w:cs="Times New Roman" w:hint="default"/>
          <w:b/>
          <w:bCs/>
          <w:kern w:val="0"/>
          <w:sz w:val="30"/>
          <w:szCs w:val="30"/>
          <w:lang w:val="en-US"/>
        </w:rPr>
      </w:pPr>
      <w:r>
        <w:rPr>
          <w:rFonts w:ascii="宋体" w:eastAsia="宋体" w:hAnsi="宋体" w:cs="Times New Roman" w:hint="eastAsia"/>
          <w:b/>
          <w:bCs/>
          <w:kern w:val="0"/>
          <w:sz w:val="30"/>
          <w:szCs w:val="30"/>
        </w:rPr>
        <w:t>4.</w:t>
      </w:r>
      <w:r>
        <w:rPr>
          <w:rFonts w:ascii="宋体" w:eastAsia="宋体" w:hAnsi="宋体" w:cs="Times New Roman" w:hint="eastAsia"/>
          <w:b/>
          <w:bCs/>
          <w:kern w:val="0"/>
          <w:sz w:val="30"/>
          <w:szCs w:val="30"/>
          <w:lang w:val="en-US" w:eastAsia="zh-CN"/>
        </w:rPr>
        <w:t>中小企业相关声明函</w:t>
      </w:r>
    </w:p>
    <w:p>
      <w:pPr>
        <w:snapToGrid w:val="0"/>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填写指引：</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2、该部分内容填写需要参考的相关文件：</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(1)财政部《政府采购促进中小企业发展管理办法》（财库〔2020〕46号）；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(2)《工业和信息化部、国家统计局、国家发展和改革委员会、财政部关于印发中小企业划型标准规定的通知》（工信部联企业〔2011〕300 号，以下简称300号文）</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(3)《统计上大中小微型企业划分办法(2017)》（国统字〔2017〕213 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(4)《关于促进残疾人就业政府采购政策的通知》（财库〔2017〕141号）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(5)《关于政府采购支持监狱企业发展有关问题的通知》（财库〔2014〕68号）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3、请依照提供的格式和内容填写声明函，不要随意变更格式；声明函不需要盖章或签字；满足多项优惠政策的投标人，不重复享受多项价格扣除政策。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4、声明函具体填写要求：</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（1）声明是中小企业须填写《中小企业声明函》的以下内容：</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第一处，在“单位名称”下划线处如实填写采购人名称（深圳公共资源交易中心不是本项目的采购人，而是组织实施机构）；</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第二处，在“项目名称”下划线处如实填写采购项目名称；</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第三处，在“标的名称”下划线处填写所采购货物（标的）的具体名称</w:t>
      </w:r>
      <w:r>
        <w:rPr>
          <w:rFonts w:ascii="黑体" w:eastAsia="黑体" w:hAnsi="黑体" w:cs="黑体" w:hint="eastAsia"/>
          <w:b w:val="0"/>
          <w:bCs/>
          <w:color w:val="0000FF"/>
          <w:sz w:val="25"/>
          <w:szCs w:val="25"/>
        </w:rPr>
        <w:t>（以招标文件第一册第三章用户需求书“货物</w:t>
      </w:r>
      <w:r>
        <w:rPr>
          <w:rFonts w:ascii="黑体" w:eastAsia="黑体" w:hAnsi="黑体" w:cs="黑体" w:hint="eastAsia"/>
          <w:b w:val="0"/>
          <w:bCs/>
          <w:color w:val="0000FF"/>
          <w:sz w:val="25"/>
          <w:szCs w:val="25"/>
          <w:lang w:val="en-US" w:eastAsia="zh-CN"/>
        </w:rPr>
        <w:t>需求</w:t>
      </w:r>
      <w:r>
        <w:rPr>
          <w:rFonts w:ascii="黑体" w:eastAsia="黑体" w:hAnsi="黑体" w:cs="黑体" w:hint="eastAsia"/>
          <w:b w:val="0"/>
          <w:bCs/>
          <w:color w:val="0000FF"/>
          <w:sz w:val="25"/>
          <w:szCs w:val="25"/>
        </w:rPr>
        <w:t>明细”的“货物名称”一栏为准）</w:t>
      </w:r>
      <w:r>
        <w:rPr>
          <w:rFonts w:ascii="黑体" w:eastAsia="黑体" w:hAnsi="黑体" w:cs="黑体" w:hint="eastAsia"/>
          <w:b w:val="0"/>
          <w:bCs/>
          <w:color w:val="FF0000"/>
          <w:sz w:val="25"/>
          <w:szCs w:val="25"/>
        </w:rPr>
        <w:t>；如果涉及多项货物（标的）为同一企业制造，“标的名称”下划线处可以如实填写多项货物；</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第四处，在“招标文件中明确的所属行业”下划线处填写采购标的对应的中小企业划分标准所属行业</w:t>
      </w:r>
      <w:r>
        <w:rPr>
          <w:rFonts w:ascii="黑体" w:eastAsia="黑体" w:hAnsi="黑体" w:cs="黑体" w:hint="eastAsia"/>
          <w:b w:val="0"/>
          <w:bCs w:val="0"/>
          <w:color w:val="0000FF"/>
          <w:sz w:val="25"/>
          <w:szCs w:val="25"/>
        </w:rPr>
        <w:t>（所属行业</w:t>
      </w:r>
      <w:r>
        <w:rPr>
          <w:rFonts w:ascii="黑体" w:eastAsia="黑体" w:hAnsi="黑体" w:cs="黑体" w:hint="eastAsia"/>
          <w:b w:val="0"/>
          <w:bCs w:val="0"/>
          <w:color w:val="0000FF"/>
          <w:sz w:val="25"/>
          <w:szCs w:val="25"/>
          <w:lang w:val="en-US" w:eastAsia="zh-CN"/>
        </w:rPr>
        <w:t>详见</w:t>
      </w:r>
      <w:r>
        <w:rPr>
          <w:rFonts w:ascii="黑体" w:eastAsia="黑体" w:hAnsi="黑体" w:cs="黑体" w:hint="eastAsia"/>
          <w:b w:val="0"/>
          <w:bCs w:val="0"/>
          <w:color w:val="0000FF"/>
          <w:sz w:val="25"/>
          <w:szCs w:val="25"/>
        </w:rPr>
        <w:t>招标文件第一册第二章“对通用条款的补充内容及其他关键信息”章节</w:t>
      </w:r>
      <w:r>
        <w:rPr>
          <w:rFonts w:ascii="黑体" w:eastAsia="黑体" w:hAnsi="黑体" w:cs="黑体" w:hint="eastAsia"/>
          <w:b w:val="0"/>
          <w:bCs w:val="0"/>
          <w:color w:val="0000FF"/>
          <w:sz w:val="25"/>
          <w:szCs w:val="25"/>
          <w:lang w:val="en-US" w:eastAsia="zh-CN"/>
        </w:rPr>
        <w:t>或</w:t>
      </w:r>
      <w:r>
        <w:rPr>
          <w:rFonts w:ascii="黑体" w:eastAsia="黑体" w:hAnsi="黑体" w:cs="黑体" w:hint="eastAsia"/>
          <w:b w:val="0"/>
          <w:bCs w:val="0"/>
          <w:color w:val="0000FF"/>
          <w:sz w:val="25"/>
          <w:szCs w:val="25"/>
        </w:rPr>
        <w:t>第三章用户需求书“</w:t>
      </w:r>
      <w:r>
        <w:rPr>
          <w:rFonts w:ascii="黑体" w:eastAsia="黑体" w:hAnsi="黑体" w:cs="黑体" w:hint="eastAsia"/>
          <w:b w:val="0"/>
          <w:bCs w:val="0"/>
          <w:color w:val="0000FF"/>
          <w:sz w:val="25"/>
          <w:szCs w:val="25"/>
          <w:lang w:val="en-US" w:eastAsia="zh-CN"/>
        </w:rPr>
        <w:t>货物需求</w:t>
      </w:r>
      <w:r>
        <w:rPr>
          <w:rFonts w:ascii="黑体" w:eastAsia="黑体" w:hAnsi="黑体" w:cs="黑体" w:hint="eastAsia"/>
          <w:b w:val="0"/>
          <w:bCs w:val="0"/>
          <w:color w:val="0000FF"/>
          <w:sz w:val="25"/>
          <w:szCs w:val="25"/>
        </w:rPr>
        <w:t>明细”</w:t>
      </w:r>
      <w:r>
        <w:rPr>
          <w:rFonts w:ascii="黑体" w:eastAsia="黑体" w:hAnsi="黑体" w:cs="黑体" w:hint="eastAsia"/>
          <w:b w:val="0"/>
          <w:bCs w:val="0"/>
          <w:color w:val="0000FF"/>
          <w:sz w:val="25"/>
          <w:szCs w:val="25"/>
          <w:lang w:val="en-US" w:eastAsia="zh-CN"/>
        </w:rPr>
        <w:t>中的所属行业信息</w:t>
      </w:r>
      <w:r>
        <w:rPr>
          <w:rFonts w:ascii="黑体" w:eastAsia="黑体" w:hAnsi="黑体" w:cs="黑体" w:hint="eastAsia"/>
          <w:b w:val="0"/>
          <w:bCs w:val="0"/>
          <w:color w:val="0000FF"/>
          <w:sz w:val="25"/>
          <w:szCs w:val="25"/>
        </w:rPr>
        <w:t>）</w:t>
      </w:r>
      <w:r>
        <w:rPr>
          <w:rFonts w:ascii="黑体" w:eastAsia="黑体" w:hAnsi="黑体" w:cs="黑体" w:hint="eastAsia"/>
          <w:b w:val="0"/>
          <w:bCs/>
          <w:color w:val="FF0000"/>
          <w:sz w:val="25"/>
          <w:szCs w:val="25"/>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（2）声明是残疾人福利性单位须填写《残疾人福利性单位声明函》的相关内容，具体参照以上《中小企业声明函》填写要求执行。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（3）声明是监狱企业须填写《监狱企业声明函》的三项内容（填写位置的字体已加粗），具体参照以上《中小企业声明函》填写要求执行。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5、声明函的有效性最终由评审委员会判定；如评审委员会判定声明函无效，相关供应商不享受价格扣除（但不作投标无效处理）。</w:t>
      </w: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widowControl/>
        <w:jc w:val="center"/>
        <w:outlineLvl w:val="4"/>
        <w:rPr>
          <w:rFonts w:ascii="Arial" w:eastAsia="宋体" w:hAnsi="Arial" w:cs="Times New Roman"/>
          <w:b/>
          <w:sz w:val="24"/>
          <w:szCs w:val="24"/>
        </w:rPr>
      </w:pPr>
      <w:r>
        <w:rPr>
          <w:rFonts w:ascii="宋体" w:eastAsia="宋体" w:hAnsi="宋体" w:cs="Times New Roman"/>
          <w:b/>
          <w:sz w:val="24"/>
          <w:szCs w:val="24"/>
        </w:rPr>
        <w:fldChar w:fldCharType="begin"/>
      </w:r>
      <w:r>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Pr>
          <w:rFonts w:ascii="宋体" w:eastAsia="宋体" w:hAnsi="宋体" w:cs="Times New Roman" w:hint="eastAsia"/>
          <w:b/>
          <w:sz w:val="24"/>
          <w:szCs w:val="24"/>
        </w:rPr>
        <w:t>①</w:t>
      </w:r>
      <w:r>
        <w:rPr>
          <w:rFonts w:ascii="宋体" w:eastAsia="宋体" w:hAnsi="宋体" w:cs="Times New Roman"/>
          <w:b/>
          <w:bCs/>
          <w:sz w:val="24"/>
          <w:szCs w:val="24"/>
        </w:rPr>
        <w:fldChar w:fldCharType="end"/>
      </w:r>
      <w:r>
        <w:rPr>
          <w:rFonts w:ascii="Arial" w:eastAsia="宋体" w:hAnsi="Arial" w:cs="Times New Roman" w:hint="eastAsia"/>
          <w:b/>
          <w:sz w:val="24"/>
          <w:szCs w:val="24"/>
        </w:rPr>
        <w:t>中小企业声明函（货物）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46 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pPr>
        <w:spacing w:after="78" w:afterLines="25" w:line="300" w:lineRule="auto"/>
        <w:ind w:firstLine="420" w:firstLineChars="200"/>
        <w:rPr>
          <w:rFonts w:ascii="Arial" w:eastAsia="宋体" w:hAnsi="Arial" w:cs="Times New Roman"/>
          <w:szCs w:val="21"/>
        </w:rPr>
      </w:pPr>
      <w:bookmarkStart w:id="25"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Arial" w:eastAsia="宋体" w:hAnsi="Arial" w:cs="Times New Roman" w:hint="eastAsia"/>
          <w:szCs w:val="21"/>
        </w:rPr>
        <w:t>投标人</w:t>
      </w:r>
      <w:r>
        <w:rPr>
          <w:rFonts w:ascii="Arial" w:eastAsia="宋体" w:hAnsi="Arial" w:cs="Times New Roman"/>
          <w:szCs w:val="21"/>
        </w:rPr>
        <w:t>按照本办法规定提供声明函内容不实的，属于提供虚假材料谋取中标，依照《政府采购法》等政府采购有关法律法规规定追究相应责任</w:t>
      </w:r>
      <w:r>
        <w:rPr>
          <w:rFonts w:ascii="Arial" w:eastAsia="宋体" w:hAnsi="Arial" w:cs="Times New Roman" w:hint="eastAsia"/>
          <w:szCs w:val="21"/>
        </w:rPr>
        <w:t>。</w:t>
      </w:r>
      <w:bookmarkEnd w:id="25"/>
    </w:p>
    <w:p>
      <w:pPr>
        <w:spacing w:after="78" w:afterLines="25" w:line="300" w:lineRule="auto"/>
        <w:ind w:firstLine="630" w:firstLineChars="300"/>
        <w:rPr>
          <w:rFonts w:ascii="Arial" w:eastAsia="宋体" w:hAnsi="Arial" w:cs="Times New Roman"/>
          <w:szCs w:val="21"/>
        </w:rPr>
      </w:pPr>
    </w:p>
    <w:p>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right="420" w:firstLine="5565" w:firstLineChars="2650"/>
        <w:rPr>
          <w:rFonts w:ascii="Arial" w:eastAsia="宋体" w:hAnsi="Arial" w:cs="Times New Roman"/>
          <w:b/>
          <w:szCs w:val="21"/>
          <w:highlight w:val="none"/>
        </w:rPr>
      </w:pPr>
    </w:p>
    <w:p>
      <w:pPr>
        <w:spacing w:after="78" w:afterLines="25" w:line="300" w:lineRule="auto"/>
        <w:ind w:firstLine="420" w:firstLineChars="200"/>
        <w:jc w:val="left"/>
        <w:rPr>
          <w:rFonts w:ascii="宋体" w:eastAsia="宋体" w:hAnsi="宋体" w:cs="Times New Roman"/>
          <w:sz w:val="24"/>
          <w:szCs w:val="24"/>
          <w:highlight w:val="none"/>
        </w:rPr>
      </w:pPr>
      <w:r>
        <w:rPr>
          <w:rFonts w:ascii="宋体" w:eastAsia="宋体" w:hAnsi="宋体" w:cs="Times New Roman" w:hint="eastAsia"/>
          <w:b/>
          <w:sz w:val="24"/>
          <w:szCs w:val="24"/>
          <w:highlight w:val="none"/>
        </w:rPr>
        <w:t>说明：</w:t>
      </w:r>
      <w:r>
        <w:rPr>
          <w:rFonts w:ascii="宋体" w:eastAsia="宋体" w:hAnsi="宋体" w:cs="Times New Roman" w:hint="eastAsia"/>
          <w:sz w:val="24"/>
          <w:szCs w:val="24"/>
          <w:highlight w:val="none"/>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widowControl/>
        <w:jc w:val="left"/>
        <w:rPr>
          <w:rFonts w:ascii="宋体" w:eastAsia="宋体" w:hAnsi="宋体" w:cs="Times New Roman"/>
          <w:b/>
          <w:sz w:val="24"/>
          <w:szCs w:val="24"/>
          <w:highlight w:val="none"/>
        </w:rPr>
      </w:pPr>
      <w:r>
        <w:rPr>
          <w:highlight w:val="none"/>
        </w:rPr>
        <w:br w:type="page"/>
      </w:r>
    </w:p>
    <w:p>
      <w:pPr>
        <w:spacing w:after="78" w:afterLines="25" w:line="300" w:lineRule="auto"/>
        <w:jc w:val="center"/>
        <w:outlineLvl w:val="4"/>
        <w:rPr>
          <w:rFonts w:ascii="Arial" w:eastAsia="宋体" w:hAnsi="Arial" w:cs="Times New Roman"/>
          <w:b/>
          <w:sz w:val="24"/>
          <w:szCs w:val="24"/>
          <w:highlight w:val="none"/>
        </w:rPr>
      </w:pPr>
      <w:r>
        <w:rPr>
          <w:rFonts w:ascii="宋体" w:eastAsia="宋体" w:hAnsi="宋体" w:cs="Times New Roman" w:hint="eastAsia"/>
          <w:b/>
          <w:sz w:val="24"/>
          <w:szCs w:val="24"/>
          <w:highlight w:val="none"/>
        </w:rPr>
        <w:t>②</w:t>
      </w:r>
      <w:r>
        <w:rPr>
          <w:rFonts w:ascii="Arial" w:eastAsia="宋体" w:hAnsi="Arial" w:cs="Times New Roman" w:hint="eastAsia"/>
          <w:b/>
          <w:sz w:val="24"/>
          <w:szCs w:val="24"/>
          <w:highlight w:val="none"/>
        </w:rPr>
        <w:t>残疾人福利性单位声明函（货物）</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本</w:t>
      </w:r>
      <w:r>
        <w:rPr>
          <w:rFonts w:asciiTheme="minorEastAsia" w:hAnsiTheme="minorEastAsia" w:cs="Times New Roman" w:hint="eastAsia"/>
          <w:szCs w:val="21"/>
          <w:highlight w:val="none"/>
        </w:rPr>
        <w:t>投标人郑重声明，根据《财政部民政部中国残疾人联合会关于促进残疾人就业政府采购政策的通知》（财库〔</w:t>
      </w:r>
      <w:r>
        <w:rPr>
          <w:rFonts w:asciiTheme="minorEastAsia" w:hAnsiTheme="minorEastAsia" w:cs="Times New Roman"/>
          <w:szCs w:val="21"/>
          <w:highlight w:val="none"/>
        </w:rPr>
        <w:t>2017</w:t>
      </w:r>
      <w:r>
        <w:rPr>
          <w:rFonts w:asciiTheme="minorEastAsia" w:hAnsiTheme="minorEastAsia" w:cs="Times New Roman" w:hint="eastAsia"/>
          <w:szCs w:val="21"/>
          <w:highlight w:val="none"/>
        </w:rPr>
        <w:t>〕</w:t>
      </w:r>
      <w:r>
        <w:rPr>
          <w:rFonts w:asciiTheme="minorEastAsia" w:hAnsiTheme="minorEastAsia" w:cs="Times New Roman"/>
          <w:szCs w:val="21"/>
          <w:highlight w:val="none"/>
        </w:rPr>
        <w:t xml:space="preserve">141 </w:t>
      </w:r>
      <w:r>
        <w:rPr>
          <w:rFonts w:asciiTheme="minorEastAsia" w:hAnsiTheme="minorEastAsia" w:cs="Times New Roman" w:hint="eastAsia"/>
          <w:szCs w:val="21"/>
          <w:highlight w:val="none"/>
        </w:rPr>
        <w:t>号）的规定，本投标人</w:t>
      </w:r>
      <w:r>
        <w:rPr>
          <w:rFonts w:asciiTheme="minorEastAsia" w:hAnsiTheme="minorEastAsia" w:cs="Times New Roman"/>
          <w:szCs w:val="21"/>
          <w:highlight w:val="none"/>
        </w:rPr>
        <w:t>参加</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采购人</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的</w:t>
      </w:r>
      <w:r>
        <w:rPr>
          <w:rFonts w:asciiTheme="minorEastAsia" w:hAnsiTheme="minorEastAsia" w:cs="Times New Roman"/>
          <w:b/>
          <w:bCs/>
          <w:szCs w:val="21"/>
          <w:highlight w:val="none"/>
          <w:u w:val="single"/>
        </w:rPr>
        <w:t>（项目名称）</w:t>
      </w:r>
      <w:r>
        <w:rPr>
          <w:rFonts w:asciiTheme="minorEastAsia" w:hAnsiTheme="minorEastAsia" w:cs="Times New Roman"/>
          <w:szCs w:val="21"/>
          <w:highlight w:val="none"/>
        </w:rPr>
        <w:t>采购活动，提供的货物全部由符合政策要求的</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制造。相关</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的具体情况如下：</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1.</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2.</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hint="eastAsia"/>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 xml:space="preserve">…… </w:t>
      </w:r>
    </w:p>
    <w:p>
      <w:pPr>
        <w:spacing w:after="78" w:afterLines="25" w:line="300" w:lineRule="auto"/>
        <w:ind w:firstLine="420" w:firstLineChars="200"/>
        <w:rPr>
          <w:rFonts w:asciiTheme="minorEastAsia" w:hAnsiTheme="minorEastAsia" w:cs="Times New Roman"/>
          <w:szCs w:val="21"/>
          <w:highlight w:val="none"/>
        </w:rPr>
      </w:pPr>
      <w:bookmarkStart w:id="26" w:name="_Hlk73562331"/>
      <w:r>
        <w:rPr>
          <w:rFonts w:asciiTheme="minorEastAsia" w:hAnsiTheme="minorEastAsia" w:cs="Times New Roman" w:hint="eastAsia"/>
          <w:szCs w:val="21"/>
          <w:highlight w:val="none"/>
        </w:rPr>
        <w:t>本</w:t>
      </w:r>
      <w:r>
        <w:rPr>
          <w:rFonts w:asciiTheme="minorEastAsia" w:hAnsiTheme="minorEastAsia" w:cs="Times New Roman"/>
          <w:szCs w:val="21"/>
          <w:highlight w:val="none"/>
        </w:rPr>
        <w:t>投标人</w:t>
      </w:r>
      <w:r>
        <w:rPr>
          <w:rFonts w:asciiTheme="minorEastAsia" w:hAnsiTheme="minorEastAsia" w:cs="Times New Roman" w:hint="eastAsia"/>
          <w:szCs w:val="21"/>
          <w:highlight w:val="none"/>
        </w:rPr>
        <w:t>已</w:t>
      </w:r>
      <w:r>
        <w:rPr>
          <w:rFonts w:asciiTheme="minorEastAsia" w:hAnsiTheme="minorEastAsia" w:cs="Times New Roman"/>
          <w:szCs w:val="21"/>
          <w:highlight w:val="none"/>
        </w:rPr>
        <w:t>知悉</w:t>
      </w:r>
      <w:r>
        <w:rPr>
          <w:rFonts w:asciiTheme="minorEastAsia" w:hAnsiTheme="minorEastAsia" w:cs="Times New Roman" w:hint="eastAsia"/>
          <w:szCs w:val="21"/>
          <w:highlight w:val="none"/>
        </w:rPr>
        <w:t>《财政部民政部中国残疾人联合会关于促进残疾人就业政府采购政策的通知》（财库〔2017〕141 号）</w:t>
      </w:r>
      <w:r>
        <w:rPr>
          <w:rFonts w:asciiTheme="minorEastAsia" w:hAnsiTheme="minorEastAsia" w:cs="Times New Roman"/>
          <w:szCs w:val="21"/>
          <w:highlight w:val="none"/>
        </w:rPr>
        <w:t>的规定，承诺提供的声明函内容是真实的，如提供声明函内容不实，则依法追究相关法律责任</w:t>
      </w:r>
      <w:r>
        <w:rPr>
          <w:rFonts w:asciiTheme="minorEastAsia" w:hAnsiTheme="minorEastAsia" w:cs="Times New Roman" w:hint="eastAsia"/>
          <w:szCs w:val="21"/>
          <w:highlight w:val="none"/>
        </w:rPr>
        <w:t>。</w:t>
      </w:r>
      <w:bookmarkEnd w:id="26"/>
    </w:p>
    <w:p>
      <w:pPr>
        <w:spacing w:after="78" w:afterLines="25" w:line="300" w:lineRule="auto"/>
        <w:jc w:val="right"/>
        <w:rPr>
          <w:rFonts w:asciiTheme="minorEastAsia" w:hAnsiTheme="minorEastAsia" w:cs="Times New Roman"/>
          <w:szCs w:val="21"/>
          <w:highlight w:val="none"/>
        </w:rPr>
      </w:pPr>
    </w:p>
    <w:p>
      <w:pPr>
        <w:spacing w:after="78" w:afterLines="25" w:line="300" w:lineRule="auto"/>
        <w:ind w:right="420" w:firstLine="4410" w:firstLineChars="2100"/>
        <w:rPr>
          <w:rFonts w:asciiTheme="minorEastAsia" w:hAnsiTheme="minorEastAsia" w:cs="Times New Roman"/>
          <w:szCs w:val="21"/>
          <w:highlight w:val="none"/>
        </w:rPr>
      </w:pPr>
      <w:r>
        <w:rPr>
          <w:rFonts w:asciiTheme="minorEastAsia" w:hAnsiTheme="minorEastAsia" w:cs="Times New Roman" w:hint="eastAsia"/>
          <w:szCs w:val="21"/>
          <w:highlight w:val="none"/>
        </w:rPr>
        <w:t>投标人（投标单位）：</w:t>
      </w:r>
    </w:p>
    <w:p>
      <w:pPr>
        <w:spacing w:after="78" w:afterLines="25" w:line="300" w:lineRule="auto"/>
        <w:ind w:right="420" w:firstLine="5775" w:firstLineChars="2750"/>
        <w:rPr>
          <w:rFonts w:asciiTheme="minorEastAsia" w:hAnsiTheme="minorEastAsia" w:cs="Times New Roman"/>
          <w:szCs w:val="21"/>
          <w:highlight w:val="none"/>
        </w:rPr>
      </w:pPr>
      <w:r>
        <w:rPr>
          <w:rFonts w:asciiTheme="minorEastAsia" w:hAnsiTheme="minorEastAsia" w:cs="Times New Roman" w:hint="eastAsia"/>
          <w:szCs w:val="21"/>
          <w:highlight w:val="none"/>
        </w:rPr>
        <w:t>日期：</w:t>
      </w:r>
    </w:p>
    <w:p>
      <w:pPr>
        <w:spacing w:after="78" w:afterLines="25" w:line="300" w:lineRule="auto"/>
        <w:jc w:val="right"/>
        <w:rPr>
          <w:rFonts w:asciiTheme="minorEastAsia" w:hAnsiTheme="minorEastAsia" w:cs="Times New Roman"/>
          <w:b/>
          <w:color w:val="FF0000"/>
          <w:sz w:val="28"/>
          <w:szCs w:val="28"/>
          <w:highlight w:val="none"/>
        </w:rPr>
      </w:pPr>
    </w:p>
    <w:p>
      <w:pPr>
        <w:spacing w:after="78" w:afterLines="25" w:line="300" w:lineRule="auto"/>
        <w:jc w:val="right"/>
        <w:rPr>
          <w:rFonts w:ascii="Arial" w:eastAsia="宋体" w:hAnsi="Arial" w:cs="Times New Roman"/>
          <w:b/>
          <w:color w:val="FF0000"/>
          <w:sz w:val="28"/>
          <w:szCs w:val="28"/>
          <w:highlight w:val="none"/>
        </w:rPr>
      </w:pP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b/>
          <w:szCs w:val="21"/>
          <w:highlight w:val="none"/>
        </w:rPr>
        <w:t>说明：</w:t>
      </w:r>
      <w:r>
        <w:rPr>
          <w:rFonts w:ascii="宋体" w:eastAsia="宋体" w:hAnsi="宋体" w:cs="Times New Roman" w:hint="eastAsia"/>
          <w:szCs w:val="21"/>
          <w:highlight w:val="none"/>
        </w:rPr>
        <w:t>根据财库〔2017〕141号文件的规定,享受政府采购支持政策的残疾人福利性单位应当同时满足以下条件：</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（一）</w:t>
      </w:r>
      <w:r>
        <w:rPr>
          <w:rFonts w:ascii="宋体" w:eastAsia="宋体" w:hAnsi="宋体" w:cs="Times New Roman" w:hint="eastAsia"/>
          <w:b/>
          <w:szCs w:val="21"/>
          <w:highlight w:val="none"/>
        </w:rPr>
        <w:t>安置的残疾人占本单位在职职工人数的比例不低于25%（含25%），并且安置的残疾人人数不少于10人（含10人）</w:t>
      </w:r>
      <w:r>
        <w:rPr>
          <w:rFonts w:ascii="宋体" w:eastAsia="宋体" w:hAnsi="宋体" w:cs="Times New Roman" w:hint="eastAsia"/>
          <w:szCs w:val="21"/>
          <w:highlight w:val="none"/>
        </w:rPr>
        <w:t>；</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（二）依法与安置的每位残疾人签订了一年以上（含一年）的劳动合同或服务协议；</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（三）为安置的每位残疾人按月足额缴纳了基本养老保险、基本医疗保险、失业保险、工伤保险和生育保险等社会保险费；</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（四）通过银行等金融机构向安置的每位残疾人，按月支付了不低于单位所在区县适用的经省级人民政府批准的月最低工资标准的工资；</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pPr>
        <w:widowControl/>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hint="eastAsia"/>
          <w:szCs w:val="21"/>
        </w:rPr>
        <w:t>本投标人郑重声明，根据《财政部司法部关于政府采购支持监狱企业发展有关问题的通知》（财库〔</w:t>
      </w:r>
      <w:r>
        <w:rPr>
          <w:rFonts w:ascii="Arial" w:eastAsia="宋体" w:hAnsi="Arial" w:cs="Times New Roman"/>
          <w:szCs w:val="21"/>
        </w:rPr>
        <w:t>2014</w:t>
      </w:r>
      <w:r>
        <w:rPr>
          <w:rFonts w:ascii="Arial" w:eastAsia="宋体" w:hAnsi="Arial" w:cs="Times New Roman" w:hint="eastAsia"/>
          <w:szCs w:val="21"/>
        </w:rPr>
        <w:t>〕</w:t>
      </w:r>
      <w:r>
        <w:rPr>
          <w:rFonts w:ascii="Arial" w:eastAsia="宋体" w:hAnsi="Arial" w:cs="Times New Roman"/>
          <w:szCs w:val="21"/>
        </w:rPr>
        <w:t>68</w:t>
      </w:r>
      <w:r>
        <w:rPr>
          <w:rFonts w:ascii="Arial" w:eastAsia="宋体" w:hAnsi="Arial" w:cs="Times New Roman" w:hint="eastAsia"/>
          <w:szCs w:val="21"/>
        </w:rPr>
        <w:t>号）的规定，本投标人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w:t>
      </w:r>
      <w:r>
        <w:rPr>
          <w:rFonts w:ascii="Arial" w:eastAsia="宋体" w:hAnsi="Arial" w:cs="Times New Roman" w:hint="eastAsia"/>
          <w:szCs w:val="21"/>
        </w:rPr>
        <w:t>监狱企业</w:t>
      </w:r>
      <w:r>
        <w:rPr>
          <w:rFonts w:ascii="Arial" w:eastAsia="宋体" w:hAnsi="Arial" w:cs="Times New Roman"/>
          <w:szCs w:val="21"/>
        </w:rPr>
        <w:t>制造。相关</w:t>
      </w:r>
      <w:r>
        <w:rPr>
          <w:rFonts w:ascii="Arial" w:eastAsia="宋体" w:hAnsi="Arial" w:cs="Times New Roman" w:hint="eastAsia"/>
          <w:szCs w:val="21"/>
        </w:rPr>
        <w:t>监狱企业</w:t>
      </w:r>
      <w:r>
        <w:rPr>
          <w:rFonts w:ascii="Arial" w:eastAsia="宋体" w:hAnsi="Arial" w:cs="Times New Roman"/>
          <w:szCs w:val="21"/>
        </w:rPr>
        <w:t>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对上述声明内容的真实性负责。如有虚假，将依法承担相应责任。</w:t>
      </w:r>
    </w:p>
    <w:p>
      <w:pPr>
        <w:spacing w:after="78" w:afterLines="25" w:line="300" w:lineRule="auto"/>
        <w:ind w:firstLine="420" w:firstLineChars="200"/>
        <w:rPr>
          <w:rFonts w:ascii="Arial" w:eastAsia="宋体" w:hAnsi="Arial" w:cs="Times New Roman"/>
          <w:b/>
          <w:color w:val="FF0000"/>
          <w:szCs w:val="21"/>
        </w:rPr>
      </w:pPr>
    </w:p>
    <w:p>
      <w:pPr>
        <w:spacing w:after="78" w:afterLines="25" w:line="300" w:lineRule="auto"/>
        <w:ind w:firstLine="420" w:firstLineChars="200"/>
        <w:rPr>
          <w:rFonts w:ascii="Arial" w:eastAsia="宋体" w:hAnsi="Arial" w:cs="Times New Roman"/>
          <w:b/>
          <w:color w:val="FF0000"/>
          <w:szCs w:val="21"/>
        </w:rPr>
      </w:pPr>
      <w:r>
        <w:rPr>
          <w:rFonts w:ascii="Arial" w:eastAsia="宋体" w:hAnsi="Arial" w:cs="Times New Roman" w:hint="eastAsia"/>
          <w:b/>
          <w:color w:val="FF0000"/>
          <w:szCs w:val="21"/>
        </w:rPr>
        <w:t>附：省级以上监狱管理局、戒毒管理局（含新疆生产建设兵团）出具的监狱企业证明文件。</w:t>
      </w:r>
    </w:p>
    <w:p>
      <w:pPr>
        <w:spacing w:after="78" w:afterLines="25" w:line="300" w:lineRule="auto"/>
        <w:ind w:firstLine="420" w:firstLineChars="200"/>
        <w:rPr>
          <w:rFonts w:ascii="Arial" w:eastAsia="宋体" w:hAnsi="Arial" w:cs="Times New Roman"/>
          <w:b/>
          <w:color w:val="FF0000"/>
          <w:szCs w:val="21"/>
        </w:rPr>
      </w:pPr>
    </w:p>
    <w:p>
      <w:pPr>
        <w:spacing w:after="78" w:afterLines="25" w:line="300" w:lineRule="auto"/>
        <w:ind w:firstLine="420" w:firstLineChars="200"/>
        <w:rPr>
          <w:rFonts w:ascii="Arial" w:eastAsia="宋体" w:hAnsi="Arial" w:cs="Times New Roman"/>
          <w:b/>
          <w:color w:val="FF0000"/>
          <w:szCs w:val="21"/>
        </w:rPr>
      </w:pP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 xml:space="preserve">投标人（投标单位）：     </w:t>
      </w: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 xml:space="preserve">日期：     </w:t>
      </w:r>
    </w:p>
    <w:p>
      <w:pPr>
        <w:widowControl/>
        <w:jc w:val="left"/>
        <w:rPr>
          <w:rFonts w:ascii="Arial" w:eastAsia="宋体" w:hAnsi="Arial" w:cs="Arial"/>
          <w:color w:val="000000"/>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5.经验情况表</w:t>
      </w:r>
    </w:p>
    <w:tbl>
      <w:tblPr>
        <w:tblStyle w:val="TableNormal"/>
        <w:tblW w:w="4905"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tblGrid>
        <w:gridCol w:w="804"/>
        <w:gridCol w:w="1854"/>
        <w:gridCol w:w="2287"/>
        <w:gridCol w:w="1269"/>
        <w:gridCol w:w="1557"/>
        <w:gridCol w:w="1341"/>
      </w:tblGrid>
      <w:tr>
        <w:tblPrEx>
          <w:tblW w:w="4905"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Ex>
        <w:trPr>
          <w:jc w:val="center"/>
        </w:trPr>
        <w:tc>
          <w:tcPr>
            <w:tcW w:w="441"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4" w:type="pct"/>
            <w:vAlign w:val="center"/>
          </w:tcPr>
          <w:p>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696"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合同签订时间</w:t>
            </w:r>
          </w:p>
        </w:tc>
        <w:tc>
          <w:tcPr>
            <w:tcW w:w="854"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35"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用户单位联系电话</w:t>
            </w:r>
          </w:p>
        </w:tc>
      </w:tr>
      <w:tr>
        <w:tblPrEx>
          <w:tblW w:w="4905"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4" w:type="pct"/>
          </w:tcPr>
          <w:p>
            <w:pPr>
              <w:spacing w:after="78" w:afterLines="25" w:line="300" w:lineRule="auto"/>
              <w:rPr>
                <w:rFonts w:ascii="宋体" w:eastAsia="宋体" w:hAnsi="宋体" w:cs="Arial"/>
                <w:sz w:val="24"/>
                <w:szCs w:val="24"/>
              </w:rPr>
            </w:pPr>
          </w:p>
        </w:tc>
        <w:tc>
          <w:tcPr>
            <w:tcW w:w="696" w:type="pct"/>
          </w:tcPr>
          <w:p>
            <w:pPr>
              <w:spacing w:after="78" w:afterLines="25" w:line="300" w:lineRule="auto"/>
              <w:rPr>
                <w:rFonts w:ascii="宋体" w:eastAsia="宋体" w:hAnsi="宋体" w:cs="Arial"/>
                <w:sz w:val="24"/>
                <w:szCs w:val="24"/>
              </w:rPr>
            </w:pPr>
          </w:p>
        </w:tc>
        <w:tc>
          <w:tcPr>
            <w:tcW w:w="854" w:type="pct"/>
          </w:tcPr>
          <w:p>
            <w:pPr>
              <w:spacing w:after="78" w:afterLines="25" w:line="300" w:lineRule="auto"/>
              <w:rPr>
                <w:rFonts w:ascii="宋体" w:eastAsia="宋体" w:hAnsi="宋体" w:cs="Arial"/>
                <w:sz w:val="24"/>
                <w:szCs w:val="24"/>
              </w:rPr>
            </w:pPr>
          </w:p>
        </w:tc>
        <w:tc>
          <w:tcPr>
            <w:tcW w:w="735" w:type="pct"/>
          </w:tcPr>
          <w:p>
            <w:pPr>
              <w:spacing w:after="78" w:afterLines="25" w:line="300" w:lineRule="auto"/>
              <w:rPr>
                <w:rFonts w:ascii="宋体" w:eastAsia="宋体" w:hAnsi="宋体" w:cs="Arial"/>
                <w:sz w:val="24"/>
                <w:szCs w:val="24"/>
              </w:rPr>
            </w:pPr>
          </w:p>
        </w:tc>
      </w:tr>
      <w:tr>
        <w:tblPrEx>
          <w:tblW w:w="4905"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4" w:type="pct"/>
          </w:tcPr>
          <w:p>
            <w:pPr>
              <w:spacing w:after="78" w:afterLines="25" w:line="300" w:lineRule="auto"/>
              <w:rPr>
                <w:rFonts w:ascii="宋体" w:eastAsia="宋体" w:hAnsi="宋体" w:cs="Arial"/>
                <w:sz w:val="24"/>
                <w:szCs w:val="24"/>
              </w:rPr>
            </w:pPr>
          </w:p>
        </w:tc>
        <w:tc>
          <w:tcPr>
            <w:tcW w:w="696" w:type="pct"/>
          </w:tcPr>
          <w:p>
            <w:pPr>
              <w:spacing w:after="78" w:afterLines="25" w:line="300" w:lineRule="auto"/>
              <w:rPr>
                <w:rFonts w:ascii="宋体" w:eastAsia="宋体" w:hAnsi="宋体" w:cs="Arial"/>
                <w:sz w:val="24"/>
                <w:szCs w:val="24"/>
              </w:rPr>
            </w:pPr>
          </w:p>
        </w:tc>
        <w:tc>
          <w:tcPr>
            <w:tcW w:w="854" w:type="pct"/>
          </w:tcPr>
          <w:p>
            <w:pPr>
              <w:spacing w:after="78" w:afterLines="25" w:line="300" w:lineRule="auto"/>
              <w:rPr>
                <w:rFonts w:ascii="宋体" w:eastAsia="宋体" w:hAnsi="宋体" w:cs="Arial"/>
                <w:sz w:val="24"/>
                <w:szCs w:val="24"/>
              </w:rPr>
            </w:pPr>
          </w:p>
        </w:tc>
        <w:tc>
          <w:tcPr>
            <w:tcW w:w="735" w:type="pct"/>
          </w:tcPr>
          <w:p>
            <w:pPr>
              <w:spacing w:after="78" w:afterLines="25" w:line="300" w:lineRule="auto"/>
              <w:rPr>
                <w:rFonts w:ascii="宋体" w:eastAsia="宋体" w:hAnsi="宋体" w:cs="Arial"/>
                <w:sz w:val="24"/>
                <w:szCs w:val="24"/>
              </w:rPr>
            </w:pPr>
          </w:p>
        </w:tc>
      </w:tr>
      <w:tr>
        <w:tblPrEx>
          <w:tblW w:w="4905"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4" w:type="pct"/>
          </w:tcPr>
          <w:p>
            <w:pPr>
              <w:spacing w:after="78" w:afterLines="25" w:line="300" w:lineRule="auto"/>
              <w:rPr>
                <w:rFonts w:ascii="宋体" w:eastAsia="宋体" w:hAnsi="宋体" w:cs="Arial"/>
                <w:sz w:val="24"/>
                <w:szCs w:val="24"/>
              </w:rPr>
            </w:pPr>
          </w:p>
        </w:tc>
        <w:tc>
          <w:tcPr>
            <w:tcW w:w="696" w:type="pct"/>
          </w:tcPr>
          <w:p>
            <w:pPr>
              <w:spacing w:after="78" w:afterLines="25" w:line="300" w:lineRule="auto"/>
              <w:rPr>
                <w:rFonts w:ascii="宋体" w:eastAsia="宋体" w:hAnsi="宋体" w:cs="Arial"/>
                <w:sz w:val="24"/>
                <w:szCs w:val="24"/>
              </w:rPr>
            </w:pPr>
          </w:p>
        </w:tc>
        <w:tc>
          <w:tcPr>
            <w:tcW w:w="854" w:type="pct"/>
          </w:tcPr>
          <w:p>
            <w:pPr>
              <w:spacing w:after="78" w:afterLines="25" w:line="300" w:lineRule="auto"/>
              <w:rPr>
                <w:rFonts w:ascii="宋体" w:eastAsia="宋体" w:hAnsi="宋体" w:cs="Arial"/>
                <w:sz w:val="24"/>
                <w:szCs w:val="24"/>
              </w:rPr>
            </w:pPr>
          </w:p>
        </w:tc>
        <w:tc>
          <w:tcPr>
            <w:tcW w:w="735" w:type="pct"/>
          </w:tcPr>
          <w:p>
            <w:pPr>
              <w:spacing w:after="78" w:afterLines="25" w:line="300" w:lineRule="auto"/>
              <w:rPr>
                <w:rFonts w:ascii="宋体" w:eastAsia="宋体" w:hAnsi="宋体" w:cs="Arial"/>
                <w:sz w:val="24"/>
                <w:szCs w:val="24"/>
              </w:rPr>
            </w:pPr>
          </w:p>
        </w:tc>
      </w:tr>
    </w:tbl>
    <w:p>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jc w:val="center"/>
        <w:rPr>
          <w:rFonts w:ascii="Arial" w:eastAsia="宋体" w:hAnsi="Arial" w:cs="Times New Roman" w:hint="eastAsia"/>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jc w:val="center"/>
        <w:rPr>
          <w:rFonts w:ascii="Arial" w:eastAsia="宋体" w:hAnsi="Arial" w:cs="Times New Roman" w:hint="eastAsia"/>
          <w:b/>
          <w:sz w:val="24"/>
          <w:szCs w:val="24"/>
        </w:rPr>
      </w:pPr>
    </w:p>
    <w:p>
      <w:pPr>
        <w:ind w:firstLine="630" w:firstLineChars="300"/>
        <w:jc w:val="center"/>
        <w:rPr>
          <w:b/>
          <w:color w:val="FF0000"/>
          <w:sz w:val="24"/>
        </w:rPr>
      </w:pPr>
      <w:r>
        <w:rPr>
          <w:rFonts w:hint="eastAsia"/>
          <w:b/>
          <w:color w:val="FF0000"/>
          <w:sz w:val="24"/>
        </w:rPr>
        <w:t>（信息公开部分的内容到此为止！以下为信息不公开部分。）</w:t>
      </w:r>
    </w:p>
    <w:p>
      <w:pPr>
        <w:widowControl/>
        <w:jc w:val="left"/>
        <w:rPr>
          <w:rFonts w:ascii="Arial" w:eastAsia="宋体" w:hAnsi="Arial" w:cs="Times New Roman"/>
          <w:szCs w:val="24"/>
        </w:rPr>
      </w:pPr>
      <w:r>
        <w:br w:type="page"/>
      </w:r>
    </w:p>
    <w:p>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pPr>
        <w:spacing w:after="78" w:afterLines="25" w:line="300" w:lineRule="auto"/>
        <w:rPr>
          <w:rFonts w:ascii="Arial" w:eastAsia="宋体" w:hAnsi="Arial" w:cs="Times New Roman"/>
          <w:szCs w:val="24"/>
        </w:rPr>
      </w:pPr>
    </w:p>
    <w:p>
      <w:pPr>
        <w:spacing w:line="300" w:lineRule="auto"/>
        <w:ind w:left="140"/>
        <w:jc w:val="center"/>
        <w:rPr>
          <w:rFonts w:ascii="Arial" w:eastAsia="宋体" w:hAnsi="Arial" w:cs="Arial"/>
          <w:b/>
          <w:sz w:val="30"/>
          <w:szCs w:val="30"/>
        </w:rPr>
      </w:pPr>
    </w:p>
    <w:p>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pPr>
        <w:spacing w:line="300" w:lineRule="auto"/>
        <w:ind w:left="140"/>
        <w:jc w:val="center"/>
        <w:rPr>
          <w:rFonts w:ascii="Arial" w:eastAsia="宋体" w:hAnsi="Arial" w:cs="Arial"/>
          <w:b/>
          <w:sz w:val="24"/>
          <w:szCs w:val="24"/>
        </w:rPr>
      </w:pPr>
    </w:p>
    <w:p>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pPr>
        <w:spacing w:line="300" w:lineRule="auto"/>
        <w:rPr>
          <w:rFonts w:ascii="Arial" w:eastAsia="宋体" w:hAnsi="Arial" w:cs="Times New Roman"/>
          <w:szCs w:val="21"/>
        </w:rPr>
      </w:pPr>
    </w:p>
    <w:p>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rPr>
          <w:rFonts w:ascii="Arial" w:eastAsia="宋体" w:hAnsi="Arial" w:cs="Times New Roman"/>
          <w:szCs w:val="24"/>
        </w:rPr>
      </w:pPr>
    </w:p>
    <w:p>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pPr>
        <w:spacing w:line="500" w:lineRule="exact"/>
        <w:rPr>
          <w:rFonts w:ascii="宋体" w:eastAsia="宋体" w:hAnsi="宋体" w:cs="Times New Roman"/>
          <w:b/>
          <w:color w:val="FF0000"/>
          <w:sz w:val="32"/>
          <w:szCs w:val="32"/>
        </w:rPr>
      </w:pP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pPr>
        <w:spacing w:line="500" w:lineRule="exact"/>
        <w:ind w:firstLine="420" w:firstLineChars="200"/>
        <w:rPr>
          <w:rFonts w:ascii="Arial" w:eastAsia="宋体" w:hAnsi="Arial" w:cs="Times New Roman"/>
          <w:szCs w:val="24"/>
        </w:rPr>
      </w:pP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pPr>
        <w:spacing w:line="300" w:lineRule="auto"/>
        <w:jc w:val="center"/>
        <w:rPr>
          <w:rFonts w:ascii="Arial" w:eastAsia="宋体" w:hAnsi="Arial" w:cs="Times New Roman"/>
          <w:b/>
          <w:sz w:val="28"/>
          <w:szCs w:val="28"/>
        </w:rPr>
      </w:pP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pPr>
        <w:spacing w:line="300" w:lineRule="auto"/>
        <w:rPr>
          <w:rFonts w:ascii="Arial" w:eastAsia="宋体" w:hAnsi="Arial" w:cs="Times New Roman"/>
          <w:szCs w:val="21"/>
        </w:rPr>
      </w:pP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ind w:firstLine="420" w:firstLineChars="200"/>
        <w:rPr>
          <w:rFonts w:ascii="Arial" w:eastAsia="宋体" w:hAnsi="Arial" w:cs="Times New Roman"/>
          <w:szCs w:val="24"/>
        </w:rPr>
      </w:pPr>
    </w:p>
    <w:p>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pPr>
        <w:spacing w:after="78" w:afterLines="25" w:line="300" w:lineRule="auto"/>
        <w:rPr>
          <w:rFonts w:ascii="宋体" w:eastAsia="宋体" w:hAnsi="宋体" w:cs="Times New Roman"/>
          <w:b/>
          <w:color w:val="FF0000"/>
          <w:sz w:val="32"/>
          <w:szCs w:val="32"/>
        </w:rPr>
      </w:pPr>
    </w:p>
    <w:p>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3</w:t>
      </w:r>
      <w:r>
        <w:rPr>
          <w:rFonts w:ascii="宋体" w:eastAsia="宋体" w:hAnsi="宋体" w:cs="Times New Roman"/>
          <w:b/>
          <w:bCs/>
          <w:kern w:val="0"/>
          <w:sz w:val="30"/>
          <w:szCs w:val="30"/>
        </w:rPr>
        <w:t>.</w:t>
      </w:r>
      <w:r>
        <w:rPr>
          <w:rFonts w:ascii="宋体" w:eastAsia="宋体" w:hAnsi="宋体" w:cs="Times New Roman" w:hint="eastAsia"/>
          <w:b/>
          <w:bCs/>
          <w:kern w:val="0"/>
          <w:sz w:val="30"/>
          <w:szCs w:val="30"/>
        </w:rPr>
        <w:t>商务（服务）条款偏离表</w:t>
      </w:r>
    </w:p>
    <w:p>
      <w:pPr>
        <w:snapToGrid w:val="0"/>
        <w:rPr>
          <w:rFonts w:ascii="Arial" w:eastAsia="宋体" w:hAnsi="Arial" w:cs="Arial" w:hint="eastAsia"/>
          <w:color w:val="000000"/>
          <w:sz w:val="24"/>
          <w:szCs w:val="24"/>
        </w:rPr>
      </w:pPr>
    </w:p>
    <w:p>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b/>
          <w:sz w:val="24"/>
          <w:szCs w:val="24"/>
        </w:rPr>
      </w:pP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rPr>
          <w:jc w:val="center"/>
        </w:trPr>
        <w:tc>
          <w:tcPr>
            <w:tcW w:w="602" w:type="dxa"/>
            <w:vAlign w:val="center"/>
          </w:tcPr>
          <w:p>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pPr>
              <w:jc w:val="center"/>
              <w:rPr>
                <w:rFonts w:ascii="宋体" w:eastAsia="宋体" w:hAnsi="宋体" w:cs="Arial"/>
                <w:b/>
                <w:szCs w:val="21"/>
              </w:rPr>
            </w:pPr>
            <w:r>
              <w:rPr>
                <w:rFonts w:ascii="宋体" w:eastAsia="宋体" w:hAnsi="宋体" w:cs="Arial" w:hint="eastAsia"/>
                <w:b/>
                <w:szCs w:val="21"/>
              </w:rPr>
              <w:t>说明</w:t>
            </w:r>
          </w:p>
        </w:tc>
      </w:tr>
      <w:tr>
        <w:tblPrEx>
          <w:tblW w:w="9403" w:type="dxa"/>
          <w:jc w:val="center"/>
          <w:tblLayout w:type="fixed"/>
          <w:tblCellMar>
            <w:top w:w="0" w:type="dxa"/>
            <w:left w:w="108" w:type="dxa"/>
            <w:bottom w:w="0" w:type="dxa"/>
            <w:right w:w="108" w:type="dxa"/>
          </w:tblCellMar>
        </w:tblPrEx>
        <w:trPr>
          <w:trHeight w:val="1161"/>
          <w:jc w:val="center"/>
        </w:trPr>
        <w:tc>
          <w:tcPr>
            <w:tcW w:w="602" w:type="dxa"/>
            <w:vAlign w:val="center"/>
          </w:tcPr>
          <w:p>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pPr>
              <w:rPr>
                <w:rFonts w:ascii="宋体" w:eastAsia="宋体" w:hAnsi="宋体" w:cs="Arial"/>
                <w:szCs w:val="21"/>
              </w:rPr>
            </w:pPr>
            <w:r>
              <w:rPr>
                <w:rFonts w:ascii="宋体" w:eastAsia="宋体" w:hAnsi="宋体" w:cs="Arial" w:hint="eastAsia"/>
                <w:szCs w:val="21"/>
              </w:rPr>
              <w:t>我公司完全响应满足招标文件中此项要求。</w:t>
            </w:r>
          </w:p>
        </w:tc>
        <w:tc>
          <w:tcPr>
            <w:tcW w:w="1732" w:type="dxa"/>
          </w:tcPr>
          <w:p>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pPr>
              <w:jc w:val="center"/>
              <w:rPr>
                <w:rFonts w:ascii="宋体" w:eastAsia="宋体" w:hAnsi="宋体" w:cs="Arial"/>
                <w:szCs w:val="21"/>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pPr>
        <w:numPr>
          <w:ilvl w:val="0"/>
          <w:numId w:val="3"/>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pPr>
        <w:widowControl/>
        <w:jc w:val="left"/>
        <w:rPr>
          <w:rFonts w:ascii="宋体" w:eastAsia="宋体" w:hAnsi="宋体" w:cs="Times New Roman"/>
          <w:color w:val="FF0000"/>
          <w:sz w:val="32"/>
          <w:szCs w:val="32"/>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4.技术</w:t>
      </w:r>
      <w:r>
        <w:rPr>
          <w:rFonts w:ascii="宋体" w:eastAsia="宋体" w:hAnsi="宋体" w:cs="Times New Roman" w:hint="eastAsia"/>
          <w:b/>
          <w:bCs/>
          <w:kern w:val="0"/>
          <w:sz w:val="30"/>
          <w:szCs w:val="30"/>
          <w:lang w:val="en-US" w:eastAsia="zh-CN"/>
        </w:rPr>
        <w:t>要求</w:t>
      </w:r>
      <w:r>
        <w:rPr>
          <w:rFonts w:ascii="宋体" w:eastAsia="宋体" w:hAnsi="宋体" w:cs="Times New Roman" w:hint="eastAsia"/>
          <w:b/>
          <w:bCs/>
          <w:kern w:val="0"/>
          <w:sz w:val="30"/>
          <w:szCs w:val="30"/>
        </w:rPr>
        <w:t>偏离表</w:t>
      </w:r>
    </w:p>
    <w:p>
      <w:pPr>
        <w:snapToGrid w:val="0"/>
        <w:rPr>
          <w:rFonts w:ascii="Arial" w:eastAsia="宋体" w:hAnsi="Arial" w:cs="Arial" w:hint="eastAsia"/>
          <w:color w:val="000000"/>
          <w:sz w:val="24"/>
          <w:szCs w:val="24"/>
        </w:rPr>
      </w:pPr>
    </w:p>
    <w:p>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sz w:val="24"/>
          <w:szCs w:val="24"/>
        </w:rPr>
      </w:pPr>
    </w:p>
    <w:tbl>
      <w:tblPr>
        <w:tblStyle w:val="TableNormal"/>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CellMar>
            <w:top w:w="0" w:type="dxa"/>
            <w:left w:w="108" w:type="dxa"/>
            <w:bottom w:w="0" w:type="dxa"/>
            <w:right w:w="108" w:type="dxa"/>
          </w:tblCellMar>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val="en-US" w:eastAsia="zh-CN"/>
              </w:rPr>
            </w:pPr>
            <w:r>
              <w:rPr>
                <w:rFonts w:asciiTheme="minorEastAsia" w:hAnsiTheme="minorEastAsia" w:cs="Times New Roman" w:hint="eastAsia"/>
                <w:sz w:val="24"/>
                <w:szCs w:val="24"/>
                <w:lang w:val="en-US" w:eastAsia="zh-CN"/>
              </w:rPr>
              <w:t>2</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eastAsia="zh-CN"/>
              </w:rPr>
            </w:pPr>
            <w:r>
              <w:rPr>
                <w:rFonts w:asciiTheme="minorEastAsia" w:hAnsiTheme="minorEastAsia" w:cs="Times New Roman" w:hint="eastAsia"/>
                <w:sz w:val="24"/>
                <w:szCs w:val="24"/>
                <w:lang w:eastAsia="zh-CN"/>
              </w:rPr>
              <w:t>……</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hint="eastAsia"/>
          <w:b/>
          <w:sz w:val="24"/>
          <w:szCs w:val="24"/>
        </w:rPr>
      </w:pPr>
      <w:r>
        <w:rPr>
          <w:rFonts w:asciiTheme="minorEastAsia" w:hAnsiTheme="minorEastAsia" w:cs="Times New Roman" w:hint="eastAsia"/>
          <w:b/>
          <w:sz w:val="24"/>
          <w:szCs w:val="24"/>
        </w:rPr>
        <w:t>填写说明：</w:t>
      </w:r>
    </w:p>
    <w:p>
      <w:pPr>
        <w:ind w:firstLine="420" w:firstLineChars="200"/>
        <w:rPr>
          <w:b/>
          <w:sz w:val="24"/>
        </w:rPr>
      </w:pPr>
      <w:r>
        <w:rPr>
          <w:rFonts w:hint="eastAsia"/>
          <w:b/>
          <w:sz w:val="24"/>
        </w:rPr>
        <w:t>1、技术要求偏离表的序号、货物名称、招标技术要求等栏目</w:t>
      </w:r>
      <w:bookmarkStart w:id="27" w:name="_Hlk72094407"/>
      <w:r>
        <w:rPr>
          <w:rFonts w:hint="eastAsia"/>
          <w:b/>
          <w:sz w:val="24"/>
        </w:rPr>
        <w:t>对应“用户需求书”中的“技术要求</w:t>
      </w:r>
      <w:r>
        <w:rPr>
          <w:rFonts w:hint="eastAsia"/>
          <w:b/>
          <w:sz w:val="24"/>
          <w:lang w:val="en-US" w:eastAsia="zh-CN"/>
        </w:rPr>
        <w:t>部分</w:t>
      </w:r>
      <w:r>
        <w:rPr>
          <w:rFonts w:hint="eastAsia"/>
          <w:b/>
          <w:sz w:val="24"/>
        </w:rPr>
        <w:t>”章节</w:t>
      </w:r>
      <w:bookmarkEnd w:id="27"/>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28" w:name="_Hlk72096106"/>
      <w:r>
        <w:rPr>
          <w:rFonts w:hint="eastAsia"/>
          <w:b/>
          <w:sz w:val="24"/>
        </w:rPr>
        <w:t>证明资料条款响应要求</w:t>
      </w:r>
      <w:bookmarkEnd w:id="28"/>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lang w:eastAsia="zh-CN"/>
        </w:rPr>
        <w:t>，</w:t>
      </w:r>
      <w:r>
        <w:rPr>
          <w:rFonts w:hint="eastAsia"/>
          <w:b/>
          <w:sz w:val="24"/>
        </w:rPr>
        <w:t>以便评审；</w:t>
      </w:r>
      <w:bookmarkStart w:id="29"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0" w:name="_Hlk73558164"/>
      <w:r>
        <w:rPr>
          <w:rFonts w:hint="eastAsia"/>
          <w:b/>
          <w:sz w:val="24"/>
        </w:rPr>
        <w:t>且投标人在“偏离情况”一栏响应为“正偏离”或“无偏离”的，经评审委员会认定，将判定为负偏离。</w:t>
      </w:r>
      <w:bookmarkEnd w:id="29"/>
      <w:bookmarkEnd w:id="30"/>
    </w:p>
    <w:p>
      <w:pPr>
        <w:ind w:firstLine="420" w:firstLineChars="200"/>
        <w:rPr>
          <w:rFonts w:hint="eastAsia"/>
          <w:b/>
          <w:sz w:val="24"/>
        </w:rPr>
      </w:pPr>
      <w:r>
        <w:rPr>
          <w:rFonts w:hint="eastAsia"/>
          <w:b/>
          <w:sz w:val="24"/>
          <w:lang w:val="en-US" w:eastAsia="zh-CN"/>
        </w:rPr>
        <w:t>6、</w:t>
      </w:r>
      <w:r>
        <w:rPr>
          <w:rFonts w:hint="eastAsia"/>
          <w:b/>
          <w:sz w:val="24"/>
        </w:rPr>
        <w:t>评审委员会有权对投标人是否存在虚假响应予以认定，并视情况经</w:t>
      </w:r>
      <w:r>
        <w:rPr>
          <w:rFonts w:hint="eastAsia"/>
          <w:b/>
          <w:sz w:val="24"/>
          <w:lang w:val="en-US" w:eastAsia="zh-CN"/>
        </w:rPr>
        <w:t>招标</w:t>
      </w:r>
      <w:r>
        <w:rPr>
          <w:rFonts w:hint="eastAsia"/>
          <w:b/>
          <w:sz w:val="24"/>
        </w:rPr>
        <w:t>机构报主管部门进行处理；</w:t>
      </w:r>
    </w:p>
    <w:p>
      <w:pPr>
        <w:ind w:firstLine="420" w:firstLineChars="200"/>
        <w:rPr>
          <w:rFonts w:hint="eastAsia"/>
          <w:b/>
          <w:sz w:val="24"/>
        </w:rPr>
      </w:pPr>
      <w:r>
        <w:rPr>
          <w:rFonts w:hint="eastAsia"/>
          <w:b/>
          <w:sz w:val="24"/>
          <w:lang w:val="en-US" w:eastAsia="zh-CN"/>
        </w:rPr>
        <w:t>7、</w:t>
      </w:r>
      <w:r>
        <w:rPr>
          <w:rFonts w:hint="eastAsia"/>
          <w:b/>
          <w:sz w:val="24"/>
        </w:rPr>
        <w:t>除招标文件另有注明外，投标文件其它位置如出现与本表中投标参数不一致的信息，均以本表信息为准。</w:t>
      </w:r>
    </w:p>
    <w:p>
      <w:pPr>
        <w:keepNext w:val="0"/>
        <w:keepLines w:val="0"/>
        <w:pageBreakBefore w:val="0"/>
        <w:widowControl/>
        <w:kinsoku/>
        <w:wordWrap/>
        <w:overflowPunct/>
        <w:topLinePunct w:val="0"/>
        <w:autoSpaceDE/>
        <w:autoSpaceDN/>
        <w:bidi w:val="0"/>
        <w:adjustRightInd/>
        <w:snapToGrid/>
        <w:jc w:val="center"/>
        <w:textAlignment w:val="auto"/>
        <w:outlineLvl w:val="3"/>
        <w:rPr>
          <w:rFonts w:ascii="黑体" w:eastAsia="黑体" w:hAnsi="宋体"/>
          <w:kern w:val="0"/>
          <w:sz w:val="24"/>
          <w:szCs w:val="20"/>
        </w:rPr>
      </w:pPr>
      <w:r>
        <w:br w:type="page"/>
      </w:r>
      <w:r>
        <w:rPr>
          <w:rFonts w:ascii="宋体" w:eastAsia="宋体" w:hAnsi="宋体" w:cs="Times New Roman" w:hint="eastAsia"/>
          <w:b/>
          <w:bCs/>
          <w:kern w:val="0"/>
          <w:sz w:val="30"/>
          <w:szCs w:val="30"/>
          <w:lang w:val="en-US" w:eastAsia="zh-CN"/>
        </w:rPr>
        <w:t>5.</w:t>
      </w:r>
      <w:r>
        <w:rPr>
          <w:rFonts w:ascii="宋体" w:eastAsia="宋体" w:hAnsi="宋体" w:cs="Times New Roman" w:hint="eastAsia"/>
          <w:b/>
          <w:bCs/>
          <w:kern w:val="0"/>
          <w:sz w:val="30"/>
          <w:szCs w:val="30"/>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rPr>
          <w:highlight w:val="none"/>
        </w:rPr>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w:t>
      </w:r>
      <w:r>
        <w:rPr>
          <w:rFonts w:hint="eastAsia"/>
          <w:highlight w:val="none"/>
        </w:rPr>
        <w:t>购金额千分之二十以上千分之三十以下罚款，并由市场监管部门依法吊销营业执照。</w:t>
      </w:r>
    </w:p>
    <w:p>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负责人/投标授权代表签名：</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知悉人（公章）：</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 xml:space="preserve">     日期：</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highlight w:val="none"/>
        </w:rPr>
      </w:pPr>
      <w:r>
        <w:rPr>
          <w:rFonts w:ascii="宋体" w:hAnsi="宋体" w:eastAsiaTheme="minorEastAsia" w:hint="eastAsia"/>
          <w:spacing w:val="-4"/>
          <w:kern w:val="0"/>
          <w:szCs w:val="21"/>
          <w:highlight w:val="none"/>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1.</w:t>
      </w:r>
      <w:r>
        <w:rPr>
          <w:rFonts w:hint="eastAsia"/>
          <w:highlight w:val="none"/>
        </w:rPr>
        <w:t xml:space="preserve"> </w:t>
      </w:r>
      <w:r>
        <w:rPr>
          <w:rFonts w:ascii="宋体" w:hAnsi="宋体" w:eastAsiaTheme="minorEastAsia" w:hint="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highlight w:val="none"/>
        </w:rPr>
        <w:t>2.投标供应商负责人或投标授权代表签字</w:t>
      </w:r>
      <w:r>
        <w:rPr>
          <w:rFonts w:ascii="宋体" w:hAnsi="宋体" w:eastAsiaTheme="minorEastAsia" w:hint="eastAsia"/>
          <w:b/>
          <w:bCs/>
          <w:color w:val="FF0000"/>
          <w:spacing w:val="-4"/>
          <w:kern w:val="0"/>
          <w:szCs w:val="21"/>
          <w:highlight w:val="none"/>
          <w:u w:val="single"/>
        </w:rPr>
        <w:t>并加盖单位公章</w:t>
      </w:r>
      <w:r>
        <w:rPr>
          <w:rFonts w:ascii="宋体" w:hAnsi="宋体" w:eastAsiaTheme="minorEastAsia" w:hint="eastAsia"/>
          <w:b/>
          <w:bCs/>
          <w:color w:val="FF0000"/>
          <w:spacing w:val="-4"/>
          <w:kern w:val="0"/>
          <w:szCs w:val="21"/>
          <w:highlight w:val="none"/>
        </w:rPr>
        <w:t>后，扫</w:t>
      </w:r>
      <w:r>
        <w:rPr>
          <w:rFonts w:ascii="宋体" w:hAnsi="宋体" w:eastAsiaTheme="minorEastAsia" w:hint="eastAsia"/>
          <w:b/>
          <w:bCs/>
          <w:color w:val="FF0000"/>
          <w:spacing w:val="-4"/>
          <w:kern w:val="0"/>
          <w:szCs w:val="21"/>
        </w:rPr>
        <w:t>描上传至投标文件一并提交。</w:t>
      </w: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jc w:val="center"/>
        <w:rPr>
          <w:rFonts w:ascii="Arial" w:eastAsia="宋体" w:hAnsi="Arial" w:cs="Times New Roman" w:hint="eastAsia"/>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pPr>
        <w:widowControl/>
        <w:jc w:val="center"/>
        <w:rPr>
          <w:rFonts w:ascii="宋体" w:eastAsia="黑体" w:hAnsi="宋体" w:cs="Times New Roman"/>
          <w:bCs/>
          <w:kern w:val="44"/>
          <w:sz w:val="28"/>
          <w:szCs w:val="44"/>
        </w:rPr>
      </w:pPr>
      <w:bookmarkStart w:id="31" w:name="_Hlk72574405"/>
      <w:r>
        <w:rPr>
          <w:rFonts w:hint="eastAsia"/>
          <w:b/>
          <w:sz w:val="24"/>
        </w:rPr>
        <w:t>（仅供参考，具体以项目需求及采购结果为准）</w:t>
      </w:r>
      <w:bookmarkEnd w:id="31"/>
    </w:p>
    <w:p>
      <w:pPr>
        <w:snapToGrid w:val="0"/>
        <w:spacing w:line="300" w:lineRule="auto"/>
        <w:jc w:val="center"/>
        <w:rPr>
          <w:rFonts w:ascii="仿宋" w:eastAsia="仿宋" w:hAnsi="仿宋" w:cs="Times New Roman"/>
          <w:sz w:val="28"/>
          <w:szCs w:val="28"/>
        </w:rPr>
      </w:pP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b/>
          <w:bCs/>
        </w:rPr>
      </w:pPr>
      <w:r>
        <w:rPr>
          <w:rFonts w:ascii="宋体" w:eastAsia="宋体" w:hAnsi="宋体" w:cs="宋体" w:hint="eastAsia"/>
          <w:b/>
          <w:bCs/>
        </w:rPr>
        <w:t>甲方：</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rPr>
      </w:pPr>
      <w:r>
        <w:rPr>
          <w:rFonts w:ascii="宋体" w:eastAsia="宋体" w:hAnsi="宋体" w:cs="宋体" w:hint="eastAsia"/>
        </w:rPr>
        <w:t>地址：</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rPr>
      </w:pPr>
      <w:r>
        <w:rPr>
          <w:rFonts w:ascii="宋体" w:eastAsia="宋体" w:hAnsi="宋体" w:cs="宋体" w:hint="eastAsia"/>
        </w:rPr>
        <w:t>联系人：</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b/>
          <w:bCs/>
        </w:rPr>
      </w:pPr>
      <w:r>
        <w:rPr>
          <w:rFonts w:ascii="宋体" w:eastAsia="宋体" w:hAnsi="宋体" w:cs="宋体" w:hint="eastAsia"/>
        </w:rPr>
        <w:t>联系电话：</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b/>
          <w:bCs/>
        </w:rPr>
      </w:pPr>
      <w:r>
        <w:rPr>
          <w:rFonts w:ascii="宋体" w:eastAsia="宋体" w:hAnsi="宋体" w:cs="宋体" w:hint="eastAsia"/>
          <w:b/>
          <w:bCs/>
        </w:rPr>
        <w:t xml:space="preserve"> </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b/>
          <w:bCs/>
        </w:rPr>
      </w:pPr>
      <w:r>
        <w:rPr>
          <w:rFonts w:ascii="宋体" w:eastAsia="宋体" w:hAnsi="宋体" w:cs="宋体" w:hint="eastAsia"/>
          <w:b/>
          <w:bCs/>
        </w:rPr>
        <w:t>乙方：</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rPr>
      </w:pPr>
      <w:r>
        <w:rPr>
          <w:rFonts w:ascii="宋体" w:eastAsia="宋体" w:hAnsi="宋体" w:cs="宋体" w:hint="eastAsia"/>
        </w:rPr>
        <w:t>地址：</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rPr>
      </w:pPr>
      <w:r>
        <w:rPr>
          <w:rFonts w:ascii="宋体" w:eastAsia="宋体" w:hAnsi="宋体" w:cs="宋体" w:hint="eastAsia"/>
        </w:rPr>
        <w:t>联系人：</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rPr>
      </w:pPr>
      <w:r>
        <w:rPr>
          <w:rFonts w:ascii="宋体" w:eastAsia="宋体" w:hAnsi="宋体" w:cs="宋体" w:hint="eastAsia"/>
        </w:rPr>
        <w:t>联系电话：</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rPr>
      </w:pPr>
      <w:r>
        <w:rPr>
          <w:rFonts w:ascii="宋体" w:eastAsia="宋体" w:hAnsi="宋体" w:cs="宋体" w:hint="eastAsia"/>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根据深圳公共资源交易中心（深圳交易集团有限公司***分公司）号项目结果，***单位为中标人。按照《中华人民共和国民法典》（第三编 合同）和《深圳经济特区政府采购条例》，经深圳市（以下简称甲方）和单位（以下简称乙方）协商，达成以下合同条款：</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第一条  合同标的</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乙方根据甲方需求提供下列货物：</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货物名称、规格及数量详见。</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第二条  合同价款</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本合同项下总价款为（大写）人民币，分项价款详见。本合同总价款已包括乙方为履行本合同义务所发生的一切费用，系固定不变价格，且不随通货膨胀的影响而波动。</w:t>
      </w:r>
    </w:p>
    <w:p>
      <w:pPr>
        <w:keepNext w:val="0"/>
        <w:keepLines w:val="0"/>
        <w:pageBreakBefore w:val="0"/>
        <w:widowControl w:val="0"/>
        <w:numPr>
          <w:ilvl w:val="0"/>
          <w:numId w:val="4"/>
        </w:numPr>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 xml:space="preserve"> 履行期限</w:t>
      </w:r>
    </w:p>
    <w:p>
      <w:pPr>
        <w:keepNext w:val="0"/>
        <w:keepLines w:val="0"/>
        <w:pageBreakBefore w:val="0"/>
        <w:widowControl w:val="0"/>
        <w:kinsoku/>
        <w:wordWrap/>
        <w:overflowPunct/>
        <w:topLinePunct w:val="0"/>
        <w:autoSpaceDE/>
        <w:autoSpaceDN/>
        <w:bidi w:val="0"/>
        <w:adjustRightInd/>
        <w:snapToGrid/>
        <w:spacing w:line="320" w:lineRule="exact"/>
        <w:ind w:firstLine="630" w:firstLineChars="300"/>
        <w:textAlignment w:val="auto"/>
        <w:rPr>
          <w:rFonts w:ascii="宋体" w:eastAsia="宋体" w:hAnsi="宋体" w:cs="宋体" w:hint="eastAsia"/>
        </w:rPr>
      </w:pPr>
      <w:r>
        <w:rPr>
          <w:rFonts w:ascii="宋体" w:eastAsia="宋体" w:hAnsi="宋体" w:cs="宋体" w:hint="eastAsia"/>
        </w:rPr>
        <w:t>乙方应于本合同签订之日其日内将符合要求的产品向甲方交付（含安装调试），但乙方交付前应向书面通知甲方并征得甲方同意。</w:t>
      </w:r>
    </w:p>
    <w:p>
      <w:pPr>
        <w:keepNext w:val="0"/>
        <w:keepLines w:val="0"/>
        <w:pageBreakBefore w:val="0"/>
        <w:widowControl w:val="0"/>
        <w:numPr>
          <w:ilvl w:val="0"/>
          <w:numId w:val="4"/>
        </w:numPr>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权利保证</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第五条  质量保证</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1、乙方所提供的货物的技术规格符合招标文件规定的技术规格，货物符合中华人民共和国的设计和制造生产标准或行业标准。</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2、乙方应保证货物是全新、未使用过的原装合格正品（包括零部件），并完全符合甲方要求的质量、规格和性能的要求。如货物安装或配置了软件的，乙方保证相关软件均为正版软件。</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3、乙方保证交货时一并提供货物的质量合格凭证或文件。</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第六条  交货和验收</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1、乙方应按照本合同或招投标文件规定的时间和方式向甲方交付货物，交货地点由甲方指定。因交货产生的费用由乙方自行承担。</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2、乙方交付的货物应当完全符合招投标文件所规定的货物、数量、质量和规格要求。乙方提供的货物不符合招投标文件和合同规定的，甲方有权拒收货物，由此引起的风险，由乙方承担。</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5、货物的所有权和灭失的风险自乙方将货物交付给甲方时转移。</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第七条  保修及其他服务</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1、乙方应按照国家有关法律法规规章和“三包”规定和招标文件的要求及乙方在投标文件的相关承诺提供保修及其他服务。</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2、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3、在甲方提出维修要求后，乙方应于  小时内响应，  小时维修到位，并在  小时内消除故障。消耗品和零配件供应及时，特殊情况下可提供备用机。</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第八条 保密条款</w:t>
      </w:r>
    </w:p>
    <w:p>
      <w:pPr>
        <w:keepNext w:val="0"/>
        <w:keepLines w:val="0"/>
        <w:pageBreakBefore w:val="0"/>
        <w:widowControl w:val="0"/>
        <w:kinsoku/>
        <w:wordWrap/>
        <w:overflowPunct/>
        <w:topLinePunct w:val="0"/>
        <w:autoSpaceDE/>
        <w:autoSpaceDN/>
        <w:bidi w:val="0"/>
        <w:adjustRightInd/>
        <w:snapToGrid/>
        <w:spacing w:line="320" w:lineRule="exact"/>
        <w:ind w:firstLine="630" w:firstLineChars="300"/>
        <w:textAlignment w:val="auto"/>
        <w:rPr>
          <w:rFonts w:ascii="宋体" w:eastAsia="宋体" w:hAnsi="宋体" w:cs="宋体" w:hint="eastAsia"/>
        </w:rPr>
      </w:pPr>
      <w:r>
        <w:rPr>
          <w:rFonts w:ascii="宋体" w:eastAsia="宋体" w:hAnsi="宋体" w:cs="宋体" w:hint="eastAsia"/>
        </w:rPr>
        <w:t>1、乙方对在本合同履行中获取或者知悉甲方提供的资料、信息负有保密义务。</w:t>
      </w:r>
    </w:p>
    <w:p>
      <w:pPr>
        <w:keepNext w:val="0"/>
        <w:keepLines w:val="0"/>
        <w:pageBreakBefore w:val="0"/>
        <w:widowControl w:val="0"/>
        <w:kinsoku/>
        <w:wordWrap/>
        <w:overflowPunct/>
        <w:topLinePunct w:val="0"/>
        <w:autoSpaceDE/>
        <w:autoSpaceDN/>
        <w:bidi w:val="0"/>
        <w:adjustRightInd/>
        <w:snapToGrid/>
        <w:spacing w:line="320" w:lineRule="exact"/>
        <w:ind w:firstLine="630" w:firstLineChars="300"/>
        <w:textAlignment w:val="auto"/>
        <w:rPr>
          <w:rFonts w:ascii="宋体" w:eastAsia="宋体" w:hAnsi="宋体" w:cs="宋体" w:hint="eastAsia"/>
        </w:rPr>
      </w:pPr>
      <w:r>
        <w:rPr>
          <w:rFonts w:ascii="宋体" w:eastAsia="宋体" w:hAnsi="宋体" w:cs="宋体" w:hint="eastAsia"/>
        </w:rPr>
        <w:t>2、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keepNext w:val="0"/>
        <w:keepLines w:val="0"/>
        <w:pageBreakBefore w:val="0"/>
        <w:widowControl w:val="0"/>
        <w:kinsoku/>
        <w:wordWrap/>
        <w:overflowPunct/>
        <w:topLinePunct w:val="0"/>
        <w:autoSpaceDE/>
        <w:autoSpaceDN/>
        <w:bidi w:val="0"/>
        <w:adjustRightInd/>
        <w:snapToGrid/>
        <w:spacing w:line="320" w:lineRule="exact"/>
        <w:ind w:firstLine="630" w:firstLineChars="300"/>
        <w:textAlignment w:val="auto"/>
        <w:rPr>
          <w:rFonts w:ascii="宋体" w:eastAsia="宋体" w:hAnsi="宋体" w:cs="宋体" w:hint="eastAsia"/>
          <w:b/>
        </w:rPr>
      </w:pPr>
      <w:r>
        <w:rPr>
          <w:rFonts w:ascii="宋体" w:eastAsia="宋体" w:hAnsi="宋体" w:cs="宋体" w:hint="eastAsia"/>
        </w:rPr>
        <w:t>3、保密期限自本协议签订生效之日起至保密信息被依法公开披露或成为公开信息之日止。合同中止、终止或者解除不视为免除保密义务，乙方仍应当承担保密义务。</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第九条  履约保证金</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1、乙方应在签订本合同之日，向甲方或甲方指定的机构提交履约保证金_________元。</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2、如乙方未能履行合同规定的义务，甲方有权从履约保证金中取得补偿。</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3、甲方在乙方履行完毕本合同项下全部义务后______天内无息退还乙方。</w:t>
      </w:r>
    </w:p>
    <w:p>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ascii="宋体" w:eastAsia="宋体" w:hAnsi="宋体" w:cs="宋体" w:hint="eastAsia"/>
          <w:b/>
        </w:rPr>
      </w:pPr>
      <w:r>
        <w:rPr>
          <w:rFonts w:ascii="宋体" w:eastAsia="宋体" w:hAnsi="宋体" w:cs="宋体" w:hint="eastAsia"/>
          <w:b/>
        </w:rPr>
        <w:t>第十条  货款支付</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ascii="宋体" w:eastAsia="宋体" w:hAnsi="宋体" w:cs="宋体" w:hint="eastAsia"/>
        </w:rPr>
      </w:pPr>
      <w:r>
        <w:rPr>
          <w:rFonts w:ascii="宋体" w:eastAsia="宋体" w:hAnsi="宋体" w:cs="宋体" w:hint="eastAsia"/>
          <w:b/>
          <w:u w:val="single"/>
        </w:rPr>
        <w:t>（详见商务要求）</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left"/>
        <w:textAlignment w:val="auto"/>
        <w:rPr>
          <w:rFonts w:ascii="宋体" w:eastAsia="宋体" w:hAnsi="宋体" w:cs="宋体" w:hint="eastAsia"/>
          <w:b/>
        </w:rPr>
      </w:pPr>
      <w:r>
        <w:rPr>
          <w:rFonts w:ascii="宋体" w:eastAsia="宋体" w:hAnsi="宋体" w:cs="宋体" w:hint="eastAsia"/>
          <w:b/>
        </w:rPr>
        <w:t>第十一条 违约责任</w:t>
      </w:r>
      <w:r>
        <w:rPr>
          <w:rFonts w:ascii="宋体" w:eastAsia="宋体" w:hAnsi="宋体" w:cs="宋体" w:hint="eastAsia"/>
          <w:b/>
          <w:u w:val="single"/>
        </w:rPr>
        <w:t>（详见商务要求）</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１、甲方无正当理由拒收货物、拒付货物款的，由甲方向乙方偿付合同总价的【】%违约金。</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２、甲方未按合同规定的期限向乙方支付货款的，每逾期1天甲方向乙方偿付欠款总额的【】‰滞纳金，但累计滞纳金总额不超过欠款总额的【】% 。</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３、乙方逾期交付货物的，每逾期1天，乙方向甲方偿付逾期交货部分货款总额的【】‰的滞纳金。如乙方逾期交货达天，甲方有权解除合同，履约保证金不予退回，同时乙方应向甲方支付合同总价【】％的违约金。</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如经乙方两次维修或更换，货物仍不能达到合同约定的质量标准，甲方有权退货，乙方应退回全部货款并赔偿甲方因此遭受的损失。</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6.乙方违反本合同约定的保密义务，甲方有权要求乙方按合同总额【】%支付违约金；造成不良影响或对甲方造成损失的，甲方有权要求乙方消除影响，承担赔偿责任，并有权解除合同。</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7、因乙方提供的产品受到侵权指控或者引发法律纠纷，影响甲方正常使用或者导致合同目的不能实现的，甲方有权要求乙方按合同总额【】%支付违约金，并有权解除合同。</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8、乙方未履行本合同项下的其他义务或违反其在投标文件中的相关承诺的，应按合同总价款的【】%向甲方承担违约责任。</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9、乙方在承担上述一项或多项违约责任后，仍应继续履行合同规定的义务（甲方解除合同的除外）。甲方未能及时追究乙方的任何一项违约责任并不表明甲方放弃追究乙方该项或其他违约责任。</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第十二条    合同的变更和终止</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除《深圳经济特区政府采购条例》第40条、《中华人民共和国政府采购法》第50条第二款规定或者主管部门另有政策规定的情形外，本合同一经签订，甲乙双方不得擅自变更、中止或终止合同。</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第十三条   争议的解决</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1、因货物的质量问题发生争议的，应当邀请国家认可的质量检测机构对货物质量进行鉴定。货物符合标准的，鉴定费由甲方承担；货物不符合质量标准的，鉴定费由乙方承担。</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2、因履行本合同引起的或与本合同有关的争议，甲、乙双方应首先通过友好协商解决，如果协商不能解决争议，则向甲方所在地有管辖权的人民法院提起诉讼；</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b/>
        </w:rPr>
      </w:pPr>
      <w:r>
        <w:rPr>
          <w:rFonts w:ascii="宋体" w:eastAsia="宋体" w:hAnsi="宋体" w:cs="宋体" w:hint="eastAsia"/>
          <w:b/>
        </w:rPr>
        <w:t>第十四条   合同生效及其他</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1、下列文件均为本合同的组成部分：</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（1）号招标文件、答疑及补充通知；</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（2）乙方的投标文件；</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（3）本合同执行中甲乙双方共同签署的补充与修正文件。</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2、本合同一式份，甲、乙方双方各执份，具有同等法律效力。本合同自双方法定代表人（或授权代表）签字并盖章之日起生效。</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甲方（采购人）：   （盖章）       乙方（供应商）：    （盖章）</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 xml:space="preserve">法定代表人：                     法定代表人： </w:t>
      </w:r>
    </w:p>
    <w:p>
      <w:pPr>
        <w:keepNext w:val="0"/>
        <w:keepLines w:val="0"/>
        <w:pageBreakBefore w:val="0"/>
        <w:widowControl w:val="0"/>
        <w:kinsoku/>
        <w:wordWrap/>
        <w:overflowPunct/>
        <w:topLinePunct w:val="0"/>
        <w:autoSpaceDE/>
        <w:autoSpaceDN/>
        <w:bidi w:val="0"/>
        <w:adjustRightInd/>
        <w:snapToGrid/>
        <w:spacing w:line="320" w:lineRule="exact"/>
        <w:ind w:firstLine="560"/>
        <w:jc w:val="left"/>
        <w:textAlignment w:val="auto"/>
        <w:rPr>
          <w:rFonts w:ascii="宋体" w:eastAsia="宋体" w:hAnsi="宋体" w:cs="宋体" w:hint="eastAsia"/>
        </w:rPr>
      </w:pPr>
      <w:r>
        <w:rPr>
          <w:rFonts w:ascii="宋体" w:eastAsia="宋体" w:hAnsi="宋体" w:cs="宋体" w:hint="eastAsia"/>
        </w:rPr>
        <w:t>委托代理人：                     委托代理人：</w:t>
      </w:r>
    </w:p>
    <w:p>
      <w:pPr>
        <w:keepNext w:val="0"/>
        <w:keepLines w:val="0"/>
        <w:pageBreakBefore w:val="0"/>
        <w:widowControl w:val="0"/>
        <w:kinsoku/>
        <w:wordWrap/>
        <w:overflowPunct/>
        <w:topLinePunct w:val="0"/>
        <w:autoSpaceDE/>
        <w:autoSpaceDN/>
        <w:bidi w:val="0"/>
        <w:adjustRightInd/>
        <w:snapToGrid/>
        <w:spacing w:line="320" w:lineRule="exact"/>
        <w:ind w:firstLine="525" w:firstLineChars="250"/>
        <w:textAlignment w:val="auto"/>
        <w:rPr>
          <w:rFonts w:ascii="宋体" w:eastAsia="宋体" w:hAnsi="宋体" w:cs="宋体" w:hint="eastAsia"/>
          <w:b/>
        </w:rPr>
      </w:pPr>
      <w:r>
        <w:rPr>
          <w:rFonts w:ascii="宋体" w:eastAsia="宋体" w:hAnsi="宋体" w:cs="宋体" w:hint="eastAsia"/>
        </w:rPr>
        <w:t>日期：   年     月    日         日期：   年     月    日</w:t>
      </w:r>
    </w:p>
    <w:p>
      <w:pPr>
        <w:rPr>
          <w:rFonts w:hint="eastAsia"/>
        </w:rPr>
      </w:pPr>
    </w:p>
    <w:p>
      <w:pPr>
        <w:widowControl/>
        <w:jc w:val="left"/>
        <w:rPr>
          <w:rFonts w:ascii="宋体" w:eastAsia="黑体" w:hAnsi="宋体" w:cs="Times New Roman"/>
          <w:b/>
          <w:bCs/>
          <w:color w:val="0000FF"/>
          <w:kern w:val="44"/>
          <w:sz w:val="36"/>
          <w:szCs w:val="44"/>
        </w:rPr>
      </w:pPr>
      <w:r>
        <w:br w:type="page"/>
      </w:r>
    </w:p>
    <w:p>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  通用条款（公开招标）</w:t>
      </w:r>
    </w:p>
    <w:p>
      <w:pPr>
        <w:keepNext/>
        <w:keepLines/>
        <w:numPr>
          <w:ilvl w:val="0"/>
          <w:numId w:val="5"/>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2" w:name="_Hlk72399513"/>
      <w:r>
        <w:rPr>
          <w:rFonts w:asciiTheme="majorHAnsi" w:eastAsiaTheme="majorEastAsia" w:hAnsiTheme="majorHAnsi" w:cstheme="majorBidi" w:hint="eastAsia"/>
          <w:b/>
          <w:bCs/>
          <w:sz w:val="28"/>
          <w:szCs w:val="28"/>
        </w:rPr>
        <w:t>总则</w:t>
      </w:r>
      <w:bookmarkEnd w:id="32"/>
    </w:p>
    <w:p>
      <w:pPr>
        <w:rPr>
          <w:rFonts w:ascii="黑体" w:eastAsia="黑体" w:hAnsi="宋体"/>
          <w:sz w:val="24"/>
        </w:rPr>
      </w:pPr>
      <w:bookmarkStart w:id="33" w:name="_Hlk72439706"/>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34" w:name="_Hlk72399729"/>
      <w:r>
        <w:rPr>
          <w:rFonts w:ascii="宋体" w:hAnsi="宋体" w:hint="eastAsia"/>
          <w:szCs w:val="21"/>
        </w:rPr>
        <w:t>如有需要，政府集中采购机构可以对通用条款的内容进行补充。</w:t>
      </w:r>
      <w:bookmarkEnd w:id="34"/>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35"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36"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36"/>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35"/>
    </w:p>
    <w:p>
      <w:pPr>
        <w:ind w:firstLine="412" w:firstLineChars="196"/>
        <w:rPr>
          <w:rFonts w:ascii="宋体" w:hAnsi="宋体"/>
        </w:rPr>
      </w:pPr>
    </w:p>
    <w:p>
      <w:pPr>
        <w:pStyle w:val="Heading2"/>
        <w:numPr>
          <w:ilvl w:val="0"/>
          <w:numId w:val="5"/>
        </w:numPr>
        <w:spacing w:before="156" w:beforeLines="50" w:after="156"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37"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37"/>
    </w:p>
    <w:p>
      <w:pPr>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38"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38"/>
    </w:p>
    <w:p>
      <w:pPr>
        <w:rPr>
          <w:rFonts w:ascii="黑体" w:eastAsia="黑体" w:hAnsi="宋体"/>
          <w:sz w:val="24"/>
        </w:rPr>
      </w:pPr>
      <w:r>
        <w:rPr>
          <w:rFonts w:ascii="黑体" w:eastAsia="黑体" w:hAnsi="宋体" w:hint="eastAsia"/>
          <w:sz w:val="24"/>
        </w:rPr>
        <w:t>15．</w:t>
      </w:r>
      <w:bookmarkStart w:id="39"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39"/>
    </w:p>
    <w:p>
      <w:pPr>
        <w:rPr>
          <w:rFonts w:ascii="黑体" w:eastAsia="黑体" w:hAnsi="宋体"/>
          <w:sz w:val="24"/>
        </w:rPr>
      </w:pPr>
      <w:r>
        <w:rPr>
          <w:rFonts w:ascii="黑体" w:eastAsia="黑体" w:hAnsi="宋体" w:hint="eastAsia"/>
          <w:sz w:val="24"/>
        </w:rPr>
        <w:t>18．</w:t>
      </w:r>
      <w:bookmarkStart w:id="40"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0"/>
    </w:p>
    <w:p>
      <w:pPr>
        <w:rPr>
          <w:rFonts w:ascii="黑体" w:eastAsia="黑体" w:hAnsi="宋体"/>
          <w:sz w:val="24"/>
        </w:rPr>
      </w:pPr>
      <w:r>
        <w:rPr>
          <w:rFonts w:ascii="黑体" w:eastAsia="黑体" w:hAnsi="宋体" w:hint="eastAsia"/>
          <w:sz w:val="24"/>
        </w:rPr>
        <w:t>19．</w:t>
      </w:r>
      <w:bookmarkStart w:id="41"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2" w:name="_Hlk71407299"/>
      <w:bookmarkEnd w:id="42"/>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41"/>
    </w:p>
    <w:p>
      <w:pPr>
        <w:ind w:firstLine="412" w:firstLineChars="196"/>
        <w:rPr>
          <w:rFonts w:ascii="宋体" w:hAnsi="宋体"/>
          <w:szCs w:val="21"/>
        </w:rPr>
      </w:pPr>
      <w:bookmarkStart w:id="43"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3"/>
    </w:p>
    <w:p>
      <w:pPr>
        <w:rPr>
          <w:rFonts w:ascii="黑体" w:eastAsia="黑体" w:hAnsi="宋体"/>
          <w:sz w:val="24"/>
        </w:rPr>
      </w:pPr>
      <w:r>
        <w:rPr>
          <w:rFonts w:ascii="黑体" w:eastAsia="黑体" w:hAnsi="宋体" w:hint="eastAsia"/>
          <w:sz w:val="24"/>
        </w:rPr>
        <w:t>21．</w:t>
      </w:r>
      <w:bookmarkStart w:id="44"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4"/>
    </w:p>
    <w:p>
      <w:pPr>
        <w:rPr>
          <w:rFonts w:ascii="黑体" w:eastAsia="黑体" w:hAnsi="宋体"/>
          <w:sz w:val="24"/>
        </w:rPr>
      </w:pPr>
      <w:r>
        <w:rPr>
          <w:rFonts w:ascii="黑体" w:eastAsia="黑体" w:hAnsi="宋体" w:hint="eastAsia"/>
          <w:sz w:val="24"/>
        </w:rPr>
        <w:t>23．</w:t>
      </w:r>
      <w:bookmarkStart w:id="45"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45"/>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投标文件的递交</w:t>
      </w:r>
    </w:p>
    <w:p>
      <w:pPr>
        <w:rPr>
          <w:rFonts w:ascii="黑体" w:eastAsia="黑体" w:hAnsi="宋体"/>
          <w:sz w:val="24"/>
        </w:rPr>
      </w:pPr>
      <w:bookmarkStart w:id="46"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lang w:val="en-US" w:eastAsia="zh-CN"/>
        </w:rPr>
        <w:t>一</w:t>
      </w:r>
      <w:r>
        <w:rPr>
          <w:rFonts w:ascii="宋体" w:hAnsi="宋体" w:hint="eastAsia"/>
          <w:b/>
          <w:bCs/>
        </w:rPr>
        <w:t>楼</w:t>
      </w:r>
      <w:r>
        <w:rPr>
          <w:rFonts w:ascii="宋体" w:hAnsi="宋体" w:hint="eastAsia"/>
          <w:b/>
          <w:bCs/>
          <w:lang w:val="en-US" w:eastAsia="zh-CN"/>
        </w:rPr>
        <w:t>服务大厅</w:t>
      </w:r>
      <w:r>
        <w:rPr>
          <w:rFonts w:ascii="宋体" w:hAnsi="宋体" w:hint="eastAsia"/>
          <w:b/>
          <w:bCs/>
        </w:rPr>
        <w:t>（地址：</w:t>
      </w:r>
      <w:r>
        <w:rPr>
          <w:rFonts w:ascii="宋体" w:hAnsi="宋体" w:hint="eastAsia"/>
          <w:b/>
          <w:bCs/>
          <w:lang w:val="en-US" w:eastAsia="zh-CN"/>
        </w:rPr>
        <w:t>深圳市宝安区湖滨东路40号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bookmarkEnd w:id="46"/>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47"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47"/>
    </w:p>
    <w:p>
      <w:pPr>
        <w:pStyle w:val="Heading2"/>
        <w:numPr>
          <w:ilvl w:val="0"/>
          <w:numId w:val="5"/>
        </w:numPr>
        <w:spacing w:before="156" w:beforeLines="50" w:after="156"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48"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48"/>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49"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49"/>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50" w:name="_Toc73521581"/>
      <w:bookmarkStart w:id="51" w:name="_Toc100052400"/>
      <w:bookmarkStart w:id="52" w:name="_Toc73521669"/>
      <w:bookmarkStart w:id="53" w:name="_Toc73517673"/>
      <w:bookmarkStart w:id="54" w:name="_Toc73518151"/>
      <w:r>
        <w:rPr>
          <w:rFonts w:ascii="黑体" w:eastAsia="黑体" w:hAnsi="宋体" w:hint="eastAsia"/>
          <w:sz w:val="24"/>
        </w:rPr>
        <w:t>34．错误的修正</w:t>
      </w:r>
      <w:bookmarkEnd w:id="50"/>
      <w:bookmarkEnd w:id="51"/>
      <w:bookmarkEnd w:id="52"/>
      <w:bookmarkEnd w:id="53"/>
      <w:bookmarkEnd w:id="54"/>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55"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55"/>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56"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57" w:name="_Hlk73821177"/>
      <w:r>
        <w:rPr>
          <w:rFonts w:ascii="ˎ̥" w:hAnsi="ˎ̥" w:hint="eastAsia"/>
          <w:lang w:val="en-US" w:eastAsia="zh-CN"/>
        </w:rPr>
        <w:t>唯一候选</w:t>
      </w:r>
      <w:r>
        <w:rPr>
          <w:rFonts w:ascii="ˎ̥" w:hAnsi="ˎ̥" w:hint="eastAsia"/>
        </w:rPr>
        <w:t>中标供应商</w:t>
      </w:r>
      <w:bookmarkEnd w:id="57"/>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为唯一</w:t>
      </w:r>
      <w:r>
        <w:rPr>
          <w:rFonts w:ascii="ˎ̥" w:hAnsi="ˎ̥" w:hint="eastAsia"/>
          <w:lang w:val="en-US" w:eastAsia="zh-CN"/>
        </w:rPr>
        <w:t>候选</w:t>
      </w:r>
      <w:r>
        <w:rPr>
          <w:rFonts w:ascii="ˎ̥" w:hAnsi="ˎ̥" w:hint="eastAsia"/>
        </w:rPr>
        <w:t>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ascii="ˎ̥" w:hAnsi="ˎ̥" w:hint="eastAsia"/>
          <w:lang w:eastAsia="zh-CN"/>
        </w:rPr>
        <w:t>（</w:t>
      </w:r>
      <w:r>
        <w:rPr>
          <w:rFonts w:ascii="ˎ̥" w:hAnsi="ˎ̥" w:hint="eastAsia"/>
          <w:lang w:val="en-US" w:eastAsia="zh-CN"/>
        </w:rPr>
        <w:t>如“专用条款”中另有规定的以“专用条款”相关规定内容为准</w:t>
      </w:r>
      <w:r>
        <w:rPr>
          <w:rFonts w:ascii="ˎ̥" w:hAnsi="ˎ̥" w:hint="eastAsia"/>
          <w:lang w:eastAsia="zh-CN"/>
        </w:rPr>
        <w:t>）</w:t>
      </w:r>
      <w:r>
        <w:rPr>
          <w:rFonts w:ascii="ˎ̥" w:hAnsi="ˎ̥" w:hint="eastAsia"/>
        </w:rPr>
        <w:t>。如唯一候选中标供应商被认定投标或中标无效，采购人应当重新开展采购活动</w:t>
      </w:r>
      <w:r>
        <w:rPr>
          <w:rFonts w:ascii="ˎ̥" w:hAnsi="ˎ̥" w:hint="eastAsia"/>
          <w:lang w:eastAsia="zh-CN"/>
        </w:rPr>
        <w:t>。</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5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5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58"/>
      <w:bookmarkEnd w:id="5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56"/>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6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60"/>
      <w:bookmarkStart w:id="61"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1"/>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2"/>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63" w:name="_Hlk71407340"/>
      <w:r>
        <w:rPr>
          <w:rFonts w:ascii="宋体" w:hAnsi="宋体" w:hint="eastAsia"/>
          <w:szCs w:val="21"/>
        </w:rPr>
        <w:t>41.3因质疑投诉或其它原因导致项目结果变更或采购终止的，政府集中采购机构有权吊销中标通知书。</w:t>
      </w:r>
      <w:bookmarkEnd w:id="63"/>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5"/>
        </w:numPr>
        <w:spacing w:before="156" w:beforeLines="50" w:after="156" w:afterLines="50"/>
        <w:ind w:left="562" w:hanging="562"/>
        <w:rPr>
          <w:sz w:val="28"/>
          <w:szCs w:val="28"/>
        </w:rPr>
      </w:pPr>
      <w:bookmarkStart w:id="64" w:name="_Hlk72439043"/>
      <w:r>
        <w:rPr>
          <w:rFonts w:hint="eastAsia"/>
          <w:sz w:val="28"/>
          <w:szCs w:val="28"/>
        </w:rPr>
        <w:t>合同的授予与备案</w:t>
      </w:r>
      <w:bookmarkEnd w:id="64"/>
    </w:p>
    <w:p>
      <w:pPr>
        <w:rPr>
          <w:rFonts w:ascii="黑体" w:eastAsia="黑体" w:hAnsi="宋体"/>
          <w:sz w:val="24"/>
        </w:rPr>
      </w:pPr>
      <w:bookmarkStart w:id="65" w:name="_Toc100052408"/>
      <w:bookmarkStart w:id="66" w:name="_Toc73521586"/>
      <w:bookmarkStart w:id="67" w:name="_Toc73517679"/>
      <w:bookmarkStart w:id="68" w:name="_Toc73518157"/>
      <w:bookmarkStart w:id="69" w:name="_Toc73521674"/>
      <w:bookmarkStart w:id="70" w:name="_Hlk72439088"/>
      <w:r>
        <w:rPr>
          <w:rFonts w:ascii="黑体" w:eastAsia="黑体" w:hAnsi="宋体" w:hint="eastAsia"/>
          <w:sz w:val="24"/>
        </w:rPr>
        <w:t>43．合同授予标准</w:t>
      </w:r>
      <w:bookmarkEnd w:id="65"/>
      <w:bookmarkEnd w:id="66"/>
      <w:bookmarkEnd w:id="67"/>
      <w:bookmarkEnd w:id="68"/>
      <w:bookmarkEnd w:id="6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71" w:name="_Toc73518158"/>
      <w:bookmarkStart w:id="72" w:name="_Toc73521587"/>
      <w:bookmarkStart w:id="73" w:name="_Toc73521675"/>
      <w:bookmarkStart w:id="74" w:name="_Toc100052409"/>
      <w:bookmarkStart w:id="75" w:name="_Toc73517680"/>
      <w:r>
        <w:rPr>
          <w:rFonts w:ascii="黑体" w:eastAsia="黑体" w:hAnsi="宋体" w:hint="eastAsia"/>
          <w:sz w:val="24"/>
        </w:rPr>
        <w:t>44．</w:t>
      </w:r>
      <w:bookmarkEnd w:id="71"/>
      <w:bookmarkEnd w:id="72"/>
      <w:bookmarkEnd w:id="73"/>
      <w:bookmarkEnd w:id="74"/>
      <w:bookmarkEnd w:id="7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76" w:name="_Toc73517682"/>
      <w:bookmarkStart w:id="77" w:name="_Toc73518160"/>
      <w:bookmarkStart w:id="78" w:name="_Toc73521589"/>
      <w:bookmarkStart w:id="79" w:name="_Toc73521677"/>
      <w:bookmarkStart w:id="80" w:name="_Toc100052410"/>
      <w:r>
        <w:rPr>
          <w:rFonts w:ascii="黑体" w:eastAsia="黑体" w:hAnsi="宋体" w:hint="eastAsia"/>
          <w:sz w:val="24"/>
        </w:rPr>
        <w:t>45．合同的签订</w:t>
      </w:r>
      <w:bookmarkEnd w:id="76"/>
      <w:bookmarkEnd w:id="77"/>
      <w:bookmarkEnd w:id="78"/>
      <w:bookmarkEnd w:id="79"/>
      <w:bookmarkEnd w:id="8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81" w:name="_Toc100052411"/>
      <w:bookmarkStart w:id="82" w:name="_Toc73521678"/>
      <w:bookmarkStart w:id="83" w:name="_Toc73518161"/>
      <w:bookmarkStart w:id="84" w:name="_Toc73517683"/>
      <w:bookmarkStart w:id="85" w:name="_Toc73521590"/>
      <w:r>
        <w:rPr>
          <w:rFonts w:ascii="黑体" w:eastAsia="黑体" w:hAnsi="宋体" w:hint="eastAsia"/>
          <w:sz w:val="24"/>
        </w:rPr>
        <w:t>46．履约担保</w:t>
      </w:r>
      <w:bookmarkEnd w:id="81"/>
      <w:bookmarkEnd w:id="82"/>
      <w:bookmarkEnd w:id="83"/>
      <w:bookmarkEnd w:id="84"/>
      <w:bookmarkEnd w:id="8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rPr>
          <w:rFonts w:ascii="黑体" w:eastAsia="黑体" w:hAnsi="宋体"/>
          <w:sz w:val="24"/>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86" w:name="_Hlk72440769"/>
      <w:r>
        <w:rPr>
          <w:rFonts w:ascii="宋体" w:hAnsi="宋体" w:hint="eastAsia"/>
          <w:szCs w:val="21"/>
        </w:rPr>
        <w:t>政府集中采购机构或采购人不予退还其交纳的谈判保证金，情节严重的，并由主管部门</w:t>
      </w:r>
      <w:bookmarkEnd w:id="86"/>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0"/>
    </w:p>
    <w:p>
      <w:pPr>
        <w:pStyle w:val="Heading2"/>
        <w:numPr>
          <w:ilvl w:val="0"/>
          <w:numId w:val="5"/>
        </w:numPr>
        <w:spacing w:before="156" w:beforeLines="50" w:after="156" w:afterLines="50"/>
        <w:ind w:left="562" w:hanging="562"/>
        <w:rPr>
          <w:sz w:val="28"/>
          <w:szCs w:val="28"/>
        </w:rPr>
      </w:pPr>
      <w:r>
        <w:rPr>
          <w:rFonts w:hint="eastAsia"/>
          <w:sz w:val="28"/>
          <w:szCs w:val="28"/>
        </w:rPr>
        <w:t>质疑处理</w:t>
      </w:r>
    </w:p>
    <w:p>
      <w:pPr>
        <w:rPr>
          <w:rFonts w:ascii="黑体" w:eastAsia="黑体" w:hAnsi="宋体"/>
          <w:sz w:val="24"/>
        </w:rPr>
      </w:pPr>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87" w:name="_Hlk75374941"/>
      <w:r>
        <w:rPr>
          <w:rFonts w:ascii="宋体" w:hAnsi="宋体" w:hint="eastAsia"/>
          <w:szCs w:val="21"/>
        </w:rPr>
        <w:t>以联合体形式参与的，质疑应当由组成联合体的所有成员共同提出</w:t>
      </w:r>
      <w:bookmarkEnd w:id="87"/>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p>
    <w:p>
      <w:pPr>
        <w:jc w:val="center"/>
        <w:rPr>
          <w:rFonts w:ascii="Times New Roman" w:eastAsia="宋体" w:hAnsi="Times New Roman" w:cs="Times New Roman"/>
          <w:szCs w:val="24"/>
        </w:rPr>
      </w:pPr>
      <w:r>
        <w:rPr>
          <w:rFonts w:ascii="Times New Roman" w:eastAsia="宋体" w:hAnsi="Times New Roman" w:cs="Times New Roman"/>
          <w:szCs w:val="24"/>
        </w:rPr>
        <w:t>---- END ----</w:t>
      </w:r>
      <w:bookmarkEnd w:id="33"/>
    </w:p>
    <w:p>
      <w:pPr>
        <w:rPr>
          <w:b/>
          <w:color w:val="FF0000"/>
          <w:sz w:val="52"/>
          <w:szCs w:val="52"/>
        </w:rPr>
      </w:pPr>
    </w:p>
    <w:p>
      <w:pPr>
        <w:rPr>
          <w:rFonts w:ascii="宋体" w:eastAsia="黑体" w:hAnsi="宋体" w:cs="Times New Roman"/>
          <w:b/>
          <w:bCs/>
          <w:color w:val="0000FF"/>
          <w:kern w:val="44"/>
          <w:sz w:val="36"/>
          <w:szCs w:val="44"/>
        </w:rPr>
      </w:pPr>
    </w:p>
    <w:sectPr>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22060"/>
      <w:docPartObj>
        <w:docPartGallery w:val="autotext"/>
      </w:docPartObj>
    </w:sdtPr>
    <w:sdtContent>
      <w:p>
        <w:pPr>
          <w:pStyle w:val="Footer"/>
          <w:jc w:val="center"/>
        </w:pPr>
        <w:r>
          <w:fldChar w:fldCharType="begin"/>
        </w:r>
        <w:r>
          <w:instrText xml:space="preserve"> PAGE   \* MERGEFORMAT </w:instrText>
        </w:r>
        <w:r>
          <w:fldChar w:fldCharType="separate"/>
        </w:r>
        <w:r>
          <w:rPr>
            <w:lang w:val="zh-CN"/>
          </w:rPr>
          <w:t>6</w:t>
        </w:r>
        <w:r>
          <w:rPr>
            <w:lang w:val="zh-CN"/>
          </w:rPr>
          <w:fldChar w:fldCharType="end"/>
        </w:r>
      </w:p>
    </w:sdtContent>
  </w:sdt>
  <w:p>
    <w:pPr>
      <w:pStyle w:val="Footer"/>
      <w:spacing w:after="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multilevel"/>
    <w:tmpl w:val="B5E306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BF205925"/>
    <w:multiLevelType w:val="multilevel"/>
    <w:tmpl w:val="BF205925"/>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088204B4"/>
    <w:multiLevelType w:val="multilevel"/>
    <w:tmpl w:val="088204B4"/>
    <w:lvl w:ilvl="0">
      <w:start w:val="3"/>
      <w:numFmt w:val="chineseCounting"/>
      <w:suff w:val="space"/>
      <w:lvlText w:val="第%1条"/>
      <w:lvlJc w:val="left"/>
      <w:pPr>
        <w:ind w:left="0" w:firstLine="0"/>
      </w:pPr>
      <w:rPr>
        <w:rFonts w:ascii="宋体" w:eastAsia="宋体" w:hAnsi="宋体" w:hint="eastAsia"/>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25B654F3"/>
    <w:multiLevelType w:val="multilevel"/>
    <w:tmpl w:val="25B654F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59ADCABA"/>
    <w:multiLevelType w:val="multilevel"/>
    <w:tmpl w:val="59ADCABA"/>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4"/>
  </w:num>
  <w:num w:numId="2">
    <w:abstractNumId w:val="1"/>
  </w:num>
  <w:num w:numId="3">
    <w:abstractNumId w:val="0"/>
  </w:num>
  <w:num w:numId="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ZThkZmY1YjQxY2E2MWQ1MDA5NDYyYmRiZGZjZmMifQ=="/>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semiHidden="0" w:qFormat="1"/>
    <w:lsdException w:name="header"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semiHidden="0" w:uiPriority="0" w:unhideWhenUsed="0" w:qFormat="1"/>
    <w:lsdException w:name="Body Text 3"/>
    <w:lsdException w:name="Body Text Indent 2"/>
    <w:lsdException w:name="Body Text Indent 3"/>
    <w:lsdException w:name="Block Text"/>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qFormat="1"/>
    <w:lsdException w:name="HTML Address"/>
    <w:lsdException w:name="HTML Cite" w:qFormat="1"/>
    <w:lsdException w:name="HTML Code" w:qFormat="1"/>
    <w:lsdException w:name="HTML Definition" w:qFormat="1"/>
    <w:lsdException w:name="HTML Keyboard" w:qFormat="1"/>
    <w:lsdException w:name="HTML Preformatted"/>
    <w:lsdException w:name="HTML Sample" w:qFormat="1"/>
    <w:lsdException w:name="HTML Typewriter" w:qFormat="1"/>
    <w:lsdException w:name="HTML Variable" w:qFormat="1"/>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autoRedefine/>
    <w:qFormat/>
    <w:pPr>
      <w:keepNext/>
      <w:keepLines/>
      <w:spacing w:before="340" w:afterLines="25" w:line="578" w:lineRule="auto"/>
      <w:outlineLvl w:val="0"/>
    </w:pPr>
    <w:rPr>
      <w:rFonts w:ascii="Arial" w:eastAsia="宋体" w:hAnsi="Arial" w:cs="Times New Roman"/>
      <w:b/>
      <w:bCs/>
      <w:kern w:val="44"/>
      <w:sz w:val="44"/>
      <w:szCs w:val="44"/>
    </w:rPr>
  </w:style>
  <w:style w:type="paragraph" w:styleId="Heading2">
    <w:name w:val="heading 2"/>
    <w:basedOn w:val="Heading3"/>
    <w:next w:val="Heading4"/>
    <w:link w:val="2Char"/>
    <w:autoRedefine/>
    <w:uiPriority w:val="9"/>
    <w:semiHidden/>
    <w:unhideWhenUsed/>
    <w:qFormat/>
    <w:pPr>
      <w:keepNext/>
      <w:keepLines/>
      <w:spacing w:before="260" w:after="260" w:line="416" w:lineRule="auto"/>
      <w:outlineLvl w:val="1"/>
    </w:pPr>
    <w:rPr>
      <w:rFonts w:asciiTheme="majorHAnsi" w:eastAsiaTheme="majorEastAsia" w:hAnsiTheme="majorHAnsi" w:cstheme="majorBidi"/>
      <w:sz w:val="32"/>
      <w:szCs w:val="32"/>
    </w:rPr>
  </w:style>
  <w:style w:type="paragraph" w:styleId="Heading3">
    <w:name w:val="heading 3"/>
    <w:basedOn w:val="Normal"/>
    <w:next w:val="Normal"/>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autoRedefine/>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NormalIndent">
    <w:name w:val="Normal Indent"/>
    <w:basedOn w:val="Normal"/>
    <w:autoRedefine/>
    <w:qFormat/>
    <w:pPr>
      <w:ind w:firstLine="420"/>
    </w:pPr>
    <w:rPr>
      <w:szCs w:val="20"/>
    </w:rPr>
  </w:style>
  <w:style w:type="paragraph" w:styleId="DocumentMap">
    <w:name w:val="Document Map"/>
    <w:basedOn w:val="Normal"/>
    <w:autoRedefine/>
    <w:uiPriority w:val="99"/>
    <w:semiHidden/>
    <w:unhideWhenUsed/>
    <w:qFormat/>
    <w:rPr>
      <w:rFonts w:ascii="宋体" w:eastAsia="宋体"/>
      <w:sz w:val="18"/>
      <w:szCs w:val="18"/>
    </w:rPr>
  </w:style>
  <w:style w:type="paragraph" w:styleId="CommentText">
    <w:name w:val="annotation text"/>
    <w:basedOn w:val="Normal"/>
    <w:autoRedefine/>
    <w:uiPriority w:val="99"/>
    <w:unhideWhenUsed/>
    <w:qFormat/>
    <w:pPr>
      <w:jc w:val="left"/>
    </w:pPr>
  </w:style>
  <w:style w:type="paragraph" w:styleId="BodyText">
    <w:name w:val="Body Text"/>
    <w:basedOn w:val="Normal"/>
    <w:autoRedefine/>
    <w:qFormat/>
    <w:pPr>
      <w:spacing w:line="360" w:lineRule="auto"/>
    </w:pPr>
    <w:rPr>
      <w:b/>
      <w:bCs/>
      <w:sz w:val="24"/>
    </w:rPr>
  </w:style>
  <w:style w:type="paragraph" w:styleId="BalloonText">
    <w:name w:val="Balloon Text"/>
    <w:basedOn w:val="Normal"/>
    <w:autoRedefine/>
    <w:uiPriority w:val="99"/>
    <w:semiHidden/>
    <w:unhideWhenUsed/>
    <w:qFormat/>
    <w:rPr>
      <w:sz w:val="18"/>
      <w:szCs w:val="18"/>
    </w:rPr>
  </w:style>
  <w:style w:type="paragraph" w:styleId="Footer">
    <w:name w:val="footer"/>
    <w:basedOn w:val="Normal"/>
    <w:autoRedefine/>
    <w:uiPriority w:val="99"/>
    <w:unhideWhenUsed/>
    <w:qFormat/>
    <w:pPr>
      <w:tabs>
        <w:tab w:val="center" w:pos="4153"/>
        <w:tab w:val="right" w:pos="8306"/>
      </w:tabs>
      <w:snapToGrid w:val="0"/>
      <w:jc w:val="left"/>
    </w:pPr>
    <w:rPr>
      <w:sz w:val="18"/>
      <w:szCs w:val="18"/>
    </w:rPr>
  </w:style>
  <w:style w:type="paragraph" w:styleId="Header">
    <w:name w:val="header"/>
    <w:basedOn w:val="Normal"/>
    <w:autoRedefine/>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autoRedefine/>
    <w:qFormat/>
    <w:pPr>
      <w:spacing w:line="360" w:lineRule="auto"/>
    </w:pPr>
    <w:rPr>
      <w:sz w:val="24"/>
    </w:rPr>
  </w:style>
  <w:style w:type="paragraph" w:styleId="NormalWeb">
    <w:name w:val="Normal (Web)"/>
    <w:basedOn w:val="Normal"/>
    <w:autoRedefine/>
    <w:uiPriority w:val="99"/>
    <w:qFormat/>
    <w:pPr>
      <w:widowControl/>
      <w:spacing w:before="100" w:beforeAutospacing="1" w:afterAutospacing="1"/>
      <w:jc w:val="left"/>
    </w:pPr>
    <w:rPr>
      <w:rFonts w:ascii="宋体" w:hAnsi="宋体"/>
      <w:sz w:val="24"/>
      <w:szCs w:val="24"/>
    </w:rPr>
  </w:style>
  <w:style w:type="paragraph" w:styleId="CommentSubject">
    <w:name w:val="annotation subject"/>
    <w:basedOn w:val="CommentText"/>
    <w:autoRedefine/>
    <w:uiPriority w:val="99"/>
    <w:semiHidden/>
    <w:unhideWhenUsed/>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autoRedefine/>
    <w:uiPriority w:val="22"/>
    <w:qFormat/>
    <w:rPr>
      <w:b/>
      <w:bCs/>
    </w:rPr>
  </w:style>
  <w:style w:type="character" w:styleId="FollowedHyperlink">
    <w:name w:val="FollowedHyperlink"/>
    <w:basedOn w:val="DefaultParagraphFont"/>
    <w:autoRedefine/>
    <w:uiPriority w:val="99"/>
    <w:semiHidden/>
    <w:unhideWhenUsed/>
    <w:qFormat/>
    <w:rPr>
      <w:color w:val="800080" w:themeColor="followedHyperlink"/>
      <w:u w:val="single"/>
    </w:rPr>
  </w:style>
  <w:style w:type="character" w:styleId="Emphasis">
    <w:name w:val="Emphasis"/>
    <w:basedOn w:val="DefaultParagraphFont"/>
    <w:autoRedefine/>
    <w:uiPriority w:val="20"/>
    <w:qFormat/>
    <w:rPr>
      <w:b/>
      <w:bCs/>
    </w:rPr>
  </w:style>
  <w:style w:type="character" w:styleId="HTMLDefinition">
    <w:name w:val="HTML Definition"/>
    <w:basedOn w:val="DefaultParagraphFont"/>
    <w:autoRedefine/>
    <w:uiPriority w:val="99"/>
    <w:semiHidden/>
    <w:unhideWhenUsed/>
    <w:qFormat/>
  </w:style>
  <w:style w:type="character" w:styleId="HTMLTypewriter">
    <w:name w:val="HTML Typewriter"/>
    <w:basedOn w:val="DefaultParagraphFont"/>
    <w:autoRedefine/>
    <w:uiPriority w:val="99"/>
    <w:semiHidden/>
    <w:unhideWhenUsed/>
    <w:qFormat/>
    <w:rPr>
      <w:rFonts w:ascii="monospace" w:eastAsia="monospace" w:hAnsi="monospace" w:cs="monospace" w:hint="default"/>
      <w:sz w:val="20"/>
    </w:rPr>
  </w:style>
  <w:style w:type="character" w:styleId="HTMLAcronym">
    <w:name w:val="HTML Acronym"/>
    <w:basedOn w:val="DefaultParagraphFont"/>
    <w:autoRedefine/>
    <w:uiPriority w:val="99"/>
    <w:semiHidden/>
    <w:unhideWhenUsed/>
    <w:qFormat/>
  </w:style>
  <w:style w:type="character" w:styleId="HTMLVariable">
    <w:name w:val="HTML Variable"/>
    <w:basedOn w:val="DefaultParagraphFont"/>
    <w:autoRedefine/>
    <w:uiPriority w:val="99"/>
    <w:semiHidden/>
    <w:unhideWhenUsed/>
    <w:qFormat/>
  </w:style>
  <w:style w:type="character" w:styleId="Hyperlink">
    <w:name w:val="Hyperlink"/>
    <w:basedOn w:val="DefaultParagraphFont"/>
    <w:autoRedefine/>
    <w:uiPriority w:val="99"/>
    <w:unhideWhenUsed/>
    <w:qFormat/>
    <w:rPr>
      <w:color w:val="0000FF" w:themeColor="hyperlink"/>
      <w:u w:val="single"/>
    </w:rPr>
  </w:style>
  <w:style w:type="character" w:styleId="HTMLCode">
    <w:name w:val="HTML Code"/>
    <w:basedOn w:val="DefaultParagraphFont"/>
    <w:autoRedefine/>
    <w:uiPriority w:val="99"/>
    <w:semiHidden/>
    <w:unhideWhenUsed/>
    <w:qFormat/>
    <w:rPr>
      <w:rFonts w:ascii="monospace" w:eastAsia="monospace" w:hAnsi="monospace" w:cs="monospace" w:hint="default"/>
      <w:sz w:val="20"/>
    </w:rPr>
  </w:style>
  <w:style w:type="character" w:styleId="CommentReference">
    <w:name w:val="annotation reference"/>
    <w:basedOn w:val="DefaultParagraphFont"/>
    <w:autoRedefine/>
    <w:uiPriority w:val="99"/>
    <w:semiHidden/>
    <w:unhideWhenUsed/>
    <w:qFormat/>
    <w:rPr>
      <w:sz w:val="21"/>
      <w:szCs w:val="21"/>
    </w:rPr>
  </w:style>
  <w:style w:type="character" w:styleId="HTMLCite">
    <w:name w:val="HTML Cite"/>
    <w:basedOn w:val="DefaultParagraphFont"/>
    <w:autoRedefine/>
    <w:uiPriority w:val="99"/>
    <w:semiHidden/>
    <w:unhideWhenUsed/>
    <w:qFormat/>
  </w:style>
  <w:style w:type="character" w:styleId="HTMLKeyboard">
    <w:name w:val="HTML Keyboard"/>
    <w:basedOn w:val="DefaultParagraphFont"/>
    <w:autoRedefine/>
    <w:uiPriority w:val="99"/>
    <w:semiHidden/>
    <w:unhideWhenUsed/>
    <w:qFormat/>
    <w:rPr>
      <w:rFonts w:ascii="monospace" w:eastAsia="monospace" w:hAnsi="monospace" w:cs="monospace"/>
      <w:sz w:val="20"/>
    </w:rPr>
  </w:style>
  <w:style w:type="character" w:styleId="HTMLSample">
    <w:name w:val="HTML Sample"/>
    <w:basedOn w:val="DefaultParagraphFont"/>
    <w:autoRedefine/>
    <w:uiPriority w:val="99"/>
    <w:semiHidden/>
    <w:unhideWhenUsed/>
    <w:qFormat/>
    <w:rPr>
      <w:rFonts w:ascii="monospace" w:eastAsia="monospace" w:hAnsi="monospace" w:cs="monospace" w:hint="default"/>
    </w:rPr>
  </w:style>
  <w:style w:type="character" w:customStyle="1" w:styleId="Char">
    <w:name w:val="页眉 Char"/>
    <w:basedOn w:val="DefaultParagraphFont"/>
    <w:autoRedefine/>
    <w:uiPriority w:val="99"/>
    <w:semiHidden/>
    <w:qFormat/>
    <w:rPr>
      <w:sz w:val="18"/>
      <w:szCs w:val="18"/>
    </w:rPr>
  </w:style>
  <w:style w:type="character" w:customStyle="1" w:styleId="Char0">
    <w:name w:val="页脚 Char"/>
    <w:basedOn w:val="DefaultParagraphFont"/>
    <w:autoRedefine/>
    <w:uiPriority w:val="99"/>
    <w:qFormat/>
    <w:rPr>
      <w:sz w:val="18"/>
      <w:szCs w:val="18"/>
    </w:rPr>
  </w:style>
  <w:style w:type="character" w:customStyle="1" w:styleId="Char1">
    <w:name w:val="批注框文本 Char"/>
    <w:basedOn w:val="DefaultParagraphFont"/>
    <w:autoRedefine/>
    <w:uiPriority w:val="99"/>
    <w:semiHidden/>
    <w:qFormat/>
    <w:rPr>
      <w:sz w:val="18"/>
      <w:szCs w:val="18"/>
    </w:rPr>
  </w:style>
  <w:style w:type="character" w:customStyle="1" w:styleId="Char2">
    <w:name w:val="普通(网站) Char"/>
    <w:autoRedefine/>
    <w:uiPriority w:val="99"/>
    <w:qFormat/>
    <w:rPr>
      <w:rFonts w:ascii="宋体" w:hAnsi="宋体"/>
      <w:sz w:val="24"/>
      <w:szCs w:val="24"/>
    </w:rPr>
  </w:style>
  <w:style w:type="character" w:customStyle="1" w:styleId="1Char">
    <w:name w:val="标题 1 Char"/>
    <w:basedOn w:val="DefaultParagraphFont"/>
    <w:link w:val="Heading1"/>
    <w:autoRedefine/>
    <w:qFormat/>
    <w:rPr>
      <w:rFonts w:ascii="Arial" w:eastAsia="宋体" w:hAnsi="Arial" w:cs="Times New Roman"/>
      <w:b/>
      <w:bCs/>
      <w:kern w:val="44"/>
      <w:sz w:val="44"/>
      <w:szCs w:val="44"/>
    </w:rPr>
  </w:style>
  <w:style w:type="paragraph" w:styleId="ListParagraph">
    <w:name w:val="List Paragraph"/>
    <w:basedOn w:val="Normal"/>
    <w:autoRedefine/>
    <w:uiPriority w:val="34"/>
    <w:qFormat/>
    <w:pPr>
      <w:ind w:firstLine="420" w:firstLineChars="200"/>
    </w:pPr>
  </w:style>
  <w:style w:type="character" w:customStyle="1" w:styleId="Char3">
    <w:name w:val="文档结构图 Char"/>
    <w:basedOn w:val="DefaultParagraphFont"/>
    <w:autoRedefine/>
    <w:uiPriority w:val="99"/>
    <w:semiHidden/>
    <w:qFormat/>
    <w:rPr>
      <w:rFonts w:ascii="宋体" w:eastAsia="宋体"/>
      <w:sz w:val="18"/>
      <w:szCs w:val="18"/>
    </w:rPr>
  </w:style>
  <w:style w:type="character" w:customStyle="1" w:styleId="2Char">
    <w:name w:val="标题 2 Char"/>
    <w:basedOn w:val="DefaultParagraphFont"/>
    <w:link w:val="Heading2"/>
    <w:autoRedefine/>
    <w:uiPriority w:val="9"/>
    <w:semiHidden/>
    <w:qFormat/>
    <w:rPr>
      <w:rFonts w:asciiTheme="majorHAnsi" w:eastAsiaTheme="majorEastAsia" w:hAnsiTheme="majorHAnsi" w:cstheme="majorBidi"/>
      <w:b/>
      <w:bCs/>
      <w:sz w:val="32"/>
      <w:szCs w:val="32"/>
    </w:rPr>
  </w:style>
  <w:style w:type="character" w:customStyle="1" w:styleId="Char4">
    <w:name w:val="批注文字 Char"/>
    <w:basedOn w:val="DefaultParagraphFont"/>
    <w:autoRedefine/>
    <w:uiPriority w:val="99"/>
    <w:qFormat/>
  </w:style>
  <w:style w:type="character" w:customStyle="1" w:styleId="3Char">
    <w:name w:val="标题 3 Char"/>
    <w:autoRedefine/>
    <w:qFormat/>
    <w:rPr>
      <w:rFonts w:ascii="黑体" w:eastAsia="黑体"/>
      <w:bCs/>
      <w:sz w:val="30"/>
    </w:rPr>
  </w:style>
  <w:style w:type="character" w:customStyle="1" w:styleId="Char5">
    <w:name w:val="批注主题 Char"/>
    <w:basedOn w:val="Char4"/>
    <w:autoRedefine/>
    <w:uiPriority w:val="99"/>
    <w:semiHidden/>
    <w:qFormat/>
    <w:rPr>
      <w:b/>
      <w:bCs/>
    </w:rPr>
  </w:style>
  <w:style w:type="table" w:customStyle="1" w:styleId="1">
    <w:name w:val="网格型1"/>
    <w:basedOn w:val="TableNormal"/>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over">
    <w:name w:val="hover"/>
    <w:basedOn w:val="DefaultParagraphFont"/>
    <w:autoRedefine/>
    <w:qFormat/>
    <w:rPr>
      <w:color w:val="2590EB"/>
      <w:shd w:val="clear" w:color="auto" w:fill="E9F4FD"/>
    </w:rPr>
  </w:style>
  <w:style w:type="character" w:customStyle="1" w:styleId="hover1">
    <w:name w:val="hover1"/>
    <w:basedOn w:val="DefaultParagraphFont"/>
    <w:autoRedefine/>
    <w:qFormat/>
  </w:style>
  <w:style w:type="character" w:customStyle="1" w:styleId="hover2">
    <w:name w:val="hover2"/>
    <w:basedOn w:val="DefaultParagraphFont"/>
    <w:autoRedefine/>
    <w:qFormat/>
    <w:rPr>
      <w:color w:val="2590EB"/>
    </w:rPr>
  </w:style>
  <w:style w:type="character" w:customStyle="1" w:styleId="hover3">
    <w:name w:val="hover3"/>
    <w:basedOn w:val="DefaultParagraphFont"/>
    <w:autoRedefine/>
    <w:qFormat/>
    <w:rPr>
      <w:color w:val="2590EB"/>
    </w:rPr>
  </w:style>
  <w:style w:type="character" w:customStyle="1" w:styleId="mini-outputtext1">
    <w:name w:val="mini-outputtext1"/>
    <w:basedOn w:val="DefaultParagraphFont"/>
    <w:autoRedefine/>
    <w:qFormat/>
  </w:style>
  <w:style w:type="character" w:customStyle="1" w:styleId="hover4">
    <w:name w:val="hover4"/>
    <w:basedOn w:val="DefaultParagraphFont"/>
    <w:autoRedefine/>
    <w:qFormat/>
    <w:rPr>
      <w:color w:val="2590EB"/>
      <w:shd w:val="clear" w:color="auto" w:fill="E9F4FD"/>
    </w:rPr>
  </w:style>
  <w:style w:type="character" w:customStyle="1" w:styleId="font31">
    <w:name w:val="font31"/>
    <w:autoRedefine/>
    <w:qFormat/>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2024-01-17T08:37:18Z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13</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192d1fda-2475-41bb-948a-2f15e61ec77d}">
  <ds:schemaRefs/>
</ds:datastoreItem>
</file>

<file path=customXml/itemProps2.xml><?xml version="1.0" encoding="utf-8"?>
<ds:datastoreItem xmlns:ds="http://schemas.openxmlformats.org/officeDocument/2006/customXml" ds:itemID="{e59a1dc2-b71a-41fc-867f-bd39a10f7cf7}">
  <ds:schemaRefs/>
</ds:datastoreItem>
</file>

<file path=customXml/itemProps3.xml><?xml version="1.0" encoding="utf-8"?>
<ds:datastoreItem xmlns:ds="http://schemas.openxmlformats.org/officeDocument/2006/customXml" ds:itemID="{dafbe9e7-1dd8-4367-900c-97dc2dc5a73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6654</Words>
  <Characters>37933</Characters>
  <Application>Microsoft Office Word</Application>
  <DocSecurity>0</DocSecurity>
  <Lines>316</Lines>
  <Paragraphs>88</Paragraphs>
  <ScaleCrop>false</ScaleCrop>
  <Company>Microsoft</Company>
  <LinksUpToDate>false</LinksUpToDate>
  <CharactersWithSpaces>44499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wjx</cp:lastModifiedBy>
  <cp:revision>426</cp:revision>
  <cp:lastPrinted>2021-01-15T01:17:00Z</cp:lastPrinted>
  <dcterms:created xsi:type="dcterms:W3CDTF">2021-03-03T00:56:00Z</dcterms:created>
  <dcterms:modified xsi:type="dcterms:W3CDTF">2024-03-08T12:22:05Z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5D9C7B1EDAAE48A5B57EA0374F69FDEA_13</vt:lpwstr>
  </property>
  <property fmtid="{D5CDD505-2E9C-101B-9397-08002B2CF9AE}" pid="3" name="KSOProductBuildVer">
    <vt:lpwstr>2052-12.1.0.16388</vt:lpwstr>
  </property>
</Properties>
</file>