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b/>
          <w:bCs/>
          <w:kern w:val="0"/>
          <w:sz w:val="40"/>
          <w:szCs w:val="40"/>
        </w:rPr>
      </w:pPr>
      <w:bookmarkStart w:id="0" w:name="_GoBack"/>
      <w:bookmarkEnd w:id="0"/>
      <w:r>
        <w:rPr>
          <w:rFonts w:ascii="Times New Roman" w:eastAsia="宋体" w:hAnsi="Times New Roman" w:cs="Times New Roman" w:hint="eastAsia"/>
          <w:b/>
          <w:bCs/>
          <w:kern w:val="0"/>
          <w:sz w:val="40"/>
          <w:szCs w:val="40"/>
        </w:rPr>
        <w:t>宝安区孝德学校理科实验考试设备采购项目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BACG2024000097</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sz w:val="30"/>
                <w:szCs w:val="30"/>
              </w:rPr>
            </w:pPr>
            <w:r>
              <w:rPr>
                <w:rFonts w:asciiTheme="minorEastAsia" w:hAnsiTheme="minorEastAsia" w:hint="eastAsia"/>
                <w:sz w:val="30"/>
                <w:szCs w:val="30"/>
              </w:rPr>
              <w:t>宝安区孝德学校理科实验考试设备采购项目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w:t>
            </w:r>
            <w:r>
              <w:rPr>
                <w:rFonts w:hint="eastAsia"/>
                <w:sz w:val="30"/>
                <w:szCs w:val="30"/>
                <w:lang w:val="en-US" w:eastAsia="zh-CN"/>
              </w:rPr>
              <w:t xml:space="preserve">    </w:t>
            </w:r>
            <w:r>
              <w:rPr>
                <w:sz w:val="30"/>
                <w:szCs w:val="30"/>
              </w:rPr>
              <w:t>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lang w:val="en-US" w:eastAsia="zh-CN"/>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1" w:name="_Hlk71832186"/>
            <w:r>
              <w:rPr>
                <w:rFonts w:hint="eastAsia"/>
              </w:rPr>
              <w:t>相应预算金额（或设定的预算金额下的最高限价）</w:t>
            </w:r>
            <w:bookmarkEnd w:id="1"/>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rPr>
      </w:pPr>
      <w:r>
        <w:rPr>
          <w:rFonts w:ascii="黑体" w:eastAsia="黑体" w:hAnsi="黑体" w:hint="eastAsia"/>
          <w:sz w:val="40"/>
          <w:szCs w:val="40"/>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r>
        <w:t xml:space="preserve"> </w:t>
      </w:r>
    </w:p>
    <w:p>
      <w:pPr>
        <w:ind w:firstLine="420"/>
      </w:pPr>
      <w:r>
        <w:rPr>
          <w:rFonts w:ascii="宋体" w:hAnsi="宋体"/>
        </w:rPr>
        <w:t>价格分计算方法：</w:t>
      </w:r>
    </w:p>
    <w:p>
      <w:r>
        <w:rPr>
          <w:rFonts w:ascii="宋体" w:hAnsi="宋体"/>
        </w:rPr>
        <w:t>采用低价优先法计算，即满足招标文件要求且投标价格最低的投标报价为评标基准价，其价格分为满分。其他投标人的价格分统一按照下列公式计算：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p>
      <w:pPr>
        <w:snapToGrid w:val="0"/>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18"/>
        <w:gridCol w:w="590"/>
        <w:gridCol w:w="1510"/>
        <w:gridCol w:w="993"/>
        <w:gridCol w:w="53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1</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30</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2</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51</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cs="宋体"/>
                <w:bCs/>
                <w:szCs w:val="21"/>
              </w:rPr>
              <w:t>非“▲”参数响应情况评价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szCs w:val="21"/>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widowControl/>
              <w:spacing w:line="280" w:lineRule="exact"/>
              <w:jc w:val="left"/>
              <w:rPr>
                <w:rFonts w:ascii="宋体" w:eastAsia="宋体" w:hAnsi="宋体" w:cs="宋体"/>
                <w:b/>
                <w:color w:val="auto"/>
                <w:kern w:val="0"/>
                <w:szCs w:val="21"/>
                <w:highlight w:val="none"/>
              </w:rPr>
            </w:pPr>
            <w:r>
              <w:rPr>
                <w:rFonts w:ascii="宋体" w:eastAsia="宋体" w:hAnsi="宋体" w:cs="宋体" w:hint="eastAsia"/>
                <w:b/>
                <w:color w:val="auto"/>
                <w:kern w:val="0"/>
                <w:szCs w:val="21"/>
                <w:highlight w:val="none"/>
              </w:rPr>
              <w:t>（一）评审内容：</w:t>
            </w:r>
          </w:p>
          <w:p>
            <w:pPr>
              <w:widowControl/>
              <w:spacing w:line="280" w:lineRule="exact"/>
              <w:jc w:val="left"/>
              <w:rPr>
                <w:rFonts w:ascii="宋体" w:eastAsia="宋体" w:hAnsi="宋体" w:cs="宋体"/>
                <w:color w:val="auto"/>
                <w:kern w:val="0"/>
                <w:szCs w:val="21"/>
                <w:highlight w:val="none"/>
              </w:rPr>
            </w:pPr>
            <w:r>
              <w:rPr>
                <w:rFonts w:ascii="宋体" w:eastAsia="宋体" w:hAnsi="宋体" w:cs="宋体" w:hint="eastAsia"/>
                <w:color w:val="auto"/>
                <w:kern w:val="0"/>
                <w:szCs w:val="21"/>
                <w:highlight w:val="none"/>
              </w:rPr>
              <w:t>考察投标人对招标文件《第一册 专用条款 第三章 用户需求书：四、</w:t>
            </w:r>
            <w:r>
              <w:rPr>
                <w:rFonts w:ascii="宋体" w:eastAsia="宋体" w:hAnsi="宋体" w:cs="宋体" w:hint="eastAsia"/>
                <w:bCs/>
                <w:color w:val="auto"/>
                <w:kern w:val="0"/>
                <w:szCs w:val="21"/>
                <w:highlight w:val="none"/>
              </w:rPr>
              <w:t>技术要求部分</w:t>
            </w:r>
            <w:r>
              <w:rPr>
                <w:rFonts w:ascii="宋体" w:eastAsia="宋体" w:hAnsi="宋体" w:cs="宋体" w:hint="eastAsia"/>
                <w:color w:val="auto"/>
                <w:kern w:val="0"/>
                <w:szCs w:val="21"/>
                <w:highlight w:val="none"/>
              </w:rPr>
              <w:t>》内容中的</w:t>
            </w:r>
            <w:r>
              <w:rPr>
                <w:rFonts w:ascii="宋体" w:eastAsia="宋体" w:hAnsi="宋体" w:cs="宋体" w:hint="eastAsia"/>
                <w:b/>
                <w:bCs/>
                <w:color w:val="0000FF"/>
                <w:kern w:val="0"/>
                <w:szCs w:val="21"/>
                <w:highlight w:val="none"/>
                <w:lang w:val="en-US" w:eastAsia="zh-CN"/>
              </w:rPr>
              <w:t>非</w:t>
            </w:r>
            <w:r>
              <w:rPr>
                <w:rFonts w:ascii="宋体" w:eastAsia="宋体" w:hAnsi="宋体" w:cs="宋体" w:hint="eastAsia"/>
                <w:b/>
                <w:bCs/>
                <w:color w:val="0000FF"/>
                <w:kern w:val="0"/>
                <w:szCs w:val="21"/>
                <w:highlight w:val="none"/>
              </w:rPr>
              <w:t>“▲”参数</w:t>
            </w:r>
            <w:r>
              <w:rPr>
                <w:rFonts w:ascii="宋体" w:eastAsia="宋体" w:hAnsi="宋体" w:cs="宋体" w:hint="eastAsia"/>
                <w:color w:val="auto"/>
                <w:kern w:val="0"/>
                <w:szCs w:val="21"/>
                <w:highlight w:val="none"/>
              </w:rPr>
              <w:t>响应情况。</w:t>
            </w:r>
          </w:p>
          <w:p>
            <w:pPr>
              <w:spacing w:line="280" w:lineRule="exact"/>
              <w:rPr>
                <w:rFonts w:ascii="宋体" w:eastAsia="宋体" w:hAnsi="宋体" w:cs="宋体"/>
                <w:b/>
                <w:color w:val="auto"/>
                <w:szCs w:val="21"/>
                <w:highlight w:val="none"/>
              </w:rPr>
            </w:pPr>
            <w:r>
              <w:rPr>
                <w:rFonts w:ascii="宋体" w:eastAsia="宋体" w:hAnsi="宋体" w:cs="宋体" w:hint="eastAsia"/>
                <w:b/>
                <w:color w:val="auto"/>
                <w:szCs w:val="21"/>
                <w:highlight w:val="none"/>
              </w:rPr>
              <w:t>（二）评审依据：</w:t>
            </w:r>
          </w:p>
          <w:p>
            <w:pPr>
              <w:snapToGrid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0"/>
                <w:szCs w:val="21"/>
                <w:highlight w:val="none"/>
              </w:rPr>
              <w:t>以投标文件《技术要求偏离表》为评审依据，完全符合招标要求的，得100分。有1项</w:t>
            </w:r>
            <w:r>
              <w:rPr>
                <w:rFonts w:ascii="宋体" w:eastAsia="宋体" w:hAnsi="宋体" w:cs="宋体" w:hint="eastAsia"/>
                <w:b/>
                <w:bCs/>
                <w:color w:val="0000FF"/>
                <w:kern w:val="0"/>
                <w:szCs w:val="21"/>
                <w:highlight w:val="none"/>
                <w:lang w:val="en-US" w:eastAsia="zh-CN"/>
              </w:rPr>
              <w:t>非</w:t>
            </w:r>
            <w:r>
              <w:rPr>
                <w:rFonts w:ascii="宋体" w:eastAsia="宋体" w:hAnsi="宋体" w:cs="宋体" w:hint="eastAsia"/>
                <w:b/>
                <w:bCs/>
                <w:color w:val="0000FF"/>
                <w:kern w:val="0"/>
                <w:szCs w:val="21"/>
                <w:highlight w:val="none"/>
              </w:rPr>
              <w:t>“▲”参数</w:t>
            </w:r>
            <w:r>
              <w:rPr>
                <w:rFonts w:ascii="宋体" w:eastAsia="宋体" w:hAnsi="宋体" w:cs="宋体" w:hint="eastAsia"/>
                <w:color w:val="auto"/>
                <w:kern w:val="0"/>
                <w:szCs w:val="21"/>
                <w:highlight w:val="none"/>
              </w:rPr>
              <w:t>不符合招标要求（或缺漏）的扣</w:t>
            </w:r>
            <w:r>
              <w:rPr>
                <w:rFonts w:ascii="宋体" w:eastAsia="宋体" w:hAnsi="宋体" w:cs="宋体" w:hint="eastAsia"/>
                <w:color w:val="auto"/>
                <w:kern w:val="0"/>
                <w:szCs w:val="21"/>
                <w:highlight w:val="none"/>
                <w:lang w:val="en-US" w:eastAsia="zh-CN"/>
              </w:rPr>
              <w:t>0.8</w:t>
            </w:r>
            <w:r>
              <w:rPr>
                <w:rFonts w:ascii="宋体" w:eastAsia="宋体" w:hAnsi="宋体" w:cs="宋体" w:hint="eastAsia"/>
                <w:color w:val="auto"/>
                <w:kern w:val="0"/>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2</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cs="宋体"/>
                <w:bCs/>
                <w:szCs w:val="21"/>
              </w:rPr>
              <w:t>“▲”参数响应情况评价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szCs w:val="21"/>
              </w:rPr>
              <w:t>34</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widowControl/>
              <w:spacing w:line="280" w:lineRule="exact"/>
              <w:jc w:val="left"/>
              <w:rPr>
                <w:rFonts w:ascii="宋体" w:eastAsia="宋体" w:hAnsi="宋体" w:cs="宋体"/>
                <w:b/>
                <w:color w:val="auto"/>
                <w:kern w:val="0"/>
                <w:szCs w:val="21"/>
                <w:highlight w:val="none"/>
              </w:rPr>
            </w:pPr>
            <w:r>
              <w:rPr>
                <w:rFonts w:ascii="宋体" w:eastAsia="宋体" w:hAnsi="宋体" w:cs="宋体" w:hint="eastAsia"/>
                <w:b/>
                <w:color w:val="auto"/>
                <w:kern w:val="0"/>
                <w:szCs w:val="21"/>
                <w:highlight w:val="none"/>
              </w:rPr>
              <w:t>（一）评审内容：</w:t>
            </w:r>
          </w:p>
          <w:p>
            <w:pPr>
              <w:widowControl/>
              <w:spacing w:line="280" w:lineRule="exact"/>
              <w:jc w:val="left"/>
              <w:rPr>
                <w:rFonts w:ascii="宋体" w:eastAsia="宋体" w:hAnsi="宋体" w:cs="宋体"/>
                <w:color w:val="auto"/>
                <w:kern w:val="0"/>
                <w:szCs w:val="21"/>
                <w:highlight w:val="none"/>
              </w:rPr>
            </w:pPr>
            <w:r>
              <w:rPr>
                <w:rFonts w:ascii="宋体" w:eastAsia="宋体" w:hAnsi="宋体" w:cs="宋体" w:hint="eastAsia"/>
                <w:color w:val="auto"/>
                <w:kern w:val="0"/>
                <w:szCs w:val="21"/>
                <w:highlight w:val="none"/>
              </w:rPr>
              <w:t>考察投标人对招标文件《第一册 专用条款 第三章 用户需求书：四、</w:t>
            </w:r>
            <w:r>
              <w:rPr>
                <w:rFonts w:ascii="宋体" w:eastAsia="宋体" w:hAnsi="宋体" w:cs="宋体" w:hint="eastAsia"/>
                <w:bCs/>
                <w:color w:val="auto"/>
                <w:kern w:val="0"/>
                <w:szCs w:val="21"/>
                <w:highlight w:val="none"/>
              </w:rPr>
              <w:t>技术要求部分</w:t>
            </w:r>
            <w:r>
              <w:rPr>
                <w:rFonts w:ascii="宋体" w:eastAsia="宋体" w:hAnsi="宋体" w:cs="宋体" w:hint="eastAsia"/>
                <w:color w:val="auto"/>
                <w:kern w:val="0"/>
                <w:szCs w:val="21"/>
                <w:highlight w:val="none"/>
              </w:rPr>
              <w:t>》内容中的</w:t>
            </w:r>
            <w:r>
              <w:rPr>
                <w:rFonts w:ascii="宋体" w:eastAsia="宋体" w:hAnsi="宋体" w:cs="宋体" w:hint="eastAsia"/>
                <w:b/>
                <w:bCs/>
                <w:color w:val="0000FF"/>
                <w:kern w:val="0"/>
                <w:szCs w:val="21"/>
                <w:highlight w:val="none"/>
              </w:rPr>
              <w:t>“▲”参数</w:t>
            </w:r>
            <w:r>
              <w:rPr>
                <w:rFonts w:ascii="宋体" w:eastAsia="宋体" w:hAnsi="宋体" w:cs="宋体" w:hint="eastAsia"/>
                <w:color w:val="auto"/>
                <w:kern w:val="0"/>
                <w:szCs w:val="21"/>
                <w:highlight w:val="none"/>
              </w:rPr>
              <w:t>响应情况。</w:t>
            </w:r>
          </w:p>
          <w:p>
            <w:pPr>
              <w:spacing w:line="280" w:lineRule="exact"/>
              <w:rPr>
                <w:rFonts w:ascii="宋体" w:eastAsia="宋体" w:hAnsi="宋体" w:cs="宋体"/>
                <w:b/>
                <w:color w:val="auto"/>
                <w:szCs w:val="21"/>
                <w:highlight w:val="none"/>
              </w:rPr>
            </w:pPr>
            <w:r>
              <w:rPr>
                <w:rFonts w:ascii="宋体" w:eastAsia="宋体" w:hAnsi="宋体" w:cs="宋体" w:hint="eastAsia"/>
                <w:b/>
                <w:color w:val="auto"/>
                <w:szCs w:val="21"/>
                <w:highlight w:val="none"/>
              </w:rPr>
              <w:t>（二）评审依据：</w:t>
            </w:r>
          </w:p>
          <w:p>
            <w:pPr>
              <w:snapToGrid w:val="0"/>
              <w:rPr>
                <w:rFonts w:ascii="宋体" w:eastAsia="宋体" w:hAnsi="宋体" w:cs="宋体" w:hint="eastAsia"/>
                <w:color w:val="auto"/>
                <w:sz w:val="21"/>
                <w:szCs w:val="21"/>
                <w:highlight w:val="none"/>
              </w:rPr>
            </w:pPr>
            <w:r>
              <w:rPr>
                <w:rFonts w:ascii="宋体" w:eastAsia="宋体" w:hAnsi="宋体" w:cs="宋体" w:hint="eastAsia"/>
                <w:color w:val="auto"/>
                <w:kern w:val="0"/>
                <w:szCs w:val="21"/>
                <w:highlight w:val="none"/>
              </w:rPr>
              <w:t>以投标文件《技术要求偏离表》为评审依据，完全符合招标要求的，得100分。有1项</w:t>
            </w:r>
            <w:r>
              <w:rPr>
                <w:rFonts w:ascii="宋体" w:eastAsia="宋体" w:hAnsi="宋体" w:cs="宋体" w:hint="eastAsia"/>
                <w:b/>
                <w:bCs/>
                <w:color w:val="0000FF"/>
                <w:kern w:val="0"/>
                <w:szCs w:val="21"/>
                <w:highlight w:val="none"/>
              </w:rPr>
              <w:t>“▲”参数</w:t>
            </w:r>
            <w:r>
              <w:rPr>
                <w:rFonts w:ascii="宋体" w:eastAsia="宋体" w:hAnsi="宋体" w:cs="宋体" w:hint="eastAsia"/>
                <w:color w:val="auto"/>
                <w:kern w:val="0"/>
                <w:szCs w:val="21"/>
                <w:highlight w:val="none"/>
              </w:rPr>
              <w:t>不符合招标要求（或缺漏）的扣</w:t>
            </w:r>
            <w:r>
              <w:rPr>
                <w:rFonts w:ascii="宋体" w:eastAsia="宋体" w:hAnsi="宋体" w:cs="宋体" w:hint="eastAsia"/>
                <w:color w:val="auto"/>
                <w:kern w:val="0"/>
                <w:szCs w:val="21"/>
                <w:highlight w:val="none"/>
                <w:lang w:val="en-US" w:eastAsia="zh-CN"/>
              </w:rPr>
              <w:t>10</w:t>
            </w:r>
            <w:r>
              <w:rPr>
                <w:rFonts w:ascii="宋体" w:eastAsia="宋体" w:hAnsi="宋体" w:cs="宋体" w:hint="eastAsia"/>
                <w:color w:val="auto"/>
                <w:kern w:val="0"/>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bCs/>
                <w:szCs w:val="21"/>
              </w:rPr>
              <w:t>实施方案评价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szCs w:val="21"/>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napToGrid w:val="0"/>
              <w:spacing w:line="320" w:lineRule="exact"/>
              <w:jc w:val="left"/>
              <w:rPr>
                <w:rFonts w:ascii="宋体" w:hAnsi="宋体" w:cs="宋体"/>
                <w:szCs w:val="21"/>
              </w:rPr>
            </w:pPr>
            <w:r>
              <w:rPr>
                <w:rFonts w:ascii="宋体" w:hAnsi="宋体" w:cs="宋体"/>
                <w:szCs w:val="21"/>
              </w:rPr>
              <w:t xml:space="preserve">（一）评审内容： </w:t>
            </w:r>
          </w:p>
          <w:p>
            <w:pPr>
              <w:widowControl/>
              <w:snapToGrid w:val="0"/>
              <w:spacing w:line="320" w:lineRule="exact"/>
              <w:jc w:val="left"/>
              <w:rPr>
                <w:rFonts w:ascii="宋体" w:hAnsi="宋体" w:cs="宋体"/>
                <w:szCs w:val="21"/>
              </w:rPr>
            </w:pPr>
            <w:r>
              <w:rPr>
                <w:rFonts w:ascii="宋体" w:hAnsi="宋体" w:cs="宋体"/>
                <w:szCs w:val="21"/>
              </w:rPr>
              <w:t>投标人提供本项目施工方案内容进行评审，包括但不限于以下内容：</w:t>
            </w:r>
          </w:p>
          <w:p>
            <w:pPr>
              <w:widowControl/>
              <w:snapToGrid w:val="0"/>
              <w:spacing w:line="320" w:lineRule="exact"/>
              <w:jc w:val="left"/>
              <w:rPr>
                <w:rFonts w:ascii="宋体" w:eastAsia="宋体" w:hAnsi="宋体" w:cs="宋体"/>
                <w:szCs w:val="21"/>
              </w:rPr>
            </w:pPr>
            <w:r>
              <w:rPr>
                <w:rFonts w:ascii="宋体" w:eastAsia="宋体" w:hAnsi="宋体" w:cs="宋体"/>
                <w:szCs w:val="21"/>
              </w:rPr>
              <w:t>①供货方案；</w:t>
            </w:r>
          </w:p>
          <w:p>
            <w:pPr>
              <w:widowControl/>
              <w:snapToGrid w:val="0"/>
              <w:spacing w:line="320" w:lineRule="exact"/>
              <w:jc w:val="left"/>
              <w:rPr>
                <w:rFonts w:ascii="宋体" w:eastAsia="宋体" w:hAnsi="宋体" w:cs="宋体"/>
                <w:szCs w:val="21"/>
              </w:rPr>
            </w:pPr>
            <w:r>
              <w:rPr>
                <w:rFonts w:ascii="宋体" w:eastAsia="宋体" w:hAnsi="宋体" w:cs="宋体"/>
                <w:szCs w:val="21"/>
              </w:rPr>
              <w:t>②质量保障措施；</w:t>
            </w:r>
          </w:p>
          <w:p>
            <w:pPr>
              <w:widowControl/>
              <w:snapToGrid w:val="0"/>
              <w:spacing w:line="320" w:lineRule="exact"/>
              <w:jc w:val="left"/>
              <w:rPr>
                <w:rFonts w:ascii="宋体" w:eastAsia="宋体" w:hAnsi="宋体" w:cs="宋体"/>
                <w:szCs w:val="21"/>
              </w:rPr>
            </w:pPr>
            <w:r>
              <w:rPr>
                <w:rFonts w:ascii="宋体" w:eastAsia="宋体" w:hAnsi="宋体" w:cs="宋体"/>
                <w:szCs w:val="21"/>
              </w:rPr>
              <w:t>③项目组织构架及实施团队；</w:t>
            </w:r>
          </w:p>
          <w:p>
            <w:pPr>
              <w:widowControl/>
              <w:snapToGrid w:val="0"/>
              <w:spacing w:line="320" w:lineRule="exact"/>
              <w:jc w:val="left"/>
              <w:rPr>
                <w:rFonts w:ascii="宋体" w:eastAsia="宋体" w:hAnsi="宋体" w:cs="宋体"/>
                <w:szCs w:val="21"/>
              </w:rPr>
            </w:pPr>
            <w:r>
              <w:rPr>
                <w:rFonts w:ascii="宋体" w:eastAsia="宋体" w:hAnsi="宋体" w:cs="宋体"/>
                <w:szCs w:val="21"/>
              </w:rPr>
              <w:t>④设备安装方案和施工布线设计图。</w:t>
            </w:r>
          </w:p>
          <w:p>
            <w:pPr>
              <w:widowControl/>
              <w:snapToGrid w:val="0"/>
              <w:spacing w:line="320" w:lineRule="exact"/>
              <w:ind w:firstLine="420" w:firstLineChars="200"/>
              <w:jc w:val="left"/>
              <w:rPr>
                <w:rFonts w:ascii="宋体" w:hAnsi="宋体" w:cs="宋体"/>
                <w:szCs w:val="21"/>
              </w:rPr>
            </w:pPr>
            <w:r>
              <w:rPr>
                <w:rFonts w:ascii="宋体" w:hAnsi="宋体" w:cs="宋体"/>
                <w:szCs w:val="21"/>
              </w:rPr>
              <w:t>提供的方案满足上述四点得60分，满足任意三点得40分，满足任意两点得20分，满足任意一点得 10分，未满足不得分。</w:t>
            </w:r>
          </w:p>
          <w:p>
            <w:pPr>
              <w:widowControl/>
              <w:snapToGrid w:val="0"/>
              <w:spacing w:line="320" w:lineRule="exact"/>
              <w:jc w:val="left"/>
              <w:rPr>
                <w:rFonts w:ascii="宋体" w:hAnsi="宋体" w:cs="宋体"/>
                <w:color w:val="000000"/>
                <w:szCs w:val="21"/>
              </w:rPr>
            </w:pPr>
            <w:r>
              <w:rPr>
                <w:rFonts w:ascii="宋体" w:eastAsia="宋体" w:hAnsi="宋体" w:cs="宋体"/>
                <w:szCs w:val="21"/>
              </w:rPr>
              <w:t>（二）评审依据：</w:t>
            </w:r>
          </w:p>
          <w:p>
            <w:pPr>
              <w:widowControl/>
              <w:snapToGrid w:val="0"/>
              <w:spacing w:line="320" w:lineRule="exact"/>
              <w:ind w:firstLine="420" w:firstLineChars="200"/>
              <w:jc w:val="left"/>
              <w:rPr>
                <w:rFonts w:ascii="宋体" w:hAnsi="宋体" w:cs="宋体"/>
                <w:color w:val="000000"/>
                <w:szCs w:val="21"/>
              </w:rPr>
            </w:pPr>
            <w:r>
              <w:rPr>
                <w:rFonts w:ascii="宋体" w:hAnsi="宋体" w:cs="宋体"/>
                <w:color w:val="000000"/>
                <w:szCs w:val="21"/>
              </w:rPr>
              <w:t>在此基础上，由评审委员会对具体响应内容进一步评审：</w:t>
            </w:r>
          </w:p>
          <w:p>
            <w:pPr>
              <w:widowControl/>
              <w:snapToGrid w:val="0"/>
              <w:spacing w:line="320" w:lineRule="exact"/>
              <w:jc w:val="left"/>
              <w:rPr>
                <w:rFonts w:ascii="宋体" w:hAnsi="宋体" w:cs="宋体"/>
                <w:szCs w:val="21"/>
              </w:rPr>
            </w:pPr>
            <w:r>
              <w:rPr>
                <w:rFonts w:ascii="宋体" w:hAnsi="宋体" w:cs="宋体"/>
                <w:szCs w:val="21"/>
              </w:rPr>
              <w:t>①内容非常全面、具体，可操作性、针对性极强，极科学合理的且提供学校实验室现场各角度照片不少于5张，得40分；</w:t>
            </w:r>
          </w:p>
          <w:p>
            <w:pPr>
              <w:widowControl/>
              <w:snapToGrid w:val="0"/>
              <w:spacing w:line="320" w:lineRule="exact"/>
              <w:jc w:val="left"/>
              <w:rPr>
                <w:rFonts w:ascii="宋体" w:hAnsi="宋体" w:cs="宋体"/>
                <w:szCs w:val="21"/>
              </w:rPr>
            </w:pPr>
            <w:r>
              <w:rPr>
                <w:rFonts w:ascii="宋体" w:hAnsi="宋体" w:cs="宋体"/>
                <w:szCs w:val="21"/>
              </w:rPr>
              <w:t>②内容全面、具体，可操作性、针对性强，科学合理的，得30分；</w:t>
            </w:r>
          </w:p>
          <w:p>
            <w:pPr>
              <w:widowControl/>
              <w:snapToGrid w:val="0"/>
              <w:spacing w:line="320" w:lineRule="exact"/>
              <w:jc w:val="left"/>
              <w:rPr>
                <w:rFonts w:ascii="宋体" w:hAnsi="宋体" w:cs="宋体"/>
                <w:szCs w:val="21"/>
              </w:rPr>
            </w:pPr>
            <w:r>
              <w:rPr>
                <w:rFonts w:ascii="宋体" w:hAnsi="宋体" w:cs="宋体"/>
                <w:szCs w:val="21"/>
              </w:rPr>
              <w:t>③内容较为全面、具体，可操作性、针对性较强，较科学合理的，得20分；</w:t>
            </w:r>
          </w:p>
          <w:p>
            <w:pPr>
              <w:widowControl/>
              <w:snapToGrid w:val="0"/>
              <w:spacing w:line="320" w:lineRule="exact"/>
              <w:jc w:val="left"/>
              <w:rPr>
                <w:rFonts w:ascii="宋体" w:hAnsi="宋体" w:cs="宋体"/>
                <w:szCs w:val="21"/>
              </w:rPr>
            </w:pPr>
            <w:r>
              <w:rPr>
                <w:rFonts w:ascii="宋体" w:hAnsi="宋体" w:cs="宋体"/>
                <w:szCs w:val="21"/>
              </w:rPr>
              <w:t>④内容一般，可操作性、针对性一般的，得10分；</w:t>
            </w:r>
          </w:p>
          <w:p>
            <w:pPr>
              <w:spacing w:line="320" w:lineRule="exact"/>
              <w:rPr>
                <w:rFonts w:ascii="宋体" w:eastAsia="宋体" w:hAnsi="宋体" w:cs="宋体" w:hint="eastAsia"/>
                <w:sz w:val="21"/>
                <w:szCs w:val="21"/>
              </w:rPr>
            </w:pPr>
            <w:r>
              <w:rPr>
                <w:rFonts w:ascii="宋体" w:hAnsi="宋体" w:cs="宋体"/>
                <w:szCs w:val="21"/>
              </w:rPr>
              <w:t>⑤内容不合理，可操作性、针对性差、不科学合理的，不得分。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4</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bCs/>
                <w:szCs w:val="21"/>
              </w:rPr>
              <w:t>技术保障评价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szCs w:val="21"/>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widowControl/>
              <w:snapToGrid w:val="0"/>
              <w:spacing w:line="320" w:lineRule="exact"/>
              <w:jc w:val="left"/>
              <w:rPr>
                <w:rFonts w:ascii="宋体" w:eastAsia="宋体" w:hAnsi="宋体" w:cs="宋体"/>
                <w:szCs w:val="21"/>
              </w:rPr>
            </w:pPr>
            <w:r>
              <w:rPr>
                <w:rFonts w:ascii="宋体" w:eastAsia="宋体" w:hAnsi="宋体" w:cs="宋体"/>
                <w:szCs w:val="21"/>
              </w:rPr>
              <w:t>（一）评审内容：</w:t>
            </w:r>
          </w:p>
          <w:p>
            <w:pPr>
              <w:widowControl/>
              <w:snapToGrid w:val="0"/>
              <w:spacing w:line="320" w:lineRule="exact"/>
              <w:jc w:val="left"/>
              <w:rPr>
                <w:rFonts w:ascii="宋体" w:eastAsia="宋体" w:hAnsi="宋体" w:cs="宋体"/>
                <w:szCs w:val="21"/>
              </w:rPr>
            </w:pPr>
            <w:r>
              <w:rPr>
                <w:rFonts w:ascii="宋体" w:eastAsia="宋体" w:hAnsi="宋体" w:cs="宋体"/>
                <w:szCs w:val="21"/>
              </w:rPr>
              <w:t>投标人提供的技术保障方案</w:t>
            </w:r>
            <w:r>
              <w:rPr>
                <w:rFonts w:ascii="宋体" w:hAnsi="宋体" w:cs="宋体"/>
                <w:szCs w:val="21"/>
              </w:rPr>
              <w:t>进行评审，包括但不限于以下内容</w:t>
            </w:r>
            <w:r>
              <w:rPr>
                <w:rFonts w:ascii="宋体" w:eastAsia="宋体" w:hAnsi="宋体" w:cs="宋体"/>
                <w:szCs w:val="21"/>
              </w:rPr>
              <w:t>：</w:t>
            </w:r>
          </w:p>
          <w:p>
            <w:pPr>
              <w:widowControl/>
              <w:snapToGrid w:val="0"/>
              <w:spacing w:line="320" w:lineRule="exact"/>
              <w:jc w:val="left"/>
              <w:rPr>
                <w:rFonts w:ascii="宋体" w:eastAsia="宋体" w:hAnsi="宋体" w:cs="宋体" w:hint="default"/>
                <w:szCs w:val="21"/>
              </w:rPr>
            </w:pPr>
            <w:r>
              <w:rPr>
                <w:rFonts w:ascii="宋体" w:eastAsia="宋体" w:hAnsi="宋体" w:cs="宋体"/>
                <w:szCs w:val="21"/>
              </w:rPr>
              <w:t>①安装工艺流程；</w:t>
            </w:r>
          </w:p>
          <w:p>
            <w:pPr>
              <w:widowControl/>
              <w:snapToGrid w:val="0"/>
              <w:spacing w:line="320" w:lineRule="exact"/>
              <w:jc w:val="left"/>
              <w:rPr>
                <w:rFonts w:ascii="宋体" w:eastAsia="宋体" w:hAnsi="宋体" w:cs="宋体" w:hint="default"/>
                <w:szCs w:val="21"/>
              </w:rPr>
            </w:pPr>
            <w:r>
              <w:rPr>
                <w:rFonts w:ascii="宋体" w:eastAsia="宋体" w:hAnsi="宋体" w:cs="宋体"/>
                <w:szCs w:val="21"/>
              </w:rPr>
              <w:t>②技术团队配备；</w:t>
            </w:r>
          </w:p>
          <w:p>
            <w:pPr>
              <w:widowControl/>
              <w:snapToGrid w:val="0"/>
              <w:spacing w:line="320" w:lineRule="exact"/>
              <w:jc w:val="left"/>
              <w:rPr>
                <w:rFonts w:ascii="宋体" w:eastAsia="宋体" w:hAnsi="宋体" w:cs="宋体"/>
                <w:szCs w:val="21"/>
              </w:rPr>
            </w:pPr>
            <w:r>
              <w:rPr>
                <w:rFonts w:ascii="宋体" w:eastAsia="宋体" w:hAnsi="宋体" w:cs="宋体"/>
                <w:szCs w:val="21"/>
              </w:rPr>
              <w:t>③配送服务管理。</w:t>
            </w:r>
          </w:p>
          <w:p>
            <w:pPr>
              <w:widowControl/>
              <w:snapToGrid w:val="0"/>
              <w:spacing w:line="320" w:lineRule="exact"/>
              <w:jc w:val="left"/>
              <w:rPr>
                <w:rFonts w:ascii="宋体" w:eastAsia="宋体" w:hAnsi="宋体" w:cs="宋体" w:hint="default"/>
                <w:szCs w:val="21"/>
              </w:rPr>
            </w:pPr>
            <w:r>
              <w:rPr>
                <w:rFonts w:ascii="宋体" w:eastAsia="宋体" w:hAnsi="宋体" w:cs="宋体"/>
                <w:szCs w:val="21"/>
              </w:rPr>
              <w:t>（二）评审依据：</w:t>
            </w:r>
          </w:p>
          <w:p>
            <w:pPr>
              <w:widowControl/>
              <w:snapToGrid w:val="0"/>
              <w:spacing w:line="320" w:lineRule="exact"/>
              <w:ind w:firstLine="420" w:firstLineChars="200"/>
              <w:jc w:val="left"/>
              <w:rPr>
                <w:rFonts w:ascii="宋体" w:eastAsia="宋体" w:hAnsi="宋体" w:cs="宋体"/>
                <w:szCs w:val="21"/>
              </w:rPr>
            </w:pPr>
            <w:r>
              <w:rPr>
                <w:rFonts w:ascii="宋体" w:eastAsia="宋体" w:hAnsi="宋体" w:cs="宋体"/>
                <w:szCs w:val="21"/>
              </w:rPr>
              <w:t>提供的方案满足上述三点的得60分，满足任意二点的得30分，满足任意一点的得10分，未满足不得分。</w:t>
            </w:r>
          </w:p>
          <w:p>
            <w:pPr>
              <w:widowControl/>
              <w:snapToGrid w:val="0"/>
              <w:spacing w:line="320" w:lineRule="exact"/>
              <w:ind w:firstLine="420" w:firstLineChars="200"/>
              <w:jc w:val="left"/>
              <w:rPr>
                <w:rFonts w:ascii="宋体" w:eastAsia="宋体" w:hAnsi="宋体" w:cs="宋体"/>
                <w:szCs w:val="21"/>
              </w:rPr>
            </w:pPr>
            <w:r>
              <w:rPr>
                <w:rFonts w:ascii="宋体" w:hAnsi="宋体" w:cs="宋体"/>
                <w:color w:val="000000"/>
                <w:szCs w:val="21"/>
              </w:rPr>
              <w:t>在此基础上，由评审委员会对具体响应内容进一步评审</w:t>
            </w:r>
            <w:r>
              <w:rPr>
                <w:rFonts w:ascii="宋体" w:eastAsia="宋体" w:hAnsi="宋体" w:cs="宋体"/>
                <w:szCs w:val="21"/>
              </w:rPr>
              <w:t xml:space="preserve">： </w:t>
            </w:r>
          </w:p>
          <w:p>
            <w:pPr>
              <w:widowControl/>
              <w:snapToGrid w:val="0"/>
              <w:spacing w:line="320" w:lineRule="exact"/>
              <w:jc w:val="left"/>
              <w:rPr>
                <w:rFonts w:ascii="宋体" w:hAnsi="宋体" w:cs="宋体"/>
                <w:szCs w:val="21"/>
              </w:rPr>
            </w:pPr>
            <w:r>
              <w:rPr>
                <w:rFonts w:ascii="宋体" w:hAnsi="宋体" w:cs="宋体"/>
                <w:szCs w:val="21"/>
              </w:rPr>
              <w:t>①内容非常全面、具体，可操作性、针对性极强，极科学合</w:t>
            </w:r>
            <w:r>
              <w:rPr>
                <w:rFonts w:ascii="宋体" w:eastAsia="宋体" w:hAnsi="宋体" w:cs="宋体"/>
                <w:szCs w:val="21"/>
              </w:rPr>
              <w:t>理的，得40分；</w:t>
            </w:r>
          </w:p>
          <w:p>
            <w:pPr>
              <w:widowControl/>
              <w:snapToGrid w:val="0"/>
              <w:spacing w:line="320" w:lineRule="exact"/>
              <w:jc w:val="left"/>
              <w:rPr>
                <w:rFonts w:ascii="宋体" w:hAnsi="宋体" w:cs="宋体"/>
                <w:szCs w:val="21"/>
              </w:rPr>
            </w:pPr>
            <w:r>
              <w:rPr>
                <w:rFonts w:ascii="宋体" w:hAnsi="宋体" w:cs="宋体"/>
                <w:szCs w:val="21"/>
              </w:rPr>
              <w:t>②内容全面、具体，可操作性、针对性强，科学合理的，得30分；</w:t>
            </w:r>
          </w:p>
          <w:p>
            <w:pPr>
              <w:widowControl/>
              <w:snapToGrid w:val="0"/>
              <w:spacing w:line="320" w:lineRule="exact"/>
              <w:jc w:val="left"/>
              <w:rPr>
                <w:rFonts w:ascii="宋体" w:hAnsi="宋体" w:cs="宋体"/>
                <w:szCs w:val="21"/>
              </w:rPr>
            </w:pPr>
            <w:r>
              <w:rPr>
                <w:rFonts w:ascii="宋体" w:hAnsi="宋体" w:cs="宋体"/>
                <w:szCs w:val="21"/>
              </w:rPr>
              <w:t>③内容较为全面、具体，可操作性、针对性较强，较科学合理的，得20分；</w:t>
            </w:r>
          </w:p>
          <w:p>
            <w:pPr>
              <w:widowControl/>
              <w:snapToGrid w:val="0"/>
              <w:spacing w:line="320" w:lineRule="exact"/>
              <w:jc w:val="left"/>
              <w:rPr>
                <w:rFonts w:ascii="宋体" w:hAnsi="宋体" w:cs="宋体"/>
                <w:szCs w:val="21"/>
              </w:rPr>
            </w:pPr>
            <w:r>
              <w:rPr>
                <w:rFonts w:ascii="宋体" w:hAnsi="宋体" w:cs="宋体"/>
                <w:szCs w:val="21"/>
              </w:rPr>
              <w:t>④内容一般，可操作性、针对性一般的，得10分；</w:t>
            </w:r>
          </w:p>
          <w:p>
            <w:pPr>
              <w:widowControl/>
              <w:snapToGrid w:val="0"/>
              <w:spacing w:line="320" w:lineRule="exact"/>
              <w:jc w:val="left"/>
              <w:rPr>
                <w:rFonts w:ascii="宋体" w:eastAsia="宋体" w:hAnsi="宋体" w:cs="宋体" w:hint="eastAsia"/>
                <w:sz w:val="21"/>
                <w:szCs w:val="21"/>
              </w:rPr>
            </w:pPr>
            <w:r>
              <w:rPr>
                <w:rFonts w:ascii="宋体" w:hAnsi="宋体" w:cs="宋体"/>
                <w:szCs w:val="21"/>
              </w:rPr>
              <w:t>⑤内容不合理，可操作性、针对性差、不科学合理的，不得分。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lang w:val="en-US" w:eastAsia="zh-CN"/>
              </w:rPr>
            </w:pPr>
            <w:r>
              <w:rPr>
                <w:rFonts w:ascii="宋体" w:hAnsi="宋体"/>
                <w:szCs w:val="21"/>
              </w:rPr>
              <w:t>5</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bCs/>
                <w:szCs w:val="21"/>
              </w:rPr>
              <w:t>售后服务评价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szCs w:val="21"/>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widowControl/>
              <w:snapToGrid w:val="0"/>
              <w:spacing w:line="320" w:lineRule="exact"/>
              <w:jc w:val="left"/>
              <w:rPr>
                <w:rFonts w:ascii="宋体" w:eastAsia="宋体" w:hAnsi="宋体" w:cs="宋体"/>
                <w:szCs w:val="21"/>
              </w:rPr>
            </w:pPr>
            <w:r>
              <w:rPr>
                <w:rFonts w:ascii="宋体" w:eastAsia="宋体" w:hAnsi="宋体" w:cs="宋体"/>
                <w:szCs w:val="21"/>
              </w:rPr>
              <w:t>（一）评审内容：</w:t>
            </w:r>
          </w:p>
          <w:p>
            <w:pPr>
              <w:widowControl/>
              <w:snapToGrid w:val="0"/>
              <w:spacing w:line="320" w:lineRule="exact"/>
              <w:jc w:val="left"/>
              <w:rPr>
                <w:rFonts w:ascii="宋体" w:eastAsia="宋体" w:hAnsi="宋体" w:cs="宋体"/>
                <w:szCs w:val="21"/>
              </w:rPr>
            </w:pPr>
            <w:r>
              <w:rPr>
                <w:rFonts w:ascii="宋体" w:eastAsia="宋体" w:hAnsi="宋体" w:cs="宋体"/>
                <w:szCs w:val="21"/>
              </w:rPr>
              <w:t>投标人提供的售后服务方案</w:t>
            </w:r>
            <w:r>
              <w:rPr>
                <w:rFonts w:ascii="宋体" w:hAnsi="宋体" w:cs="宋体"/>
                <w:szCs w:val="21"/>
              </w:rPr>
              <w:t>进行评审，包括但不限于以下内容</w:t>
            </w:r>
            <w:r>
              <w:rPr>
                <w:rFonts w:ascii="宋体" w:eastAsia="宋体" w:hAnsi="宋体" w:cs="宋体"/>
                <w:szCs w:val="21"/>
              </w:rPr>
              <w:t>：</w:t>
            </w:r>
          </w:p>
          <w:p>
            <w:pPr>
              <w:widowControl/>
              <w:snapToGrid w:val="0"/>
              <w:spacing w:line="320" w:lineRule="exact"/>
              <w:jc w:val="left"/>
              <w:rPr>
                <w:rFonts w:ascii="宋体" w:eastAsia="宋体" w:hAnsi="宋体" w:cs="宋体"/>
                <w:szCs w:val="21"/>
              </w:rPr>
            </w:pPr>
            <w:r>
              <w:rPr>
                <w:rFonts w:ascii="宋体" w:eastAsia="宋体" w:hAnsi="宋体" w:cs="宋体"/>
                <w:szCs w:val="21"/>
              </w:rPr>
              <w:t>①售后服务承诺；</w:t>
            </w:r>
          </w:p>
          <w:p>
            <w:pPr>
              <w:widowControl/>
              <w:snapToGrid w:val="0"/>
              <w:spacing w:line="320" w:lineRule="exact"/>
              <w:jc w:val="left"/>
              <w:rPr>
                <w:rFonts w:ascii="宋体" w:eastAsia="宋体" w:hAnsi="宋体" w:cs="宋体"/>
                <w:szCs w:val="21"/>
              </w:rPr>
            </w:pPr>
            <w:r>
              <w:rPr>
                <w:rFonts w:ascii="宋体" w:eastAsia="宋体" w:hAnsi="宋体" w:cs="宋体"/>
                <w:szCs w:val="21"/>
              </w:rPr>
              <w:t>②应急响应机制；</w:t>
            </w:r>
          </w:p>
          <w:p>
            <w:pPr>
              <w:widowControl/>
              <w:snapToGrid w:val="0"/>
              <w:spacing w:line="320" w:lineRule="exact"/>
              <w:jc w:val="left"/>
              <w:rPr>
                <w:rFonts w:ascii="宋体" w:eastAsia="宋体" w:hAnsi="宋体" w:cs="宋体"/>
                <w:szCs w:val="21"/>
              </w:rPr>
            </w:pPr>
            <w:r>
              <w:rPr>
                <w:rFonts w:ascii="宋体" w:eastAsia="宋体" w:hAnsi="宋体" w:cs="宋体"/>
                <w:szCs w:val="21"/>
              </w:rPr>
              <w:t>③售后服务计划。</w:t>
            </w:r>
          </w:p>
          <w:p>
            <w:pPr>
              <w:widowControl/>
              <w:snapToGrid w:val="0"/>
              <w:spacing w:line="320" w:lineRule="exact"/>
              <w:jc w:val="left"/>
              <w:rPr>
                <w:rFonts w:ascii="宋体" w:eastAsia="宋体" w:hAnsi="宋体" w:cs="宋体" w:hint="default"/>
                <w:szCs w:val="21"/>
              </w:rPr>
            </w:pPr>
            <w:r>
              <w:rPr>
                <w:rFonts w:ascii="宋体" w:eastAsia="宋体" w:hAnsi="宋体" w:cs="宋体"/>
                <w:szCs w:val="21"/>
              </w:rPr>
              <w:t>（二）评审依据：</w:t>
            </w:r>
          </w:p>
          <w:p>
            <w:pPr>
              <w:widowControl/>
              <w:snapToGrid w:val="0"/>
              <w:spacing w:line="320" w:lineRule="exact"/>
              <w:ind w:firstLine="420" w:firstLineChars="200"/>
              <w:jc w:val="left"/>
              <w:rPr>
                <w:rFonts w:ascii="宋体" w:eastAsia="宋体" w:hAnsi="宋体" w:cs="宋体"/>
                <w:szCs w:val="21"/>
              </w:rPr>
            </w:pPr>
            <w:r>
              <w:rPr>
                <w:rFonts w:ascii="宋体" w:eastAsia="宋体" w:hAnsi="宋体" w:cs="宋体"/>
                <w:szCs w:val="21"/>
              </w:rPr>
              <w:t xml:space="preserve">提供的方案满足上述三点的得60分，满足任意二点的得30分，满足任意一点的得10分，未满足不得分。。 </w:t>
            </w:r>
          </w:p>
          <w:p>
            <w:pPr>
              <w:widowControl/>
              <w:snapToGrid w:val="0"/>
              <w:spacing w:line="320" w:lineRule="exact"/>
              <w:ind w:firstLine="420" w:firstLineChars="200"/>
              <w:jc w:val="left"/>
              <w:rPr>
                <w:rFonts w:ascii="宋体" w:eastAsia="宋体" w:hAnsi="宋体" w:cs="宋体"/>
                <w:szCs w:val="21"/>
              </w:rPr>
            </w:pPr>
            <w:r>
              <w:rPr>
                <w:rFonts w:ascii="宋体" w:hAnsi="宋体" w:cs="宋体"/>
                <w:color w:val="000000"/>
                <w:szCs w:val="21"/>
              </w:rPr>
              <w:t>在此基础上，由评审委员会对具体响应内容进一步评审</w:t>
            </w:r>
            <w:r>
              <w:rPr>
                <w:rFonts w:ascii="宋体" w:eastAsia="宋体" w:hAnsi="宋体" w:cs="宋体"/>
                <w:szCs w:val="21"/>
              </w:rPr>
              <w:t xml:space="preserve">： </w:t>
            </w:r>
          </w:p>
          <w:p>
            <w:pPr>
              <w:widowControl/>
              <w:snapToGrid w:val="0"/>
              <w:spacing w:line="320" w:lineRule="exact"/>
              <w:jc w:val="left"/>
              <w:rPr>
                <w:rFonts w:ascii="宋体" w:hAnsi="宋体" w:cs="宋体"/>
                <w:szCs w:val="21"/>
              </w:rPr>
            </w:pPr>
            <w:r>
              <w:rPr>
                <w:rFonts w:ascii="宋体" w:hAnsi="宋体" w:cs="宋体"/>
                <w:szCs w:val="21"/>
              </w:rPr>
              <w:t>①内容非常全面、具体，可操作性、针对性极强，极科学合</w:t>
            </w:r>
            <w:r>
              <w:rPr>
                <w:rFonts w:ascii="宋体" w:eastAsia="宋体" w:hAnsi="宋体" w:cs="宋体"/>
                <w:szCs w:val="21"/>
              </w:rPr>
              <w:t>理的,得40分；</w:t>
            </w:r>
          </w:p>
          <w:p>
            <w:pPr>
              <w:widowControl/>
              <w:snapToGrid w:val="0"/>
              <w:spacing w:line="320" w:lineRule="exact"/>
              <w:jc w:val="left"/>
              <w:rPr>
                <w:rFonts w:ascii="宋体" w:hAnsi="宋体" w:cs="宋体"/>
                <w:szCs w:val="21"/>
              </w:rPr>
            </w:pPr>
            <w:r>
              <w:rPr>
                <w:rFonts w:ascii="宋体" w:hAnsi="宋体" w:cs="宋体"/>
                <w:szCs w:val="21"/>
              </w:rPr>
              <w:t>②内容全面、具体，可操作性、针对性强，科学合理的，得30分；</w:t>
            </w:r>
          </w:p>
          <w:p>
            <w:pPr>
              <w:widowControl/>
              <w:snapToGrid w:val="0"/>
              <w:spacing w:line="320" w:lineRule="exact"/>
              <w:jc w:val="left"/>
              <w:rPr>
                <w:rFonts w:ascii="宋体" w:hAnsi="宋体" w:cs="宋体"/>
                <w:szCs w:val="21"/>
              </w:rPr>
            </w:pPr>
            <w:r>
              <w:rPr>
                <w:rFonts w:ascii="宋体" w:hAnsi="宋体" w:cs="宋体"/>
                <w:szCs w:val="21"/>
              </w:rPr>
              <w:t>③内容较为全面、具体，可操作性、针对性较强，较科学合理的，得20分；</w:t>
            </w:r>
          </w:p>
          <w:p>
            <w:pPr>
              <w:widowControl/>
              <w:snapToGrid w:val="0"/>
              <w:spacing w:line="320" w:lineRule="exact"/>
              <w:jc w:val="left"/>
              <w:rPr>
                <w:rFonts w:ascii="宋体" w:hAnsi="宋体" w:cs="宋体"/>
                <w:szCs w:val="21"/>
              </w:rPr>
            </w:pPr>
            <w:r>
              <w:rPr>
                <w:rFonts w:ascii="宋体" w:hAnsi="宋体" w:cs="宋体"/>
                <w:szCs w:val="21"/>
              </w:rPr>
              <w:t>④内容一般，可操作性、针对性一般的，得10分；</w:t>
            </w:r>
          </w:p>
          <w:p>
            <w:pPr>
              <w:widowControl/>
              <w:snapToGrid w:val="0"/>
              <w:spacing w:line="320" w:lineRule="exact"/>
              <w:jc w:val="left"/>
              <w:rPr>
                <w:rFonts w:ascii="宋体" w:eastAsia="宋体" w:hAnsi="宋体" w:cs="宋体" w:hint="eastAsia"/>
                <w:sz w:val="21"/>
                <w:szCs w:val="21"/>
              </w:rPr>
            </w:pPr>
            <w:r>
              <w:rPr>
                <w:rFonts w:ascii="宋体" w:hAnsi="宋体" w:cs="宋体"/>
                <w:szCs w:val="21"/>
              </w:rPr>
              <w:t>⑤内容不合理，可操作性、针对性差、不科学合理的，不得分。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3</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Theme="minorEastAsia" w:hAnsiTheme="minorEastAsia" w:hint="eastAsia"/>
                <w:b/>
                <w:bCs/>
                <w:szCs w:val="21"/>
                <w:lang w:val="en-US" w:eastAsia="zh-CN"/>
              </w:rPr>
              <w:t>商务</w:t>
            </w:r>
            <w:r>
              <w:rPr>
                <w:rFonts w:ascii="宋体" w:eastAsia="宋体" w:hAnsi="宋体" w:cs="宋体" w:hint="eastAsia"/>
                <w:b/>
                <w:bCs/>
                <w:sz w:val="21"/>
                <w:szCs w:val="21"/>
              </w:rPr>
              <w:t>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14</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szCs w:val="21"/>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cs="宋体"/>
                <w:color w:val="000000"/>
                <w:szCs w:val="21"/>
              </w:rPr>
              <w:t>“校级管理平台”知识产权情况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cs="宋体"/>
                <w:szCs w:val="21"/>
              </w:rPr>
              <w:t>6</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eastAsia="宋体" w:hAnsi="宋体" w:cs="宋体" w:hint="eastAsia"/>
                <w:sz w:val="21"/>
                <w:szCs w:val="21"/>
              </w:rPr>
            </w:pPr>
            <w:r>
              <w:rPr>
                <w:rFonts w:ascii="宋体" w:hAnsi="宋体" w:cs="宋体"/>
                <w:b/>
                <w:bCs/>
                <w:szCs w:val="21"/>
              </w:rPr>
              <w:t>（一）评审内容：</w:t>
            </w:r>
            <w:r>
              <w:rPr>
                <w:rFonts w:ascii="宋体" w:hAnsi="宋体" w:cs="宋体"/>
                <w:szCs w:val="21"/>
              </w:rPr>
              <w:br/>
            </w:r>
            <w:r>
              <w:rPr>
                <w:rFonts w:ascii="宋体" w:hAnsi="宋体" w:cs="宋体"/>
                <w:szCs w:val="21"/>
              </w:rPr>
              <w:t>投标人所投“校级管理平台”产品，具有以下类别计算机软件著作权登记证书的，每提供一类得50分，最高得100分：</w:t>
            </w:r>
            <w:r>
              <w:rPr>
                <w:rFonts w:ascii="宋体" w:hAnsi="宋体" w:cs="宋体"/>
                <w:szCs w:val="21"/>
              </w:rPr>
              <w:br/>
            </w:r>
            <w:r>
              <w:rPr>
                <w:rFonts w:ascii="宋体" w:hAnsi="宋体" w:cs="宋体"/>
                <w:b/>
                <w:bCs/>
                <w:szCs w:val="21"/>
              </w:rPr>
              <w:t>①智慧实验校级管理系统创新教学类;；</w:t>
            </w:r>
            <w:r>
              <w:rPr>
                <w:rFonts w:ascii="宋体" w:hAnsi="宋体" w:cs="宋体"/>
                <w:b/>
                <w:bCs/>
                <w:szCs w:val="21"/>
              </w:rPr>
              <w:br/>
            </w:r>
            <w:r>
              <w:rPr>
                <w:rFonts w:ascii="宋体" w:hAnsi="宋体" w:cs="宋体"/>
                <w:b/>
                <w:bCs/>
                <w:szCs w:val="21"/>
              </w:rPr>
              <w:t>②创新教学平台智能管理系统类；</w:t>
            </w:r>
            <w:r>
              <w:rPr>
                <w:rFonts w:ascii="宋体" w:hAnsi="宋体" w:cs="宋体"/>
                <w:szCs w:val="21"/>
              </w:rPr>
              <w:br/>
            </w:r>
            <w:r>
              <w:rPr>
                <w:rFonts w:ascii="宋体" w:hAnsi="宋体" w:cs="宋体"/>
                <w:szCs w:val="21"/>
              </w:rPr>
              <w:t>以上同一类中提供多个证书的不重复计分。</w:t>
            </w:r>
            <w:r>
              <w:rPr>
                <w:rFonts w:ascii="宋体" w:hAnsi="宋体" w:cs="宋体"/>
                <w:szCs w:val="21"/>
              </w:rPr>
              <w:br/>
            </w:r>
            <w:r>
              <w:rPr>
                <w:rFonts w:ascii="宋体" w:eastAsia="宋体" w:hAnsi="宋体" w:cs="宋体"/>
                <w:b/>
                <w:bCs/>
                <w:color w:val="0000FF"/>
                <w:szCs w:val="21"/>
              </w:rPr>
              <w:t>（二）评</w:t>
            </w:r>
            <w:r>
              <w:rPr>
                <w:rFonts w:ascii="宋体" w:hAnsi="宋体" w:cs="宋体"/>
                <w:b/>
                <w:bCs/>
                <w:color w:val="0000FF"/>
                <w:szCs w:val="21"/>
              </w:rPr>
              <w:t>审</w:t>
            </w:r>
            <w:r>
              <w:rPr>
                <w:rFonts w:ascii="宋体" w:eastAsia="宋体" w:hAnsi="宋体" w:cs="宋体"/>
                <w:b/>
                <w:bCs/>
                <w:color w:val="0000FF"/>
                <w:szCs w:val="21"/>
              </w:rPr>
              <w:t>依据：</w:t>
            </w:r>
            <w:r>
              <w:rPr>
                <w:rFonts w:ascii="宋体" w:eastAsia="宋体" w:hAnsi="宋体" w:cs="宋体"/>
                <w:b/>
                <w:bCs/>
                <w:color w:val="0000FF"/>
                <w:szCs w:val="21"/>
              </w:rPr>
              <w:br/>
            </w:r>
            <w:r>
              <w:rPr>
                <w:rFonts w:ascii="宋体" w:eastAsia="宋体" w:hAnsi="宋体" w:cs="宋体"/>
                <w:color w:val="0000FF"/>
                <w:szCs w:val="21"/>
              </w:rPr>
              <w:t>1、提供：①国家版权局颁发的相关计算机软件著作权登记证书扫描件；②中国版权保护中心（https://register.ccopyright.com.cn/query.html）计算机软件著作权登记公告检索截图；</w:t>
            </w:r>
            <w:r>
              <w:rPr>
                <w:rFonts w:ascii="宋体" w:eastAsia="宋体" w:hAnsi="宋体" w:cs="宋体"/>
                <w:color w:val="0000FF"/>
                <w:szCs w:val="21"/>
              </w:rPr>
              <w:br/>
            </w:r>
            <w:r>
              <w:rPr>
                <w:rFonts w:ascii="宋体" w:eastAsia="宋体" w:hAnsi="宋体" w:cs="宋体"/>
                <w:color w:val="0000FF"/>
                <w:szCs w:val="21"/>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kern w:val="2"/>
                <w:sz w:val="21"/>
                <w:szCs w:val="21"/>
                <w:lang w:val="en-US" w:eastAsia="zh-CN" w:bidi="ar-SA"/>
              </w:rPr>
            </w:pPr>
            <w:r>
              <w:rPr>
                <w:rFonts w:ascii="宋体" w:hAnsi="宋体"/>
                <w:szCs w:val="21"/>
              </w:rPr>
              <w:t>2</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color w:val="000000"/>
                <w:szCs w:val="21"/>
              </w:rPr>
              <w:t>“实验信息采集终端”知识产权情况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szCs w:val="21"/>
              </w:rPr>
              <w:t>6</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eastAsia="宋体" w:hAnsi="宋体" w:cs="宋体" w:hint="eastAsia"/>
                <w:kern w:val="2"/>
                <w:sz w:val="21"/>
                <w:szCs w:val="21"/>
                <w:lang w:val="en-US" w:eastAsia="zh-CN" w:bidi="ar-SA"/>
              </w:rPr>
            </w:pPr>
            <w:r>
              <w:rPr>
                <w:rFonts w:ascii="宋体" w:hAnsi="宋体" w:cs="宋体"/>
                <w:szCs w:val="21"/>
              </w:rPr>
              <w:t>（一）评分内容：</w:t>
            </w:r>
            <w:r>
              <w:rPr>
                <w:rFonts w:ascii="宋体" w:hAnsi="宋体" w:cs="宋体"/>
                <w:szCs w:val="21"/>
              </w:rPr>
              <w:br/>
            </w:r>
            <w:r>
              <w:rPr>
                <w:rFonts w:ascii="宋体" w:hAnsi="宋体" w:cs="宋体"/>
                <w:szCs w:val="21"/>
              </w:rPr>
              <w:t>投标人所投“实验信息采集终端”产品，具有以下类别计算机软件著作权登记证书的，每提供一类得50分，最高得100分：</w:t>
            </w:r>
            <w:r>
              <w:rPr>
                <w:rFonts w:ascii="宋体" w:hAnsi="宋体" w:cs="宋体"/>
                <w:szCs w:val="21"/>
              </w:rPr>
              <w:br/>
            </w:r>
            <w:r>
              <w:rPr>
                <w:rFonts w:ascii="宋体" w:hAnsi="宋体" w:cs="宋体"/>
                <w:b/>
                <w:szCs w:val="21"/>
              </w:rPr>
              <w:t>①智慧实验学生终端创新教学类；</w:t>
            </w:r>
            <w:r>
              <w:rPr>
                <w:rFonts w:ascii="宋体" w:hAnsi="宋体" w:cs="宋体"/>
                <w:b/>
                <w:szCs w:val="21"/>
              </w:rPr>
              <w:br/>
            </w:r>
            <w:r>
              <w:rPr>
                <w:rFonts w:ascii="宋体" w:hAnsi="宋体" w:cs="宋体"/>
                <w:b/>
                <w:szCs w:val="21"/>
              </w:rPr>
              <w:t>②智慧实验AI人脸脱敏类；</w:t>
            </w:r>
            <w:r>
              <w:rPr>
                <w:rFonts w:ascii="宋体" w:hAnsi="宋体" w:cs="宋体"/>
                <w:szCs w:val="21"/>
              </w:rPr>
              <w:br/>
            </w:r>
            <w:r>
              <w:rPr>
                <w:rFonts w:ascii="宋体" w:hAnsi="宋体" w:cs="宋体"/>
                <w:szCs w:val="21"/>
              </w:rPr>
              <w:t>以上同一类中提供多个证书的不重复计分。</w:t>
            </w:r>
            <w:r>
              <w:rPr>
                <w:rFonts w:ascii="宋体" w:hAnsi="宋体" w:cs="宋体"/>
                <w:szCs w:val="21"/>
              </w:rPr>
              <w:br/>
            </w:r>
            <w:r>
              <w:rPr>
                <w:rFonts w:ascii="宋体" w:hAnsi="宋体" w:cs="宋体"/>
                <w:b/>
                <w:bCs/>
                <w:color w:val="0000FF"/>
                <w:szCs w:val="21"/>
              </w:rPr>
              <w:t>（二）</w:t>
            </w:r>
            <w:r>
              <w:rPr>
                <w:rFonts w:ascii="宋体" w:eastAsia="宋体" w:hAnsi="宋体" w:cs="宋体"/>
                <w:b/>
                <w:bCs/>
                <w:color w:val="0000FF"/>
                <w:szCs w:val="21"/>
              </w:rPr>
              <w:t>评</w:t>
            </w:r>
            <w:r>
              <w:rPr>
                <w:rFonts w:ascii="宋体" w:hAnsi="宋体" w:cs="宋体"/>
                <w:b/>
                <w:bCs/>
                <w:color w:val="0000FF"/>
                <w:szCs w:val="21"/>
              </w:rPr>
              <w:t>审</w:t>
            </w:r>
            <w:r>
              <w:rPr>
                <w:rFonts w:ascii="宋体" w:eastAsia="宋体" w:hAnsi="宋体" w:cs="宋体"/>
                <w:b/>
                <w:bCs/>
                <w:color w:val="0000FF"/>
                <w:szCs w:val="21"/>
              </w:rPr>
              <w:t>依据</w:t>
            </w:r>
            <w:r>
              <w:rPr>
                <w:rFonts w:ascii="宋体" w:hAnsi="宋体" w:cs="宋体"/>
                <w:b/>
                <w:bCs/>
                <w:color w:val="0000FF"/>
                <w:szCs w:val="21"/>
              </w:rPr>
              <w:t>：</w:t>
            </w:r>
            <w:r>
              <w:rPr>
                <w:rFonts w:ascii="宋体" w:hAnsi="宋体" w:cs="宋体"/>
                <w:color w:val="0000FF"/>
                <w:szCs w:val="21"/>
              </w:rPr>
              <w:br/>
            </w:r>
            <w:r>
              <w:rPr>
                <w:rFonts w:ascii="宋体" w:hAnsi="宋体" w:cs="宋体"/>
                <w:color w:val="0000FF"/>
                <w:szCs w:val="21"/>
              </w:rPr>
              <w:t>1、提供：①国家版权局颁发的相关计算机软件著作权登记证书扫描件；②中国版权保护中心（https://register.ccopyright.com.cn/query.html）计算机软件著作权登记公告检索截图；</w:t>
            </w:r>
            <w:r>
              <w:rPr>
                <w:rFonts w:ascii="宋体" w:hAnsi="宋体" w:cs="宋体"/>
                <w:color w:val="0000FF"/>
                <w:szCs w:val="21"/>
              </w:rPr>
              <w:br/>
            </w:r>
            <w:r>
              <w:rPr>
                <w:rFonts w:ascii="宋体" w:hAnsi="宋体" w:cs="宋体"/>
                <w:color w:val="0000FF"/>
                <w:szCs w:val="21"/>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val="en-US" w:eastAsia="zh-CN"/>
              </w:rPr>
              <w:t>3</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lang w:val="en-US" w:eastAsia="zh-CN"/>
              </w:rPr>
            </w:pPr>
            <w:r>
              <w:rPr>
                <w:rFonts w:ascii="宋体" w:eastAsia="宋体" w:hAnsi="宋体" w:cs="宋体" w:hint="eastAsia"/>
                <w:sz w:val="21"/>
                <w:szCs w:val="21"/>
              </w:rPr>
              <w:t>政府采购节能环保产品</w:t>
            </w:r>
            <w:r>
              <w:rPr>
                <w:rFonts w:ascii="宋体" w:eastAsia="宋体" w:hAnsi="宋体" w:cs="宋体" w:hint="eastAsia"/>
                <w:sz w:val="21"/>
                <w:szCs w:val="21"/>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b w:val="0"/>
                <w:bCs/>
                <w:sz w:val="21"/>
                <w:szCs w:val="21"/>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autoSpaceDE w:val="0"/>
              <w:autoSpaceDN w:val="0"/>
              <w:adjustRightInd w:val="0"/>
              <w:spacing w:line="300" w:lineRule="exact"/>
              <w:jc w:val="both"/>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一、评审内容：</w:t>
            </w:r>
          </w:p>
          <w:p>
            <w:pPr>
              <w:autoSpaceDE w:val="0"/>
              <w:autoSpaceDN w:val="0"/>
              <w:adjustRightInd w:val="0"/>
              <w:spacing w:line="300" w:lineRule="exact"/>
              <w:jc w:val="both"/>
              <w:rPr>
                <w:rFonts w:ascii="宋体" w:eastAsia="宋体" w:hAnsi="宋体" w:cs="宋体" w:hint="eastAsia"/>
                <w:sz w:val="21"/>
                <w:szCs w:val="21"/>
              </w:rPr>
            </w:pPr>
            <w:r>
              <w:rPr>
                <w:rFonts w:ascii="宋体" w:eastAsia="宋体" w:hAnsi="宋体" w:cs="宋体" w:hint="eastAsia"/>
                <w:sz w:val="21"/>
                <w:szCs w:val="21"/>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sz w:val="21"/>
                <w:szCs w:val="21"/>
                <w:lang w:val="en-US" w:eastAsia="zh-CN"/>
              </w:rPr>
              <w:t>招标文件</w:t>
            </w:r>
            <w:r>
              <w:rPr>
                <w:rFonts w:ascii="宋体" w:eastAsia="宋体" w:hAnsi="宋体" w:cs="宋体" w:hint="eastAsia"/>
                <w:sz w:val="21"/>
                <w:szCs w:val="21"/>
              </w:rPr>
              <w:t>第三章 用户需求书 二、货物需求明细中“货物名称”为准）被列入节能产品政府采购品目清单（</w:t>
            </w:r>
            <w:r>
              <w:rPr>
                <w:rFonts w:ascii="宋体" w:eastAsia="宋体" w:hAnsi="宋体" w:cs="宋体" w:hint="eastAsia"/>
                <w:color w:val="FF0000"/>
                <w:sz w:val="21"/>
                <w:szCs w:val="21"/>
              </w:rPr>
              <w:t>已标注</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val="en-US" w:eastAsia="zh-CN"/>
              </w:rPr>
              <w:t>号属</w:t>
            </w:r>
            <w:r>
              <w:rPr>
                <w:rFonts w:ascii="宋体" w:eastAsia="宋体" w:hAnsi="宋体" w:cs="宋体" w:hint="eastAsia"/>
                <w:color w:val="FF0000"/>
                <w:sz w:val="21"/>
                <w:szCs w:val="21"/>
              </w:rPr>
              <w:t>政府强制采购产品</w:t>
            </w:r>
            <w:r>
              <w:rPr>
                <w:rFonts w:ascii="宋体" w:eastAsia="宋体" w:hAnsi="宋体" w:cs="宋体" w:hint="eastAsia"/>
                <w:color w:val="FF0000"/>
                <w:sz w:val="21"/>
                <w:szCs w:val="21"/>
                <w:lang w:val="en-US" w:eastAsia="zh-CN"/>
              </w:rPr>
              <w:t>需具有</w:t>
            </w:r>
            <w:r>
              <w:rPr>
                <w:rFonts w:ascii="宋体" w:eastAsia="宋体" w:hAnsi="宋体" w:cs="宋体" w:hint="eastAsia"/>
                <w:color w:val="FF0000"/>
                <w:sz w:val="21"/>
                <w:szCs w:val="21"/>
              </w:rPr>
              <w:t>节能产品认证证书的除外</w:t>
            </w:r>
            <w:r>
              <w:rPr>
                <w:rFonts w:ascii="宋体" w:eastAsia="宋体" w:hAnsi="宋体" w:cs="宋体" w:hint="eastAsia"/>
                <w:sz w:val="21"/>
                <w:szCs w:val="21"/>
              </w:rPr>
              <w:t>）或环境标志产品政府采购品目清单</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且具有有效期内的</w:t>
            </w:r>
            <w:r>
              <w:rPr>
                <w:rFonts w:ascii="宋体" w:eastAsia="宋体" w:hAnsi="宋体" w:cs="宋体" w:hint="eastAsia"/>
                <w:sz w:val="21"/>
                <w:szCs w:val="21"/>
              </w:rPr>
              <w:t>节能产品</w:t>
            </w:r>
            <w:r>
              <w:rPr>
                <w:rFonts w:ascii="宋体" w:eastAsia="宋体" w:hAnsi="宋体" w:cs="宋体" w:hint="eastAsia"/>
                <w:sz w:val="21"/>
                <w:szCs w:val="21"/>
                <w:lang w:val="en-US" w:eastAsia="zh-CN"/>
              </w:rPr>
              <w:t>或</w:t>
            </w:r>
            <w:r>
              <w:rPr>
                <w:rFonts w:ascii="宋体" w:eastAsia="宋体" w:hAnsi="宋体" w:cs="宋体" w:hint="eastAsia"/>
                <w:sz w:val="21"/>
                <w:szCs w:val="21"/>
              </w:rPr>
              <w:t>环境标志产品认证证书的</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每提供1项得100分，最高</w:t>
            </w:r>
            <w:r>
              <w:rPr>
                <w:rFonts w:ascii="宋体" w:eastAsia="宋体" w:hAnsi="宋体" w:cs="宋体" w:hint="eastAsia"/>
                <w:sz w:val="21"/>
                <w:szCs w:val="21"/>
              </w:rPr>
              <w:t>得100分。</w:t>
            </w:r>
          </w:p>
          <w:p>
            <w:pPr>
              <w:snapToGrid w:val="0"/>
              <w:jc w:val="both"/>
              <w:rPr>
                <w:rFonts w:ascii="宋体" w:eastAsia="宋体" w:hAnsi="宋体" w:cs="宋体" w:hint="default"/>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snapToGrid w:val="0"/>
              <w:jc w:val="both"/>
              <w:rPr>
                <w:rFonts w:ascii="宋体" w:eastAsia="宋体" w:hAnsi="宋体" w:cs="宋体" w:hint="eastAsia"/>
                <w:color w:val="0000FF"/>
                <w:sz w:val="21"/>
                <w:szCs w:val="21"/>
                <w:lang w:eastAsia="zh-CN"/>
              </w:rPr>
            </w:pPr>
            <w:r>
              <w:rPr>
                <w:rFonts w:ascii="宋体" w:eastAsia="宋体" w:hAnsi="宋体" w:cs="宋体" w:hint="eastAsia"/>
                <w:color w:val="0000FF"/>
                <w:sz w:val="21"/>
                <w:szCs w:val="21"/>
                <w:lang w:val="en-US" w:eastAsia="zh-CN"/>
              </w:rPr>
              <w:t>1、</w:t>
            </w:r>
            <w:r>
              <w:rPr>
                <w:rFonts w:ascii="宋体" w:eastAsia="宋体" w:hAnsi="宋体" w:cs="宋体" w:hint="eastAsia"/>
                <w:color w:val="0000FF"/>
                <w:sz w:val="21"/>
                <w:szCs w:val="21"/>
              </w:rPr>
              <w:t>提供《市场监管总局关于发布参与实施政府采购节能产品、环境标志产品认证机构名录的公告》（2019年第16号）确定的认证机构出具的</w:t>
            </w:r>
            <w:r>
              <w:rPr>
                <w:rFonts w:ascii="宋体" w:eastAsia="宋体" w:hAnsi="宋体" w:cs="宋体" w:hint="eastAsia"/>
                <w:color w:val="0000FF"/>
                <w:sz w:val="21"/>
                <w:szCs w:val="21"/>
                <w:lang w:val="en-US" w:eastAsia="zh-CN"/>
              </w:rPr>
              <w:t>且</w:t>
            </w:r>
            <w:r>
              <w:rPr>
                <w:rFonts w:ascii="宋体" w:eastAsia="宋体" w:hAnsi="宋体" w:cs="宋体" w:hint="eastAsia"/>
                <w:color w:val="0000FF"/>
                <w:sz w:val="21"/>
                <w:szCs w:val="21"/>
              </w:rPr>
              <w:t>处于有效期内的节能产品</w:t>
            </w:r>
            <w:r>
              <w:rPr>
                <w:rFonts w:ascii="宋体" w:eastAsia="宋体" w:hAnsi="宋体" w:cs="宋体" w:hint="eastAsia"/>
                <w:color w:val="0000FF"/>
                <w:sz w:val="21"/>
                <w:szCs w:val="21"/>
                <w:lang w:val="en-US" w:eastAsia="zh-CN"/>
              </w:rPr>
              <w:t>或</w:t>
            </w:r>
            <w:r>
              <w:rPr>
                <w:rFonts w:ascii="宋体" w:eastAsia="宋体" w:hAnsi="宋体" w:cs="宋体" w:hint="eastAsia"/>
                <w:color w:val="0000FF"/>
                <w:sz w:val="21"/>
                <w:szCs w:val="21"/>
              </w:rPr>
              <w:t>环境标志产品认证证书扫描件</w:t>
            </w:r>
            <w:r>
              <w:rPr>
                <w:rFonts w:ascii="宋体" w:eastAsia="宋体" w:hAnsi="宋体" w:cs="宋体" w:hint="eastAsia"/>
                <w:color w:val="0000FF"/>
                <w:sz w:val="21"/>
                <w:szCs w:val="21"/>
                <w:lang w:eastAsia="zh-CN"/>
              </w:rPr>
              <w:t>；</w:t>
            </w:r>
          </w:p>
          <w:p>
            <w:pPr>
              <w:snapToGrid w:val="0"/>
              <w:jc w:val="both"/>
              <w:rPr>
                <w:rFonts w:ascii="宋体" w:eastAsia="宋体" w:hAnsi="宋体" w:cs="宋体" w:hint="eastAsia"/>
                <w:sz w:val="21"/>
                <w:szCs w:val="21"/>
              </w:rPr>
            </w:pPr>
            <w:r>
              <w:rPr>
                <w:rFonts w:ascii="宋体" w:eastAsia="宋体" w:hAnsi="宋体" w:cs="宋体" w:hint="eastAsia"/>
                <w:color w:val="0000FF"/>
                <w:sz w:val="21"/>
                <w:szCs w:val="21"/>
                <w:lang w:val="en-US" w:eastAsia="zh-CN"/>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4</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绿色采购</w:t>
            </w:r>
            <w:r>
              <w:rPr>
                <w:rFonts w:ascii="宋体" w:eastAsia="宋体" w:hAnsi="宋体" w:cs="宋体" w:hint="eastAsia"/>
                <w:sz w:val="21"/>
                <w:szCs w:val="21"/>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b/>
                <w:sz w:val="21"/>
                <w:szCs w:val="21"/>
                <w:lang w:val="en-US" w:eastAsia="zh-CN"/>
              </w:rPr>
            </w:pPr>
            <w:r>
              <w:rPr>
                <w:rFonts w:ascii="宋体" w:eastAsia="宋体" w:hAnsi="宋体" w:cs="宋体" w:hint="eastAsia"/>
                <w:b w:val="0"/>
                <w:bCs/>
                <w:sz w:val="21"/>
                <w:szCs w:val="21"/>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autoSpaceDE w:val="0"/>
              <w:autoSpaceDN w:val="0"/>
              <w:adjustRightInd w:val="0"/>
              <w:spacing w:line="300" w:lineRule="exact"/>
              <w:jc w:val="both"/>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一、评审内容：</w:t>
            </w:r>
          </w:p>
          <w:p>
            <w:pPr>
              <w:autoSpaceDE w:val="0"/>
              <w:autoSpaceDN w:val="0"/>
              <w:adjustRightInd w:val="0"/>
              <w:spacing w:line="300" w:lineRule="exact"/>
              <w:jc w:val="both"/>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本</w:t>
            </w:r>
            <w:r>
              <w:rPr>
                <w:rFonts w:ascii="宋体" w:eastAsia="宋体" w:hAnsi="宋体" w:cs="宋体" w:hint="eastAsia"/>
                <w:sz w:val="21"/>
                <w:szCs w:val="21"/>
              </w:rPr>
              <w:t>项目采购内容中需要对相关产品进行商品包装和快递包装，投标人承诺</w:t>
            </w:r>
            <w:r>
              <w:rPr>
                <w:rFonts w:ascii="宋体" w:eastAsia="宋体" w:hAnsi="宋体" w:cs="宋体" w:hint="eastAsia"/>
                <w:sz w:val="21"/>
                <w:szCs w:val="21"/>
                <w:lang w:val="en-US" w:eastAsia="zh-CN"/>
              </w:rPr>
              <w:t>以下内容的得100分：</w:t>
            </w:r>
          </w:p>
          <w:p>
            <w:pPr>
              <w:autoSpaceDE w:val="0"/>
              <w:autoSpaceDN w:val="0"/>
              <w:adjustRightInd w:val="0"/>
              <w:spacing w:line="300" w:lineRule="exact"/>
              <w:jc w:val="both"/>
              <w:rPr>
                <w:rFonts w:ascii="宋体" w:eastAsia="宋体" w:hAnsi="宋体" w:cs="宋体" w:hint="eastAsia"/>
                <w:sz w:val="21"/>
                <w:szCs w:val="21"/>
              </w:rPr>
            </w:pPr>
            <w:r>
              <w:rPr>
                <w:rFonts w:ascii="宋体" w:eastAsia="宋体" w:hAnsi="宋体" w:cs="宋体" w:hint="eastAsia"/>
                <w:sz w:val="21"/>
                <w:szCs w:val="21"/>
              </w:rPr>
              <w:t>所进行的商品包装和快递包装满足财政部《商品包装政府采购需求标准（试行）》《快递包装政府采购需求标准（试行）》（财办库〔2020〕123号）的要求，采用环保材料进行包装。</w:t>
            </w:r>
          </w:p>
          <w:p>
            <w:pPr>
              <w:snapToGrid w:val="0"/>
              <w:jc w:val="both"/>
              <w:rPr>
                <w:rFonts w:ascii="宋体" w:eastAsia="宋体" w:hAnsi="宋体" w:cs="宋体" w:hint="default"/>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snapToGrid w:val="0"/>
              <w:jc w:val="both"/>
              <w:rPr>
                <w:rFonts w:ascii="宋体" w:eastAsia="宋体" w:hAnsi="宋体" w:cs="宋体" w:hint="eastAsia"/>
                <w:color w:val="0000FF"/>
                <w:sz w:val="21"/>
                <w:szCs w:val="21"/>
                <w:lang w:val="en-US" w:eastAsia="zh-CN"/>
              </w:rPr>
            </w:pPr>
            <w:r>
              <w:rPr>
                <w:rFonts w:ascii="宋体" w:eastAsia="宋体" w:hAnsi="宋体" w:cs="宋体" w:hint="eastAsia"/>
                <w:color w:val="0000FF"/>
                <w:sz w:val="21"/>
                <w:szCs w:val="21"/>
                <w:lang w:val="en-US" w:eastAsia="zh-CN"/>
              </w:rPr>
              <w:t>提供相关承诺函（格式自定），未按要求提供证明材料（或证明材料无法判断是否符合评分要求）的不得分，原件备查。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4</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5</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
      <w:pPr>
        <w:jc w:val="center"/>
        <w:rPr>
          <w:b/>
          <w:sz w:val="84"/>
          <w:szCs w:val="84"/>
        </w:rPr>
      </w:pPr>
    </w:p>
    <w:p>
      <w:pPr>
        <w:jc w:val="center"/>
        <w:rPr>
          <w:b/>
          <w:sz w:val="84"/>
          <w:szCs w:val="84"/>
        </w:rPr>
      </w:pPr>
    </w:p>
    <w:p>
      <w:pPr>
        <w:jc w:val="center"/>
        <w:rPr>
          <w:b/>
          <w:sz w:val="84"/>
          <w:szCs w:val="84"/>
        </w:rPr>
      </w:pPr>
    </w:p>
    <w:p>
      <w:pPr>
        <w:rPr>
          <w:rFonts w:hint="eastAsia"/>
          <w:b/>
          <w:sz w:val="120"/>
          <w:szCs w:val="120"/>
        </w:rPr>
      </w:pPr>
      <w:r>
        <w:rPr>
          <w:rFonts w:hint="eastAsia"/>
          <w:b/>
          <w:sz w:val="120"/>
          <w:szCs w:val="120"/>
        </w:rPr>
        <w:br w:type="page"/>
      </w: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ascii="宋体" w:hAnsi="宋体" w:hint="eastAsia"/>
          <w:b/>
          <w:sz w:val="44"/>
          <w:szCs w:val="44"/>
        </w:rPr>
        <w:t>）</w:t>
      </w:r>
    </w:p>
    <w:p>
      <w:pPr>
        <w:ind w:firstLine="2730" w:firstLineChars="1300"/>
        <w:jc w:val="center"/>
        <w:rPr>
          <w:bCs/>
          <w:color w:val="FF0000"/>
        </w:rPr>
      </w:pPr>
      <w: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w:t>
      </w:r>
      <w:r>
        <w:rPr>
          <w:rFonts w:asciiTheme="minorEastAsia" w:eastAsiaTheme="minorEastAsia" w:hAnsiTheme="minorEastAsia" w:cstheme="minorEastAsia" w:hint="eastAsia"/>
          <w:b/>
          <w:bCs/>
          <w:color w:val="FF0000"/>
          <w:sz w:val="21"/>
          <w:szCs w:val="21"/>
        </w:rPr>
        <w:t>《深圳经济特区政府采购条例》第五十七条</w:t>
      </w:r>
      <w:r>
        <w:rPr>
          <w:rFonts w:asciiTheme="minorEastAsia" w:eastAsiaTheme="minorEastAsia" w:hAnsiTheme="minorEastAsia" w:cstheme="minorEastAsia" w:hint="eastAsia"/>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二、《深圳经济特区政府采购条例实施细则》第七十五条 </w:t>
      </w:r>
      <w:r>
        <w:rPr>
          <w:rFonts w:asciiTheme="minorEastAsia" w:eastAsiaTheme="minorEastAsia" w:hAnsiTheme="minorEastAsia" w:cstheme="minorEastAsia" w:hint="eastAsia"/>
          <w:color w:val="FF0000"/>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三、《深圳经济特区政府采购条例实施细则》第七十七条 </w:t>
      </w:r>
      <w:r>
        <w:rPr>
          <w:rFonts w:asciiTheme="minorEastAsia" w:eastAsiaTheme="minorEastAsia" w:hAnsiTheme="minorEastAsia" w:cstheme="minorEastAsia" w:hint="eastAsia"/>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投标供应商不能提供项目负责人或者主要技术人员的劳动合同、社会保险等劳动关系证明材料的，视为存在前款第（三）项规定的情形。</w:t>
      </w:r>
      <w:bookmarkEnd w:id="2"/>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rPr>
      </w:pPr>
      <w:r>
        <w:rPr>
          <w:rFonts w:asciiTheme="minorEastAsia" w:eastAsiaTheme="minorEastAsia" w:hAnsiTheme="minorEastAsia" w:cstheme="minorEastAsia" w:hint="eastAsia"/>
          <w:b/>
          <w:color w:val="FF0000"/>
          <w:sz w:val="21"/>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2）本项目不接受联合体投标</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3</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yellow"/>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（1）“信用中国”中“信用服务”栏的“重大税收违法失信主体”“失信被执行人”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“中国政府采购网”中的“政府采购严重违法失信行为记录名单”</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rPr>
      </w:pPr>
      <w:bookmarkStart w:id="4" w:name="_Toc60631620"/>
      <w:bookmarkStart w:id="5" w:name="_Toc101074876"/>
      <w:bookmarkStart w:id="6" w:name="_Toc60560625"/>
      <w:bookmarkStart w:id="7" w:name="_Toc100052364"/>
      <w:bookmarkStart w:id="8" w:name="_Toc73517639"/>
      <w:bookmarkStart w:id="9" w:name="_Toc73521547"/>
      <w:bookmarkStart w:id="10" w:name="_Toc73521635"/>
      <w:bookmarkStart w:id="11" w:name="_Toc73518117"/>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rPr>
            </w:pPr>
            <w:r>
              <w:rPr>
                <w:rFonts w:ascii="宋体" w:eastAsia="宋体" w:hAnsi="宋体" w:cs="Arial" w:hint="eastAsia"/>
                <w:b/>
                <w:szCs w:val="21"/>
              </w:rPr>
              <w:t>深圳市宝安区孝德学校</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eastAsiaTheme="minorEastAsia" w:hint="default"/>
                <w:lang w:val="en-US" w:eastAsia="zh-CN"/>
              </w:rPr>
            </w:pPr>
            <w:r>
              <w:rPr>
                <w:rFonts w:ascii="宋体" w:hAnsi="宋体" w:hint="eastAsia"/>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rPr>
            </w:pPr>
            <w:r>
              <w:rPr>
                <w:rFonts w:ascii="宋体" w:hAnsi="宋体" w:hint="eastAsia"/>
              </w:rPr>
              <w:t>踏勘现场</w:t>
            </w:r>
          </w:p>
        </w:tc>
        <w:tc>
          <w:tcPr>
            <w:tcW w:w="6795" w:type="dxa"/>
            <w:vAlign w:val="center"/>
          </w:tcPr>
          <w:p>
            <w:pPr>
              <w:snapToGrid w:val="0"/>
              <w:ind w:firstLine="420" w:firstLineChars="200"/>
              <w:jc w:val="left"/>
              <w:rPr>
                <w:rFonts w:ascii="宋体" w:hAnsi="宋体" w:hint="eastAsia"/>
                <w:lang w:val="en-US" w:eastAsia="zh-CN"/>
              </w:rPr>
            </w:pPr>
            <w:r>
              <w:rPr>
                <w:rFonts w:ascii="宋体" w:hAnsi="宋体" w:hint="eastAsia"/>
                <w:lang w:val="en-US" w:eastAsia="zh-CN"/>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snapToGrid w:val="0"/>
              <w:ind w:firstLine="420" w:firstLineChars="200"/>
              <w:jc w:val="left"/>
            </w:pPr>
            <w:r>
              <w:rPr>
                <w:rFonts w:ascii="宋体" w:hAnsi="宋体" w:hint="eastAsia"/>
                <w:color w:val="FF0000"/>
                <w:lang w:val="en-US" w:eastAsia="zh-CN"/>
              </w:rPr>
              <w:t>有应标意向的投标人请于招标公告发布后 5 日内到学校勘测现场，投标人中标后不得以不了解现场情况等原因要求采购人增加项目建设费用。（联系人：林老师，电话：13528488255），按采购人规定的集合时间和地点进行踏勘。</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eastAsiaTheme="minorEastAsia" w:hint="eastAsia"/>
                <w:lang w:eastAsia="zh-CN"/>
              </w:rPr>
            </w:pPr>
            <w:r>
              <w:rPr>
                <w:rFonts w:ascii="宋体" w:hAnsi="宋体" w:hint="eastAsia"/>
              </w:rPr>
              <w:t>对招标文件澄清/修改时间不晚于投标截止日三日前，投标人有义务在招标期间在政府集中采购机构网站浏览与本项目有关的澄清和修改信息</w:t>
            </w:r>
            <w:r>
              <w:rPr>
                <w:rFonts w:ascii="宋体" w:hAnsi="宋体" w:hint="eastAsia"/>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rPr>
            </w:pPr>
            <w:r>
              <w:rPr>
                <w:rFonts w:ascii="宋体" w:hAnsi="宋体" w:hint="eastAsia"/>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rPr>
            </w:pPr>
            <w:r>
              <w:rPr>
                <w:rFonts w:ascii="宋体" w:hAnsi="宋体" w:hint="eastAsia"/>
              </w:rPr>
              <w:t>履约担保</w:t>
            </w:r>
          </w:p>
        </w:tc>
        <w:tc>
          <w:tcPr>
            <w:tcW w:w="6795" w:type="dxa"/>
            <w:vAlign w:val="center"/>
          </w:tcPr>
          <w:p>
            <w:pPr>
              <w:jc w:val="left"/>
              <w:rPr>
                <w:rFonts w:ascii="宋体" w:hAnsi="宋体"/>
              </w:rPr>
            </w:pPr>
            <w:r>
              <w:rPr>
                <w:rFonts w:ascii="宋体" w:hAnsi="宋体" w:hint="eastAsia"/>
              </w:rPr>
              <w:t>不</w:t>
            </w:r>
            <w:r>
              <w:rPr>
                <w:rFonts w:ascii="宋体" w:hAnsi="宋体" w:hint="eastAsia"/>
                <w:lang w:val="en-US" w:eastAsia="zh-CN"/>
              </w:rPr>
              <w:t>需要</w:t>
            </w:r>
            <w:bookmarkEnd w:id="4"/>
            <w:bookmarkEnd w:id="5"/>
            <w:bookmarkEnd w:id="6"/>
            <w:bookmarkEnd w:id="7"/>
            <w:bookmarkEnd w:id="8"/>
            <w:bookmarkEnd w:id="9"/>
            <w:bookmarkEnd w:id="10"/>
            <w:bookmarkEnd w:id="11"/>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tabs>
          <w:tab w:val="left" w:pos="720"/>
        </w:tabs>
        <w:jc w:val="center"/>
        <w:rPr>
          <w:rFonts w:eastAsiaTheme="minorEastAsia" w:hint="default"/>
          <w:lang w:val="en-US" w:eastAsia="zh-CN"/>
        </w:rPr>
      </w:pPr>
      <w:r>
        <w:rPr>
          <w:rFonts w:hint="eastAsia"/>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3"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rPr>
                <w:rFonts w:eastAsiaTheme="minorEastAsia" w:hint="eastAsia"/>
                <w:highlight w:val="none"/>
                <w:lang w:eastAsia="zh-CN"/>
              </w:rPr>
            </w:pPr>
            <w:r>
              <w:rPr>
                <w:rFonts w:hint="eastAsia"/>
                <w:highlight w:val="none"/>
                <w:lang w:val="en-US"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bookmarkEnd w:id="13"/>
          </w:p>
        </w:tc>
      </w:tr>
    </w:tbl>
    <w:p>
      <w:pPr>
        <w:tabs>
          <w:tab w:val="left" w:pos="720"/>
        </w:tabs>
        <w:rPr>
          <w:rFonts w:ascii="黑体" w:eastAsia="黑体" w:hAnsi="宋体" w:hint="eastAsia"/>
          <w:bCs/>
          <w:sz w:val="24"/>
          <w:lang w:val="en-US" w:eastAsia="zh-CN"/>
        </w:rPr>
      </w:pPr>
    </w:p>
    <w:p>
      <w:pPr>
        <w:tabs>
          <w:tab w:val="left" w:pos="720"/>
        </w:tabs>
        <w:rPr>
          <w:rFonts w:ascii="黑体" w:eastAsia="黑体" w:hAnsi="宋体"/>
          <w:bCs/>
          <w:sz w:val="24"/>
        </w:rPr>
      </w:pPr>
      <w:r>
        <w:rPr>
          <w:rFonts w:ascii="黑体" w:eastAsia="黑体" w:hAnsi="宋体" w:hint="eastAsia"/>
          <w:bCs/>
          <w:sz w:val="24"/>
          <w:lang w:val="en-US" w:eastAsia="zh-CN"/>
        </w:rPr>
        <w:t>2</w:t>
      </w:r>
      <w:r>
        <w:rPr>
          <w:rFonts w:ascii="黑体" w:eastAsia="黑体" w:hAnsi="宋体" w:hint="eastAsia"/>
          <w:bCs/>
          <w:sz w:val="24"/>
        </w:rPr>
        <w:t>、关于包组的定义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lang w:val="en-US" w:eastAsia="zh-CN"/>
        </w:rPr>
        <w:t>3</w:t>
      </w:r>
      <w:r>
        <w:rPr>
          <w:rFonts w:ascii="黑体" w:eastAsia="黑体" w:hAnsi="宋体" w:hint="eastAsia"/>
          <w:sz w:val="24"/>
        </w:rPr>
        <w:t>、关于涉及采取随机抽取方式确定中标候选人（候选中标供应商）的规则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rPr>
        <w:t>（1）投标人提供的货物（以招标文</w:t>
      </w:r>
      <w:r>
        <w:rPr>
          <w:rFonts w:ascii="宋体" w:hAnsi="宋体" w:hint="eastAsia"/>
          <w:highlight w:val="none"/>
        </w:rPr>
        <w:t>件用户需求书“货物</w:t>
      </w:r>
      <w:r>
        <w:rPr>
          <w:rFonts w:ascii="宋体" w:hAnsi="宋体" w:hint="eastAsia"/>
          <w:highlight w:val="none"/>
          <w:lang w:val="en-US" w:eastAsia="zh-CN"/>
        </w:rPr>
        <w:t>需求</w:t>
      </w:r>
      <w:r>
        <w:rPr>
          <w:rFonts w:ascii="宋体" w:hAnsi="宋体" w:hint="eastAsia"/>
          <w:highlight w:val="none"/>
        </w:rPr>
        <w:t>明细”的“货物名称”一栏为准）全部均由优惠主体制造的，对其投标总价给予</w:t>
      </w:r>
      <w:r>
        <w:rPr>
          <w:rFonts w:ascii="宋体" w:eastAsia="宋体" w:hAnsi="宋体" w:cs="Times New Roman" w:hint="eastAsia"/>
          <w:b/>
          <w:sz w:val="24"/>
          <w:szCs w:val="24"/>
          <w:highlight w:val="none"/>
          <w:u w:val="single"/>
          <w:lang w:val="en-US" w:eastAsia="zh-CN"/>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w:t>
      </w:r>
      <w:r>
        <w:rPr>
          <w:rFonts w:asciiTheme="minorEastAsia" w:eastAsiaTheme="minorEastAsia" w:hAnsiTheme="minorEastAsia" w:cstheme="minorEastAsia" w:hint="eastAsia"/>
          <w:sz w:val="21"/>
          <w:szCs w:val="21"/>
        </w:rPr>
        <w:t>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lang w:val="en-US" w:eastAsia="zh-CN"/>
        </w:rPr>
        <w:t>(b)</w:t>
      </w:r>
      <w:r>
        <w:rPr>
          <w:rFonts w:asciiTheme="minorEastAsia" w:eastAsiaTheme="minorEastAsia" w:hAnsiTheme="minorEastAsia" w:cstheme="minorEastAsia" w:hint="eastAsia"/>
          <w:sz w:val="21"/>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《统计上大中小微型企业划分办法（2017）》（国统字〔2017〕213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kern w:val="0"/>
          <w:sz w:val="21"/>
          <w:szCs w:val="21"/>
        </w:rPr>
        <w:t>《金融业企业划型标准规定》</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银发〔2015〕309号</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sz w:val="21"/>
          <w:szCs w:val="21"/>
        </w:rPr>
        <w:t>或国务院批准的其他中小企业划分标准文件，</w:t>
      </w:r>
      <w:bookmarkStart w:id="14" w:name="_Hlk71970739"/>
      <w:r>
        <w:rPr>
          <w:rFonts w:asciiTheme="minorEastAsia" w:eastAsiaTheme="minorEastAsia" w:hAnsiTheme="minorEastAsia" w:cstheme="minorEastAsia" w:hint="eastAsia"/>
          <w:sz w:val="21"/>
          <w:szCs w:val="21"/>
        </w:rPr>
        <w:t>本项目</w:t>
      </w:r>
      <w:bookmarkStart w:id="15" w:name="_Hlk71924718"/>
      <w:r>
        <w:rPr>
          <w:rFonts w:asciiTheme="minorEastAsia" w:eastAsiaTheme="minorEastAsia" w:hAnsiTheme="minorEastAsia" w:cstheme="minorEastAsia" w:hint="eastAsia"/>
          <w:sz w:val="21"/>
          <w:szCs w:val="21"/>
        </w:rPr>
        <w:t>采购标的（货物）对应的中小企业划分标准所属行业</w:t>
      </w:r>
      <w:bookmarkEnd w:id="15"/>
      <w:r>
        <w:rPr>
          <w:rFonts w:asciiTheme="minorEastAsia" w:eastAsiaTheme="minorEastAsia" w:hAnsiTheme="minorEastAsia" w:cstheme="minorEastAsia" w:hint="eastAsia"/>
          <w:sz w:val="21"/>
          <w:szCs w:val="21"/>
        </w:rPr>
        <w:t>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4"/>
          <w:szCs w:val="24"/>
          <w:u w:val="single"/>
        </w:rPr>
        <w:t xml:space="preserve"> 软件和信息技术服务业</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w:t>
      </w:r>
      <w:bookmarkEnd w:id="14"/>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（4）享受价格扣除获得政府采购合同的，小微企业不得将合同分包给大中型企业。</w:t>
      </w:r>
    </w:p>
    <w:p>
      <w:pPr>
        <w:tabs>
          <w:tab w:val="left" w:pos="720"/>
        </w:tabs>
        <w:ind w:firstLine="420" w:firstLineChars="200"/>
        <w:rPr>
          <w:rFonts w:ascii="宋体" w:hAnsi="宋体"/>
          <w:bCs/>
        </w:rPr>
      </w:pPr>
    </w:p>
    <w:p>
      <w:pPr>
        <w:spacing w:line="360" w:lineRule="auto"/>
        <w:rPr>
          <w:rFonts w:ascii="宋体" w:eastAsia="宋体" w:hAnsi="宋体" w:cs="宋体"/>
          <w:b/>
          <w:bCs/>
          <w:color w:val="auto"/>
          <w:szCs w:val="24"/>
        </w:rPr>
      </w:pPr>
      <w:r>
        <w:rPr>
          <w:rFonts w:ascii="宋体" w:eastAsia="宋体" w:hAnsi="宋体" w:cs="宋体" w:hint="eastAsia"/>
          <w:b/>
          <w:bCs/>
          <w:color w:val="auto"/>
          <w:szCs w:val="24"/>
        </w:rPr>
        <w:t>2.关于政府采购订单融资政策</w:t>
      </w:r>
    </w:p>
    <w:p>
      <w:pPr>
        <w:ind w:firstLine="420" w:firstLineChars="200"/>
        <w:rPr>
          <w:rFonts w:ascii="宋体" w:eastAsia="宋体" w:hAnsi="宋体" w:cs="Times New Roman"/>
          <w:b/>
          <w:color w:val="auto"/>
          <w:szCs w:val="24"/>
        </w:rPr>
      </w:pPr>
      <w:r>
        <w:rPr>
          <w:rFonts w:ascii="Times New Roman" w:eastAsia="宋体" w:hAnsi="Times New Roman" w:cs="Times New Roman" w:hint="eastAsia"/>
          <w:color w:val="auto"/>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color w:val="auto"/>
          <w:sz w:val="24"/>
        </w:rPr>
      </w:pPr>
    </w:p>
    <w:p>
      <w:pPr>
        <w:tabs>
          <w:tab w:val="left" w:pos="720"/>
        </w:tabs>
        <w:rPr>
          <w:rFonts w:ascii="Arial" w:hAnsi="Arial" w:hint="eastAsia"/>
          <w:b/>
          <w:bCs/>
          <w:color w:val="auto"/>
        </w:rPr>
      </w:pPr>
      <w:r>
        <w:rPr>
          <w:rFonts w:ascii="Arial" w:hAnsi="Arial" w:hint="eastAsia"/>
          <w:b/>
          <w:bCs/>
          <w:color w:val="auto"/>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hint="eastAsia"/>
          <w:b/>
          <w:sz w:val="32"/>
          <w:szCs w:val="32"/>
          <w:highlight w:val="none"/>
        </w:rPr>
      </w:pPr>
      <w:r>
        <w:rPr>
          <w:rFonts w:ascii="Arial" w:eastAsia="宋体" w:hAnsi="Arial" w:cs="Times New Roman" w:hint="eastAsia"/>
          <w:b/>
          <w:sz w:val="32"/>
          <w:szCs w:val="32"/>
          <w:highlight w:val="none"/>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asciiTheme="minorEastAsia" w:hAnsiTheme="minorEastAsia" w:hint="eastAsia"/>
                <w:b w:val="0"/>
                <w:bCs w:val="0"/>
                <w:sz w:val="24"/>
                <w:szCs w:val="24"/>
                <w:highlight w:val="none"/>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default"/>
                <w:b w:val="0"/>
                <w:bCs w:val="0"/>
                <w:sz w:val="24"/>
                <w:szCs w:val="24"/>
                <w:highlight w:val="none"/>
                <w:lang w:val="en-US" w:eastAsia="zh-CN"/>
              </w:rPr>
              <w:t>PLAN-2024-440306000-112090-01946</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eastAsiaTheme="minorEastAsia" w:hAnsiTheme="minorEastAsia" w:hint="eastAsia"/>
                <w:b w:val="0"/>
                <w:bCs w:val="0"/>
                <w:sz w:val="24"/>
                <w:szCs w:val="24"/>
                <w:highlight w:val="none"/>
                <w:lang w:eastAsia="zh-CN"/>
              </w:rPr>
            </w:pPr>
            <w:r>
              <w:rPr>
                <w:rFonts w:asciiTheme="minorEastAsia" w:hAnsiTheme="minorEastAsia" w:hint="eastAsia"/>
                <w:b w:val="0"/>
                <w:bCs w:val="0"/>
                <w:sz w:val="24"/>
                <w:szCs w:val="24"/>
                <w:highlight w:val="none"/>
                <w:lang w:eastAsia="zh-CN"/>
              </w:rPr>
              <w:t>宝安区孝德学校理科实验考试设备采购项目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bl>
    <w:p>
      <w:pPr>
        <w:keepNext/>
        <w:keepLines/>
        <w:tabs>
          <w:tab w:val="left" w:pos="1680"/>
        </w:tabs>
        <w:spacing w:before="260" w:after="78" w:afterLines="25"/>
        <w:jc w:val="left"/>
        <w:outlineLvl w:val="2"/>
        <w:rPr>
          <w:rFonts w:ascii="Arial" w:eastAsia="宋体" w:hAnsi="Arial" w:cs="Times New Roman" w:hint="eastAsia"/>
          <w:b/>
          <w:sz w:val="32"/>
          <w:szCs w:val="32"/>
          <w:highlight w:val="none"/>
        </w:rPr>
      </w:pPr>
      <w:r>
        <w:rPr>
          <w:rFonts w:ascii="宋体" w:eastAsia="宋体" w:hAnsi="宋体" w:cs="宋体" w:hint="eastAsia"/>
          <w:b/>
          <w:color w:val="FF0000"/>
          <w:sz w:val="32"/>
          <w:szCs w:val="32"/>
          <w:highlight w:val="none"/>
        </w:rPr>
        <w:t>本项目</w:t>
      </w:r>
      <w:r>
        <w:rPr>
          <w:rFonts w:ascii="宋体" w:eastAsia="宋体" w:hAnsi="宋体" w:cs="宋体" w:hint="eastAsia"/>
          <w:b/>
          <w:color w:val="FF0000"/>
          <w:sz w:val="32"/>
          <w:szCs w:val="32"/>
          <w:highlight w:val="none"/>
          <w:lang w:val="en-US" w:eastAsia="zh-CN"/>
        </w:rPr>
        <w:t>预算金额为</w:t>
      </w:r>
      <w:r>
        <w:rPr>
          <w:rFonts w:ascii="宋体" w:eastAsia="宋体" w:hAnsi="宋体" w:cs="宋体" w:hint="eastAsia"/>
          <w:b/>
          <w:color w:val="FF0000"/>
          <w:sz w:val="32"/>
          <w:szCs w:val="32"/>
          <w:highlight w:val="none"/>
        </w:rPr>
        <w:t>人民币</w:t>
      </w:r>
      <w:r>
        <w:rPr>
          <w:rFonts w:ascii="宋体" w:eastAsia="宋体" w:hAnsi="宋体" w:cs="宋体" w:hint="eastAsia"/>
          <w:b/>
          <w:color w:val="0000FF"/>
          <w:sz w:val="32"/>
          <w:szCs w:val="32"/>
          <w:highlight w:val="none"/>
          <w:lang w:val="en-US" w:eastAsia="zh-CN"/>
        </w:rPr>
        <w:t>1,500,000.00元，</w:t>
      </w:r>
      <w:r>
        <w:rPr>
          <w:rFonts w:ascii="宋体" w:eastAsia="宋体" w:hAnsi="宋体" w:cs="宋体" w:hint="eastAsia"/>
          <w:b/>
          <w:color w:val="FF0000"/>
          <w:sz w:val="32"/>
          <w:szCs w:val="32"/>
          <w:highlight w:val="none"/>
        </w:rPr>
        <w:t>投标报价超出</w:t>
      </w:r>
      <w:r>
        <w:rPr>
          <w:rFonts w:ascii="宋体" w:eastAsia="宋体" w:hAnsi="宋体" w:cs="宋体" w:hint="eastAsia"/>
          <w:b/>
          <w:color w:val="FF0000"/>
          <w:sz w:val="32"/>
          <w:szCs w:val="32"/>
          <w:highlight w:val="none"/>
          <w:lang w:val="en-US" w:eastAsia="zh-CN"/>
        </w:rPr>
        <w:t>预算</w:t>
      </w:r>
      <w:r>
        <w:rPr>
          <w:rFonts w:ascii="宋体" w:eastAsia="宋体" w:hAnsi="宋体" w:cs="宋体" w:hint="eastAsia"/>
          <w:b/>
          <w:color w:val="FF0000"/>
          <w:sz w:val="32"/>
          <w:szCs w:val="32"/>
          <w:highlight w:val="none"/>
        </w:rPr>
        <w:t>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实验信息采集终端   </w:t>
      </w:r>
    </w:p>
    <w:tbl>
      <w:tblPr>
        <w:tblStyle w:val="TableNormal"/>
        <w:tblW w:w="8505" w:type="dxa"/>
        <w:jc w:val="center"/>
        <w:tblLayout w:type="fixed"/>
        <w:tblCellMar>
          <w:top w:w="15" w:type="dxa"/>
          <w:left w:w="15" w:type="dxa"/>
          <w:bottom w:w="15" w:type="dxa"/>
          <w:right w:w="15" w:type="dxa"/>
        </w:tblCellMar>
      </w:tblPr>
      <w:tblGrid>
        <w:gridCol w:w="639"/>
        <w:gridCol w:w="3543"/>
        <w:gridCol w:w="709"/>
        <w:gridCol w:w="780"/>
        <w:gridCol w:w="1417"/>
        <w:gridCol w:w="1417"/>
      </w:tblGrid>
      <w:tr>
        <w:tblPrEx>
          <w:tblW w:w="8505"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序号</w:t>
            </w:r>
          </w:p>
        </w:tc>
        <w:tc>
          <w:tcPr>
            <w:tcW w:w="3543" w:type="dxa"/>
            <w:tcBorders>
              <w:top w:val="single" w:sz="4" w:space="0" w:color="000000"/>
              <w:left w:val="single" w:sz="4" w:space="0" w:color="auto"/>
              <w:bottom w:val="single" w:sz="4" w:space="0" w:color="000000"/>
              <w:right w:val="single" w:sz="4" w:space="0" w:color="000000"/>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green"/>
              </w:rPr>
            </w:pPr>
            <w:r>
              <w:rPr>
                <w:rFonts w:ascii="宋体" w:eastAsia="宋体" w:hAnsi="宋体" w:cs="宋体" w:hint="eastAsia"/>
                <w:b w:val="0"/>
                <w:bCs w:val="0"/>
                <w:sz w:val="21"/>
                <w:szCs w:val="21"/>
                <w:lang w:val="en-US" w:eastAsia="zh-CN"/>
              </w:rPr>
              <w:t>货物</w:t>
            </w:r>
            <w:r>
              <w:rPr>
                <w:rFonts w:ascii="宋体" w:eastAsia="宋体" w:hAnsi="宋体" w:cs="宋体" w:hint="eastAsia"/>
                <w:b w:val="0"/>
                <w:bCs w:val="0"/>
                <w:sz w:val="21"/>
                <w:szCs w:val="21"/>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yellow"/>
              </w:rPr>
            </w:pPr>
            <w:r>
              <w:rPr>
                <w:rFonts w:ascii="宋体" w:eastAsia="宋体" w:hAnsi="宋体" w:cs="宋体" w:hint="eastAsia"/>
                <w:b w:val="0"/>
                <w:bCs w:val="0"/>
                <w:sz w:val="21"/>
                <w:szCs w:val="21"/>
                <w:highlight w:val="none"/>
              </w:rPr>
              <w:t>所属行业</w:t>
            </w:r>
          </w:p>
        </w:tc>
      </w:tr>
      <w:tr>
        <w:tblPrEx>
          <w:tblW w:w="8505"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lang w:val="en-US" w:eastAsia="zh-CN"/>
              </w:rPr>
            </w:pPr>
            <w:r>
              <w:rPr>
                <w:rFonts w:ascii="宋体" w:eastAsia="宋体" w:hAnsi="宋体" w:cs="宋体" w:hint="eastAsia"/>
                <w:bCs/>
                <w:sz w:val="21"/>
                <w:szCs w:val="21"/>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green"/>
              </w:rPr>
            </w:pPr>
            <w:r>
              <w:rPr>
                <w:rFonts w:ascii="宋体" w:eastAsia="宋体" w:hAnsi="宋体" w:cs="宋体" w:hint="eastAsia"/>
                <w:bCs/>
                <w:sz w:val="21"/>
                <w:szCs w:val="21"/>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restart"/>
            <w:tcBorders>
              <w:top w:val="single" w:sz="4" w:space="0" w:color="000000"/>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软件和信息技术服务业</w:t>
            </w: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lang w:val="en-US" w:eastAsia="zh-CN"/>
              </w:rPr>
            </w:pPr>
            <w:r>
              <w:rPr>
                <w:rFonts w:ascii="宋体" w:eastAsia="宋体" w:hAnsi="宋体" w:cs="宋体" w:hint="eastAsia"/>
                <w:bCs/>
                <w:sz w:val="21"/>
                <w:szCs w:val="21"/>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green"/>
              </w:rPr>
            </w:pPr>
            <w:r>
              <w:rPr>
                <w:rFonts w:ascii="宋体" w:eastAsia="宋体" w:hAnsi="宋体" w:cs="宋体" w:hint="eastAsia"/>
                <w:bCs/>
                <w:sz w:val="21"/>
                <w:szCs w:val="21"/>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有线路由器</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4</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5</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汇聚交换机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6</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接入交换机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7</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8</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9</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none"/>
                <w:lang w:eastAsia="zh-CN"/>
              </w:rPr>
            </w:pPr>
            <w:r>
              <w:rPr>
                <w:rFonts w:ascii="宋体" w:eastAsia="宋体" w:hAnsi="宋体" w:cs="宋体" w:hint="eastAsia"/>
                <w:b/>
                <w:bCs w:val="0"/>
                <w:color w:val="FF0000"/>
                <w:sz w:val="21"/>
                <w:szCs w:val="21"/>
              </w:rPr>
              <w:t>实验信息采集终端</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10</w:t>
            </w:r>
          </w:p>
        </w:tc>
        <w:tc>
          <w:tcPr>
            <w:tcW w:w="3543" w:type="dxa"/>
            <w:tcBorders>
              <w:top w:val="single" w:sz="4" w:space="0" w:color="000000"/>
              <w:left w:val="single" w:sz="4" w:space="0" w:color="auto"/>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终端理科虚拟仿真实验</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11</w:t>
            </w:r>
          </w:p>
        </w:tc>
        <w:tc>
          <w:tcPr>
            <w:tcW w:w="3543" w:type="dxa"/>
            <w:tcBorders>
              <w:top w:val="single" w:sz="4" w:space="0" w:color="000000"/>
              <w:left w:val="single" w:sz="4" w:space="0" w:color="auto"/>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50</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rPr>
            </w:pPr>
            <w:r>
              <w:rPr>
                <w:rFonts w:ascii="宋体" w:eastAsia="宋体" w:hAnsi="宋体" w:cs="宋体" w:hint="eastAsia"/>
                <w:bCs/>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12</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13</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14</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无线扩音系统</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15</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16</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宋体" w:eastAsia="宋体" w:hAnsi="宋体" w:cs="宋体" w:hint="eastAsia"/>
                <w:b w:val="0"/>
                <w:bCs w:val="0"/>
                <w:sz w:val="21"/>
                <w:szCs w:val="21"/>
                <w:highlight w:val="none"/>
                <w:lang w:val="en-US" w:eastAsia="zh-CN"/>
              </w:rPr>
            </w:pPr>
            <w:r>
              <w:rPr>
                <w:rFonts w:ascii="宋体" w:eastAsia="宋体" w:hAnsi="宋体" w:cs="宋体" w:hint="eastAsia"/>
                <w:bCs/>
                <w:sz w:val="21"/>
                <w:szCs w:val="21"/>
              </w:rPr>
              <w:t>17</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bCs/>
                <w:sz w:val="21"/>
                <w:szCs w:val="21"/>
              </w:rPr>
              <w:t>考点视频监控设备</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9</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Cs/>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tcBorders>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bl>
    <w:p>
      <w:pPr>
        <w:rPr>
          <w:color w:val="FF0000"/>
        </w:rPr>
      </w:pPr>
      <w:r>
        <w:rPr>
          <w:rFonts w:hint="eastAsia"/>
          <w:color w:val="FF0000"/>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rPr>
      </w:pPr>
      <w:r>
        <w:rPr>
          <w:rFonts w:hint="eastAsia"/>
          <w:color w:val="FF0000"/>
          <w:lang w:val="en-US" w:eastAsia="zh-CN"/>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3、</w:t>
      </w:r>
      <w:r>
        <w:rPr>
          <w:rFonts w:hint="eastAsia"/>
          <w:color w:val="FF0000"/>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4、</w:t>
      </w:r>
      <w:r>
        <w:rPr>
          <w:rFonts w:hint="eastAsia"/>
          <w:color w:val="FF0000"/>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rPr>
      </w:pPr>
    </w:p>
    <w:p>
      <w:pPr>
        <w:ind w:firstLine="420" w:firstLineChars="200"/>
        <w:rPr>
          <w:color w:val="FF0000"/>
        </w:rPr>
      </w:pPr>
    </w:p>
    <w:p>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pPr>
        <w:jc w:val="both"/>
        <w:rPr>
          <w:rFonts w:hint="eastAsia"/>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rPr>
      </w:pPr>
      <w:r>
        <w:rPr>
          <w:rFonts w:hint="eastAsia"/>
          <w:b/>
          <w:color w:val="FF0000"/>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rPr>
      </w:pPr>
    </w:p>
    <w:tbl>
      <w:tblPr>
        <w:tblStyle w:val="TableNormal"/>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1"/>
        <w:gridCol w:w="7797"/>
      </w:tblGrid>
      <w:tr>
        <w:tblPrEx>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center"/>
              <w:textAlignment w:val="auto"/>
              <w:rPr>
                <w:rFonts w:ascii="宋体" w:eastAsia="宋体" w:hAnsi="宋体" w:cs="宋体" w:hint="eastAsia"/>
                <w:b/>
                <w:color w:val="FF0000"/>
                <w:sz w:val="21"/>
                <w:szCs w:val="21"/>
              </w:rPr>
            </w:pPr>
            <w:r>
              <w:rPr>
                <w:rFonts w:ascii="宋体" w:eastAsia="宋体" w:hAnsi="宋体" w:cs="宋体" w:hint="eastAsia"/>
                <w:b/>
                <w:color w:val="FF0000"/>
                <w:sz w:val="21"/>
                <w:szCs w:val="21"/>
              </w:rPr>
              <w:t>报价要求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snapToGrid w:val="0"/>
              <w:spacing w:line="320" w:lineRule="exact"/>
              <w:ind w:firstLine="420"/>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298" w:type="dxa"/>
          <w:jc w:val="center"/>
          <w:tblCellMar>
            <w:top w:w="0" w:type="dxa"/>
            <w:left w:w="108" w:type="dxa"/>
            <w:bottom w:w="0" w:type="dxa"/>
            <w:right w:w="108" w:type="dxa"/>
          </w:tblCellMar>
        </w:tblPrEx>
        <w:trPr>
          <w:trHeight w:val="37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center"/>
              <w:textAlignment w:val="auto"/>
              <w:rPr>
                <w:rFonts w:ascii="宋体" w:eastAsia="宋体" w:hAnsi="宋体" w:cs="宋体" w:hint="eastAsia"/>
                <w:b/>
                <w:color w:val="FF0000"/>
                <w:sz w:val="21"/>
                <w:szCs w:val="21"/>
              </w:rPr>
            </w:pPr>
            <w:r>
              <w:rPr>
                <w:rFonts w:ascii="宋体" w:eastAsia="宋体" w:hAnsi="宋体" w:cs="宋体" w:hint="eastAsia"/>
                <w:b/>
                <w:color w:val="FF0000"/>
                <w:sz w:val="21"/>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both"/>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深圳市宝安区孝德学校</w:t>
            </w:r>
          </w:p>
        </w:tc>
      </w:tr>
      <w:tr>
        <w:tblPrEx>
          <w:tblW w:w="9298" w:type="dxa"/>
          <w:jc w:val="center"/>
          <w:tblCellMar>
            <w:top w:w="0" w:type="dxa"/>
            <w:left w:w="108" w:type="dxa"/>
            <w:bottom w:w="0" w:type="dxa"/>
            <w:right w:w="108" w:type="dxa"/>
          </w:tblCellMar>
        </w:tblPrEx>
        <w:trPr>
          <w:trHeight w:val="708"/>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both"/>
              <w:textAlignment w:val="auto"/>
              <w:rPr>
                <w:rFonts w:ascii="宋体" w:eastAsia="宋体" w:hAnsi="宋体" w:cs="宋体" w:hint="eastAsia"/>
                <w:color w:val="FF0000"/>
                <w:sz w:val="21"/>
                <w:szCs w:val="21"/>
                <w:lang w:eastAsia="zh-CN"/>
              </w:rPr>
            </w:pPr>
            <w:r>
              <w:rPr>
                <w:rFonts w:ascii="宋体" w:eastAsia="宋体" w:hAnsi="宋体" w:cs="宋体" w:hint="eastAsia"/>
                <w:bCs/>
                <w:color w:val="FF0000"/>
                <w:kern w:val="0"/>
                <w:sz w:val="21"/>
                <w:szCs w:val="21"/>
              </w:rPr>
              <w:t>本项目要求在合同签订日起15个日历日内完工</w:t>
            </w:r>
            <w:r>
              <w:rPr>
                <w:rFonts w:ascii="宋体" w:eastAsia="宋体" w:hAnsi="宋体" w:cs="宋体" w:hint="eastAsia"/>
                <w:bCs/>
                <w:color w:val="FF0000"/>
                <w:kern w:val="0"/>
                <w:sz w:val="21"/>
                <w:szCs w:val="21"/>
                <w:lang w:eastAsia="zh-CN"/>
              </w:rPr>
              <w:t>。</w:t>
            </w:r>
          </w:p>
        </w:tc>
      </w:tr>
      <w:tr>
        <w:tblPrEx>
          <w:tblW w:w="9298" w:type="dxa"/>
          <w:jc w:val="center"/>
          <w:tblCellMar>
            <w:top w:w="0" w:type="dxa"/>
            <w:left w:w="108" w:type="dxa"/>
            <w:bottom w:w="0" w:type="dxa"/>
            <w:right w:w="108" w:type="dxa"/>
          </w:tblCellMar>
        </w:tblPrEx>
        <w:trPr>
          <w:trHeight w:val="690"/>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color w:val="FF0000"/>
                <w:sz w:val="21"/>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both"/>
              <w:textAlignment w:val="auto"/>
              <w:rPr>
                <w:rFonts w:ascii="宋体" w:eastAsia="宋体" w:hAnsi="宋体" w:cs="宋体" w:hint="eastAsia"/>
                <w:color w:val="FF0000"/>
                <w:kern w:val="0"/>
                <w:sz w:val="21"/>
                <w:szCs w:val="21"/>
                <w:lang w:eastAsia="zh-CN"/>
              </w:rPr>
            </w:pPr>
            <w:r>
              <w:rPr>
                <w:rFonts w:ascii="宋体" w:eastAsia="宋体" w:hAnsi="宋体" w:cs="宋体" w:hint="eastAsia"/>
                <w:color w:val="FF0000"/>
                <w:sz w:val="21"/>
                <w:szCs w:val="21"/>
              </w:rPr>
              <w:t>本项目完成并经验收合格后，对于满足合同约定支付条件的，采购人应当自收到发票后30日内将资金支付到合同约定的中标供应商账户</w:t>
            </w:r>
            <w:r>
              <w:rPr>
                <w:rFonts w:ascii="宋体" w:eastAsia="宋体" w:hAnsi="宋体" w:cs="宋体" w:hint="eastAsia"/>
                <w:color w:val="FF0000"/>
                <w:sz w:val="21"/>
                <w:szCs w:val="21"/>
                <w:lang w:eastAsia="zh-CN"/>
              </w:rPr>
              <w:t>。</w:t>
            </w:r>
          </w:p>
        </w:tc>
      </w:tr>
      <w:tr>
        <w:tblPrEx>
          <w:tblW w:w="9298" w:type="dxa"/>
          <w:jc w:val="center"/>
          <w:tblCellMar>
            <w:top w:w="0" w:type="dxa"/>
            <w:left w:w="108" w:type="dxa"/>
            <w:bottom w:w="0" w:type="dxa"/>
            <w:right w:w="108" w:type="dxa"/>
          </w:tblCellMar>
        </w:tblPrEx>
        <w:trPr>
          <w:trHeight w:val="391"/>
          <w:jc w:val="center"/>
        </w:trPr>
        <w:tc>
          <w:tcPr>
            <w:tcW w:w="1501"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color w:val="FF0000"/>
                <w:sz w:val="21"/>
                <w:szCs w:val="21"/>
              </w:rPr>
              <w:t>验收方式</w:t>
            </w:r>
          </w:p>
        </w:tc>
        <w:tc>
          <w:tcPr>
            <w:tcW w:w="7797"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spacing w:line="320" w:lineRule="exact"/>
              <w:jc w:val="both"/>
              <w:textAlignment w:val="auto"/>
              <w:rPr>
                <w:rFonts w:ascii="宋体" w:eastAsia="宋体" w:hAnsi="宋体" w:cs="宋体" w:hint="eastAsia"/>
                <w:bCs/>
                <w:color w:val="FF0000"/>
                <w:sz w:val="21"/>
                <w:szCs w:val="21"/>
                <w:lang w:eastAsia="zh-CN"/>
              </w:rPr>
            </w:pPr>
            <w:r>
              <w:rPr>
                <w:rFonts w:ascii="宋体" w:eastAsia="宋体" w:hAnsi="宋体" w:cs="宋体" w:hint="eastAsia"/>
                <w:color w:val="FF0000"/>
                <w:sz w:val="21"/>
                <w:szCs w:val="21"/>
              </w:rPr>
              <w:t>由监理单位协助学校、中标单位进行验收</w:t>
            </w:r>
            <w:r>
              <w:rPr>
                <w:rFonts w:ascii="宋体" w:eastAsia="宋体" w:hAnsi="宋体" w:cs="宋体" w:hint="eastAsia"/>
                <w:color w:val="FF0000"/>
                <w:sz w:val="21"/>
                <w:szCs w:val="21"/>
                <w:lang w:eastAsia="zh-CN"/>
              </w:rPr>
              <w:t>。</w:t>
            </w:r>
          </w:p>
        </w:tc>
      </w:tr>
      <w:tr>
        <w:tblPrEx>
          <w:tblW w:w="9298" w:type="dxa"/>
          <w:jc w:val="center"/>
          <w:tblCellMar>
            <w:top w:w="0" w:type="dxa"/>
            <w:left w:w="108" w:type="dxa"/>
            <w:bottom w:w="0" w:type="dxa"/>
            <w:right w:w="108" w:type="dxa"/>
          </w:tblCellMar>
        </w:tblPrEx>
        <w:trPr>
          <w:trHeight w:val="68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spacing w:line="320" w:lineRule="exact"/>
              <w:jc w:val="center"/>
              <w:textAlignment w:val="auto"/>
              <w:rPr>
                <w:rFonts w:ascii="宋体" w:eastAsia="宋体" w:hAnsi="宋体" w:cs="宋体" w:hint="eastAsia"/>
                <w:bCs/>
                <w:color w:val="FF0000"/>
                <w:sz w:val="21"/>
                <w:szCs w:val="21"/>
              </w:rPr>
            </w:pPr>
            <w:r>
              <w:rPr>
                <w:rFonts w:ascii="宋体" w:eastAsia="宋体" w:hAnsi="宋体" w:cs="宋体" w:hint="eastAsia"/>
                <w:b/>
                <w:bCs/>
                <w:color w:val="FF0000"/>
                <w:sz w:val="21"/>
                <w:szCs w:val="21"/>
              </w:rPr>
              <w:t>售后服务要求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napToGrid/>
              <w:spacing w:line="320" w:lineRule="exact"/>
              <w:ind w:left="0" w:firstLine="420" w:leftChars="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（1）所有货物及系统集成免费保修期三年，时间自最终验收合格并交付使用之日起计算。免费保修期内，所有服务及配件全部免费。（有注明的除外）。</w:t>
            </w:r>
          </w:p>
          <w:p>
            <w:pPr>
              <w:keepNext w:val="0"/>
              <w:keepLines w:val="0"/>
              <w:pageBreakBefore w:val="0"/>
              <w:widowControl w:val="0"/>
              <w:kinsoku/>
              <w:wordWrap/>
              <w:overflowPunct/>
              <w:topLinePunct w:val="0"/>
              <w:autoSpaceDE/>
              <w:autoSpaceDN/>
              <w:bidi w:val="0"/>
              <w:adjustRightInd/>
              <w:snapToGrid/>
              <w:spacing w:line="320" w:lineRule="exact"/>
              <w:ind w:left="0" w:firstLine="420" w:leftChars="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（2）在保修期内，一旦发生质量问题，投标人保证在接到通知4小时内赶到现场进行修理或更换，并承诺24小时内修复。</w:t>
            </w:r>
          </w:p>
          <w:p>
            <w:pPr>
              <w:keepNext w:val="0"/>
              <w:keepLines w:val="0"/>
              <w:pageBreakBefore w:val="0"/>
              <w:widowControl w:val="0"/>
              <w:kinsoku/>
              <w:wordWrap/>
              <w:overflowPunct/>
              <w:topLinePunct w:val="0"/>
              <w:autoSpaceDE/>
              <w:autoSpaceDN/>
              <w:bidi w:val="0"/>
              <w:adjustRightInd/>
              <w:snapToGrid/>
              <w:spacing w:line="320" w:lineRule="exact"/>
              <w:ind w:left="0" w:firstLine="420" w:leftChars="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（3）对保修期外采购方设备发生故障需更换的，投标人免收上门服务费，并以优惠价格提供配件。</w:t>
            </w:r>
          </w:p>
          <w:p>
            <w:pPr>
              <w:pStyle w:val="Heading3"/>
              <w:keepNext w:val="0"/>
              <w:keepLines w:val="0"/>
              <w:pageBreakBefore w:val="0"/>
              <w:widowControl w:val="0"/>
              <w:kinsoku/>
              <w:wordWrap/>
              <w:overflowPunct/>
              <w:topLinePunct w:val="0"/>
              <w:autoSpaceDE/>
              <w:autoSpaceDN/>
              <w:bidi w:val="0"/>
              <w:adjustRightInd/>
              <w:snapToGrid/>
              <w:spacing w:before="0" w:after="0" w:line="320" w:lineRule="exact"/>
              <w:ind w:left="0" w:firstLine="0" w:leftChars="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4）投标人必须在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p>
            <w:pPr>
              <w:keepNext w:val="0"/>
              <w:keepLines w:val="0"/>
              <w:pageBreakBefore w:val="0"/>
              <w:widowControl w:val="0"/>
              <w:kinsoku/>
              <w:wordWrap/>
              <w:overflowPunct/>
              <w:topLinePunct w:val="0"/>
              <w:autoSpaceDE/>
              <w:autoSpaceDN/>
              <w:bidi w:val="0"/>
              <w:adjustRightInd/>
              <w:snapToGrid/>
              <w:spacing w:line="320" w:lineRule="exact"/>
              <w:ind w:left="0" w:leftChars="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（5）项目验收后，连续三年中考，每年派不少于1名工程师在学校中考的2天时间里提供技术支持服务。</w:t>
            </w:r>
          </w:p>
        </w:tc>
      </w:tr>
      <w:tr>
        <w:tblPrEx>
          <w:tblW w:w="9298" w:type="dxa"/>
          <w:jc w:val="center"/>
          <w:tblCellMar>
            <w:top w:w="0" w:type="dxa"/>
            <w:left w:w="108" w:type="dxa"/>
            <w:bottom w:w="0" w:type="dxa"/>
            <w:right w:w="108" w:type="dxa"/>
          </w:tblCellMar>
        </w:tblPrEx>
        <w:trPr>
          <w:trHeight w:val="69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其他要求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spacing w:line="320" w:lineRule="exact"/>
              <w:ind w:firstLine="420" w:firstLineChars="200"/>
              <w:textAlignment w:val="auto"/>
              <w:rPr>
                <w:rFonts w:ascii="宋体" w:eastAsia="宋体" w:hAnsi="宋体" w:cs="宋体" w:hint="eastAsia"/>
                <w:color w:val="FF0000"/>
                <w:kern w:val="0"/>
                <w:sz w:val="21"/>
                <w:szCs w:val="21"/>
              </w:rPr>
            </w:pPr>
            <w:r>
              <w:rPr>
                <w:rFonts w:ascii="宋体" w:eastAsia="宋体" w:hAnsi="宋体" w:cs="宋体" w:hint="eastAsia"/>
                <w:color w:val="FF0000"/>
                <w:sz w:val="21"/>
                <w:szCs w:val="21"/>
              </w:rPr>
              <w:t>(1) 上报验收报告时，除了表格中写明的材料外，还需要验收记录表、产品三证（指产品合格证、供货凭证）、产品检测证明（含第三方有资质检测机构出具的含有设备核心参数的有效检测报告、软件产品的软件测试报告和软件著作权证书）、合同及附件。</w:t>
            </w:r>
          </w:p>
          <w:p>
            <w:pPr>
              <w:keepNext w:val="0"/>
              <w:keepLines w:val="0"/>
              <w:pageBreakBefore w:val="0"/>
              <w:kinsoku/>
              <w:wordWrap/>
              <w:overflowPunct/>
              <w:topLinePunct w:val="0"/>
              <w:autoSpaceDE/>
              <w:autoSpaceDN/>
              <w:bidi w:val="0"/>
              <w:spacing w:line="320" w:lineRule="exact"/>
              <w:ind w:firstLine="420" w:firstLineChars="200"/>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(2）投标商必须确保中标后提供的货物为正规渠道供货，不存在违反国家法律法规的情况。</w:t>
            </w:r>
          </w:p>
          <w:p>
            <w:pPr>
              <w:keepNext w:val="0"/>
              <w:keepLines w:val="0"/>
              <w:pageBreakBefore w:val="0"/>
              <w:kinsoku/>
              <w:wordWrap/>
              <w:overflowPunct/>
              <w:topLinePunct w:val="0"/>
              <w:autoSpaceDE/>
              <w:autoSpaceDN/>
              <w:bidi w:val="0"/>
              <w:spacing w:line="320" w:lineRule="exact"/>
              <w:ind w:firstLine="420" w:firstLineChars="200"/>
              <w:textAlignment w:val="auto"/>
              <w:rPr>
                <w:rFonts w:ascii="宋体" w:eastAsia="宋体" w:hAnsi="宋体" w:cs="宋体" w:hint="eastAsia"/>
                <w:bCs/>
                <w:color w:val="FF0000"/>
                <w:sz w:val="21"/>
                <w:szCs w:val="21"/>
              </w:rPr>
            </w:pPr>
            <w:r>
              <w:rPr>
                <w:rFonts w:ascii="宋体" w:eastAsia="宋体" w:hAnsi="宋体" w:cs="宋体" w:hint="eastAsia"/>
                <w:color w:val="FF0000"/>
                <w:sz w:val="21"/>
                <w:szCs w:val="21"/>
              </w:rPr>
              <w:t xml:space="preserve">(3）投标人必须签订合同前向采购方逐一按投标文件中的响应情况演示设备清单中 “▲”符号技术参数和核心产品设备（实验信息采集终端）所有技术参数（现场无法演示的参数项提供检测报告或者原厂说明书），演示内容完全符合投标文件中的相应技术参数响应内容要求方可签订合同，否则采购方有权按有关政府采购法律法规中如供应商存在弄虚作假骗取中标行为的相关规定进行处理。 </w:t>
            </w:r>
          </w:p>
        </w:tc>
      </w:tr>
    </w:tbl>
    <w:p>
      <w:pPr>
        <w:spacing w:after="78" w:afterLines="25" w:line="300" w:lineRule="auto"/>
        <w:rPr>
          <w:rFonts w:ascii="Arial" w:eastAsia="宋体" w:hAnsi="Arial" w:cs="Times New Roman"/>
          <w:szCs w:val="24"/>
        </w:rPr>
      </w:pPr>
    </w:p>
    <w:p>
      <w:pPr>
        <w:widowControl/>
        <w:jc w:val="left"/>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w:t>
      </w:r>
      <w:r>
        <w:rPr>
          <w:rFonts w:ascii="Arial" w:eastAsia="宋体" w:hAnsi="Arial" w:cs="Times New Roman" w:hint="eastAsia"/>
          <w:b/>
          <w:bCs/>
          <w:sz w:val="32"/>
          <w:szCs w:val="32"/>
          <w:lang w:val="en-US" w:eastAsia="zh-CN"/>
        </w:rPr>
        <w:t>要求</w:t>
      </w:r>
      <w:r>
        <w:rPr>
          <w:rFonts w:ascii="Arial" w:eastAsia="宋体" w:hAnsi="Arial" w:cs="Times New Roman" w:hint="eastAsia"/>
          <w:b/>
          <w:bCs/>
          <w:sz w:val="32"/>
          <w:szCs w:val="32"/>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w:t>
      </w:r>
      <w:r>
        <w:rPr>
          <w:rFonts w:ascii="宋体" w:eastAsia="宋体" w:hAnsi="宋体" w:cs="Times New Roman" w:hint="eastAsia"/>
          <w:b/>
          <w:color w:val="FF0000"/>
          <w:szCs w:val="21"/>
          <w:highlight w:val="none"/>
        </w:rPr>
        <w:t>普通参数，如出现负偏离，将按照评分准则做扣分处理。如注明要求提供相关佐证材料的，需以佐证材料作为是否偏离的依据。</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w:t>
      </w:r>
      <w:r>
        <w:rPr>
          <w:rFonts w:ascii="Calibri" w:eastAsia="宋体" w:hAnsi="Calibri" w:cs="Times New Roman" w:hint="eastAsia"/>
          <w:color w:val="FF0000"/>
          <w:szCs w:val="21"/>
        </w:rPr>
        <w:t>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ascii="Calibri" w:eastAsia="宋体" w:hAnsi="Calibri" w:cs="Times New Roman" w:hint="eastAsia"/>
          <w:color w:val="FF0000"/>
          <w:szCs w:val="21"/>
          <w:lang w:val="en-US" w:eastAsia="zh-CN"/>
        </w:rPr>
      </w:pPr>
      <w:r>
        <w:rPr>
          <w:rFonts w:ascii="Calibri" w:eastAsia="宋体" w:hAnsi="Calibri" w:cs="Times New Roman" w:hint="eastAsia"/>
          <w:color w:val="FF0000"/>
          <w:szCs w:val="21"/>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rPr>
        <w:t>例：</w:t>
      </w:r>
      <w:r>
        <w:rPr>
          <w:rFonts w:ascii="Calibri" w:eastAsia="宋体" w:hAnsi="Calibri" w:cs="Times New Roman" w:hint="eastAsia"/>
          <w:color w:val="FF0000"/>
          <w:szCs w:val="21"/>
          <w:lang w:val="en-US" w:eastAsia="zh-CN"/>
        </w:rPr>
        <w:t>如招标技术参数</w:t>
      </w:r>
      <w:r>
        <w:rPr>
          <w:rFonts w:ascii="Calibri" w:eastAsia="宋体" w:hAnsi="Calibri" w:cs="Times New Roman" w:hint="eastAsia"/>
          <w:color w:val="FF0000"/>
          <w:szCs w:val="21"/>
        </w:rPr>
        <w:t>区间要求为0-20ML</w:t>
      </w:r>
      <w:r>
        <w:rPr>
          <w:rFonts w:ascii="Calibri" w:eastAsia="宋体" w:hAnsi="Calibri" w:cs="Times New Roman" w:hint="eastAsia"/>
          <w:color w:val="FF0000"/>
          <w:szCs w:val="21"/>
          <w:lang w:eastAsia="zh-CN"/>
        </w:rPr>
        <w:t>，</w:t>
      </w:r>
      <w:r>
        <w:rPr>
          <w:rFonts w:ascii="Calibri" w:eastAsia="宋体" w:hAnsi="Calibri" w:cs="Times New Roman" w:hint="eastAsia"/>
          <w:color w:val="FF0000"/>
          <w:szCs w:val="21"/>
          <w:lang w:val="en-US" w:eastAsia="zh-CN"/>
        </w:rPr>
        <w:t>如投标技术参数响应为15ML或0-20ML的，视为符合招标文件要求）。</w:t>
      </w:r>
    </w:p>
    <w:p>
      <w:pPr>
        <w:spacing w:after="78"/>
        <w:jc w:val="left"/>
        <w:rPr>
          <w:rFonts w:ascii="Calibri" w:eastAsia="宋体" w:hAnsi="Calibri" w:cs="Times New Roman" w:hint="default"/>
          <w:color w:val="FF0000"/>
          <w:szCs w:val="21"/>
          <w:lang w:val="en-US" w:eastAsia="zh-CN"/>
        </w:rPr>
      </w:pPr>
    </w:p>
    <w:tbl>
      <w:tblPr>
        <w:tblStyle w:val="TableNormal"/>
        <w:tblW w:w="8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0"/>
        <w:gridCol w:w="1210"/>
        <w:gridCol w:w="7016"/>
      </w:tblGrid>
      <w:tr>
        <w:tblPrEx>
          <w:tblW w:w="8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序号</w:t>
            </w:r>
          </w:p>
        </w:tc>
        <w:tc>
          <w:tcPr>
            <w:tcW w:w="121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设备名称</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技术参数要求</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sz w:val="21"/>
                <w:szCs w:val="21"/>
              </w:rPr>
            </w:pPr>
            <w:r>
              <w:rPr>
                <w:rFonts w:ascii="宋体" w:eastAsia="宋体" w:hAnsi="宋体" w:cs="宋体" w:hint="eastAsia"/>
                <w:bCs/>
                <w:sz w:val="21"/>
                <w:szCs w:val="21"/>
              </w:rPr>
              <w:t>考试专用服务器</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1.1、机架式服务器</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1.2、不低于4核4线程2.4GHz CPU，缓存不低于8MB；</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1.3不低于64GB内存；</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1.4、不低于480GB SSD硬盘；</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1.5、不低于4TB HDD硬盘；</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1.6、配备独立阵列卡，支持RAID 0,1；</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1.7、不少于2个千兆网口；</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1.8、具有行业通用视频接口，兼容通用视频格式。</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2</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sz w:val="21"/>
                <w:szCs w:val="21"/>
              </w:rPr>
            </w:pPr>
            <w:r>
              <w:rPr>
                <w:rFonts w:ascii="宋体" w:eastAsia="宋体" w:hAnsi="宋体" w:cs="宋体" w:hint="eastAsia"/>
                <w:bCs/>
                <w:sz w:val="21"/>
                <w:szCs w:val="21"/>
              </w:rPr>
              <w:t>AI算力服务器</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2.1、机架式服务器</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2.2、不低于4U机架式服务器，标配导轨</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2.3、CPU:配置≥2颗，要求： 可扩展处理器，主频≥2.3Ghz,核数≥20核,缓存≥30MB。</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2.4、内存：配置≥256GB 3200MHz DDR4，单根不低于32GB，最大提供≥32个内存插槽。</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2.5、存储：提供≥2块960G SSD；提供≥1张SAS 阵列卡，支持RAID 0/1</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2.6、网卡：GE接口≥4个。</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2.7、电源：提供2个冗余热插拔白金电源，功耗≥2000W;</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2.8、GPU：最大支持≥8块双宽GPU卡，本次配置≥4块，每块算力不低于</w:t>
            </w:r>
            <w:r>
              <w:rPr>
                <w:rFonts w:ascii="宋体" w:eastAsia="宋体" w:hAnsi="宋体" w:cs="宋体" w:hint="eastAsia"/>
                <w:color w:val="333333"/>
                <w:sz w:val="21"/>
                <w:szCs w:val="21"/>
                <w:shd w:val="clear" w:color="auto" w:fill="FFFFFF"/>
              </w:rPr>
              <w:t>35 TFLOPS能力</w:t>
            </w:r>
            <w:r>
              <w:rPr>
                <w:rFonts w:ascii="宋体" w:eastAsia="宋体" w:hAnsi="宋体" w:cs="宋体" w:hint="eastAsia"/>
                <w:sz w:val="21"/>
                <w:szCs w:val="21"/>
              </w:rPr>
              <w:t>；</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▲2.9、温度管理：在3D图上显示服务器的温度传感器信息和温度告警；</w:t>
            </w:r>
          </w:p>
          <w:p>
            <w:pPr>
              <w:keepNext w:val="0"/>
              <w:keepLines w:val="0"/>
              <w:pageBreakBefore w:val="0"/>
              <w:kinsoku/>
              <w:wordWrap/>
              <w:overflowPunct/>
              <w:topLinePunct w:val="0"/>
              <w:autoSpaceDE/>
              <w:autoSpaceDN/>
              <w:bidi w:val="0"/>
              <w:adjustRightInd/>
              <w:snapToGrid w:val="0"/>
              <w:spacing w:line="320" w:lineRule="exact"/>
              <w:rPr>
                <w:rStyle w:val="font31"/>
                <w:rFonts w:ascii="宋体" w:eastAsia="宋体" w:hAnsi="宋体" w:cs="宋体" w:hint="eastAsia"/>
                <w:b/>
                <w:color w:val="0000FF"/>
                <w:sz w:val="21"/>
                <w:szCs w:val="21"/>
              </w:rPr>
            </w:pPr>
            <w:r>
              <w:rPr>
                <w:rStyle w:val="font31"/>
                <w:rFonts w:ascii="宋体" w:eastAsia="宋体" w:hAnsi="宋体" w:cs="宋体" w:hint="eastAsia"/>
                <w:b/>
                <w:color w:val="0000FF"/>
                <w:sz w:val="21"/>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2.10、主动识别网络中所有设备指纹信息，包括设备类型、操作系统、IP地址、MAC地址、厂商信息等，同时，对设备的各种变更，包括IP地址变更，MAC地址变更，设备类型变更等事件，能够及时发现和告警；</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2.11、内置AI框架和算法模型；</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2.12.具备对实验操作视频进行逐帧分析的能力，不抽帧，不遗漏任何信息；</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2.13.满足物理、化学、生物三门学科的实验操作教学场景的AI课堂点评、实验操作考试场景的AI评分以及考试数据AI脱敏的算力需要；</w:t>
            </w:r>
          </w:p>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2.14.满足日常实验教学24台终端同时做实验5秒内出实验分析结果的算力需求；</w:t>
            </w:r>
          </w:p>
        </w:tc>
      </w:tr>
      <w:tr>
        <w:tblPrEx>
          <w:tblW w:w="8956" w:type="dxa"/>
          <w:jc w:val="center"/>
          <w:tblLayout w:type="fixed"/>
          <w:tblCellMar>
            <w:top w:w="0" w:type="dxa"/>
            <w:left w:w="108" w:type="dxa"/>
            <w:bottom w:w="0" w:type="dxa"/>
            <w:right w:w="108" w:type="dxa"/>
          </w:tblCellMar>
        </w:tblPrEx>
        <w:trPr>
          <w:trHeight w:val="38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3</w:t>
            </w:r>
          </w:p>
        </w:tc>
        <w:tc>
          <w:tcPr>
            <w:tcW w:w="1210" w:type="dxa"/>
            <w:noWrap w:val="0"/>
            <w:vAlign w:val="center"/>
          </w:tcPr>
          <w:p>
            <w:pPr>
              <w:pStyle w:val="Heading3"/>
              <w:keepNext w:val="0"/>
              <w:keepLines w:val="0"/>
              <w:pageBreakBefore w:val="0"/>
              <w:kinsoku/>
              <w:wordWrap/>
              <w:overflowPunct/>
              <w:topLinePunct w:val="0"/>
              <w:autoSpaceDE/>
              <w:autoSpaceDN/>
              <w:bidi w:val="0"/>
              <w:adjustRightInd/>
              <w:spacing w:before="0" w:after="0" w:line="320" w:lineRule="exact"/>
              <w:ind w:left="0" w:firstLine="0"/>
              <w:jc w:val="center"/>
              <w:outlineLvl w:val="2"/>
              <w:rPr>
                <w:rFonts w:ascii="宋体" w:eastAsia="宋体" w:hAnsi="宋体" w:cs="宋体" w:hint="eastAsia"/>
                <w:kern w:val="0"/>
                <w:sz w:val="21"/>
                <w:szCs w:val="21"/>
              </w:rPr>
            </w:pPr>
            <w:r>
              <w:rPr>
                <w:rFonts w:ascii="宋体" w:eastAsia="宋体" w:hAnsi="宋体" w:cs="宋体" w:hint="eastAsia"/>
                <w:bCs/>
                <w:sz w:val="21"/>
                <w:szCs w:val="21"/>
              </w:rPr>
              <w:t>有线路由器</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3.1、8口企业级路由器3.2、WAN口：不少于2个GE；</w:t>
            </w:r>
          </w:p>
          <w:p>
            <w:pPr>
              <w:pStyle w:val="BodyText"/>
              <w:keepNext w:val="0"/>
              <w:keepLines w:val="0"/>
              <w:pageBreakBefore w:val="0"/>
              <w:kinsoku/>
              <w:wordWrap/>
              <w:overflowPunct/>
              <w:topLinePunct w:val="0"/>
              <w:autoSpaceDE/>
              <w:autoSpaceDN/>
              <w:bidi w:val="0"/>
              <w:adjustRightInd/>
              <w:spacing w:after="0" w:line="320" w:lineRule="exact"/>
              <w:rPr>
                <w:rFonts w:ascii="宋体" w:eastAsia="宋体" w:hAnsi="宋体" w:cs="宋体" w:hint="eastAsia"/>
                <w:sz w:val="21"/>
                <w:szCs w:val="21"/>
              </w:rPr>
            </w:pPr>
            <w:r>
              <w:rPr>
                <w:rFonts w:ascii="宋体" w:eastAsia="宋体" w:hAnsi="宋体" w:cs="宋体" w:hint="eastAsia"/>
                <w:b w:val="0"/>
                <w:bCs w:val="0"/>
                <w:kern w:val="0"/>
                <w:sz w:val="21"/>
                <w:szCs w:val="21"/>
              </w:rPr>
              <w:t>3.</w:t>
            </w:r>
            <w:r>
              <w:rPr>
                <w:rFonts w:ascii="宋体" w:eastAsia="宋体" w:hAnsi="宋体" w:cs="宋体" w:hint="eastAsia"/>
                <w:b w:val="0"/>
                <w:bCs w:val="0"/>
                <w:kern w:val="0"/>
                <w:sz w:val="21"/>
                <w:szCs w:val="21"/>
                <w:lang w:val="en-US" w:eastAsia="zh-CN"/>
              </w:rPr>
              <w:t>2</w:t>
            </w:r>
            <w:r>
              <w:rPr>
                <w:rFonts w:ascii="宋体" w:eastAsia="宋体" w:hAnsi="宋体" w:cs="宋体" w:hint="eastAsia"/>
                <w:b w:val="0"/>
                <w:bCs w:val="0"/>
                <w:kern w:val="0"/>
                <w:sz w:val="21"/>
                <w:szCs w:val="21"/>
              </w:rPr>
              <w:t>、LAN口：不少于8个GE(3个LAN口支持切换为WAN)；</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4</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sz w:val="21"/>
                <w:szCs w:val="21"/>
              </w:rPr>
            </w:pPr>
            <w:r>
              <w:rPr>
                <w:rFonts w:ascii="宋体" w:eastAsia="宋体" w:hAnsi="宋体" w:cs="宋体" w:hint="eastAsia"/>
                <w:bCs/>
                <w:sz w:val="21"/>
                <w:szCs w:val="21"/>
              </w:rPr>
              <w:t>移动硬盘</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pacing w:val="-7"/>
                <w:sz w:val="21"/>
                <w:szCs w:val="21"/>
              </w:rPr>
              <w:t>4.1、不小于2TB移动固态硬盘，支持Type-C/USB2.0/USB3.1</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5</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汇聚交换机</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5.1、</w:t>
            </w:r>
            <w:r>
              <w:rPr>
                <w:rFonts w:ascii="宋体" w:eastAsia="宋体" w:hAnsi="宋体" w:cs="宋体" w:hint="eastAsia"/>
                <w:kern w:val="0"/>
                <w:sz w:val="21"/>
                <w:szCs w:val="21"/>
              </w:rPr>
              <w:t>不少于</w:t>
            </w:r>
            <w:r>
              <w:rPr>
                <w:rFonts w:ascii="宋体" w:eastAsia="宋体" w:hAnsi="宋体" w:cs="宋体" w:hint="eastAsia"/>
                <w:sz w:val="21"/>
                <w:szCs w:val="21"/>
              </w:rPr>
              <w:t>24口三层交换机</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5.2、端口描述：</w:t>
            </w:r>
            <w:r>
              <w:rPr>
                <w:rFonts w:ascii="宋体" w:eastAsia="宋体" w:hAnsi="宋体" w:cs="宋体" w:hint="eastAsia"/>
                <w:kern w:val="0"/>
                <w:sz w:val="21"/>
                <w:szCs w:val="21"/>
              </w:rPr>
              <w:t>不少于</w:t>
            </w:r>
            <w:r>
              <w:rPr>
                <w:rFonts w:ascii="宋体" w:eastAsia="宋体" w:hAnsi="宋体" w:cs="宋体" w:hint="eastAsia"/>
                <w:sz w:val="21"/>
                <w:szCs w:val="21"/>
              </w:rPr>
              <w:t>24个千兆电口+2个千兆光口 + 2个万兆光口；</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5.3、包转发率：</w:t>
            </w:r>
            <w:r>
              <w:rPr>
                <w:rFonts w:ascii="宋体" w:eastAsia="宋体" w:hAnsi="宋体" w:cs="宋体" w:hint="eastAsia"/>
                <w:kern w:val="0"/>
                <w:sz w:val="21"/>
                <w:szCs w:val="21"/>
              </w:rPr>
              <w:t>不少于</w:t>
            </w:r>
            <w:r>
              <w:rPr>
                <w:rFonts w:ascii="宋体" w:eastAsia="宋体" w:hAnsi="宋体" w:cs="宋体" w:hint="eastAsia"/>
                <w:sz w:val="21"/>
                <w:szCs w:val="21"/>
              </w:rPr>
              <w:t>166Mpps；</w:t>
            </w:r>
          </w:p>
          <w:p>
            <w:pPr>
              <w:pStyle w:val="Heading3"/>
              <w:keepNext w:val="0"/>
              <w:keepLines w:val="0"/>
              <w:pageBreakBefore w:val="0"/>
              <w:kinsoku/>
              <w:wordWrap/>
              <w:overflowPunct/>
              <w:topLinePunct w:val="0"/>
              <w:autoSpaceDE/>
              <w:autoSpaceDN/>
              <w:bidi w:val="0"/>
              <w:adjustRightInd/>
              <w:spacing w:before="0" w:after="0" w:line="320" w:lineRule="exact"/>
              <w:ind w:left="0" w:firstLine="0"/>
              <w:outlineLvl w:val="2"/>
              <w:rPr>
                <w:rFonts w:ascii="宋体" w:eastAsia="宋体" w:hAnsi="宋体" w:cs="宋体" w:hint="eastAsia"/>
                <w:sz w:val="21"/>
                <w:szCs w:val="21"/>
              </w:rPr>
            </w:pPr>
            <w:r>
              <w:rPr>
                <w:rFonts w:ascii="宋体" w:eastAsia="宋体" w:hAnsi="宋体" w:cs="宋体" w:hint="eastAsia"/>
                <w:sz w:val="21"/>
                <w:szCs w:val="21"/>
              </w:rPr>
              <w:t>5.4、交换容量：</w:t>
            </w:r>
            <w:r>
              <w:rPr>
                <w:rFonts w:ascii="宋体" w:eastAsia="宋体" w:hAnsi="宋体" w:cs="宋体" w:hint="eastAsia"/>
                <w:kern w:val="0"/>
                <w:sz w:val="21"/>
                <w:szCs w:val="21"/>
              </w:rPr>
              <w:t>不少于</w:t>
            </w:r>
            <w:r>
              <w:rPr>
                <w:rFonts w:ascii="宋体" w:eastAsia="宋体" w:hAnsi="宋体" w:cs="宋体" w:hint="eastAsia"/>
                <w:sz w:val="21"/>
                <w:szCs w:val="21"/>
              </w:rPr>
              <w:t>432Gbps。</w:t>
            </w:r>
          </w:p>
        </w:tc>
      </w:tr>
      <w:tr>
        <w:tblPrEx>
          <w:tblW w:w="8956" w:type="dxa"/>
          <w:jc w:val="center"/>
          <w:tblLayout w:type="fixed"/>
          <w:tblCellMar>
            <w:top w:w="0" w:type="dxa"/>
            <w:left w:w="108" w:type="dxa"/>
            <w:bottom w:w="0" w:type="dxa"/>
            <w:right w:w="108" w:type="dxa"/>
          </w:tblCellMar>
        </w:tblPrEx>
        <w:trPr>
          <w:trHeight w:val="90"/>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6</w:t>
            </w:r>
          </w:p>
        </w:tc>
        <w:tc>
          <w:tcPr>
            <w:tcW w:w="1210" w:type="dxa"/>
            <w:noWrap w:val="0"/>
            <w:vAlign w:val="center"/>
          </w:tcPr>
          <w:p>
            <w:pPr>
              <w:keepNext w:val="0"/>
              <w:keepLines w:val="0"/>
              <w:pageBreakBefore w:val="0"/>
              <w:kinsoku/>
              <w:wordWrap/>
              <w:overflowPunct/>
              <w:topLinePunct w:val="0"/>
              <w:autoSpaceDE/>
              <w:autoSpaceDN/>
              <w:bidi w:val="0"/>
              <w:adjustRightInd/>
              <w:spacing w:line="320" w:lineRule="exact"/>
              <w:jc w:val="center"/>
              <w:rPr>
                <w:rFonts w:ascii="宋体" w:eastAsia="宋体" w:hAnsi="宋体" w:cs="宋体" w:hint="eastAsia"/>
                <w:bCs/>
                <w:sz w:val="21"/>
                <w:szCs w:val="21"/>
              </w:rPr>
            </w:pPr>
            <w:r>
              <w:rPr>
                <w:rFonts w:ascii="宋体" w:eastAsia="宋体" w:hAnsi="宋体" w:cs="宋体" w:hint="eastAsia"/>
                <w:bCs/>
                <w:sz w:val="21"/>
                <w:szCs w:val="21"/>
              </w:rPr>
              <w:t>接入交换机</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6.1、</w:t>
            </w:r>
            <w:r>
              <w:rPr>
                <w:rFonts w:ascii="宋体" w:eastAsia="宋体" w:hAnsi="宋体" w:cs="宋体" w:hint="eastAsia"/>
                <w:kern w:val="0"/>
                <w:sz w:val="21"/>
                <w:szCs w:val="21"/>
              </w:rPr>
              <w:t>不少于</w:t>
            </w:r>
            <w:r>
              <w:rPr>
                <w:rFonts w:ascii="宋体" w:eastAsia="宋体" w:hAnsi="宋体" w:cs="宋体" w:hint="eastAsia"/>
                <w:sz w:val="21"/>
                <w:szCs w:val="21"/>
              </w:rPr>
              <w:t>48口二层交换机</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6.2、端口描述：不少于48个千兆电口+4个万兆光口；</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6.3、包转发率：不低于132Mpps；</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6.4、交换容量：不低于336Gbps。</w:t>
            </w:r>
          </w:p>
        </w:tc>
      </w:tr>
      <w:tr>
        <w:tblPrEx>
          <w:tblW w:w="8956" w:type="dxa"/>
          <w:jc w:val="center"/>
          <w:tblLayout w:type="fixed"/>
          <w:tblCellMar>
            <w:top w:w="0" w:type="dxa"/>
            <w:left w:w="108" w:type="dxa"/>
            <w:bottom w:w="0" w:type="dxa"/>
            <w:right w:w="108" w:type="dxa"/>
          </w:tblCellMar>
        </w:tblPrEx>
        <w:trPr>
          <w:trHeight w:val="414"/>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7</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考场监考管理主机</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7.1、商用台式机电脑主机，不低于4核CPU、不低于16G内存、不低于480GB SSD系统盘、不低于1TB硬盘、千兆网口及不低于21.45英寸显示器，支持WiFi，带操作系统。</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b/>
                <w:bCs/>
                <w:color w:val="FF0000"/>
                <w:sz w:val="21"/>
                <w:szCs w:val="21"/>
              </w:rPr>
              <w:t>★投标时提供所投产品获得国家认可的认证机构出具的处于有效期内的节能产品认证证书</w:t>
            </w:r>
          </w:p>
        </w:tc>
      </w:tr>
      <w:tr>
        <w:tblPrEx>
          <w:tblW w:w="8956" w:type="dxa"/>
          <w:jc w:val="center"/>
          <w:tblLayout w:type="fixed"/>
          <w:tblCellMar>
            <w:top w:w="0" w:type="dxa"/>
            <w:left w:w="108" w:type="dxa"/>
            <w:bottom w:w="0" w:type="dxa"/>
            <w:right w:w="108" w:type="dxa"/>
          </w:tblCellMar>
        </w:tblPrEx>
        <w:trPr>
          <w:trHeight w:val="414"/>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8</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sz w:val="21"/>
                <w:szCs w:val="21"/>
              </w:rPr>
            </w:pPr>
            <w:r>
              <w:rPr>
                <w:rFonts w:ascii="宋体" w:eastAsia="宋体" w:hAnsi="宋体" w:cs="宋体" w:hint="eastAsia"/>
                <w:bCs/>
                <w:sz w:val="21"/>
                <w:szCs w:val="21"/>
              </w:rPr>
              <w:t>校级管理平台</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8.1、平台支持学校理、化、生实验考务管理、阅卷管理、题库管理、新增实验教案和成绩查询统计、考试AI评分、教学AI评分。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8.2、考务管理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具备实验室管理功能：支持添加实验室，并设置教室名称、学科、位置、备注等基础信息；支持查看和编辑实验室基础信息；支持展示实验室列表，列表展示教室ID、教室名称、学科、位置、备注、设备总数等信息；支持添加和编辑座位，支持展示实验室座位列表，支持根据座位号/设备SN搜索座位；支持在添加座位时指定关联设备SN，支持对已有座位修改、删除关联设备SN；支持实时监控实验室的终端设备状态，包括网络、存储、俯视摄像头、侧视摄像头的状态，支持在座位列表中实时展示终端设备状态。</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8.4、具备考务列表管理功能：支持展示考试任务列表，包含考务ID、考务名称、组考方、开始日期、结束日期、考试类型、考务状态、考生登录方式等信息；支持查看和管理指定考务的详情；</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8.5、支持将已有考务复制到新的考务，支持指定新考务的考务名称、开始时间、结束时间，系统自动将考题、考生、考场、场次等信息复制到新考务。</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8.6、具备教师管理功能：支持添加教师，设置手机(登录用户名)、角色、姓名、密码、邮箱、任教学科等基础信息；支持修改教师的密码、邮箱、任教学科等基础信息；支持展示教师列表，包含用户ID、姓名、手机号(用户名)、邮箱、任课学科、角色等信息；支持统计教师总数量；支持设置教师角色，包括管理员、学科老师等。</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8.7、具备考场设置功能：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8.8、具备组考功能：支持对指定考务设置试卷，每个学科支持设置多个试卷，支持设置考试开始和结束日期；支持选择物化、物理、化学、生物等4种学科，其中物化支持物理和化学同场考试；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方便快速安排考位；支持对考场、考位执行编辑、删除操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8.9、具备排考功能：支持根据考生数量、考场和考位安排、考试时段和场次间隔时间等设置，自动批量创建场次；支持通过电子表格批量导入排考数据；支持批量删除所有场次；支持自动计算并显示考场总数、已设考位数/座位总数、总可容纳人次/应排人次，并以此自动判断考点设置是否完善；支持批量安排考生到各场次；支持按班级批量排考、按年级批量排考；支持批量删除考生安排；支持查看和调整排考结果；支持自动计算并显示考点排考汇总情况和学科排考汇总情况。</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8.10、具备生成答卷数据功能：支持接收来自学生实验终端上报的提交答卷指令以及视频文件和答题卡数据，形成考生答卷数据；支持对视频文件的大小、文件格式、编码方式、分辨率等信息进行校验和展示；支持通过数字签名的方式对数据一致性进行校验并展示视频文件的MD5码，该MD5码和终端对应视频文件的MD5码值一致；支持预览考生实验操作视频和答题卡数据。</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8.11、具备考务统计功能：支持在考试中和考试结束后监管整个考务的考试完成进度和文件上传进度；支持统计并展示各场次的状态和文件上传进度；支持统计并展示整个考务的考试完成量和文件上传量；支持对考务统计数据自动生成图表，并导出到电子表格；导出信息包括学校、学科、实考数量、缺考数量，以及实考和缺考的考生详情。</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8.12、支持线上考试抽签功能：支持线上一键抽签，系统对该场次的考生进行随机抽签，并立即显示抽签结果；抽签结果包含姓名、考生编号、座位号等信息；每个场次只允许抽签一次，对已抽签的场次，支持查看抽签结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8.13、支持线上监考功能：支持一键开始考试，将各考位的考生信息和考题信息下发到对应终端；支持一键结束考试，批量控制各终端结束考试并提交答卷；支持在监考页面点击查看对应场次的抽签结果，以便于考生再次核对抽签数据；支持实时监控各考位的设备状态和考生状态，支持同屏显示该考场所有考位状态，不同状态用不同颜色标识，考位信息包括座位号、考生姓名、考试状态、网络状态、存储状态、侧视相机状态、俯视相机状态等；</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8.14、阅卷管理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8.15、具备阅卷任务管理功能：支持从考务系统获取考务和答卷数据，并按照考务对阅卷任务进行分组管理；支持对同一考务内的各学科和各考卷进行分组管理；支持启动阅卷任务、结束阅卷任务、导出答卷等操作；支持根据批阅规则、批阅者角色、批阅者数量进行阅卷任务分配；支持查看答卷清单，包含考生姓名、证件号、批阅者、答卷状态、标记状态、得分；支持按照考生姓名/证件号、答卷状态、标记状态进行过滤；支持展示考务状态、上传状态、阅卷任务状态、批阅完成进度。</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kern w:val="0"/>
                <w:sz w:val="21"/>
                <w:szCs w:val="21"/>
              </w:rPr>
            </w:pPr>
            <w:r>
              <w:rPr>
                <w:rFonts w:ascii="宋体" w:eastAsia="宋体" w:hAnsi="宋体" w:cs="宋体" w:hint="eastAsia"/>
                <w:sz w:val="21"/>
                <w:szCs w:val="21"/>
              </w:rPr>
              <w:t>8.16、具备批阅规则设置功能：</w:t>
            </w:r>
            <w:r>
              <w:rPr>
                <w:rFonts w:ascii="宋体" w:eastAsia="宋体" w:hAnsi="宋体" w:cs="宋体" w:hint="eastAsia"/>
                <w:kern w:val="0"/>
                <w:sz w:val="21"/>
                <w:szCs w:val="21"/>
              </w:rPr>
              <w:t>支持根据考务需要设置阅卷方式为单轮阅卷、两轮阅卷或三轮阅卷：单轮阅卷为一份答卷分配1名阅卷老师，一轮完成评阅，随即输出成绩；两轮阅卷为一份答卷分配2名阅卷老师，阅卷老师相互之间不知道对方的评分，2名阅卷老师分别给出评分，如果两个评分偏差不大于设定的阈值，则取两个评分的平均值作为最终得分，此答卷阅卷结束，如果两个评分偏差大于设定的阈值，系统提交该答卷给仲裁员，由仲裁员决定最终得分；三轮阅卷为一份答卷分配2名阅卷老师，阅卷老师相互之间不知道对方的评分结果，首先2名阅卷老师分别给出评分，如果两个评分偏差不大于设定的阈值，则取两个评分的平均值作为最终得分，此答卷阅卷结束，如果两个评分偏差大于设定的阈值，系统将此答卷派发给另外2名阅卷老师重新评阅（第二轮），如果第二轮评分偏差在设定阈值内，则以第二轮评分均值作为最终得分，否则上升至仲裁员，由仲裁员决定最终得分；两轮阅卷和三轮阅卷方式支持设置仲裁条件；支持查看已设置的批阅规则，展示阅卷方式、仲裁条件、考评点差异个数和阅卷流程。</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8.17、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8.18、具备在线观看视频阅卷功能：支持查看分配给自己的阅卷任务清单，按考务、学科和试卷排列；试卷列表包含试卷ID、阅卷状态、标记状态、得分等信息，不展示考生身份及考试发生的时间地点相关信息；支持进入评分界面后自动播放视频；支持俯视和侧视两路视频同屏同步播放；支持单控件同时控制两路视频，支持暂停、播放、跳转、倍速播放等操作；支持实时显示视频剩余时长；支持选择0.5X-5X倍速播放；支持单个视频全屏播放以及退出全屏操作；支持同屏显示答题卡图片，支持答题卡图片放大和还原操作；对于有显微镜抓图的答卷，支持显示显微镜抓图及放大和还原操作；支持按考评点顺序显示该试卷对应考题的各考查要点；支持对各考查要点单独评分，分数自动汇总并实时显示总分；支持一键满分、提交并进入下一份答卷等快捷操作；支持在阅卷页面实时显示已阅进度；支持对答卷进行标记、取消标记；支持跳转到下一份试卷。</w:t>
            </w:r>
          </w:p>
          <w:p>
            <w:pPr>
              <w:keepNext w:val="0"/>
              <w:keepLines w:val="0"/>
              <w:pageBreakBefore w:val="0"/>
              <w:kinsoku/>
              <w:wordWrap/>
              <w:overflowPunct/>
              <w:topLinePunct w:val="0"/>
              <w:autoSpaceDE/>
              <w:autoSpaceDN/>
              <w:bidi w:val="0"/>
              <w:adjustRightInd/>
              <w:snapToGrid w:val="0"/>
              <w:spacing w:line="320" w:lineRule="exact"/>
              <w:rPr>
                <w:rStyle w:val="font31"/>
                <w:rFonts w:ascii="宋体" w:eastAsia="宋体" w:hAnsi="宋体" w:cs="宋体" w:hint="eastAsia"/>
                <w:b/>
                <w:color w:val="0000FF"/>
                <w:sz w:val="21"/>
                <w:szCs w:val="21"/>
              </w:rPr>
            </w:pPr>
            <w:r>
              <w:rPr>
                <w:rFonts w:ascii="宋体" w:eastAsia="宋体" w:hAnsi="宋体" w:cs="宋体" w:hint="eastAsia"/>
                <w:sz w:val="21"/>
                <w:szCs w:val="21"/>
              </w:rPr>
              <w:t>8.19、具备阅卷状态统计功能：支持查看分配给自己的阅卷任务的阅卷进度；支持根据阅卷状态展示全部试卷、未阅试卷、已阅试卷；支持在每种阅卷状态下根据标记状态展示全部试卷、未标记试卷、已标记试卷。</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8.20、题库管理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8.21、支持添加实验考题，设置试卷名称、试卷编号、学科、学段、录制时长等基础信息；支持对指定考题通过图片添加试题内容，支持添加多张内容图片；支持对指定考题添加多个考评点，对每个考评点设置分值、考查要点、评分细则；支持对指定考题通过图片添加答题卡，支持添加多张答题卡图片；支持对指定答题卡设置多个题目，支持单选题、多选题、填空题、画图题，其中前三种题型支持设置标准答案；支持答题卡题目和评分细则关联；支持对生物学科的实验考题设置是否关联电子目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8.22、支持展示考题列表，包含学科、试卷名称、学段、分值、录制时长、状态等信息；支持根据试卷名称、学科进行搜索；支持查看指定考题的试卷详情；支持对指定考题执行启用、禁用操作；支持按未启用、已启用、已禁用分类展示</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8.23、支持实验考题导入、导出功能，支持通过zip文件导入、导出实验考题。</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8.24、新增实验教案</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8.25、具备自定义实验教案功能：支持新建实验教学方案，并设置教案名称、实验内容；支持从教学实验列表中选择实验作为教案的实验内容，一个教案支持添加多个实验；支持在教案中添加多种教学环节，包括演示视频、下发图片、实践练习、实践点评、自定义点评、课堂小测、课堂总结等；演示视频和图片支持从本地上传文件，也支持指定链接；实践练习环节支持设置练习时长；自定义点评环节支持添加自定义视频；课堂小测支持多道题，题型支持单选题、多选题、判断题，支持设置标准答案或设置为开放题，题目和答案均支持文本格式和图片格式。</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8.26、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8.27、具备从实验教案创建实验课功能：支持从列表中选择实验教学方案创建实验课；实验课基础信息包含实验课名称、教学方案、上课教室、上课年级、班级等；支持从考务系统中获取实验室列表，并供实验课选择作为上课教室。</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8.28、支持批量下发课堂小测到各终端，并控制终端进入课堂小测界面；支持接收学生在终端上选择的答案，并对客观题自动批阅。</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8.29、具备实验课堂AI点评功能：支持在实验教学页面调用AI应用系统中的AI课堂点评功能，对实验练习进行AI点评。</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8.30、具备实验课堂学生众评功能：支持选择指定学生的实验练习发起众评，并将练习数据下发到各终端，控制终端进入点评界面；支持同屏展示各终端学生众评状态、座位号、学生姓名、评分结果等；支持查看指定学生提交的众评详情；支持切换到教师点评模式；支持一键结束众评，并控制终端退出点评界面；支持在众评结束后显示众评结果统计，包括实验平均成绩、考评点正确与错误打分统计等。</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8.31、具备实验课堂学生自评功能：支持对全班学生的实验练习发起自评，并将练习数据下发到各终端，控制终端进入自评界面；支持同屏展示各终端学生自评状态、座位号、学生姓名、评分结果等；支持查看指定学生提交的自评详情；支持一键结束自评，并控制终端退出点评界面；</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8.32、具备实验课堂自定义点评功能：支持在实验教学页面播放自定义的预置视频，支持对各考查要点进行点评；支持将自定义视频下发到各终端发起众评。</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8.33、具备课程评价功能：支持学生对老师的实验课程进行评价。</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8.34、成绩查询统计</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8.35、支持按试卷清单展示学生成绩，支持按考生姓名和证件号搜索查询考生成绩。</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8.36、支持按考务、按学科导出成绩到电子表格；导出成绩包含考务名称、学科、考点学校、年级、班级、考生姓名、试卷类型、试卷名称、证件号、考生号、各考评点得分、总成绩等字段。</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8.37、支持对评阅数据进行统计，展示图形化报表；支持展示各年度、各考务的试卷得分率统计和批阅者批阅均分统计；支持展示全部学科和指定学科的统计。</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8.38、考试AI评分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8.39、具备物理、化学、生物实验AI赋分功能，并支持查看实验的AI评分成绩，至少支持以下实验的考试AI评分：用天平测量物体的质量、氧气的实验室制取与性质、一定溶质质量分数的氯化钠溶液的配制、练习使用显微镜、制作并观察植物细胞临时装片、馒头在口腔中的变化。</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8.40、教学AI评分</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▲8.41、AI评分采用逐帧分析技术，不抽帧，不遗漏任何信息。</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8.42、具备教学AI评分及辅助点评功能：</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8.43、具备物理、化学、生物实验AI课堂点评功能，支持对学生实验练习进行AI实时评价，支持在点评环节查看AI给任意一个学生的实验评分情况，包含每一个考评点。至少支持以下实验的AI课堂评分：用天平测量物体的质量、氧气的实验室制取与性质、一定溶质质量分数的氯化钠溶液的配制、练习使用显微镜、制作并观察植物细胞临时装片、馒头在口腔中的变化。</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▲8.44、具备AI辅助点评功能：</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具备物理、化学、生物实验AI评分点跳转功能，采用AI技术对实验视频进行自动标段，点击评分点支持跳转到对应的视频片段。至少支持以下实验的AI辅助点评：用天平测量物体的质量、氧气的实验室制取与性质、一定溶质质量分数的氯化钠溶液的配制、练习使用显微镜、制作并观察植物细胞临时装片、馒头在口腔中的变化。</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tc>
      </w:tr>
      <w:tr>
        <w:tblPrEx>
          <w:tblW w:w="8956" w:type="dxa"/>
          <w:jc w:val="center"/>
          <w:tblLayout w:type="fixed"/>
          <w:tblCellMar>
            <w:top w:w="0" w:type="dxa"/>
            <w:left w:w="108" w:type="dxa"/>
            <w:bottom w:w="0" w:type="dxa"/>
            <w:right w:w="108" w:type="dxa"/>
          </w:tblCellMar>
        </w:tblPrEx>
        <w:trPr>
          <w:trHeight w:val="414"/>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9</w:t>
            </w:r>
          </w:p>
        </w:tc>
        <w:tc>
          <w:tcPr>
            <w:tcW w:w="1210" w:type="dxa"/>
            <w:noWrap w:val="0"/>
            <w:vAlign w:val="center"/>
          </w:tcPr>
          <w:p>
            <w:pPr>
              <w:keepNext w:val="0"/>
              <w:keepLines w:val="0"/>
              <w:pageBreakBefore w:val="0"/>
              <w:kinsoku/>
              <w:wordWrap/>
              <w:overflowPunct/>
              <w:topLinePunct w:val="0"/>
              <w:autoSpaceDE/>
              <w:autoSpaceDN/>
              <w:bidi w:val="0"/>
              <w:adjustRightInd/>
              <w:spacing w:line="320" w:lineRule="exact"/>
              <w:jc w:val="center"/>
              <w:rPr>
                <w:rFonts w:ascii="宋体" w:eastAsia="宋体" w:hAnsi="宋体" w:cs="宋体" w:hint="eastAsia"/>
                <w:bCs/>
                <w:kern w:val="0"/>
                <w:sz w:val="21"/>
                <w:szCs w:val="21"/>
              </w:rPr>
            </w:pPr>
            <w:r>
              <w:rPr>
                <w:rFonts w:ascii="宋体" w:eastAsia="宋体" w:hAnsi="宋体" w:cs="宋体" w:hint="eastAsia"/>
                <w:bCs/>
                <w:sz w:val="21"/>
                <w:szCs w:val="21"/>
              </w:rPr>
              <w:t>实验信息采集终端</w:t>
            </w:r>
          </w:p>
        </w:tc>
        <w:tc>
          <w:tcPr>
            <w:tcW w:w="7016" w:type="dxa"/>
            <w:noWrap w:val="0"/>
            <w:vAlign w:val="center"/>
          </w:tcPr>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9.1、采用一体化支架，使用过程中稳定维持固定拍摄角度，不可自由伸缩和旋转，支持折叠收纳，完全收纳后终端整机最大长度不超过40厘米，高度不高于50cm，以免在上课时遮挡学生视线且终端两侧底部左右两侧各有一个圆形插线孔，网线和电源线可从插线孔引出。从终端侧面观察，终端侧视摄像头在完全展开状态下，侧视摄像头及支架位置不会前凸超出终端屏幕的延长面，降低学生手臂误触碰摄像头可能性，从而影响教学及考试。且终端背部具备快拆检修盖板，支持免工具手动拆卸。</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9.2、视频采集摄像头：</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9.3、每套终端配备至少2个摄像头，其中1个为俯视角，1个为侧视角；</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9.4、自动白平衡；</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9.5、支持多码流传输；</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9.6、其中一个俯视角摄像头需能在一个画面内拍摄整个实验台和半个水槽，其中一个侧视角摄像头需支持拍摄核心操作区内操作和刻度细节；</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9.7、帧率不低于30fps；</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9.8、支持3D数字降噪；</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9.9、不低于1440P（400万像素），支持在终端设置分辨率为1440P（400万像素）和1080P（200万像素）；</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9.10、各摄像头视频同步偏差不高于80ms；</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9.11、支持H.265/H.264/MJPEG视频压缩编码；</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9.12自动曝光，支持宽动态，宽动态范围不低于90dB。</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9.13、核心操作区标识：放置或粘贴在实验桌上，用于引导学生在核心区域操作。</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9.14、显示器：尺寸不小于15英寸；分辨率不低于1920*1080；支持多点(不低于10点）触控。</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9.15、CPU，不低于4核64位，主频不低于2.0GHz；</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9.16、内存：不低于4G。</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9.17、存储：不低于128GB。</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9.18、电源接口满足以下3种之一：</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① 220V持续供电，且内置电池供电使用不低于30分钟；</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② 支持“POE”持续供电，且内置电池供电使用不低于30分钟；</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③ 支持内置电池供电使用4小时以上。</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9.19、不少于 3个USB 2.0 扩展接口，支持接入分辨率不低于1920X1080(200万像素) 的电子目镜或数码显微镜图像，支持在终端上呈现电子目镜或显微镜观察到的图像并采集显微镜成像实时图片，自动白平衡、自动曝光。</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9.20、网络模块：支持有线和WiFi6无线联网，有线支持1000M网口，无线支持802.11b/g/n/AC/AX协议及2.4GHz和5GHz双频段。</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9.21终端操作系统：使用通用的开放互联的操作系统；内置开机自启动的操作系统。</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9.22、终端背部内置物理形态的彩色指示灯，和一体机融为一体，不允许外挂接入；状态灯五种颜色，自检中状态灯为黄色闪烁，闲置状态亮白灯，闲置数据上传状态灯为白色闪烁；待登录状态亮蓝灯；考试中状态灯为绿色常亮；网络连接异常亮红灯；摄像头异常状态灯为红色常亮；自带状态显示，异常状态反馈及时准确，便于监考老师查看设备状态；</w:t>
            </w:r>
          </w:p>
          <w:p>
            <w:pPr>
              <w:keepNext w:val="0"/>
              <w:keepLines w:val="0"/>
              <w:pageBreakBefore w:val="0"/>
              <w:kinsoku/>
              <w:wordWrap/>
              <w:overflowPunct/>
              <w:topLinePunct w:val="0"/>
              <w:autoSpaceDE/>
              <w:autoSpaceDN/>
              <w:bidi w:val="0"/>
              <w:adjustRightInd/>
              <w:spacing w:line="320" w:lineRule="exact"/>
              <w:rPr>
                <w:rStyle w:val="font31"/>
                <w:rFonts w:ascii="宋体" w:eastAsia="宋体" w:hAnsi="宋体" w:cs="宋体" w:hint="eastAsia"/>
                <w:b/>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9.23、实验信息采集终端数据标准：</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9.24、标准的mp4格式，清晰度不低于1080P，可设置；</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9.25、单个5分钟时长的视频应不大于150MB；</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9.26、每位考生实验操作考试的双路视频图像播放全程应保持相互时延小于100毫秒；</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9.27、需完整录制俯视角、侧视角中所有实验操作过程和评分点细节；</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9.28、采集像素200万的显微镜成像实时图片，支持圈点涂写；</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9.29、考生通过触摸屏填写答题卡，支持生成标准JPG格式的答题卡图像，标准的JPG格式，分辨率不低于1800*1350（243万像素），单张图片大小不大于3MB，支持4:3长宽比；</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9.30、在管理平台选配智慧实验教学AI课堂评分软件并开启AI时，学生做完实验终端将实时显示AI点评界面，同屏显示俯视视频回放、侧视视频回放、AI点评结果，AI点评结果中，操作正确的步骤标记对勾（√），操作错误的步骤标记错叉（×）并用红色字体描述错误原因；</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9.31、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color w:val="0000FF"/>
                <w:sz w:val="21"/>
                <w:szCs w:val="21"/>
              </w:rPr>
              <w:t>▲9.32、终端俯视和侧视摄像头支架下部（底部第一段支架）均被包裹在终端机身中，支架与终端机身连接处无活动关节；终端状态指示灯（状态灯和一体机融为一体，不允许外挂接入）位于机身背面，距离终端底部的高度不得低于20厘米，且指示灯发光体长度不少于3厘米，方便考试监考及教学巡查。</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10</w:t>
            </w:r>
          </w:p>
        </w:tc>
        <w:tc>
          <w:tcPr>
            <w:tcW w:w="1210" w:type="dxa"/>
            <w:noWrap w:val="0"/>
            <w:vAlign w:val="center"/>
          </w:tcPr>
          <w:p>
            <w:pPr>
              <w:pStyle w:val="Heading3"/>
              <w:keepNext w:val="0"/>
              <w:keepLines w:val="0"/>
              <w:pageBreakBefore w:val="0"/>
              <w:kinsoku/>
              <w:wordWrap/>
              <w:overflowPunct/>
              <w:topLinePunct w:val="0"/>
              <w:autoSpaceDE/>
              <w:autoSpaceDN/>
              <w:bidi w:val="0"/>
              <w:adjustRightInd/>
              <w:spacing w:before="0" w:after="0" w:line="320" w:lineRule="exact"/>
              <w:ind w:left="0" w:firstLine="0"/>
              <w:jc w:val="center"/>
              <w:outlineLvl w:val="2"/>
              <w:rPr>
                <w:rFonts w:ascii="宋体" w:eastAsia="宋体" w:hAnsi="宋体" w:cs="宋体" w:hint="eastAsia"/>
                <w:sz w:val="21"/>
                <w:szCs w:val="21"/>
              </w:rPr>
            </w:pPr>
            <w:r>
              <w:rPr>
                <w:rFonts w:ascii="宋体" w:eastAsia="宋体" w:hAnsi="宋体" w:cs="宋体" w:hint="eastAsia"/>
                <w:bCs/>
                <w:sz w:val="21"/>
                <w:szCs w:val="21"/>
              </w:rPr>
              <w:t>终端理科虚拟仿真实验</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10.1、平台模块化设计，包含实验教学模块和实验模拟考试模块。</w:t>
            </w:r>
          </w:p>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10.2、 仿真实验操作与物理、化学、生物学业水平考试操作步骤一致，模拟真实实验考试过程。</w:t>
            </w:r>
          </w:p>
          <w:p>
            <w:pPr>
              <w:pStyle w:val="BodyText"/>
              <w:keepNext w:val="0"/>
              <w:keepLines w:val="0"/>
              <w:pageBreakBefore w:val="0"/>
              <w:kinsoku/>
              <w:wordWrap/>
              <w:overflowPunct/>
              <w:topLinePunct w:val="0"/>
              <w:autoSpaceDE/>
              <w:autoSpaceDN/>
              <w:bidi w:val="0"/>
              <w:adjustRightInd/>
              <w:spacing w:after="0" w:line="320" w:lineRule="exact"/>
              <w:rPr>
                <w:rFonts w:ascii="宋体" w:eastAsia="宋体" w:hAnsi="宋体" w:cs="宋体" w:hint="eastAsia"/>
                <w:b w:val="0"/>
                <w:bCs w:val="0"/>
                <w:color w:val="0000FF"/>
                <w:sz w:val="21"/>
                <w:szCs w:val="21"/>
              </w:rPr>
            </w:pPr>
            <w:r>
              <w:rPr>
                <w:rFonts w:ascii="宋体" w:eastAsia="宋体" w:hAnsi="宋体" w:cs="宋体" w:hint="eastAsia"/>
                <w:b w:val="0"/>
                <w:bCs w:val="0"/>
                <w:color w:val="0000FF"/>
                <w:sz w:val="21"/>
                <w:szCs w:val="21"/>
              </w:rPr>
              <w:t>▲10.3、实验信息采集终端配套物理虚拟仿真实验软件：教师端可支持AI体感手势识别技术，参与互动操作人员无需手持、无需穿戴佩戴任何设备（如：3D光学追踪控制笔、3D眼镜等），只需裸眼、空手手势便可进行AR互动操作。</w:t>
            </w:r>
          </w:p>
          <w:p>
            <w:pPr>
              <w:pStyle w:val="BodyText"/>
              <w:keepNext w:val="0"/>
              <w:keepLines w:val="0"/>
              <w:pageBreakBefore w:val="0"/>
              <w:kinsoku/>
              <w:wordWrap/>
              <w:overflowPunct/>
              <w:topLinePunct w:val="0"/>
              <w:autoSpaceDE/>
              <w:autoSpaceDN/>
              <w:bidi w:val="0"/>
              <w:adjustRightInd/>
              <w:spacing w:after="0" w:line="320" w:lineRule="exact"/>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pStyle w:val="BodyText"/>
              <w:keepNext w:val="0"/>
              <w:keepLines w:val="0"/>
              <w:pageBreakBefore w:val="0"/>
              <w:kinsoku/>
              <w:wordWrap/>
              <w:overflowPunct/>
              <w:topLinePunct w:val="0"/>
              <w:autoSpaceDE/>
              <w:autoSpaceDN/>
              <w:bidi w:val="0"/>
              <w:adjustRightInd/>
              <w:spacing w:after="0" w:line="320" w:lineRule="exact"/>
              <w:rPr>
                <w:rFonts w:ascii="宋体" w:eastAsia="宋体" w:hAnsi="宋体" w:cs="宋体" w:hint="eastAsia"/>
                <w:b w:val="0"/>
                <w:bCs w:val="0"/>
                <w:sz w:val="21"/>
                <w:szCs w:val="21"/>
              </w:rPr>
            </w:pPr>
            <w:r>
              <w:rPr>
                <w:rFonts w:ascii="宋体" w:eastAsia="宋体" w:hAnsi="宋体" w:cs="宋体" w:hint="eastAsia"/>
                <w:b w:val="0"/>
                <w:bCs w:val="0"/>
                <w:sz w:val="21"/>
                <w:szCs w:val="21"/>
              </w:rPr>
              <w:t>10.4、倒计时功能：模拟考试时间限制，时间结束自动提交成绩（可提前主动提交）。</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▲10.5、实验信息采集终端配套生物虚拟仿真实验软件-应用跳转功能：考试终端主界面嵌入虚拟仿真实验资源，可一键进入虚拟仿真实验；仿真实验操作过程可一键跳转回考试系统主界面；</w:t>
            </w:r>
          </w:p>
          <w:p>
            <w:pPr>
              <w:keepNext w:val="0"/>
              <w:keepLines w:val="0"/>
              <w:pageBreakBefore w:val="0"/>
              <w:kinsoku/>
              <w:wordWrap/>
              <w:overflowPunct/>
              <w:topLinePunct w:val="0"/>
              <w:autoSpaceDE/>
              <w:autoSpaceDN/>
              <w:bidi w:val="0"/>
              <w:adjustRightInd/>
              <w:spacing w:line="320" w:lineRule="exact"/>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pStyle w:val="BodyText"/>
              <w:keepNext w:val="0"/>
              <w:keepLines w:val="0"/>
              <w:pageBreakBefore w:val="0"/>
              <w:kinsoku/>
              <w:wordWrap/>
              <w:overflowPunct/>
              <w:topLinePunct w:val="0"/>
              <w:autoSpaceDE/>
              <w:autoSpaceDN/>
              <w:bidi w:val="0"/>
              <w:adjustRightInd/>
              <w:spacing w:after="0" w:line="320" w:lineRule="exact"/>
              <w:rPr>
                <w:rFonts w:ascii="宋体" w:eastAsia="宋体" w:hAnsi="宋体" w:cs="宋体" w:hint="eastAsia"/>
                <w:b w:val="0"/>
                <w:bCs w:val="0"/>
                <w:sz w:val="21"/>
                <w:szCs w:val="21"/>
              </w:rPr>
            </w:pPr>
            <w:r>
              <w:rPr>
                <w:rFonts w:ascii="宋体" w:eastAsia="宋体" w:hAnsi="宋体" w:cs="宋体" w:hint="eastAsia"/>
                <w:b w:val="0"/>
                <w:bCs w:val="0"/>
                <w:sz w:val="21"/>
                <w:szCs w:val="21"/>
              </w:rPr>
              <w:t>10.6、AI测评功能：根据学生完成实验时的操作快速给出相应的得分，并能直接定位错误步骤和失分点。</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▲10.7、实验信息采集终端配套化学虚拟仿真实验软件-AI数据分析功能：包含实验总览、实验统计、综合分析、分值曲线、错误分布等；</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11</w:t>
            </w:r>
          </w:p>
        </w:tc>
        <w:tc>
          <w:tcPr>
            <w:tcW w:w="1210" w:type="dxa"/>
            <w:noWrap w:val="0"/>
            <w:vAlign w:val="center"/>
          </w:tcPr>
          <w:p>
            <w:pPr>
              <w:pStyle w:val="Heading3"/>
              <w:keepNext w:val="0"/>
              <w:keepLines w:val="0"/>
              <w:pageBreakBefore w:val="0"/>
              <w:kinsoku/>
              <w:wordWrap/>
              <w:overflowPunct/>
              <w:topLinePunct w:val="0"/>
              <w:autoSpaceDE/>
              <w:autoSpaceDN/>
              <w:bidi w:val="0"/>
              <w:adjustRightInd/>
              <w:spacing w:before="0" w:after="0" w:line="320" w:lineRule="exact"/>
              <w:ind w:left="0" w:firstLine="0"/>
              <w:jc w:val="center"/>
              <w:outlineLvl w:val="2"/>
              <w:rPr>
                <w:rFonts w:ascii="宋体" w:eastAsia="宋体" w:hAnsi="宋体" w:cs="宋体" w:hint="eastAsia"/>
                <w:kern w:val="0"/>
                <w:sz w:val="21"/>
                <w:szCs w:val="21"/>
              </w:rPr>
            </w:pPr>
            <w:r>
              <w:rPr>
                <w:rFonts w:ascii="宋体" w:eastAsia="宋体" w:hAnsi="宋体" w:cs="宋体" w:hint="eastAsia"/>
                <w:bCs/>
                <w:sz w:val="21"/>
                <w:szCs w:val="21"/>
              </w:rPr>
              <w:t>电子目镜</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11.1、生物实验配备电子目镜，支持在终端上呈现显微镜观察到的图像并采集显微镜成像实时图片。</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11.2、CMOS传感器，匹配传统光学显微镜及数码显微镜；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11.3、分辨率不低于1920×1080（200万像素）；</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11.4、帧率不低于25FPS；</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11.5、自动白平衡、自动曝光、增益补偿；</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11.6、USB接口供电，即插即用。</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12</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UPS</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12.1、在线式UPS不间断电源</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12.2、容量不低于6KVA/5400W，配备电池，满载5400W供电不低于30分钟；</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12.3、输入电压：120~275V AC；</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12.4、输入频率：(40~70)Hz；</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12.5、输入功因：≥0.99；</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12.6、输出电压：220V AC；</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12.7、输出精度：±1%；</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12.8、输出频率：50/60Hz±0.2Hz；</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12.9、输出波形：纯净正弦输出；</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12.10、效率：市电模式&gt;94% ECO高效模式&gt;98%；</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12.11、LED显示：负载/电量/输入/输出/运行模式；</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13</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机柜</w:t>
            </w:r>
          </w:p>
        </w:tc>
        <w:tc>
          <w:tcPr>
            <w:tcW w:w="7016" w:type="dxa"/>
            <w:noWrap w:val="0"/>
            <w:vAlign w:val="center"/>
          </w:tcPr>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13.1、不低于19英寸32U服务器机柜</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13.2、容量: 不低于32U</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13.3、配置: 至少配备前后六角网孔门、8位10APDU一个、固定板1块、风扇部件1组、4只两寸重型脚轮、M6方螺母钉20套、内六角扳手一只</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14</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无线扩音系统</w:t>
            </w:r>
          </w:p>
        </w:tc>
        <w:tc>
          <w:tcPr>
            <w:tcW w:w="7016" w:type="dxa"/>
            <w:noWrap w:val="0"/>
            <w:vAlign w:val="center"/>
          </w:tcPr>
          <w:p>
            <w:pPr>
              <w:keepNext w:val="0"/>
              <w:keepLines w:val="0"/>
              <w:pageBreakBefore w:val="0"/>
              <w:widowControl/>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14.1.具备1个主箱和1个副箱，每个音箱都有1个</w:t>
            </w:r>
            <w:r>
              <w:rPr>
                <w:rFonts w:ascii="宋体" w:eastAsia="宋体" w:hAnsi="宋体" w:cs="宋体" w:hint="eastAsia"/>
                <w:sz w:val="21"/>
                <w:szCs w:val="21"/>
              </w:rPr>
              <w:t>不低于</w:t>
            </w:r>
            <w:r>
              <w:rPr>
                <w:rStyle w:val="font31"/>
                <w:rFonts w:ascii="宋体" w:eastAsia="宋体" w:hAnsi="宋体" w:cs="宋体" w:hint="eastAsia"/>
                <w:sz w:val="21"/>
                <w:szCs w:val="21"/>
              </w:rPr>
              <w:t>5寸全频喇叭和1个</w:t>
            </w:r>
            <w:r>
              <w:rPr>
                <w:rFonts w:ascii="宋体" w:eastAsia="宋体" w:hAnsi="宋体" w:cs="宋体" w:hint="eastAsia"/>
                <w:sz w:val="21"/>
                <w:szCs w:val="21"/>
              </w:rPr>
              <w:t>不低于</w:t>
            </w:r>
            <w:r>
              <w:rPr>
                <w:rStyle w:val="font31"/>
                <w:rFonts w:ascii="宋体" w:eastAsia="宋体" w:hAnsi="宋体" w:cs="宋体" w:hint="eastAsia"/>
                <w:sz w:val="21"/>
                <w:szCs w:val="21"/>
              </w:rPr>
              <w:t>3寸高音喇叭组成，输出功率不低于2x20W；全内置天线，要求一体式散热铝背板；</w:t>
            </w:r>
          </w:p>
          <w:p>
            <w:pPr>
              <w:keepNext w:val="0"/>
              <w:keepLines w:val="0"/>
              <w:pageBreakBefore w:val="0"/>
              <w:widowControl/>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14.2.具备2.4G、IR红外无线传输模式的无线教学话筒接收模块传输模式；2.4G、IR红外两种自动对频方式，开机自动检测工作环境，自动选择最优工作信道；具备专业级话筒音质，48K,16bit，30~20KHz宽频响，感官无感觉延时；</w:t>
            </w:r>
          </w:p>
          <w:p>
            <w:pPr>
              <w:keepNext w:val="0"/>
              <w:keepLines w:val="0"/>
              <w:pageBreakBefore w:val="0"/>
              <w:widowControl/>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14.3.音箱额定声频率响应范围：90~19KHz；噪声声级≦25 dB（A）; 幅频响应差≦3 dB</w:t>
            </w:r>
          </w:p>
          <w:p>
            <w:pPr>
              <w:keepNext w:val="0"/>
              <w:keepLines w:val="0"/>
              <w:pageBreakBefore w:val="0"/>
              <w:widowControl/>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14.4.要求无线话筒音量和音调都可调，广播音量、有线话筒音量、线路输入音量都可调。具备6V有线话筒输入接口，低压安全；具备立体声线路输入、输出接口；超时不用自动待机；具备内置DSP数字防啸叫功能。</w:t>
            </w:r>
          </w:p>
          <w:p>
            <w:pPr>
              <w:keepNext w:val="0"/>
              <w:keepLines w:val="0"/>
              <w:pageBreakBefore w:val="0"/>
              <w:widowControl/>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 xml:space="preserve">14.5.具备支持无线充电功能，放下充电，拿起讲话，配备多功能无线充电底座，U型槽式结构，防止话筒滚动，可桌面放置或挂墙插置充电；内置锂电，全智能充电管理；具备IR红外发射功能；具备双色充电指示灯。具备OLED显示屏，清晰显示系统状态及参数；具备自动静音功能，自动语音快速恢复；拾音器结构防喷、防风噪； </w:t>
            </w:r>
          </w:p>
          <w:p>
            <w:pPr>
              <w:keepNext w:val="0"/>
              <w:keepLines w:val="0"/>
              <w:pageBreakBefore w:val="0"/>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Style w:val="font31"/>
                <w:rFonts w:ascii="宋体" w:eastAsia="宋体" w:hAnsi="宋体" w:cs="宋体" w:hint="eastAsia"/>
                <w:sz w:val="21"/>
                <w:szCs w:val="21"/>
              </w:rPr>
              <w:t>14.6.通过防电击保护的结构要求合格检测，设备的结构应确保可触及零部件或手动打开盖子后变成可触及的零部件不会引起电击危险，检测结果为“合格”。</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15</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sz w:val="21"/>
                <w:szCs w:val="21"/>
              </w:rPr>
              <w:t>综合布线</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kern w:val="0"/>
                <w:sz w:val="21"/>
                <w:szCs w:val="21"/>
              </w:rPr>
              <w:t>15.1、含六类双绞线、面板/插座、跳线、配线架等安装配件，面板带一个信息口，包含理化生实验室到中心机房之间布明线，以及实验室内部布有线网络。</w:t>
            </w:r>
          </w:p>
        </w:tc>
      </w:tr>
      <w:tr>
        <w:tblPrEx>
          <w:tblW w:w="8956" w:type="dxa"/>
          <w:jc w:val="center"/>
          <w:tblLayout w:type="fixed"/>
          <w:tblCellMar>
            <w:top w:w="0" w:type="dxa"/>
            <w:left w:w="108" w:type="dxa"/>
            <w:bottom w:w="0" w:type="dxa"/>
            <w:right w:w="108" w:type="dxa"/>
          </w:tblCellMar>
        </w:tblPrEx>
        <w:trPr>
          <w:trHeight w:val="416"/>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16</w:t>
            </w:r>
          </w:p>
        </w:tc>
        <w:tc>
          <w:tcPr>
            <w:tcW w:w="121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电源布线</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kern w:val="0"/>
                <w:sz w:val="21"/>
                <w:szCs w:val="21"/>
              </w:rPr>
              <w:t>16.1、含室内配电箱主电源接入（主线不低于国标6平方*3电线）；UPS输出电源线不低于国标1.5平方*3电线，含线槽、插座和开关等安装配件。</w:t>
            </w:r>
          </w:p>
        </w:tc>
      </w:tr>
      <w:tr>
        <w:tblPrEx>
          <w:tblW w:w="8956" w:type="dxa"/>
          <w:jc w:val="center"/>
          <w:tblLayout w:type="fixed"/>
          <w:tblCellMar>
            <w:top w:w="0" w:type="dxa"/>
            <w:left w:w="108" w:type="dxa"/>
            <w:bottom w:w="0" w:type="dxa"/>
            <w:right w:w="108" w:type="dxa"/>
          </w:tblCellMar>
        </w:tblPrEx>
        <w:trPr>
          <w:trHeight w:val="2370"/>
          <w:jc w:val="center"/>
        </w:trPr>
        <w:tc>
          <w:tcPr>
            <w:tcW w:w="730"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17</w:t>
            </w:r>
          </w:p>
        </w:tc>
        <w:tc>
          <w:tcPr>
            <w:tcW w:w="1210" w:type="dxa"/>
            <w:noWrap w:val="0"/>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kern w:val="0"/>
                <w:sz w:val="21"/>
                <w:szCs w:val="21"/>
              </w:rPr>
            </w:pPr>
            <w:r>
              <w:rPr>
                <w:rFonts w:ascii="宋体" w:eastAsia="宋体" w:hAnsi="宋体" w:cs="宋体" w:hint="eastAsia"/>
                <w:kern w:val="0"/>
                <w:sz w:val="21"/>
                <w:szCs w:val="21"/>
              </w:rPr>
              <w:t>考点视频监控设备</w:t>
            </w:r>
          </w:p>
        </w:tc>
        <w:tc>
          <w:tcPr>
            <w:tcW w:w="7016" w:type="dxa"/>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17.1.不低于400万网络摄像机；</w:t>
            </w:r>
            <w:r>
              <w:rPr>
                <w:rFonts w:ascii="宋体" w:eastAsia="宋体" w:hAnsi="宋体" w:cs="宋体" w:hint="eastAsia"/>
                <w:sz w:val="21"/>
                <w:szCs w:val="21"/>
              </w:rPr>
              <w:br/>
            </w:r>
            <w:r>
              <w:rPr>
                <w:rFonts w:ascii="宋体" w:eastAsia="宋体" w:hAnsi="宋体" w:cs="宋体" w:hint="eastAsia"/>
                <w:sz w:val="21"/>
                <w:szCs w:val="21"/>
              </w:rPr>
              <w:t>17.2.支持人脸抓拍；</w:t>
            </w:r>
            <w:r>
              <w:rPr>
                <w:rFonts w:ascii="宋体" w:eastAsia="宋体" w:hAnsi="宋体" w:cs="宋体" w:hint="eastAsia"/>
                <w:sz w:val="21"/>
                <w:szCs w:val="21"/>
              </w:rPr>
              <w:br/>
            </w:r>
            <w:r>
              <w:rPr>
                <w:rFonts w:ascii="宋体" w:eastAsia="宋体" w:hAnsi="宋体" w:cs="宋体" w:hint="eastAsia"/>
                <w:sz w:val="21"/>
                <w:szCs w:val="21"/>
              </w:rPr>
              <w:t>17.3.分辨率不低于2688×1520 帧率不低于25 fps；</w:t>
            </w:r>
            <w:r>
              <w:rPr>
                <w:rFonts w:ascii="宋体" w:eastAsia="宋体" w:hAnsi="宋体" w:cs="宋体" w:hint="eastAsia"/>
                <w:sz w:val="21"/>
                <w:szCs w:val="21"/>
              </w:rPr>
              <w:br/>
            </w:r>
            <w:r>
              <w:rPr>
                <w:rFonts w:ascii="宋体" w:eastAsia="宋体" w:hAnsi="宋体" w:cs="宋体" w:hint="eastAsia"/>
                <w:sz w:val="21"/>
                <w:szCs w:val="21"/>
              </w:rPr>
              <w:t>17.4.支持背光补偿，强光抑制，3D数字降噪，不低于120 dB宽动态；</w:t>
            </w:r>
            <w:r>
              <w:rPr>
                <w:rFonts w:ascii="宋体" w:eastAsia="宋体" w:hAnsi="宋体" w:cs="宋体" w:hint="eastAsia"/>
                <w:sz w:val="21"/>
                <w:szCs w:val="21"/>
              </w:rPr>
              <w:br/>
            </w:r>
            <w:r>
              <w:rPr>
                <w:rFonts w:ascii="宋体" w:eastAsia="宋体" w:hAnsi="宋体" w:cs="宋体" w:hint="eastAsia"/>
                <w:sz w:val="21"/>
                <w:szCs w:val="21"/>
              </w:rPr>
              <w:t>17.5.不少于1个内置麦克风；</w:t>
            </w:r>
            <w:r>
              <w:rPr>
                <w:rFonts w:ascii="宋体" w:eastAsia="宋体" w:hAnsi="宋体" w:cs="宋体" w:hint="eastAsia"/>
                <w:sz w:val="21"/>
                <w:szCs w:val="21"/>
              </w:rPr>
              <w:br/>
            </w:r>
            <w:r>
              <w:rPr>
                <w:rFonts w:ascii="宋体" w:eastAsia="宋体" w:hAnsi="宋体" w:cs="宋体" w:hint="eastAsia"/>
                <w:sz w:val="21"/>
                <w:szCs w:val="21"/>
              </w:rPr>
              <w:t>17.6.采用红外灯，红外照射距离最远可达30 m；</w:t>
            </w:r>
            <w:r>
              <w:rPr>
                <w:rFonts w:ascii="宋体" w:eastAsia="宋体" w:hAnsi="宋体" w:cs="宋体" w:hint="eastAsia"/>
                <w:sz w:val="21"/>
                <w:szCs w:val="21"/>
              </w:rPr>
              <w:br/>
            </w:r>
            <w:r>
              <w:rPr>
                <w:rFonts w:ascii="宋体" w:eastAsia="宋体" w:hAnsi="宋体" w:cs="宋体" w:hint="eastAsia"/>
                <w:sz w:val="21"/>
                <w:szCs w:val="21"/>
              </w:rPr>
              <w:t>17.7.支持不少于1路报警输入；不少于1路报警输出；不少于1路音频输入；不少于1路音频输出；</w:t>
            </w:r>
            <w:r>
              <w:rPr>
                <w:rFonts w:ascii="宋体" w:eastAsia="宋体" w:hAnsi="宋体" w:cs="宋体" w:hint="eastAsia"/>
                <w:sz w:val="21"/>
                <w:szCs w:val="21"/>
              </w:rPr>
              <w:br/>
            </w:r>
            <w:r>
              <w:rPr>
                <w:rFonts w:ascii="宋体" w:eastAsia="宋体" w:hAnsi="宋体" w:cs="宋体" w:hint="eastAsia"/>
                <w:sz w:val="21"/>
                <w:szCs w:val="21"/>
              </w:rPr>
              <w:t>17.8.符合IP66防尘防水可靠性高。</w:t>
            </w:r>
          </w:p>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宋体" w:eastAsia="宋体" w:hAnsi="宋体" w:cs="宋体" w:hint="eastAsia"/>
                <w:kern w:val="0"/>
                <w:sz w:val="21"/>
                <w:szCs w:val="21"/>
              </w:rPr>
            </w:pPr>
            <w:r>
              <w:rPr>
                <w:rFonts w:ascii="宋体" w:eastAsia="宋体" w:hAnsi="宋体" w:cs="宋体" w:hint="eastAsia"/>
                <w:sz w:val="21"/>
                <w:szCs w:val="21"/>
              </w:rPr>
              <w:t>17.9.设备安装及施工布线</w:t>
            </w:r>
          </w:p>
        </w:tc>
      </w:tr>
    </w:tbl>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rPr>
      </w:pPr>
      <w:r>
        <w:br w:type="page"/>
      </w:r>
      <w:r>
        <w:rPr>
          <w:rFonts w:hint="eastAsia"/>
          <w:sz w:val="28"/>
          <w:szCs w:val="28"/>
          <w:lang w:val="en-US" w:eastAsia="zh-CN"/>
        </w:rPr>
        <w:t>五</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hint="eastAsia"/>
          <w:bCs/>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1"/>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pPr>
        <w:numPr>
          <w:ilvl w:val="0"/>
          <w:numId w:val="1"/>
        </w:numPr>
        <w:snapToGrid w:val="0"/>
        <w:spacing w:after="78" w:afterLines="25"/>
        <w:jc w:val="left"/>
        <w:rPr>
          <w:rFonts w:ascii="宋体" w:eastAsia="宋体" w:hAnsi="宋体" w:cs="Times New Roman"/>
          <w:sz w:val="30"/>
          <w:szCs w:val="30"/>
        </w:rPr>
      </w:pPr>
      <w:bookmarkStart w:id="16" w:name="_Hlk72062521"/>
      <w:r>
        <w:rPr>
          <w:rFonts w:ascii="宋体" w:eastAsia="宋体" w:hAnsi="宋体" w:cs="Times New Roman" w:hint="eastAsia"/>
          <w:sz w:val="30"/>
          <w:szCs w:val="30"/>
        </w:rPr>
        <w:t>政府采购投标及履约承诺函</w:t>
      </w:r>
      <w:bookmarkEnd w:id="16"/>
      <w:r>
        <w:rPr>
          <w:rFonts w:ascii="宋体" w:eastAsia="宋体" w:hAnsi="宋体" w:cs="Times New Roman" w:hint="eastAsia"/>
          <w:sz w:val="30"/>
          <w:szCs w:val="30"/>
        </w:rPr>
        <w:t>；</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bCs/>
          <w:sz w:val="30"/>
          <w:szCs w:val="30"/>
        </w:rPr>
        <w:t>营业执照或</w:t>
      </w:r>
      <w:r>
        <w:rPr>
          <w:rFonts w:ascii="宋体" w:eastAsia="宋体" w:hAnsi="宋体" w:cs="Times New Roman" w:hint="eastAsia"/>
          <w:sz w:val="30"/>
          <w:szCs w:val="30"/>
        </w:rPr>
        <w:t>事业单位法人证书等；</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中小企业相关声明函</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如有</w:t>
      </w:r>
      <w:r>
        <w:rPr>
          <w:rFonts w:ascii="宋体" w:eastAsia="宋体" w:hAnsi="宋体" w:cs="Times New Roman" w:hint="eastAsia"/>
          <w:sz w:val="30"/>
          <w:szCs w:val="30"/>
          <w:lang w:eastAsia="zh-CN"/>
        </w:rPr>
        <w:t>）</w:t>
      </w:r>
      <w:r>
        <w:rPr>
          <w:rFonts w:ascii="宋体" w:eastAsia="宋体" w:hAnsi="宋体" w:cs="Times New Roman" w:hint="eastAsia"/>
          <w:sz w:val="30"/>
          <w:szCs w:val="30"/>
        </w:rPr>
        <w:t>；</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分项报价清单；</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“校级管理平台”知识产权</w:t>
      </w:r>
      <w:r>
        <w:rPr>
          <w:rFonts w:ascii="宋体" w:eastAsia="宋体" w:hAnsi="宋体" w:cs="Times New Roman" w:hint="eastAsia"/>
          <w:sz w:val="30"/>
          <w:szCs w:val="30"/>
          <w:lang w:eastAsia="zh-CN"/>
        </w:rPr>
        <w:t>；</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“实验信息采集终端”知识产权</w:t>
      </w:r>
      <w:r>
        <w:rPr>
          <w:rFonts w:ascii="宋体" w:eastAsia="宋体" w:hAnsi="宋体" w:cs="Times New Roman" w:hint="eastAsia"/>
          <w:sz w:val="30"/>
          <w:szCs w:val="30"/>
          <w:lang w:eastAsia="zh-CN"/>
        </w:rPr>
        <w:t>；</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政府采购节能环保产品</w:t>
      </w:r>
      <w:r>
        <w:rPr>
          <w:rFonts w:ascii="宋体" w:eastAsia="宋体" w:hAnsi="宋体" w:cs="Times New Roman" w:hint="eastAsia"/>
          <w:sz w:val="30"/>
          <w:szCs w:val="30"/>
          <w:lang w:eastAsia="zh-CN"/>
        </w:rPr>
        <w:t>；</w:t>
      </w:r>
    </w:p>
    <w:p>
      <w:pPr>
        <w:numPr>
          <w:ilvl w:val="0"/>
          <w:numId w:val="1"/>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绿色采购</w:t>
      </w:r>
      <w:r>
        <w:rPr>
          <w:rFonts w:ascii="宋体" w:eastAsia="宋体" w:hAnsi="宋体" w:cs="Times New Roman" w:hint="eastAsia"/>
          <w:sz w:val="30"/>
          <w:szCs w:val="30"/>
          <w:lang w:eastAsia="zh-CN"/>
        </w:rPr>
        <w:t>；</w:t>
      </w:r>
    </w:p>
    <w:p>
      <w:pPr>
        <w:numPr>
          <w:ilvl w:val="0"/>
          <w:numId w:val="1"/>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商务（服务）条款偏离表；</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考场监考管理主机</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节能产品认证证书</w:t>
      </w:r>
      <w:r>
        <w:rPr>
          <w:rFonts w:ascii="宋体" w:eastAsia="宋体" w:hAnsi="宋体" w:cs="Times New Roman" w:hint="eastAsia"/>
          <w:bCs/>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技术</w:t>
      </w:r>
      <w:r>
        <w:rPr>
          <w:rFonts w:ascii="宋体" w:eastAsia="宋体" w:hAnsi="宋体" w:cs="Times New Roman" w:hint="eastAsia"/>
          <w:sz w:val="30"/>
          <w:szCs w:val="30"/>
          <w:lang w:val="en-US" w:eastAsia="zh-CN"/>
        </w:rPr>
        <w:t>要求</w:t>
      </w:r>
      <w:r>
        <w:rPr>
          <w:rFonts w:ascii="宋体" w:eastAsia="宋体" w:hAnsi="宋体" w:cs="Times New Roman" w:hint="eastAsia"/>
          <w:sz w:val="30"/>
          <w:szCs w:val="30"/>
        </w:rPr>
        <w:t>偏离表；</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实施方案</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技术保障</w:t>
      </w:r>
      <w:r>
        <w:rPr>
          <w:rFonts w:ascii="宋体" w:eastAsia="宋体" w:hAnsi="宋体" w:cs="Times New Roman" w:hint="eastAsia"/>
          <w:sz w:val="30"/>
          <w:szCs w:val="30"/>
          <w:lang w:val="en-US" w:eastAsia="zh-CN"/>
        </w:rPr>
        <w:t>方案</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售后服务</w:t>
      </w:r>
      <w:r>
        <w:rPr>
          <w:rFonts w:ascii="宋体" w:eastAsia="宋体" w:hAnsi="宋体" w:cs="Times New Roman" w:hint="eastAsia"/>
          <w:sz w:val="30"/>
          <w:szCs w:val="30"/>
          <w:lang w:val="en-US" w:eastAsia="zh-CN"/>
        </w:rPr>
        <w:t>方案；</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val="en-US" w:eastAsia="zh-CN"/>
        </w:rPr>
        <w:t>“</w:t>
      </w:r>
      <w:r>
        <w:rPr>
          <w:rFonts w:ascii="宋体" w:eastAsia="宋体" w:hAnsi="宋体" w:cs="Times New Roman" w:hint="eastAsia"/>
          <w:sz w:val="30"/>
          <w:szCs w:val="30"/>
        </w:rPr>
        <w:t>AI算力服务器</w:t>
      </w:r>
      <w:r>
        <w:rPr>
          <w:rFonts w:ascii="宋体" w:eastAsia="宋体" w:hAnsi="宋体" w:cs="Times New Roman" w:hint="eastAsia"/>
          <w:sz w:val="30"/>
          <w:szCs w:val="30"/>
          <w:lang w:val="en-US" w:eastAsia="zh-CN"/>
        </w:rPr>
        <w:t>”检测报告；</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校级管理平台</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实验信息采集终端</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终端理科虚拟仿真实验</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pPr>
        <w:rPr>
          <w:rFonts w:ascii="宋体" w:hAnsi="宋体"/>
          <w:b/>
          <w:sz w:val="18"/>
          <w:szCs w:val="18"/>
        </w:rPr>
      </w:pPr>
      <w:bookmarkStart w:id="17" w:name="_Hlk72257771"/>
      <w:r>
        <w:rPr>
          <w:rFonts w:ascii="宋体" w:hAnsi="宋体" w:hint="eastAsia"/>
          <w:b/>
          <w:sz w:val="18"/>
          <w:szCs w:val="18"/>
        </w:rPr>
        <w:t>备注：</w:t>
      </w:r>
    </w:p>
    <w:p>
      <w:pPr>
        <w:snapToGrid w:val="0"/>
        <w:spacing w:after="78" w:afterLines="25"/>
        <w:ind w:firstLine="420" w:firstLineChars="200"/>
        <w:rPr>
          <w:rFonts w:ascii="宋体" w:hAnsi="宋体"/>
          <w:b/>
          <w:sz w:val="18"/>
          <w:szCs w:val="18"/>
        </w:rPr>
      </w:pPr>
      <w:r>
        <w:rPr>
          <w:rFonts w:ascii="宋体" w:hAnsi="宋体" w:hint="eastAsia"/>
          <w:b/>
          <w:sz w:val="18"/>
          <w:szCs w:val="1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8" w:name="_Hlk72263559"/>
      <w:r>
        <w:rPr>
          <w:rFonts w:ascii="宋体" w:hAnsi="宋体" w:hint="eastAsia"/>
          <w:b/>
          <w:sz w:val="18"/>
          <w:szCs w:val="18"/>
        </w:rPr>
        <w:t>2.关于填写“开标一览表”的说明：“开标一览表”中除“投标总价”外，其他信息不作评审依据。</w:t>
      </w:r>
      <w:bookmarkEnd w:id="17"/>
      <w:bookmarkEnd w:id="18"/>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19"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w:t>
      </w:r>
      <w:r>
        <w:rPr>
          <w:rFonts w:ascii="Arial" w:eastAsia="宋体" w:hAnsi="Arial" w:cs="Arial" w:hint="eastAsia"/>
          <w:szCs w:val="21"/>
          <w:u w:val="single"/>
          <w:lang w:eastAsia="zh-CN"/>
        </w:rPr>
        <w:t>BACG2024000097</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宝安区孝德学校理科实验考试设备采购项目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rPr>
        <w:t>愿意按照招标文件要求承包上述项目并修补其任何缺陷。</w:t>
      </w:r>
      <w:bookmarkEnd w:id="20"/>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19"/>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pPr>
        <w:snapToGrid w:val="0"/>
        <w:spacing w:line="360" w:lineRule="auto"/>
        <w:rPr>
          <w:rFonts w:ascii="Arial" w:eastAsia="宋体" w:hAnsi="Arial" w:cs="Arial" w:hint="eastAsia"/>
          <w:szCs w:val="21"/>
          <w:u w:val="single"/>
        </w:rPr>
      </w:pPr>
      <w:r>
        <w:rPr>
          <w:rFonts w:ascii="Arial" w:eastAsia="宋体" w:hAnsi="Arial" w:cs="Arial" w:hint="eastAsia"/>
          <w:szCs w:val="21"/>
        </w:rPr>
        <w:t>法定代表人（负责人）或其</w:t>
      </w:r>
      <w:r>
        <w:rPr>
          <w:rFonts w:ascii="Arial" w:eastAsia="宋体" w:hAnsi="Arial" w:cs="Arial" w:hint="eastAsia"/>
          <w:szCs w:val="21"/>
          <w:lang w:val="en-US" w:eastAsia="zh-CN"/>
        </w:rPr>
        <w:t>授权委托</w:t>
      </w:r>
      <w:r>
        <w:rPr>
          <w:rFonts w:ascii="Arial" w:eastAsia="宋体" w:hAnsi="Arial" w:cs="Arial" w:hint="eastAsia"/>
          <w:szCs w:val="21"/>
        </w:rPr>
        <w:t>代理人：</w:t>
      </w:r>
      <w:r>
        <w:rPr>
          <w:rFonts w:ascii="Arial" w:eastAsia="宋体" w:hAnsi="Arial" w:cs="Arial" w:hint="eastAsia"/>
          <w:szCs w:val="21"/>
          <w:u w:val="single"/>
        </w:rPr>
        <w:t xml:space="preserve">           </w:t>
      </w:r>
    </w:p>
    <w:p>
      <w:pPr>
        <w:pStyle w:val="BodyText"/>
        <w:rPr>
          <w:rFonts w:ascii="Arial" w:eastAsia="宋体" w:hAnsi="Arial" w:cs="Arial" w:hint="default"/>
          <w:b w:val="0"/>
          <w:bCs w:val="0"/>
          <w:szCs w:val="21"/>
          <w:u w:val="single"/>
          <w:lang w:val="en-US" w:eastAsia="zh-CN"/>
        </w:rPr>
      </w:pPr>
      <w:r>
        <w:rPr>
          <w:rFonts w:ascii="Arial" w:eastAsia="宋体" w:hAnsi="Arial" w:cs="Arial" w:hint="eastAsia"/>
          <w:b w:val="0"/>
          <w:bCs w:val="0"/>
          <w:szCs w:val="21"/>
          <w:u w:val="none"/>
          <w:lang w:val="en-US" w:eastAsia="zh-CN"/>
        </w:rPr>
        <w:t>开户银行名称：</w:t>
      </w:r>
      <w:r>
        <w:rPr>
          <w:rFonts w:ascii="Arial" w:eastAsia="宋体" w:hAnsi="Arial" w:cs="Arial" w:hint="eastAsia"/>
          <w:szCs w:val="21"/>
          <w:u w:val="single"/>
        </w:rPr>
        <w:t xml:space="preserve">           </w:t>
      </w:r>
    </w:p>
    <w:p>
      <w:pPr>
        <w:pStyle w:val="BodyText2"/>
        <w:rPr>
          <w:rFonts w:hint="default"/>
          <w:b w:val="0"/>
          <w:bCs w:val="0"/>
          <w:u w:val="single"/>
          <w:lang w:val="en-US" w:eastAsia="zh-CN"/>
        </w:rPr>
      </w:pPr>
      <w:r>
        <w:rPr>
          <w:rFonts w:ascii="Arial" w:eastAsia="宋体" w:hAnsi="Arial" w:cs="Arial" w:hint="eastAsia"/>
          <w:b w:val="0"/>
          <w:bCs w:val="0"/>
          <w:szCs w:val="21"/>
          <w:u w:val="none"/>
          <w:lang w:val="en-US" w:eastAsia="zh-CN"/>
        </w:rPr>
        <w:t>开户银行账号：</w:t>
      </w:r>
      <w:r>
        <w:rPr>
          <w:rFonts w:ascii="Arial" w:eastAsia="宋体" w:hAnsi="Arial" w:cs="Arial" w:hint="eastAsia"/>
          <w:b w:val="0"/>
          <w:bCs w:val="0"/>
          <w:szCs w:val="21"/>
          <w:u w:val="single"/>
          <w:lang w:val="en-US" w:eastAsia="zh-CN"/>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pPr>
        <w:snapToGrid w:val="0"/>
        <w:spacing w:line="360" w:lineRule="auto"/>
        <w:rPr>
          <w:rFonts w:ascii="Arial" w:eastAsia="宋体" w:hAnsi="Arial" w:cs="Arial"/>
          <w:szCs w:val="21"/>
        </w:rPr>
      </w:pP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pPr>
        <w:widowControl/>
        <w:snapToGrid w:val="0"/>
        <w:spacing w:line="360" w:lineRule="auto"/>
        <w:jc w:val="left"/>
        <w:rPr>
          <w:rFonts w:ascii="Arial" w:eastAsia="宋体" w:hAnsi="Arial" w:cs="Times New Roman"/>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rPr>
        <w:t>（财办库〔2023〕7号）要求。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hint="eastAsia"/>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 xml:space="preserve">                </w:t>
      </w:r>
    </w:p>
    <w:p>
      <w:pPr>
        <w:ind w:firstLine="420" w:firstLineChars="200"/>
        <w:rPr>
          <w:rFonts w:ascii="宋体" w:eastAsia="宋体" w:hAnsi="宋体" w:cs="Times New Roman" w:hint="eastAsia"/>
          <w:szCs w:val="21"/>
        </w:rPr>
      </w:pPr>
      <w:r>
        <w:rPr>
          <w:rFonts w:ascii="宋体" w:eastAsia="宋体" w:hAnsi="宋体" w:cs="Times New Roman" w:hint="eastAsia"/>
          <w:szCs w:val="21"/>
        </w:rPr>
        <w:t xml:space="preserve">                                  </w:t>
      </w:r>
      <w:r>
        <w:rPr>
          <w:rFonts w:ascii="宋体" w:eastAsia="宋体" w:hAnsi="宋体" w:cs="Times New Roman" w:hint="eastAsia"/>
          <w:szCs w:val="21"/>
          <w:lang w:val="en-US" w:eastAsia="zh-CN"/>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w:t>
            </w:r>
            <w:r>
              <w:rPr>
                <w:rFonts w:ascii="Arial" w:eastAsia="宋体" w:hAnsi="Arial" w:cs="Times New Roman" w:hint="eastAsia"/>
                <w:szCs w:val="24"/>
                <w:lang w:val="en-US" w:eastAsia="zh-CN"/>
              </w:rPr>
              <w:t>以上各项之和；</w:t>
            </w:r>
            <w:r>
              <w:rPr>
                <w:rFonts w:ascii="Arial" w:eastAsia="宋体" w:hAnsi="Arial" w:cs="Times New Roman" w:hint="eastAsia"/>
                <w:szCs w:val="24"/>
              </w:rPr>
              <w:t>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hint="eastAsia"/>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hint="eastAsia"/>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此类填写错误（所投货物为定制类的非量产货物但供应商却错误填报了品牌、型号）</w:t>
      </w:r>
      <w:r>
        <w:rPr>
          <w:rFonts w:asciiTheme="minorEastAsia" w:hAnsiTheme="minorEastAsia" w:cs="Times New Roman" w:hint="eastAsia"/>
          <w:b/>
          <w:szCs w:val="24"/>
          <w:lang w:val="en-US" w:eastAsia="zh-CN"/>
        </w:rPr>
        <w:t>可能</w:t>
      </w:r>
      <w:r>
        <w:rPr>
          <w:rFonts w:asciiTheme="minorEastAsia" w:hAnsiTheme="minorEastAsia" w:cs="Times New Roman" w:hint="eastAsia"/>
          <w:b/>
          <w:szCs w:val="24"/>
        </w:rPr>
        <w:t>的不利后果由供应商承担。</w:t>
      </w:r>
      <w:bookmarkEnd w:id="23"/>
    </w:p>
    <w:p>
      <w:pPr>
        <w:snapToGrid w:val="0"/>
        <w:rPr>
          <w:rFonts w:asciiTheme="minorEastAsia" w:hAnsiTheme="minorEastAsia" w:cs="Times New Roman" w:hint="eastAsia"/>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pPr>
        <w:snapToGrid w:val="0"/>
        <w:rPr>
          <w:rFonts w:asciiTheme="minorEastAsia" w:hAnsiTheme="minorEastAsia" w:cs="Times New Roman" w:hint="eastAsia"/>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hint="eastAsia"/>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hint="eastAsia"/>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hint="eastAsia"/>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hint="eastAsia"/>
          <w:b/>
          <w:bCs/>
          <w:szCs w:val="21"/>
        </w:rPr>
      </w:pPr>
      <w:r>
        <w:rPr>
          <w:rFonts w:hAnsi="宋体" w:hint="eastAsia"/>
          <w:b/>
          <w:bCs/>
          <w:szCs w:val="21"/>
        </w:rPr>
        <w:t>注：格式可以参照《（一）</w:t>
      </w:r>
      <w:r>
        <w:rPr>
          <w:rFonts w:hAnsi="宋体" w:hint="eastAsia"/>
          <w:b/>
          <w:bCs/>
          <w:szCs w:val="21"/>
          <w:lang w:val="en-US" w:eastAsia="zh-CN"/>
        </w:rPr>
        <w:t>项目</w:t>
      </w:r>
      <w:r>
        <w:rPr>
          <w:rFonts w:hAnsi="宋体" w:hint="eastAsia"/>
          <w:b/>
          <w:bCs/>
          <w:szCs w:val="21"/>
        </w:rPr>
        <w:t>报价表》表格，并提供相应的品牌/规格/型号、原产地、制造商信息（没有品牌、型号的，用“定制”描述即可）、单价等详细信息</w:t>
      </w:r>
    </w:p>
    <w:p>
      <w:pPr>
        <w:ind w:firstLine="420" w:firstLineChars="200"/>
        <w:rPr>
          <w:rFonts w:hAnsi="宋体" w:hint="eastAsia"/>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24"/>
          <w:szCs w:val="20"/>
          <w:lang w:val="en-US"/>
        </w:rPr>
      </w:pPr>
      <w:r>
        <w:rPr>
          <w:rFonts w:ascii="宋体" w:eastAsia="宋体" w:hAnsi="宋体" w:cs="Times New Roman" w:hint="eastAsia"/>
          <w:b/>
          <w:bCs/>
          <w:kern w:val="0"/>
          <w:sz w:val="24"/>
          <w:szCs w:val="20"/>
        </w:rPr>
        <w:t>4.</w:t>
      </w:r>
      <w:r>
        <w:rPr>
          <w:rFonts w:ascii="宋体" w:eastAsia="宋体" w:hAnsi="宋体" w:cs="Times New Roman" w:hint="eastAsia"/>
          <w:b/>
          <w:bCs/>
          <w:kern w:val="0"/>
          <w:sz w:val="24"/>
          <w:szCs w:val="20"/>
          <w:lang w:val="en-US" w:eastAsia="zh-CN"/>
        </w:rPr>
        <w:t>中小企业相关声明函</w:t>
      </w:r>
    </w:p>
    <w:p>
      <w:pPr>
        <w:snapToGrid w:val="0"/>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(3)《统计上大中小微型企业划分办法(2017)》（国统字〔2017〕213 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(4)《关于促进残疾人就业政府采购政策的通知》（财库〔2017〕141号）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第三处，在“标的名称”下划线处填写所采购货物（标的）的具体名称</w:t>
      </w:r>
      <w:r>
        <w:rPr>
          <w:rFonts w:ascii="黑体" w:eastAsia="黑体" w:hAnsi="黑体" w:cs="黑体" w:hint="eastAsia"/>
          <w:b w:val="0"/>
          <w:bCs/>
          <w:color w:val="0000FF"/>
          <w:sz w:val="25"/>
          <w:szCs w:val="25"/>
        </w:rPr>
        <w:t>（以招标文件第一册第三章用户需求书“货物</w:t>
      </w:r>
      <w:r>
        <w:rPr>
          <w:rFonts w:ascii="黑体" w:eastAsia="黑体" w:hAnsi="黑体" w:cs="黑体" w:hint="eastAsia"/>
          <w:b w:val="0"/>
          <w:bCs/>
          <w:color w:val="0000FF"/>
          <w:sz w:val="25"/>
          <w:szCs w:val="25"/>
          <w:lang w:val="en-US" w:eastAsia="zh-CN"/>
        </w:rPr>
        <w:t>需求</w:t>
      </w:r>
      <w:r>
        <w:rPr>
          <w:rFonts w:ascii="黑体" w:eastAsia="黑体" w:hAnsi="黑体" w:cs="黑体" w:hint="eastAsia"/>
          <w:b w:val="0"/>
          <w:bCs/>
          <w:color w:val="0000FF"/>
          <w:sz w:val="25"/>
          <w:szCs w:val="25"/>
        </w:rPr>
        <w:t>明细”的“货物名称”一栏为准）</w:t>
      </w:r>
      <w:r>
        <w:rPr>
          <w:rFonts w:ascii="黑体" w:eastAsia="黑体" w:hAnsi="黑体" w:cs="黑体" w:hint="eastAsia"/>
          <w:b w:val="0"/>
          <w:bCs/>
          <w:color w:val="FF0000"/>
          <w:sz w:val="25"/>
          <w:szCs w:val="25"/>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rPr>
        <w:t>（所属行业</w:t>
      </w:r>
      <w:r>
        <w:rPr>
          <w:rFonts w:ascii="黑体" w:eastAsia="黑体" w:hAnsi="黑体" w:cs="黑体" w:hint="eastAsia"/>
          <w:b w:val="0"/>
          <w:bCs w:val="0"/>
          <w:color w:val="0000FF"/>
          <w:sz w:val="25"/>
          <w:szCs w:val="25"/>
          <w:lang w:val="en-US" w:eastAsia="zh-CN"/>
        </w:rPr>
        <w:t>详见</w:t>
      </w:r>
      <w:r>
        <w:rPr>
          <w:rFonts w:ascii="黑体" w:eastAsia="黑体" w:hAnsi="黑体" w:cs="黑体" w:hint="eastAsia"/>
          <w:b w:val="0"/>
          <w:bCs w:val="0"/>
          <w:color w:val="0000FF"/>
          <w:sz w:val="25"/>
          <w:szCs w:val="25"/>
        </w:rPr>
        <w:t>招标文件第一册第二章“对通用条款的补充内容及其他关键信息”章节</w:t>
      </w:r>
      <w:r>
        <w:rPr>
          <w:rFonts w:ascii="黑体" w:eastAsia="黑体" w:hAnsi="黑体" w:cs="黑体" w:hint="eastAsia"/>
          <w:b w:val="0"/>
          <w:bCs w:val="0"/>
          <w:color w:val="0000FF"/>
          <w:sz w:val="25"/>
          <w:szCs w:val="25"/>
          <w:lang w:val="en-US" w:eastAsia="zh-CN"/>
        </w:rPr>
        <w:t>或</w:t>
      </w:r>
      <w:r>
        <w:rPr>
          <w:rFonts w:ascii="黑体" w:eastAsia="黑体" w:hAnsi="黑体" w:cs="黑体" w:hint="eastAsia"/>
          <w:b w:val="0"/>
          <w:bCs w:val="0"/>
          <w:color w:val="0000FF"/>
          <w:sz w:val="25"/>
          <w:szCs w:val="25"/>
        </w:rPr>
        <w:t>第三章用户需求书“</w:t>
      </w:r>
      <w:r>
        <w:rPr>
          <w:rFonts w:ascii="黑体" w:eastAsia="黑体" w:hAnsi="黑体" w:cs="黑体" w:hint="eastAsia"/>
          <w:b w:val="0"/>
          <w:bCs w:val="0"/>
          <w:color w:val="0000FF"/>
          <w:sz w:val="25"/>
          <w:szCs w:val="25"/>
          <w:lang w:val="en-US" w:eastAsia="zh-CN"/>
        </w:rPr>
        <w:t>货物需求</w:t>
      </w:r>
      <w:r>
        <w:rPr>
          <w:rFonts w:ascii="黑体" w:eastAsia="黑体" w:hAnsi="黑体" w:cs="黑体" w:hint="eastAsia"/>
          <w:b w:val="0"/>
          <w:bCs w:val="0"/>
          <w:color w:val="0000FF"/>
          <w:sz w:val="25"/>
          <w:szCs w:val="25"/>
        </w:rPr>
        <w:t>明细”</w:t>
      </w:r>
      <w:r>
        <w:rPr>
          <w:rFonts w:ascii="黑体" w:eastAsia="黑体" w:hAnsi="黑体" w:cs="黑体" w:hint="eastAsia"/>
          <w:b w:val="0"/>
          <w:bCs w:val="0"/>
          <w:color w:val="0000FF"/>
          <w:sz w:val="25"/>
          <w:szCs w:val="25"/>
          <w:lang w:val="en-US" w:eastAsia="zh-CN"/>
        </w:rPr>
        <w:t>中的所属行业信息</w:t>
      </w:r>
      <w:r>
        <w:rPr>
          <w:rFonts w:ascii="黑体" w:eastAsia="黑体" w:hAnsi="黑体" w:cs="黑体" w:hint="eastAsia"/>
          <w:b w:val="0"/>
          <w:bCs w:val="0"/>
          <w:color w:val="0000FF"/>
          <w:sz w:val="25"/>
          <w:szCs w:val="25"/>
        </w:rPr>
        <w:t>）</w:t>
      </w:r>
      <w:r>
        <w:rPr>
          <w:rFonts w:ascii="黑体" w:eastAsia="黑体" w:hAnsi="黑体" w:cs="黑体" w:hint="eastAsia"/>
          <w:b w:val="0"/>
          <w:bCs/>
          <w:color w:val="FF0000"/>
          <w:sz w:val="25"/>
          <w:szCs w:val="25"/>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5"/>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6"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6"/>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highlight w:val="none"/>
        </w:rPr>
      </w:pPr>
      <w:r>
        <w:rPr>
          <w:highlight w:val="none"/>
        </w:rPr>
        <w:br w:type="page"/>
      </w:r>
      <w:r>
        <w:rPr>
          <w:rFonts w:ascii="宋体" w:eastAsia="宋体" w:hAnsi="宋体" w:cs="Times New Roman" w:hint="eastAsia"/>
          <w:b/>
          <w:sz w:val="24"/>
          <w:szCs w:val="24"/>
          <w:highlight w:val="none"/>
        </w:rPr>
        <w:t>③</w:t>
      </w:r>
      <w:r>
        <w:rPr>
          <w:rFonts w:ascii="Arial" w:eastAsia="宋体" w:hAnsi="Arial" w:cs="Times New Roman" w:hint="eastAsia"/>
          <w:b/>
          <w:sz w:val="24"/>
          <w:szCs w:val="24"/>
          <w:highlight w:val="none"/>
        </w:rPr>
        <w:t>监狱企业声明函（货物）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本投标人郑重声明，根据《财政部司法部关于政府采购支持监狱企业发展有关问题的通知》（财库〔</w:t>
      </w:r>
      <w:r>
        <w:rPr>
          <w:rFonts w:ascii="Arial" w:eastAsia="宋体" w:hAnsi="Arial" w:cs="Times New Roman"/>
          <w:szCs w:val="21"/>
          <w:highlight w:val="none"/>
        </w:rPr>
        <w:t>2014</w:t>
      </w:r>
      <w:r>
        <w:rPr>
          <w:rFonts w:ascii="Arial" w:eastAsia="宋体" w:hAnsi="Arial" w:cs="Times New Roman" w:hint="eastAsia"/>
          <w:szCs w:val="21"/>
          <w:highlight w:val="none"/>
        </w:rPr>
        <w:t>〕</w:t>
      </w:r>
      <w:r>
        <w:rPr>
          <w:rFonts w:ascii="Arial" w:eastAsia="宋体" w:hAnsi="Arial" w:cs="Times New Roman"/>
          <w:szCs w:val="21"/>
          <w:highlight w:val="none"/>
        </w:rPr>
        <w:t>68</w:t>
      </w:r>
      <w:r>
        <w:rPr>
          <w:rFonts w:ascii="Arial" w:eastAsia="宋体" w:hAnsi="Arial" w:cs="Times New Roman" w:hint="eastAsia"/>
          <w:szCs w:val="21"/>
          <w:highlight w:val="none"/>
        </w:rPr>
        <w:t>号）的规定，本投标人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w:t>
      </w:r>
      <w:r>
        <w:rPr>
          <w:rFonts w:ascii="Arial" w:eastAsia="宋体" w:hAnsi="Arial" w:cs="Times New Roman" w:hint="eastAsia"/>
          <w:szCs w:val="21"/>
          <w:highlight w:val="none"/>
        </w:rPr>
        <w:t>监狱企业</w:t>
      </w:r>
      <w:r>
        <w:rPr>
          <w:rFonts w:ascii="Arial" w:eastAsia="宋体" w:hAnsi="Arial" w:cs="Times New Roman"/>
          <w:szCs w:val="21"/>
          <w:highlight w:val="none"/>
        </w:rPr>
        <w:t>制造。相关</w:t>
      </w:r>
      <w:r>
        <w:rPr>
          <w:rFonts w:ascii="Arial" w:eastAsia="宋体" w:hAnsi="Arial" w:cs="Times New Roman" w:hint="eastAsia"/>
          <w:szCs w:val="21"/>
          <w:highlight w:val="none"/>
        </w:rPr>
        <w:t>监狱企业</w:t>
      </w:r>
      <w:r>
        <w:rPr>
          <w:rFonts w:ascii="Arial" w:eastAsia="宋体" w:hAnsi="Arial" w:cs="Times New Roman"/>
          <w:szCs w:val="21"/>
          <w:highlight w:val="none"/>
        </w:rPr>
        <w:t>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r>
        <w:rPr>
          <w:rFonts w:ascii="Arial" w:eastAsia="宋体" w:hAnsi="Arial" w:cs="Times New Roman" w:hint="eastAsia"/>
          <w:b/>
          <w:color w:val="FF0000"/>
          <w:szCs w:val="21"/>
          <w:highlight w:val="none"/>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highlight w:val="none"/>
        </w:rPr>
        <w:t xml:space="preserve">日期：  </w:t>
      </w:r>
      <w:r>
        <w:rPr>
          <w:rFonts w:ascii="Arial" w:eastAsia="宋体" w:hAnsi="Arial" w:cs="Times New Roman" w:hint="eastAsia"/>
          <w:szCs w:val="21"/>
        </w:rPr>
        <w:t xml:space="preserve">   </w:t>
      </w:r>
    </w:p>
    <w:p>
      <w:pPr>
        <w:widowControl/>
        <w:jc w:val="left"/>
        <w:rPr>
          <w:rFonts w:ascii="Arial" w:eastAsia="宋体" w:hAnsi="Arial" w:cs="Times New Roman" w:hint="eastAsia"/>
          <w:b/>
          <w:sz w:val="24"/>
          <w:szCs w:val="24"/>
        </w:rPr>
      </w:pPr>
      <w:r>
        <w:br w:type="page"/>
      </w: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hint="eastAsia"/>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widowControl/>
        <w:jc w:val="left"/>
        <w:rPr>
          <w:rFonts w:ascii="Arial" w:eastAsia="宋体" w:hAnsi="Arial" w:cs="Times New Roman"/>
          <w:szCs w:val="24"/>
        </w:rPr>
      </w:pPr>
      <w:r>
        <w:br w:type="page"/>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3"/>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w:t>
      </w:r>
      <w:r>
        <w:rPr>
          <w:rFonts w:ascii="宋体" w:eastAsia="宋体" w:hAnsi="宋体" w:cs="Times New Roman" w:hint="eastAsia"/>
          <w:b/>
          <w:bCs/>
          <w:kern w:val="0"/>
          <w:sz w:val="24"/>
          <w:szCs w:val="20"/>
          <w:lang w:val="en-US" w:eastAsia="zh-CN"/>
        </w:rPr>
        <w:t>要求</w:t>
      </w:r>
      <w:r>
        <w:rPr>
          <w:rFonts w:ascii="宋体" w:eastAsia="宋体" w:hAnsi="宋体" w:cs="Times New Roman" w:hint="eastAsia"/>
          <w:b/>
          <w:bCs/>
          <w:kern w:val="0"/>
          <w:sz w:val="24"/>
          <w:szCs w:val="20"/>
        </w:rPr>
        <w:t>偏离表</w:t>
      </w: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val="en-US" w:eastAsia="zh-CN"/>
              </w:rPr>
            </w:pPr>
            <w:r>
              <w:rPr>
                <w:rFonts w:asciiTheme="minorEastAsia" w:hAnsiTheme="minorEastAsia" w:cs="Times New Roman" w:hint="eastAsia"/>
                <w:sz w:val="24"/>
                <w:szCs w:val="24"/>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eastAsia="zh-CN"/>
              </w:rPr>
            </w:pPr>
            <w:r>
              <w:rPr>
                <w:rFonts w:asciiTheme="minorEastAsia" w:hAnsiTheme="minorEastAsia" w:cs="Times New Roman" w:hint="eastAsia"/>
                <w:sz w:val="24"/>
                <w:szCs w:val="24"/>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hint="eastAsia"/>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7" w:name="_Hlk72094407"/>
      <w:r>
        <w:rPr>
          <w:rFonts w:hint="eastAsia"/>
          <w:b/>
          <w:sz w:val="24"/>
        </w:rPr>
        <w:t>对应“用户需求书”中的“技术要求</w:t>
      </w:r>
      <w:r>
        <w:rPr>
          <w:rFonts w:hint="eastAsia"/>
          <w:b/>
          <w:sz w:val="24"/>
          <w:lang w:val="en-US" w:eastAsia="zh-CN"/>
        </w:rPr>
        <w:t>部分</w:t>
      </w:r>
      <w:r>
        <w:rPr>
          <w:rFonts w:hint="eastAsia"/>
          <w:b/>
          <w:sz w:val="24"/>
        </w:rPr>
        <w:t>”章节</w:t>
      </w:r>
      <w:bookmarkEnd w:id="27"/>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8" w:name="_Hlk72096106"/>
      <w:r>
        <w:rPr>
          <w:rFonts w:hint="eastAsia"/>
          <w:b/>
          <w:sz w:val="24"/>
        </w:rPr>
        <w:t>证明资料条款响应要求</w:t>
      </w:r>
      <w:bookmarkEnd w:id="28"/>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lang w:eastAsia="zh-CN"/>
        </w:rPr>
        <w:t>，</w:t>
      </w:r>
      <w:r>
        <w:rPr>
          <w:rFonts w:hint="eastAsia"/>
          <w:b/>
          <w:sz w:val="24"/>
        </w:rPr>
        <w:t>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pPr>
        <w:ind w:firstLine="420" w:firstLineChars="200"/>
        <w:rPr>
          <w:rFonts w:hint="eastAsia"/>
          <w:b/>
          <w:sz w:val="24"/>
        </w:rPr>
      </w:pPr>
      <w:r>
        <w:rPr>
          <w:rFonts w:hint="eastAsia"/>
          <w:b/>
          <w:sz w:val="24"/>
          <w:lang w:val="en-US" w:eastAsia="zh-CN"/>
        </w:rPr>
        <w:t>6、</w:t>
      </w:r>
      <w:r>
        <w:rPr>
          <w:rFonts w:hint="eastAsia"/>
          <w:b/>
          <w:sz w:val="24"/>
        </w:rPr>
        <w:t>评审委员会有权对投标人是否存在虚假响应予以认定，并视情况经</w:t>
      </w:r>
      <w:r>
        <w:rPr>
          <w:rFonts w:hint="eastAsia"/>
          <w:b/>
          <w:sz w:val="24"/>
          <w:lang w:val="en-US" w:eastAsia="zh-CN"/>
        </w:rPr>
        <w:t>招标</w:t>
      </w:r>
      <w:r>
        <w:rPr>
          <w:rFonts w:hint="eastAsia"/>
          <w:b/>
          <w:sz w:val="24"/>
        </w:rPr>
        <w:t>机构报主管部门进行处理；</w:t>
      </w:r>
    </w:p>
    <w:p>
      <w:pPr>
        <w:ind w:firstLine="420" w:firstLineChars="200"/>
        <w:rPr>
          <w:rFonts w:hint="eastAsia"/>
          <w:b/>
          <w:sz w:val="24"/>
        </w:rPr>
      </w:pPr>
      <w:r>
        <w:rPr>
          <w:rFonts w:hint="eastAsia"/>
          <w:b/>
          <w:sz w:val="24"/>
          <w:lang w:val="en-US" w:eastAsia="zh-CN"/>
        </w:rPr>
        <w:t>7、</w:t>
      </w:r>
      <w:r>
        <w:rPr>
          <w:rFonts w:hint="eastAsia"/>
          <w:b/>
          <w:sz w:val="24"/>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rPr>
      </w:pPr>
      <w:r>
        <w:br w:type="page"/>
      </w:r>
      <w:r>
        <w:rPr>
          <w:rFonts w:ascii="宋体" w:eastAsia="宋体" w:hAnsi="宋体" w:cs="Times New Roman" w:hint="eastAsia"/>
          <w:b/>
          <w:bCs/>
          <w:kern w:val="0"/>
          <w:sz w:val="24"/>
          <w:szCs w:val="20"/>
          <w:lang w:val="en-US" w:eastAsia="zh-CN"/>
        </w:rPr>
        <w:t>5.</w:t>
      </w:r>
      <w:r>
        <w:rPr>
          <w:rFonts w:ascii="宋体" w:eastAsia="宋体" w:hAnsi="宋体" w:cs="Times New Roman" w:hint="eastAsia"/>
          <w:b/>
          <w:bCs/>
          <w:kern w:val="0"/>
          <w:sz w:val="24"/>
          <w:szCs w:val="20"/>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highlight w:val="none"/>
        </w:rPr>
        <w:t>2.投标供应商负责人或投标授权代表签字</w:t>
      </w:r>
      <w:r>
        <w:rPr>
          <w:rFonts w:ascii="宋体" w:hAnsi="宋体" w:eastAsiaTheme="minorEastAsia" w:hint="eastAsia"/>
          <w:b/>
          <w:bCs/>
          <w:color w:val="FF0000"/>
          <w:spacing w:val="-4"/>
          <w:kern w:val="0"/>
          <w:szCs w:val="21"/>
          <w:highlight w:val="none"/>
          <w:u w:val="single"/>
        </w:rPr>
        <w:t>并加盖单位公章</w:t>
      </w:r>
      <w:r>
        <w:rPr>
          <w:rFonts w:ascii="宋体" w:hAnsi="宋体" w:eastAsiaTheme="minorEastAsia" w:hint="eastAsia"/>
          <w:b/>
          <w:bCs/>
          <w:color w:val="FF0000"/>
          <w:spacing w:val="-4"/>
          <w:kern w:val="0"/>
          <w:szCs w:val="21"/>
          <w:highlight w:val="none"/>
        </w:rPr>
        <w:t>后，扫描上传</w:t>
      </w:r>
      <w:r>
        <w:rPr>
          <w:rFonts w:ascii="宋体" w:hAnsi="宋体" w:eastAsiaTheme="minorEastAsia" w:hint="eastAsia"/>
          <w:b/>
          <w:bCs/>
          <w:color w:val="FF0000"/>
          <w:spacing w:val="-4"/>
          <w:kern w:val="0"/>
          <w:szCs w:val="21"/>
        </w:rPr>
        <w:t>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pPr>
        <w:snapToGrid w:val="0"/>
        <w:spacing w:line="300" w:lineRule="auto"/>
        <w:jc w:val="center"/>
        <w:rPr>
          <w:rFonts w:ascii="仿宋" w:eastAsia="仿宋" w:hAnsi="仿宋" w:cs="Times New Roman"/>
          <w:sz w:val="28"/>
          <w:szCs w:val="28"/>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甲方：</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bookmarkStart w:id="32" w:name="_Hlk75014453"/>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szCs w:val="21"/>
        </w:rPr>
        <w:t>联系电话：</w:t>
      </w:r>
      <w:bookmarkEnd w:id="32"/>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联系电话：</w:t>
      </w:r>
      <w:r>
        <w:rPr>
          <w:rFonts w:ascii="宋体" w:hAnsi="宋体" w:hint="eastAsia"/>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bookmarkStart w:id="33" w:name="_Hlk72574434"/>
      <w:r>
        <w:rPr>
          <w:rFonts w:hint="eastAsia"/>
          <w:szCs w:val="21"/>
        </w:rPr>
        <w:t>根据深圳公共资源交易中心（深圳交易集团有限公司*</w:t>
      </w:r>
      <w:r>
        <w:rPr>
          <w:szCs w:val="21"/>
        </w:rPr>
        <w:t>**</w:t>
      </w:r>
      <w:r>
        <w:rPr>
          <w:rFonts w:hint="eastAsia"/>
          <w:szCs w:val="21"/>
        </w:rPr>
        <w:t>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3"/>
      <w:r>
        <w:rPr>
          <w:rFonts w:hint="eastAsia"/>
          <w:szCs w:val="21"/>
        </w:rPr>
        <w:t>按照《中华人民共和国民法典》（第三编 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第一条  合同标的</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乙方根据甲方需求提供下列货物：</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货物名称、规格及数量详见</w:t>
      </w:r>
      <w:r>
        <w:rPr>
          <w:rFonts w:hint="eastAsia"/>
          <w:b/>
          <w:szCs w:val="21"/>
          <w:u w:val="single"/>
        </w:rPr>
        <w:t xml:space="preserve">                  </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第二条  合同价款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 xml:space="preserve"> 履行期限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outlineLvl w:val="9"/>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权利保证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第五条  质量保证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第六条  交货和验收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第七条  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第八条 保密条款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1</w:t>
      </w:r>
      <w:r>
        <w:rPr>
          <w:rFonts w:hint="eastAsia"/>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b/>
        </w:rPr>
      </w:pPr>
      <w:r>
        <w:t>3</w:t>
      </w:r>
      <w:r>
        <w:rPr>
          <w:rFonts w:hint="eastAsia"/>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第九条  履约保证金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3、甲方在乙方履行完毕本合同项下全部义务后______天内无息退还乙方。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第十条  货款支付</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pPr>
      <w:r>
        <w:rPr>
          <w:rFonts w:hint="eastAsia"/>
        </w:rPr>
        <w:t xml:space="preserve">   </w:t>
      </w:r>
      <w:r>
        <w:rPr>
          <w:b/>
          <w:szCs w:val="21"/>
          <w:u w:val="single"/>
        </w:rPr>
        <w:t xml:space="preserve">   </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第十一条 违约责任</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6.</w:t>
      </w:r>
      <w:bookmarkStart w:id="3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4"/>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7、</w:t>
      </w:r>
      <w:bookmarkStart w:id="3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5"/>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二</w:t>
      </w:r>
      <w:r>
        <w:rPr>
          <w:rFonts w:hint="eastAsia"/>
          <w:b/>
          <w:szCs w:val="21"/>
        </w:rPr>
        <w:t>条    合同的变更和终止</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除</w:t>
      </w:r>
      <w:bookmarkStart w:id="36" w:name="_Hlk75015119"/>
      <w:r>
        <w:rPr>
          <w:rFonts w:ascii="宋体" w:hAnsi="宋体" w:hint="eastAsia"/>
          <w:szCs w:val="21"/>
        </w:rPr>
        <w:t>《深圳经济特区政府采购条例》第40条、</w:t>
      </w:r>
      <w:bookmarkEnd w:id="36"/>
      <w:r>
        <w:rPr>
          <w:rFonts w:ascii="宋体" w:hAnsi="宋体" w:hint="eastAsia"/>
          <w:szCs w:val="21"/>
        </w:rPr>
        <w:t>《中华人民共和国政府采购法》第50条第二款规定或者主管部门另有政策规定的情形外，本合同一经签订，甲乙双方不得擅自变更、中止或终止合同。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三</w:t>
      </w:r>
      <w:r>
        <w:rPr>
          <w:rFonts w:hint="eastAsia"/>
          <w:b/>
          <w:szCs w:val="21"/>
        </w:rPr>
        <w:t>条   争议的解决</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四</w:t>
      </w:r>
      <w:r>
        <w:rPr>
          <w:rFonts w:hint="eastAsia"/>
          <w:b/>
          <w:szCs w:val="21"/>
        </w:rPr>
        <w:t>条   合同生效及其他</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1、下列文件均为本合同的组成部分：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（2）乙方的投标文件；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委托代理人：                     委托代理人：</w:t>
      </w:r>
    </w:p>
    <w:p>
      <w:pPr>
        <w:keepNext w:val="0"/>
        <w:keepLines w:val="0"/>
        <w:pageBreakBefore w:val="0"/>
        <w:widowControl w:val="0"/>
        <w:kinsoku/>
        <w:wordWrap/>
        <w:overflowPunct/>
        <w:topLinePunct w:val="0"/>
        <w:autoSpaceDE/>
        <w:autoSpaceDN/>
        <w:bidi w:val="0"/>
        <w:adjustRightInd/>
        <w:snapToGrid/>
        <w:ind w:firstLine="525" w:firstLineChars="250"/>
        <w:textAlignment w:val="auto"/>
        <w:outlineLvl w:val="9"/>
        <w:rPr>
          <w:rFonts w:ascii="宋体" w:hAnsi="宋体"/>
          <w:b/>
          <w:szCs w:val="21"/>
        </w:rPr>
      </w:pPr>
      <w:r>
        <w:rPr>
          <w:rFonts w:ascii="宋体" w:hAnsi="宋体" w:hint="eastAsia"/>
          <w:szCs w:val="21"/>
        </w:rPr>
        <w:t>日期：   年     月    日         日期：   年     月    日</w:t>
      </w:r>
    </w:p>
    <w:p>
      <w:pPr>
        <w:widowControl/>
        <w:jc w:val="left"/>
        <w:rPr>
          <w:rFonts w:ascii="Arial" w:eastAsia="宋体" w:hAnsi="Arial" w:cs="Times New Roman"/>
          <w:color w:val="FF0000"/>
          <w:szCs w:val="24"/>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5"/>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7" w:name="_Hlk72399513"/>
      <w:r>
        <w:rPr>
          <w:rFonts w:asciiTheme="majorHAnsi" w:eastAsiaTheme="majorEastAsia" w:hAnsiTheme="majorHAnsi" w:cstheme="majorBidi" w:hint="eastAsia"/>
          <w:b/>
          <w:bCs/>
          <w:sz w:val="28"/>
          <w:szCs w:val="28"/>
        </w:rPr>
        <w:t>总则</w:t>
      </w:r>
      <w:bookmarkEnd w:id="37"/>
    </w:p>
    <w:p>
      <w:pPr>
        <w:rPr>
          <w:rFonts w:ascii="黑体" w:eastAsia="黑体" w:hAnsi="宋体"/>
          <w:sz w:val="24"/>
        </w:rPr>
      </w:pPr>
      <w:bookmarkStart w:id="38"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9" w:name="_Hlk72399729"/>
      <w:r>
        <w:rPr>
          <w:rFonts w:ascii="宋体" w:hAnsi="宋体" w:hint="eastAsia"/>
          <w:szCs w:val="21"/>
        </w:rPr>
        <w:t>如有需要，政府集中采购机构可以对通用条款的内容进行补充。</w:t>
      </w:r>
      <w:bookmarkEnd w:id="39"/>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0"/>
    </w:p>
    <w:p>
      <w:pPr>
        <w:ind w:firstLine="412" w:firstLineChars="196"/>
        <w:rPr>
          <w:rFonts w:ascii="宋体" w:hAnsi="宋体"/>
        </w:rPr>
      </w:pPr>
    </w:p>
    <w:p>
      <w:pPr>
        <w:pStyle w:val="Heading2"/>
        <w:numPr>
          <w:ilvl w:val="0"/>
          <w:numId w:val="5"/>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pPr>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4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3"/>
    </w:p>
    <w:p>
      <w:pPr>
        <w:rPr>
          <w:rFonts w:ascii="黑体" w:eastAsia="黑体" w:hAnsi="宋体"/>
          <w:sz w:val="24"/>
        </w:rPr>
      </w:pPr>
      <w:r>
        <w:rPr>
          <w:rFonts w:ascii="黑体" w:eastAsia="黑体" w:hAnsi="宋体" w:hint="eastAsia"/>
          <w:sz w:val="24"/>
        </w:rPr>
        <w:t>15．</w:t>
      </w:r>
      <w:bookmarkStart w:id="4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44"/>
    </w:p>
    <w:p>
      <w:pPr>
        <w:rPr>
          <w:rFonts w:ascii="黑体" w:eastAsia="黑体" w:hAnsi="宋体"/>
          <w:sz w:val="24"/>
        </w:rPr>
      </w:pPr>
      <w:r>
        <w:rPr>
          <w:rFonts w:ascii="黑体" w:eastAsia="黑体" w:hAnsi="宋体" w:hint="eastAsia"/>
          <w:sz w:val="24"/>
        </w:rPr>
        <w:t>18．</w:t>
      </w:r>
      <w:bookmarkStart w:id="4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5"/>
    </w:p>
    <w:p>
      <w:pPr>
        <w:rPr>
          <w:rFonts w:ascii="黑体" w:eastAsia="黑体" w:hAnsi="宋体"/>
          <w:sz w:val="24"/>
        </w:rPr>
      </w:pPr>
      <w:r>
        <w:rPr>
          <w:rFonts w:ascii="黑体" w:eastAsia="黑体" w:hAnsi="宋体" w:hint="eastAsia"/>
          <w:sz w:val="24"/>
        </w:rPr>
        <w:t>19．</w:t>
      </w:r>
      <w:bookmarkStart w:id="4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6"/>
    </w:p>
    <w:p>
      <w:pPr>
        <w:ind w:firstLine="412" w:firstLineChars="196"/>
        <w:rPr>
          <w:rFonts w:ascii="宋体" w:hAnsi="宋体"/>
          <w:szCs w:val="21"/>
        </w:rPr>
      </w:pPr>
      <w:bookmarkStart w:id="4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8"/>
    </w:p>
    <w:p>
      <w:pPr>
        <w:rPr>
          <w:rFonts w:ascii="黑体" w:eastAsia="黑体" w:hAnsi="宋体"/>
          <w:sz w:val="24"/>
        </w:rPr>
      </w:pPr>
      <w:r>
        <w:rPr>
          <w:rFonts w:ascii="黑体" w:eastAsia="黑体" w:hAnsi="宋体" w:hint="eastAsia"/>
          <w:sz w:val="24"/>
        </w:rPr>
        <w:t>21．</w:t>
      </w:r>
      <w:bookmarkStart w:id="4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pPr>
        <w:rPr>
          <w:rFonts w:ascii="黑体" w:eastAsia="黑体" w:hAnsi="宋体"/>
          <w:sz w:val="24"/>
        </w:rPr>
      </w:pPr>
      <w:r>
        <w:rPr>
          <w:rFonts w:ascii="黑体" w:eastAsia="黑体" w:hAnsi="宋体" w:hint="eastAsia"/>
          <w:sz w:val="24"/>
        </w:rPr>
        <w:t>23．</w:t>
      </w:r>
      <w:bookmarkStart w:id="5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0"/>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5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lang w:val="en-US" w:eastAsia="zh-CN"/>
        </w:rPr>
        <w:t>一</w:t>
      </w:r>
      <w:r>
        <w:rPr>
          <w:rFonts w:ascii="宋体" w:hAnsi="宋体" w:hint="eastAsia"/>
          <w:b/>
          <w:bCs/>
        </w:rPr>
        <w:t>楼</w:t>
      </w:r>
      <w:r>
        <w:rPr>
          <w:rFonts w:ascii="宋体" w:hAnsi="宋体" w:hint="eastAsia"/>
          <w:b/>
          <w:bCs/>
          <w:lang w:val="en-US" w:eastAsia="zh-CN"/>
        </w:rPr>
        <w:t>服务大厅</w:t>
      </w:r>
      <w:r>
        <w:rPr>
          <w:rFonts w:ascii="宋体" w:hAnsi="宋体" w:hint="eastAsia"/>
          <w:b/>
          <w:bCs/>
        </w:rPr>
        <w:t>（地址：</w:t>
      </w:r>
      <w:r>
        <w:rPr>
          <w:rFonts w:ascii="宋体" w:hAnsi="宋体" w:hint="eastAsia"/>
          <w:b/>
          <w:bCs/>
          <w:lang w:val="en-US" w:eastAsia="zh-CN"/>
        </w:rPr>
        <w:t>深圳市宝安区湖滨东路40号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51"/>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2"/>
    </w:p>
    <w:p>
      <w:pPr>
        <w:pStyle w:val="Heading2"/>
        <w:numPr>
          <w:ilvl w:val="0"/>
          <w:numId w:val="5"/>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5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5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5" w:name="_Toc73518151"/>
      <w:bookmarkStart w:id="56" w:name="_Toc100052400"/>
      <w:bookmarkStart w:id="57" w:name="_Toc73517673"/>
      <w:bookmarkStart w:id="58" w:name="_Toc73521669"/>
      <w:bookmarkStart w:id="59" w:name="_Toc73521581"/>
      <w:r>
        <w:rPr>
          <w:rFonts w:ascii="黑体" w:eastAsia="黑体" w:hAnsi="宋体" w:hint="eastAsia"/>
          <w:sz w:val="24"/>
        </w:rPr>
        <w:t>34．错误的修正</w:t>
      </w:r>
      <w:bookmarkEnd w:id="55"/>
      <w:bookmarkEnd w:id="56"/>
      <w:bookmarkEnd w:id="57"/>
      <w:bookmarkEnd w:id="58"/>
      <w:bookmarkEnd w:id="5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0"/>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61"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2" w:name="_Hlk73821177"/>
      <w:r>
        <w:rPr>
          <w:rFonts w:ascii="ˎ̥" w:hAnsi="ˎ̥" w:hint="eastAsia"/>
          <w:lang w:val="en-US" w:eastAsia="zh-CN"/>
        </w:rPr>
        <w:t>唯一候选</w:t>
      </w:r>
      <w:r>
        <w:rPr>
          <w:rFonts w:ascii="ˎ̥" w:hAnsi="ˎ̥" w:hint="eastAsia"/>
        </w:rPr>
        <w:t>中标供应商</w:t>
      </w:r>
      <w:bookmarkEnd w:id="62"/>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w:t>
      </w:r>
      <w:r>
        <w:rPr>
          <w:rFonts w:ascii="ˎ̥" w:hAnsi="ˎ̥" w:hint="eastAsia"/>
          <w:lang w:val="en-US" w:eastAsia="zh-CN"/>
        </w:rPr>
        <w:t>候选</w:t>
      </w:r>
      <w:r>
        <w:rPr>
          <w:rFonts w:ascii="ˎ̥" w:hAnsi="ˎ̥" w:hint="eastAsia"/>
        </w:rPr>
        <w:t>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ascii="ˎ̥" w:hAnsi="ˎ̥" w:hint="eastAsia"/>
          <w:lang w:eastAsia="zh-CN"/>
        </w:rPr>
        <w:t>（</w:t>
      </w:r>
      <w:r>
        <w:rPr>
          <w:rFonts w:ascii="ˎ̥" w:hAnsi="ˎ̥" w:hint="eastAsia"/>
          <w:lang w:val="en-US" w:eastAsia="zh-CN"/>
        </w:rPr>
        <w:t>如“专用条款”中另有规定的以“专用条款”相关规定内容为准</w:t>
      </w:r>
      <w:r>
        <w:rPr>
          <w:rFonts w:ascii="ˎ̥" w:hAnsi="ˎ̥" w:hint="eastAsia"/>
          <w:lang w:eastAsia="zh-CN"/>
        </w:rPr>
        <w:t>）</w:t>
      </w:r>
      <w:r>
        <w:rPr>
          <w:rFonts w:ascii="ˎ̥" w:hAnsi="ˎ̥" w:hint="eastAsia"/>
        </w:rPr>
        <w:t>。如唯一候选中标供应商被认定投标或中标无效，采购人应当重新开展采购活动</w:t>
      </w:r>
      <w:r>
        <w:rPr>
          <w:rFonts w:ascii="ˎ̥" w:hAnsi="ˎ̥" w:hint="eastAsia"/>
          <w:lang w:eastAsia="zh-CN"/>
        </w:rPr>
        <w:t>。</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3"/>
      <w:bookmarkEnd w:id="6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61"/>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5"/>
      <w:bookmarkStart w:id="6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6"/>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8" w:name="_Hlk71407340"/>
      <w:r>
        <w:rPr>
          <w:rFonts w:ascii="宋体" w:hAnsi="宋体" w:hint="eastAsia"/>
          <w:szCs w:val="21"/>
        </w:rPr>
        <w:t>41.3因质疑投诉或其它原因导致项目结果变更或采购终止的，政府集中采购机构有权吊销中标通知书。</w:t>
      </w:r>
      <w:bookmarkEnd w:id="68"/>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5"/>
        </w:numPr>
        <w:spacing w:before="156" w:beforeLines="50" w:after="156" w:afterLines="50"/>
        <w:ind w:left="562" w:hanging="562"/>
        <w:rPr>
          <w:sz w:val="28"/>
          <w:szCs w:val="28"/>
        </w:rPr>
      </w:pPr>
      <w:bookmarkStart w:id="69" w:name="_Hlk72439043"/>
      <w:r>
        <w:rPr>
          <w:rFonts w:hint="eastAsia"/>
          <w:sz w:val="28"/>
          <w:szCs w:val="28"/>
        </w:rPr>
        <w:t>合同的授予与备案</w:t>
      </w:r>
      <w:bookmarkEnd w:id="69"/>
    </w:p>
    <w:p>
      <w:pPr>
        <w:rPr>
          <w:rFonts w:ascii="黑体" w:eastAsia="黑体" w:hAnsi="宋体"/>
          <w:sz w:val="24"/>
        </w:rPr>
      </w:pPr>
      <w:bookmarkStart w:id="70" w:name="_Toc100052408"/>
      <w:bookmarkStart w:id="71" w:name="_Toc73521586"/>
      <w:bookmarkStart w:id="72" w:name="_Toc73518157"/>
      <w:bookmarkStart w:id="73" w:name="_Toc73521674"/>
      <w:bookmarkStart w:id="74" w:name="_Toc73517679"/>
      <w:bookmarkStart w:id="75" w:name="_Hlk72439088"/>
      <w:r>
        <w:rPr>
          <w:rFonts w:ascii="黑体" w:eastAsia="黑体" w:hAnsi="宋体" w:hint="eastAsia"/>
          <w:sz w:val="24"/>
        </w:rPr>
        <w:t>43．合同授予标准</w:t>
      </w:r>
      <w:bookmarkEnd w:id="70"/>
      <w:bookmarkEnd w:id="71"/>
      <w:bookmarkEnd w:id="72"/>
      <w:bookmarkEnd w:id="73"/>
      <w:bookmarkEnd w:id="7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6" w:name="_Toc100052409"/>
      <w:bookmarkStart w:id="77" w:name="_Toc73521587"/>
      <w:bookmarkStart w:id="78" w:name="_Toc73517680"/>
      <w:bookmarkStart w:id="79" w:name="_Toc73518158"/>
      <w:bookmarkStart w:id="80" w:name="_Toc73521675"/>
      <w:r>
        <w:rPr>
          <w:rFonts w:ascii="黑体" w:eastAsia="黑体" w:hAnsi="宋体" w:hint="eastAsia"/>
          <w:sz w:val="24"/>
        </w:rPr>
        <w:t>44．</w:t>
      </w:r>
      <w:bookmarkEnd w:id="76"/>
      <w:bookmarkEnd w:id="77"/>
      <w:bookmarkEnd w:id="78"/>
      <w:bookmarkEnd w:id="79"/>
      <w:bookmarkEnd w:id="8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1" w:name="_Toc73518160"/>
      <w:bookmarkStart w:id="82" w:name="_Toc100052410"/>
      <w:bookmarkStart w:id="83" w:name="_Toc73521677"/>
      <w:bookmarkStart w:id="84" w:name="_Toc73521589"/>
      <w:bookmarkStart w:id="85" w:name="_Toc73517682"/>
      <w:r>
        <w:rPr>
          <w:rFonts w:ascii="黑体" w:eastAsia="黑体" w:hAnsi="宋体" w:hint="eastAsia"/>
          <w:sz w:val="24"/>
        </w:rPr>
        <w:t>45．合同的签订</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6" w:name="_Toc73517683"/>
      <w:bookmarkStart w:id="87" w:name="_Toc73521590"/>
      <w:bookmarkStart w:id="88" w:name="_Toc73518161"/>
      <w:bookmarkStart w:id="89" w:name="_Toc100052411"/>
      <w:bookmarkStart w:id="90" w:name="_Toc73521678"/>
      <w:r>
        <w:rPr>
          <w:rFonts w:ascii="黑体" w:eastAsia="黑体" w:hAnsi="宋体" w:hint="eastAsia"/>
          <w:sz w:val="24"/>
        </w:rPr>
        <w:t>46．履约担保</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91" w:name="_Hlk72440769"/>
      <w:r>
        <w:rPr>
          <w:rFonts w:ascii="宋体" w:hAnsi="宋体" w:hint="eastAsia"/>
          <w:szCs w:val="21"/>
        </w:rPr>
        <w:t>政府集中采购机构或采购人不予退还其交纳的谈判保证金，情节严重的，并由主管部门</w:t>
      </w:r>
      <w:bookmarkEnd w:id="9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5"/>
    </w:p>
    <w:p>
      <w:pPr>
        <w:pStyle w:val="Heading2"/>
        <w:numPr>
          <w:ilvl w:val="0"/>
          <w:numId w:val="5"/>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92" w:name="_Hlk75374941"/>
      <w:r>
        <w:rPr>
          <w:rFonts w:ascii="宋体" w:hAnsi="宋体" w:hint="eastAsia"/>
          <w:szCs w:val="21"/>
        </w:rPr>
        <w:t>以联合体形式参与的，质疑应当由组成联合体的所有成员共同提出</w:t>
      </w:r>
      <w:bookmarkEnd w:id="92"/>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8"/>
    </w:p>
    <w:p>
      <w:pPr>
        <w:rPr>
          <w:b/>
          <w:color w:val="FF0000"/>
          <w:sz w:val="52"/>
          <w:szCs w:val="52"/>
        </w:rPr>
      </w:pPr>
    </w:p>
    <w:p>
      <w:pPr>
        <w:rPr>
          <w:rFonts w:ascii="宋体" w:eastAsia="黑体" w:hAnsi="宋体" w:cs="Times New Roman"/>
          <w:b/>
          <w:bCs/>
          <w:color w:val="0000FF"/>
          <w:kern w:val="44"/>
          <w:sz w:val="36"/>
          <w:szCs w:val="44"/>
        </w:rPr>
      </w:pPr>
    </w:p>
    <w:sectPr>
      <w:headerReference w:type="even" r:id="rId10"/>
      <w:footerReference w:type="even" r:id="rId11"/>
      <w:footerReference w:type="default" r:id="rId12"/>
      <w:headerReference w:type="first" r:id="rId13"/>
      <w:footerReference w:type="first" r:id="rId14"/>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singleLevel"/>
    <w:tmpl w:val="B5E306ED"/>
    <w:lvl w:ilvl="0">
      <w:start w:val="3"/>
      <w:numFmt w:val="chineseCounting"/>
      <w:suff w:val="space"/>
      <w:lvlText w:val="第%1条"/>
      <w:lvlJc w:val="left"/>
      <w:rPr>
        <w:rFonts w:hint="eastAsia"/>
      </w:rPr>
    </w:lvl>
  </w:abstractNum>
  <w:abstractNum w:abstractNumId="1">
    <w:nsid w:val="BF205925"/>
    <w:multiLevelType w:val="multilevel"/>
    <w:tmpl w:val="BF20592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CF092B84"/>
    <w:multiLevelType w:val="multilevel"/>
    <w:tmpl w:val="CF092B84"/>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03D62ECE"/>
    <w:multiLevelType w:val="multilevel"/>
    <w:tmpl w:val="03D62ECE"/>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59ADCABA"/>
    <w:multiLevelType w:val="multilevel"/>
    <w:tmpl w:val="59ADCABA"/>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ZThkZmY1YjQxY2E2MWQ1MDA5NDYyYmRiZGZjZmM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autoRedefine/>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autoRedefine/>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autoRedefine/>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autoRedefine/>
    <w:qFormat/>
    <w:pPr>
      <w:ind w:firstLine="420"/>
    </w:pPr>
    <w:rPr>
      <w:szCs w:val="20"/>
    </w:rPr>
  </w:style>
  <w:style w:type="paragraph" w:styleId="DocumentMap">
    <w:name w:val="Document Map"/>
    <w:basedOn w:val="Normal"/>
    <w:autoRedefine/>
    <w:uiPriority w:val="99"/>
    <w:semiHidden/>
    <w:unhideWhenUsed/>
    <w:qFormat/>
    <w:rPr>
      <w:rFonts w:ascii="宋体" w:eastAsia="宋体"/>
      <w:sz w:val="18"/>
      <w:szCs w:val="18"/>
    </w:rPr>
  </w:style>
  <w:style w:type="paragraph" w:styleId="CommentText">
    <w:name w:val="annotation text"/>
    <w:basedOn w:val="Normal"/>
    <w:autoRedefine/>
    <w:uiPriority w:val="99"/>
    <w:unhideWhenUsed/>
    <w:qFormat/>
    <w:pPr>
      <w:jc w:val="left"/>
    </w:pPr>
  </w:style>
  <w:style w:type="paragraph" w:styleId="BodyText">
    <w:name w:val="Body Text"/>
    <w:basedOn w:val="Normal"/>
    <w:next w:val="Normal"/>
    <w:autoRedefine/>
    <w:qFormat/>
    <w:pPr>
      <w:spacing w:line="360" w:lineRule="auto"/>
    </w:pPr>
    <w:rPr>
      <w:b/>
      <w:bCs/>
      <w:sz w:val="24"/>
    </w:rPr>
  </w:style>
  <w:style w:type="paragraph" w:styleId="BalloonText">
    <w:name w:val="Balloon Text"/>
    <w:basedOn w:val="Normal"/>
    <w:autoRedefine/>
    <w:uiPriority w:val="99"/>
    <w:semiHidden/>
    <w:unhideWhenUsed/>
    <w:qFormat/>
    <w:rPr>
      <w:sz w:val="18"/>
      <w:szCs w:val="18"/>
    </w:rPr>
  </w:style>
  <w:style w:type="paragraph" w:styleId="Footer">
    <w:name w:val="footer"/>
    <w:basedOn w:val="Normal"/>
    <w:autoRedefine/>
    <w:uiPriority w:val="99"/>
    <w:unhideWhenUsed/>
    <w:qFormat/>
    <w:pPr>
      <w:tabs>
        <w:tab w:val="center" w:pos="4153"/>
        <w:tab w:val="right" w:pos="8306"/>
      </w:tabs>
      <w:snapToGrid w:val="0"/>
      <w:jc w:val="left"/>
    </w:pPr>
    <w:rPr>
      <w:sz w:val="18"/>
      <w:szCs w:val="18"/>
    </w:rPr>
  </w:style>
  <w:style w:type="paragraph" w:styleId="Header">
    <w:name w:val="header"/>
    <w:basedOn w:val="Normal"/>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autoRedefine/>
    <w:qFormat/>
    <w:pPr>
      <w:spacing w:line="360" w:lineRule="auto"/>
    </w:pPr>
    <w:rPr>
      <w:sz w:val="24"/>
    </w:rPr>
  </w:style>
  <w:style w:type="paragraph" w:styleId="NormalWeb">
    <w:name w:val="Normal (Web)"/>
    <w:basedOn w:val="Normal"/>
    <w:autoRedefine/>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autoRedefine/>
    <w:uiPriority w:val="99"/>
    <w:semiHidden/>
    <w:unhideWhenUsed/>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autoRedefine/>
    <w:uiPriority w:val="99"/>
    <w:semiHidden/>
    <w:unhideWhenUsed/>
    <w:qFormat/>
    <w:rPr>
      <w:color w:val="800080" w:themeColor="followedHyperlink"/>
      <w:u w:val="single"/>
    </w:rPr>
  </w:style>
  <w:style w:type="character" w:styleId="Hyperlink">
    <w:name w:val="Hyperlink"/>
    <w:basedOn w:val="DefaultParagraphFont"/>
    <w:autoRedefine/>
    <w:uiPriority w:val="99"/>
    <w:unhideWhenUsed/>
    <w:qFormat/>
    <w:rPr>
      <w:color w:val="0000FF" w:themeColor="hyperlink"/>
      <w:u w:val="single"/>
    </w:rPr>
  </w:style>
  <w:style w:type="character" w:styleId="CommentReference">
    <w:name w:val="annotation reference"/>
    <w:basedOn w:val="DefaultParagraphFont"/>
    <w:autoRedefine/>
    <w:uiPriority w:val="99"/>
    <w:semiHidden/>
    <w:unhideWhenUsed/>
    <w:qFormat/>
    <w:rPr>
      <w:sz w:val="21"/>
      <w:szCs w:val="21"/>
    </w:rPr>
  </w:style>
  <w:style w:type="character" w:customStyle="1" w:styleId="Char">
    <w:name w:val="页眉 Char"/>
    <w:basedOn w:val="DefaultParagraphFont"/>
    <w:autoRedefine/>
    <w:uiPriority w:val="99"/>
    <w:semiHidden/>
    <w:qFormat/>
    <w:rPr>
      <w:sz w:val="18"/>
      <w:szCs w:val="18"/>
    </w:rPr>
  </w:style>
  <w:style w:type="character" w:customStyle="1" w:styleId="Char0">
    <w:name w:val="页脚 Char"/>
    <w:basedOn w:val="DefaultParagraphFont"/>
    <w:autoRedefine/>
    <w:uiPriority w:val="99"/>
    <w:qFormat/>
    <w:rPr>
      <w:sz w:val="18"/>
      <w:szCs w:val="18"/>
    </w:rPr>
  </w:style>
  <w:style w:type="character" w:customStyle="1" w:styleId="Char1">
    <w:name w:val="批注框文本 Char"/>
    <w:basedOn w:val="DefaultParagraphFont"/>
    <w:autoRedefine/>
    <w:uiPriority w:val="99"/>
    <w:semiHidden/>
    <w:qFormat/>
    <w:rPr>
      <w:sz w:val="18"/>
      <w:szCs w:val="18"/>
    </w:rPr>
  </w:style>
  <w:style w:type="character" w:customStyle="1" w:styleId="Char2">
    <w:name w:val="普通(网站) Char"/>
    <w:autoRedefine/>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autoRedefine/>
    <w:uiPriority w:val="34"/>
    <w:qFormat/>
    <w:pPr>
      <w:ind w:firstLine="420" w:firstLineChars="200"/>
    </w:pPr>
  </w:style>
  <w:style w:type="character" w:customStyle="1" w:styleId="Char3">
    <w:name w:val="文档结构图 Char"/>
    <w:basedOn w:val="DefaultParagraphFont"/>
    <w:autoRedefine/>
    <w:uiPriority w:val="99"/>
    <w:semiHidden/>
    <w:qFormat/>
    <w:rPr>
      <w:rFonts w:ascii="宋体" w:eastAsia="宋体"/>
      <w:sz w:val="18"/>
      <w:szCs w:val="18"/>
    </w:rPr>
  </w:style>
  <w:style w:type="character" w:customStyle="1" w:styleId="2Char">
    <w:name w:val="标题 2 Char"/>
    <w:basedOn w:val="DefaultParagraphFont"/>
    <w:link w:val="Heading2"/>
    <w:autoRedefine/>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autoRedefine/>
    <w:uiPriority w:val="99"/>
    <w:qFormat/>
  </w:style>
  <w:style w:type="character" w:customStyle="1" w:styleId="3Char">
    <w:name w:val="标题 3 Char"/>
    <w:autoRedefine/>
    <w:qFormat/>
    <w:rPr>
      <w:rFonts w:ascii="黑体" w:eastAsia="黑体"/>
      <w:bCs/>
      <w:sz w:val="30"/>
    </w:rPr>
  </w:style>
  <w:style w:type="character" w:customStyle="1" w:styleId="Char5">
    <w:name w:val="批注主题 Char"/>
    <w:basedOn w:val="Char4"/>
    <w:autoRedefine/>
    <w:uiPriority w:val="99"/>
    <w:semiHidden/>
    <w:qFormat/>
    <w:rPr>
      <w:b/>
      <w:bCs/>
    </w:rPr>
  </w:style>
  <w:style w:type="table" w:customStyle="1" w:styleId="1">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31">
    <w:name w:val="font31"/>
    <w:autoRedefine/>
    <w:qFormat/>
    <w:rPr>
      <w:rFonts w:ascii="宋体" w:eastAsia="宋体" w:hAnsi="宋体" w:cs="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2.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2024-04-09T03:41:54Z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0</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a2967b57-97d5-47e6-bfe7-5e5c1edbf97b}">
  <ds:schemaRefs/>
</ds:datastoreItem>
</file>

<file path=customXml/itemProps2.xml><?xml version="1.0" encoding="utf-8"?>
<ds:datastoreItem xmlns:ds="http://schemas.openxmlformats.org/officeDocument/2006/customXml" ds:itemID="{2b272c5e-4834-4962-9f7d-2d87acc8fdd2}">
  <ds:schemaRefs/>
</ds:datastoreItem>
</file>

<file path=customXml/itemProps3.xml><?xml version="1.0" encoding="utf-8"?>
<ds:datastoreItem xmlns:ds="http://schemas.openxmlformats.org/officeDocument/2006/customXml" ds:itemID="{4841f916-8da6-4282-8729-0903d896686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2024-04-17T11:00:11Z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7F780F785DDB486590357E3DFAB66172_13</vt:lpwstr>
  </property>
  <property fmtid="{D5CDD505-2E9C-101B-9397-08002B2CF9AE}" pid="3" name="KSOProductBuildVer">
    <vt:lpwstr>2052-12.1.0.16417</vt:lpwstr>
  </property>
</Properties>
</file>