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0"/>
        <w:rPr>
          <w:rFonts w:ascii="Times New Roman" w:eastAsia="宋体" w:hAnsi="Times New Roman" w:cs="Times New Roman"/>
          <w:b/>
          <w:bCs/>
          <w:kern w:val="0"/>
          <w:sz w:val="40"/>
          <w:szCs w:val="40"/>
        </w:rPr>
      </w:pPr>
      <w:bookmarkStart w:id="0" w:name="_GoBack"/>
      <w:bookmarkEnd w:id="0"/>
      <w:r>
        <w:rPr>
          <w:rFonts w:ascii="Times New Roman" w:eastAsia="宋体" w:hAnsi="Times New Roman" w:cs="Times New Roman" w:hint="eastAsia"/>
          <w:b/>
          <w:bCs/>
          <w:kern w:val="0"/>
          <w:sz w:val="40"/>
          <w:szCs w:val="40"/>
        </w:rPr>
        <w:t>深圳市宝安区荣根学校理科实验考试设备采购项目</w:t>
      </w:r>
    </w:p>
    <w:p>
      <w:pPr>
        <w:widowControl/>
        <w:spacing w:beforeAutospacing="1" w:afterAutospacing="1"/>
        <w:jc w:val="center"/>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rPr>
            </w:pPr>
            <w:r>
              <w:rPr>
                <w:sz w:val="30"/>
                <w:szCs w:val="30"/>
              </w:rPr>
              <w:t>项目编号：</w:t>
            </w:r>
          </w:p>
        </w:tc>
        <w:tc>
          <w:tcPr>
            <w:tcW w:w="0" w:type="auto"/>
            <w:vAlign w:val="center"/>
          </w:tcPr>
          <w:p>
            <w:pPr>
              <w:rPr>
                <w:sz w:val="30"/>
                <w:szCs w:val="30"/>
              </w:rPr>
            </w:pPr>
            <w:r>
              <w:rPr>
                <w:rFonts w:asciiTheme="minorEastAsia" w:hAnsiTheme="minorEastAsia" w:hint="eastAsia"/>
                <w:sz w:val="30"/>
                <w:szCs w:val="30"/>
              </w:rPr>
              <w:t>BACG2024000114</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项目名称：</w:t>
            </w:r>
          </w:p>
        </w:tc>
        <w:tc>
          <w:tcPr>
            <w:tcW w:w="0" w:type="auto"/>
            <w:vAlign w:val="center"/>
          </w:tcPr>
          <w:p>
            <w:pPr>
              <w:rPr>
                <w:sz w:val="30"/>
                <w:szCs w:val="30"/>
              </w:rPr>
            </w:pPr>
            <w:r>
              <w:rPr>
                <w:rFonts w:asciiTheme="minorEastAsia" w:hAnsiTheme="minorEastAsia" w:hint="eastAsia"/>
                <w:sz w:val="30"/>
                <w:szCs w:val="30"/>
              </w:rPr>
              <w:t>深圳市宝安区荣根学校理科实验考试设备采购项目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包号：</w:t>
            </w:r>
          </w:p>
        </w:tc>
        <w:tc>
          <w:tcPr>
            <w:tcW w:w="0" w:type="auto"/>
            <w:vAlign w:val="center"/>
          </w:tcPr>
          <w:p>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项目类型：</w:t>
            </w:r>
          </w:p>
        </w:tc>
        <w:tc>
          <w:tcPr>
            <w:tcW w:w="0" w:type="auto"/>
            <w:vAlign w:val="center"/>
          </w:tcPr>
          <w:p>
            <w:pPr>
              <w:rPr>
                <w:sz w:val="30"/>
                <w:szCs w:val="30"/>
              </w:rPr>
            </w:pPr>
            <w:r>
              <w:rPr>
                <w:rFonts w:hint="eastAsia"/>
                <w:sz w:val="30"/>
                <w:szCs w:val="30"/>
              </w:rPr>
              <w:t>货物</w:t>
            </w:r>
            <w:r>
              <w:rPr>
                <w:sz w:val="30"/>
                <w:szCs w:val="30"/>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采购方式：</w:t>
            </w:r>
          </w:p>
        </w:tc>
        <w:tc>
          <w:tcPr>
            <w:tcW w:w="0" w:type="auto"/>
            <w:vAlign w:val="center"/>
          </w:tcPr>
          <w:p>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货币类型：</w:t>
            </w:r>
          </w:p>
        </w:tc>
        <w:tc>
          <w:tcPr>
            <w:tcW w:w="0" w:type="auto"/>
            <w:vAlign w:val="center"/>
          </w:tcPr>
          <w:p>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评标方法：</w:t>
            </w:r>
          </w:p>
        </w:tc>
        <w:tc>
          <w:tcPr>
            <w:tcW w:w="0" w:type="auto"/>
            <w:vAlign w:val="center"/>
          </w:tcPr>
          <w:p>
            <w:pPr>
              <w:rPr>
                <w:sz w:val="30"/>
                <w:szCs w:val="30"/>
              </w:rPr>
            </w:pPr>
            <w:r>
              <w:rPr>
                <w:sz w:val="30"/>
                <w:szCs w:val="30"/>
              </w:rPr>
              <w:t>综合评分法（新价格分算法）</w:t>
            </w:r>
          </w:p>
        </w:tc>
      </w:tr>
    </w:tbl>
    <w:p>
      <w:pPr>
        <w:tabs>
          <w:tab w:val="left" w:pos="2790"/>
        </w:tabs>
        <w:snapToGrid w:val="0"/>
        <w:spacing w:line="440" w:lineRule="exact"/>
        <w:jc w:val="left"/>
        <w:rPr>
          <w:rFonts w:asciiTheme="minorEastAsia" w:hAnsiTheme="minorEastAsia"/>
          <w:sz w:val="30"/>
          <w:szCs w:val="30"/>
        </w:rPr>
      </w:pPr>
    </w:p>
    <w:p>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tabs>
          <w:tab w:val="left" w:pos="2790"/>
        </w:tabs>
        <w:snapToGrid w:val="0"/>
        <w:jc w:val="center"/>
        <w:rPr>
          <w:rFonts w:ascii="黑体" w:eastAsia="黑体" w:hAnsi="黑体" w:cs="Times New Roman"/>
          <w:sz w:val="40"/>
          <w:szCs w:val="40"/>
        </w:rPr>
      </w:pPr>
    </w:p>
    <w:p>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rPr>
            </w:pPr>
            <w:r>
              <w:rPr>
                <w:rFonts w:hint="eastAsia"/>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分项报价或投标总价不得高于</w:t>
            </w:r>
            <w:bookmarkStart w:id="1" w:name="_Hlk71832186"/>
            <w:r>
              <w:rPr>
                <w:rFonts w:hint="eastAsia"/>
              </w:rPr>
              <w:t>相应预算金额（或设定的预算金额下的最高限价）</w:t>
            </w:r>
            <w:bookmarkEnd w:id="1"/>
            <w:r>
              <w:rPr>
                <w:rFonts w:ascii="Calibri" w:eastAsia="宋体" w:hAnsi="Calibri" w:cs="Times New Roman"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ascii="宋体" w:eastAsia="宋体" w:hAnsi="宋体"/>
              </w:rPr>
              <w:t>不同投标供应商投标文件“文件制作机器码”一致的；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法律、法规、规章、规范性文件规定的其他情形。</w:t>
            </w:r>
          </w:p>
        </w:tc>
      </w:tr>
    </w:tbl>
    <w:p>
      <w:pPr>
        <w:tabs>
          <w:tab w:val="left" w:pos="2790"/>
        </w:tabs>
        <w:snapToGrid w:val="0"/>
        <w:jc w:val="left"/>
        <w:rPr>
          <w:sz w:val="24"/>
          <w:szCs w:val="24"/>
        </w:rPr>
      </w:pPr>
    </w:p>
    <w:p>
      <w:pPr>
        <w:tabs>
          <w:tab w:val="left" w:pos="2790"/>
        </w:tabs>
        <w:snapToGrid w:val="0"/>
        <w:jc w:val="left"/>
        <w:rPr>
          <w:sz w:val="24"/>
          <w:szCs w:val="24"/>
        </w:rPr>
      </w:pPr>
    </w:p>
    <w:p>
      <w:pPr>
        <w:tabs>
          <w:tab w:val="left" w:pos="2790"/>
        </w:tabs>
        <w:snapToGrid w:val="0"/>
        <w:jc w:val="left"/>
        <w:rPr>
          <w:sz w:val="24"/>
          <w:szCs w:val="24"/>
        </w:rPr>
      </w:pPr>
    </w:p>
    <w:p>
      <w:pPr>
        <w:tabs>
          <w:tab w:val="left" w:pos="2790"/>
        </w:tabs>
        <w:snapToGrid w:val="0"/>
        <w:jc w:val="left"/>
        <w:rPr>
          <w:sz w:val="24"/>
          <w:szCs w:val="24"/>
        </w:rPr>
      </w:pPr>
    </w:p>
    <w:p>
      <w:pPr>
        <w:pStyle w:val="NormalWeb"/>
        <w:jc w:val="center"/>
        <w:outlineLvl w:val="0"/>
        <w:rPr>
          <w:rFonts w:ascii="黑体" w:eastAsia="黑体"/>
          <w:sz w:val="40"/>
          <w:szCs w:val="40"/>
        </w:rPr>
      </w:pPr>
      <w:r>
        <w:rPr>
          <w:rFonts w:ascii="黑体" w:eastAsia="黑体" w:hAnsi="黑体" w:hint="eastAsia"/>
          <w:sz w:val="40"/>
          <w:szCs w:val="40"/>
        </w:rPr>
        <w:t>评标信息</w:t>
      </w:r>
    </w:p>
    <w:p>
      <w:r>
        <w:rPr>
          <w:rFonts w:ascii="宋体" w:hAnsi="宋体"/>
          <w:b/>
          <w:bCs/>
        </w:rPr>
        <w:t>评标方法：综合评分法（新价格分算法）</w:t>
      </w:r>
    </w:p>
    <w:p>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p>
    <w:p>
      <w:pPr>
        <w:ind w:firstLine="420"/>
      </w:pPr>
      <w:r>
        <w:rPr>
          <w:rFonts w:ascii="宋体" w:hAnsi="宋体"/>
        </w:rPr>
        <w:t>价格分计算方法：</w:t>
      </w:r>
    </w:p>
    <w:p>
      <w:pPr>
        <w:rPr>
          <w:rFonts w:ascii="宋体" w:hAnsi="宋体"/>
        </w:rPr>
      </w:pPr>
      <w:r>
        <w:rPr>
          <w:rFonts w:ascii="宋体" w:hAnsi="宋体"/>
        </w:rPr>
        <w:t>采用低价优先法计算，即满足招标文件要求且投标价格最低的投标报价为评标基准价，其价格分为满分。其他投标人的价格分统一按照下列公式计算：</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r>
      <w:r>
        <w:t>F1</w:t>
      </w:r>
      <w:r>
        <w:rPr>
          <w:rFonts w:ascii="宋体" w:hAnsi="宋体"/>
        </w:rPr>
        <w:t>、</w:t>
      </w:r>
      <w:r>
        <w:t>F2……Fn</w:t>
      </w:r>
      <w:r>
        <w:rPr>
          <w:rFonts w:ascii="宋体" w:hAnsi="宋体"/>
        </w:rPr>
        <w:t xml:space="preserve">分别为各项评审因素的得分； </w:t>
      </w:r>
      <w:r>
        <w:br/>
      </w:r>
      <w: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br/>
      </w:r>
      <w:r>
        <w:rPr>
          <w:rFonts w:ascii="宋体" w:hAnsi="宋体"/>
        </w:rPr>
        <w:t>此方法适用于货物类、服务类、工程类项目。</w:t>
      </w: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
      <w:pPr>
        <w:snapToGrid w:val="0"/>
      </w:pPr>
    </w:p>
    <w:tbl>
      <w:tblPr>
        <w:tblStyle w:val="TableNormal"/>
        <w:tblW w:w="8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1"/>
        <w:gridCol w:w="713"/>
        <w:gridCol w:w="1406"/>
        <w:gridCol w:w="874"/>
        <w:gridCol w:w="5047"/>
      </w:tblGrid>
      <w:tr>
        <w:tblPrEx>
          <w:tblW w:w="8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83"/>
          <w:jc w:val="center"/>
        </w:trPr>
        <w:tc>
          <w:tcPr>
            <w:tcW w:w="841"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序号</w:t>
            </w:r>
          </w:p>
        </w:tc>
        <w:tc>
          <w:tcPr>
            <w:tcW w:w="2993" w:type="dxa"/>
            <w:gridSpan w:val="3"/>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评分项</w:t>
            </w:r>
          </w:p>
        </w:tc>
        <w:tc>
          <w:tcPr>
            <w:tcW w:w="5047"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权重（%）</w:t>
            </w:r>
          </w:p>
        </w:tc>
      </w:tr>
      <w:tr>
        <w:tblPrEx>
          <w:tblW w:w="8881" w:type="dxa"/>
          <w:jc w:val="center"/>
          <w:tblLayout w:type="fixed"/>
          <w:tblCellMar>
            <w:top w:w="0" w:type="dxa"/>
            <w:left w:w="108" w:type="dxa"/>
            <w:bottom w:w="0" w:type="dxa"/>
            <w:right w:w="108" w:type="dxa"/>
          </w:tblCellMar>
        </w:tblPrEx>
        <w:trPr>
          <w:jc w:val="center"/>
        </w:trPr>
        <w:tc>
          <w:tcPr>
            <w:tcW w:w="841"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b/>
                <w:bCs/>
                <w:kern w:val="44"/>
                <w:sz w:val="24"/>
              </w:rPr>
              <w:t>1</w:t>
            </w:r>
          </w:p>
        </w:tc>
        <w:tc>
          <w:tcPr>
            <w:tcW w:w="2993" w:type="dxa"/>
            <w:gridSpan w:val="3"/>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价格</w:t>
            </w:r>
          </w:p>
        </w:tc>
        <w:tc>
          <w:tcPr>
            <w:tcW w:w="5047"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30</w:t>
            </w:r>
          </w:p>
        </w:tc>
      </w:tr>
      <w:tr>
        <w:tblPrEx>
          <w:tblW w:w="8881" w:type="dxa"/>
          <w:jc w:val="center"/>
          <w:tblLayout w:type="fixed"/>
          <w:tblCellMar>
            <w:top w:w="0" w:type="dxa"/>
            <w:left w:w="108" w:type="dxa"/>
            <w:bottom w:w="0" w:type="dxa"/>
            <w:right w:w="108" w:type="dxa"/>
          </w:tblCellMar>
        </w:tblPrEx>
        <w:trPr>
          <w:trHeight w:val="367"/>
          <w:jc w:val="center"/>
        </w:trPr>
        <w:tc>
          <w:tcPr>
            <w:tcW w:w="841"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b/>
                <w:bCs/>
                <w:kern w:val="44"/>
                <w:sz w:val="24"/>
              </w:rPr>
              <w:t>2</w:t>
            </w:r>
          </w:p>
        </w:tc>
        <w:tc>
          <w:tcPr>
            <w:tcW w:w="2993" w:type="dxa"/>
            <w:gridSpan w:val="3"/>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技术部分</w:t>
            </w:r>
          </w:p>
        </w:tc>
        <w:tc>
          <w:tcPr>
            <w:tcW w:w="5047"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47</w:t>
            </w:r>
          </w:p>
        </w:tc>
      </w:tr>
      <w:tr>
        <w:tblPrEx>
          <w:tblW w:w="8881" w:type="dxa"/>
          <w:jc w:val="center"/>
          <w:tblLayout w:type="fixed"/>
          <w:tblCellMar>
            <w:top w:w="0" w:type="dxa"/>
            <w:left w:w="108" w:type="dxa"/>
            <w:bottom w:w="0" w:type="dxa"/>
            <w:right w:w="108" w:type="dxa"/>
          </w:tblCellMar>
        </w:tblPrEx>
        <w:trPr>
          <w:trHeight w:val="90"/>
          <w:jc w:val="center"/>
        </w:trPr>
        <w:tc>
          <w:tcPr>
            <w:tcW w:w="841" w:type="dxa"/>
            <w:vMerge w:val="restart"/>
            <w:vAlign w:val="center"/>
          </w:tcPr>
          <w:p>
            <w:pPr>
              <w:snapToGrid w:val="0"/>
              <w:spacing w:line="320" w:lineRule="exact"/>
              <w:jc w:val="center"/>
              <w:rPr>
                <w:rFonts w:ascii="宋体" w:eastAsia="黑体" w:hAnsi="宋体" w:cs="Arial"/>
                <w:b/>
                <w:bCs/>
                <w:kern w:val="44"/>
                <w:sz w:val="24"/>
              </w:rPr>
            </w:pPr>
          </w:p>
        </w:tc>
        <w:tc>
          <w:tcPr>
            <w:tcW w:w="713"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序号</w:t>
            </w:r>
          </w:p>
        </w:tc>
        <w:tc>
          <w:tcPr>
            <w:tcW w:w="1406"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评分因素</w:t>
            </w:r>
          </w:p>
        </w:tc>
        <w:tc>
          <w:tcPr>
            <w:tcW w:w="874"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权重（%）</w:t>
            </w:r>
          </w:p>
        </w:tc>
        <w:tc>
          <w:tcPr>
            <w:tcW w:w="5047" w:type="dxa"/>
            <w:vAlign w:val="center"/>
          </w:tcPr>
          <w:p>
            <w:pPr>
              <w:snapToGrid w:val="0"/>
              <w:spacing w:line="320" w:lineRule="exact"/>
              <w:jc w:val="center"/>
              <w:rPr>
                <w:rFonts w:ascii="宋体" w:eastAsia="黑体" w:hAnsi="宋体" w:cs="Arial"/>
                <w:b/>
                <w:bCs/>
                <w:kern w:val="44"/>
                <w:sz w:val="24"/>
              </w:rPr>
            </w:pPr>
            <w:r>
              <w:rPr>
                <w:rFonts w:ascii="宋体" w:eastAsia="黑体" w:hAnsi="宋体" w:cs="Arial" w:hint="eastAsia"/>
                <w:b/>
                <w:bCs/>
                <w:kern w:val="44"/>
                <w:sz w:val="24"/>
              </w:rPr>
              <w:t>评分准则</w:t>
            </w:r>
          </w:p>
        </w:tc>
      </w:tr>
      <w:tr>
        <w:tblPrEx>
          <w:tblW w:w="8881" w:type="dxa"/>
          <w:jc w:val="center"/>
          <w:tblLayout w:type="fixed"/>
          <w:tblCellMar>
            <w:top w:w="0" w:type="dxa"/>
            <w:left w:w="108" w:type="dxa"/>
            <w:bottom w:w="0" w:type="dxa"/>
            <w:right w:w="108" w:type="dxa"/>
          </w:tblCellMar>
        </w:tblPrEx>
        <w:trPr>
          <w:trHeight w:val="90"/>
          <w:jc w:val="center"/>
        </w:trPr>
        <w:tc>
          <w:tcPr>
            <w:tcW w:w="841" w:type="dxa"/>
            <w:vMerge/>
            <w:vAlign w:val="center"/>
          </w:tcPr>
          <w:p>
            <w:pPr>
              <w:snapToGrid w:val="0"/>
              <w:spacing w:line="320" w:lineRule="exact"/>
              <w:jc w:val="center"/>
              <w:rPr>
                <w:rFonts w:ascii="宋体" w:eastAsia="黑体" w:hAnsi="宋体" w:cs="Arial"/>
                <w:b/>
                <w:bCs/>
                <w:kern w:val="44"/>
                <w:sz w:val="28"/>
              </w:rPr>
            </w:pPr>
          </w:p>
        </w:tc>
        <w:tc>
          <w:tcPr>
            <w:tcW w:w="713" w:type="dxa"/>
            <w:vAlign w:val="center"/>
          </w:tcPr>
          <w:p>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1</w:t>
            </w:r>
          </w:p>
        </w:tc>
        <w:tc>
          <w:tcPr>
            <w:tcW w:w="1406"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bCs/>
                <w:szCs w:val="21"/>
              </w:rPr>
              <w:t>▲以外参数</w:t>
            </w:r>
            <w:r>
              <w:rPr>
                <w:rFonts w:ascii="宋体" w:eastAsia="宋体" w:hAnsi="宋体" w:cs="Times New Roman" w:hint="eastAsia"/>
                <w:szCs w:val="21"/>
              </w:rPr>
              <w:t>响应情况评价</w:t>
            </w:r>
          </w:p>
        </w:tc>
        <w:tc>
          <w:tcPr>
            <w:tcW w:w="874"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16</w:t>
            </w:r>
          </w:p>
        </w:tc>
        <w:tc>
          <w:tcPr>
            <w:tcW w:w="5047" w:type="dxa"/>
            <w:vAlign w:val="center"/>
          </w:tcPr>
          <w:p>
            <w:pPr>
              <w:spacing w:line="320" w:lineRule="exact"/>
              <w:rPr>
                <w:rFonts w:ascii="宋体" w:eastAsia="宋体" w:hAnsi="宋体" w:cs="Times New Roman"/>
                <w:bCs/>
                <w:szCs w:val="21"/>
              </w:rPr>
            </w:pPr>
            <w:r>
              <w:rPr>
                <w:rFonts w:ascii="宋体" w:eastAsia="宋体" w:hAnsi="宋体" w:cs="Times New Roman" w:hint="eastAsia"/>
                <w:bCs/>
                <w:szCs w:val="21"/>
              </w:rPr>
              <w:t>以投标文件《技术要求偏离表》为评价依据，完全符合招标要求的，得100分，有1项▲以外参数不符合要求的扣1.32分，最低0分。</w:t>
            </w:r>
          </w:p>
        </w:tc>
      </w:tr>
      <w:tr>
        <w:tblPrEx>
          <w:tblW w:w="8881" w:type="dxa"/>
          <w:jc w:val="center"/>
          <w:tblLayout w:type="fixed"/>
          <w:tblCellMar>
            <w:top w:w="0" w:type="dxa"/>
            <w:left w:w="108" w:type="dxa"/>
            <w:bottom w:w="0" w:type="dxa"/>
            <w:right w:w="108" w:type="dxa"/>
          </w:tblCellMar>
        </w:tblPrEx>
        <w:trPr>
          <w:trHeight w:val="454"/>
          <w:jc w:val="center"/>
        </w:trPr>
        <w:tc>
          <w:tcPr>
            <w:tcW w:w="841" w:type="dxa"/>
            <w:vMerge/>
            <w:vAlign w:val="center"/>
          </w:tcPr>
          <w:p>
            <w:pPr>
              <w:snapToGrid w:val="0"/>
              <w:spacing w:line="320" w:lineRule="exact"/>
              <w:jc w:val="center"/>
              <w:rPr>
                <w:rFonts w:ascii="宋体" w:eastAsia="黑体" w:hAnsi="宋体" w:cs="Arial"/>
                <w:b/>
                <w:bCs/>
                <w:kern w:val="44"/>
                <w:sz w:val="28"/>
              </w:rPr>
            </w:pPr>
          </w:p>
        </w:tc>
        <w:tc>
          <w:tcPr>
            <w:tcW w:w="713" w:type="dxa"/>
            <w:vAlign w:val="center"/>
          </w:tcPr>
          <w:p>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2</w:t>
            </w:r>
          </w:p>
        </w:tc>
        <w:tc>
          <w:tcPr>
            <w:tcW w:w="1406"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bCs/>
                <w:szCs w:val="21"/>
              </w:rPr>
              <w:t>▲参数响应</w:t>
            </w:r>
            <w:r>
              <w:rPr>
                <w:rFonts w:ascii="宋体" w:eastAsia="宋体" w:hAnsi="宋体" w:cs="Times New Roman"/>
                <w:bCs/>
                <w:szCs w:val="21"/>
              </w:rPr>
              <w:t>情况评价</w:t>
            </w:r>
          </w:p>
        </w:tc>
        <w:tc>
          <w:tcPr>
            <w:tcW w:w="874"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30</w:t>
            </w:r>
          </w:p>
        </w:tc>
        <w:tc>
          <w:tcPr>
            <w:tcW w:w="5047" w:type="dxa"/>
            <w:vAlign w:val="center"/>
          </w:tcPr>
          <w:p>
            <w:pPr>
              <w:spacing w:line="320" w:lineRule="exact"/>
              <w:rPr>
                <w:rFonts w:ascii="宋体" w:eastAsia="宋体" w:hAnsi="宋体" w:cs="Times New Roman"/>
                <w:bCs/>
                <w:szCs w:val="21"/>
              </w:rPr>
            </w:pPr>
            <w:r>
              <w:rPr>
                <w:rFonts w:ascii="宋体" w:eastAsia="宋体" w:hAnsi="宋体" w:cs="Times New Roman" w:hint="eastAsia"/>
                <w:bCs/>
                <w:szCs w:val="21"/>
              </w:rPr>
              <w:t>以投标文件《技术要求偏离表》为评价依据，完全符合招标要求的，得100分，有1项▲参数不符合要求的扣11.2分，最低0分。</w:t>
            </w:r>
          </w:p>
        </w:tc>
      </w:tr>
      <w:tr>
        <w:tblPrEx>
          <w:tblW w:w="8881" w:type="dxa"/>
          <w:jc w:val="center"/>
          <w:tblLayout w:type="fixed"/>
          <w:tblCellMar>
            <w:top w:w="0" w:type="dxa"/>
            <w:left w:w="108" w:type="dxa"/>
            <w:bottom w:w="0" w:type="dxa"/>
            <w:right w:w="108" w:type="dxa"/>
          </w:tblCellMar>
        </w:tblPrEx>
        <w:trPr>
          <w:trHeight w:val="454"/>
          <w:jc w:val="center"/>
        </w:trPr>
        <w:tc>
          <w:tcPr>
            <w:tcW w:w="841" w:type="dxa"/>
            <w:vMerge/>
            <w:vAlign w:val="center"/>
          </w:tcPr>
          <w:p>
            <w:pPr>
              <w:snapToGrid w:val="0"/>
              <w:spacing w:line="320" w:lineRule="exact"/>
              <w:jc w:val="center"/>
              <w:rPr>
                <w:rFonts w:ascii="宋体" w:eastAsia="黑体" w:hAnsi="宋体" w:cs="Arial"/>
                <w:b/>
                <w:bCs/>
                <w:kern w:val="44"/>
                <w:sz w:val="28"/>
              </w:rPr>
            </w:pPr>
          </w:p>
        </w:tc>
        <w:tc>
          <w:tcPr>
            <w:tcW w:w="713" w:type="dxa"/>
            <w:vAlign w:val="center"/>
          </w:tcPr>
          <w:p>
            <w:pPr>
              <w:snapToGrid w:val="0"/>
              <w:spacing w:line="320" w:lineRule="exact"/>
              <w:jc w:val="center"/>
              <w:rPr>
                <w:rFonts w:ascii="宋体" w:eastAsia="宋体" w:hAnsi="宋体" w:cs="Times New Roman"/>
                <w:szCs w:val="21"/>
              </w:rPr>
            </w:pPr>
            <w:r>
              <w:rPr>
                <w:rFonts w:ascii="宋体" w:eastAsia="宋体" w:hAnsi="宋体" w:cs="Times New Roman" w:hint="eastAsia"/>
                <w:szCs w:val="21"/>
              </w:rPr>
              <w:t>3</w:t>
            </w:r>
          </w:p>
        </w:tc>
        <w:tc>
          <w:tcPr>
            <w:tcW w:w="1406" w:type="dxa"/>
            <w:vAlign w:val="center"/>
          </w:tcPr>
          <w:p>
            <w:pPr>
              <w:spacing w:line="320" w:lineRule="exact"/>
              <w:jc w:val="center"/>
              <w:rPr>
                <w:rFonts w:ascii="宋体" w:eastAsia="宋体" w:hAnsi="宋体" w:cs="Times New Roman"/>
                <w:bCs/>
                <w:szCs w:val="21"/>
              </w:rPr>
            </w:pPr>
            <w:r>
              <w:rPr>
                <w:rFonts w:ascii="宋体" w:eastAsia="宋体" w:hAnsi="宋体" w:cs="宋体" w:hint="eastAsia"/>
                <w:bCs/>
                <w:szCs w:val="21"/>
              </w:rPr>
              <w:t>政府采购节能环保产品</w:t>
            </w:r>
          </w:p>
        </w:tc>
        <w:tc>
          <w:tcPr>
            <w:tcW w:w="874" w:type="dxa"/>
            <w:vAlign w:val="center"/>
          </w:tcPr>
          <w:p>
            <w:pPr>
              <w:spacing w:line="320" w:lineRule="exact"/>
              <w:jc w:val="center"/>
              <w:rPr>
                <w:rFonts w:ascii="宋体" w:eastAsia="宋体" w:hAnsi="宋体" w:cs="Times New Roman"/>
                <w:szCs w:val="21"/>
              </w:rPr>
            </w:pPr>
            <w:r>
              <w:rPr>
                <w:rFonts w:ascii="宋体" w:eastAsia="宋体" w:hAnsi="宋体" w:cs="宋体" w:hint="eastAsia"/>
                <w:szCs w:val="21"/>
              </w:rPr>
              <w:t>1</w:t>
            </w:r>
          </w:p>
        </w:tc>
        <w:tc>
          <w:tcPr>
            <w:tcW w:w="5047" w:type="dxa"/>
          </w:tcPr>
          <w:p>
            <w:pPr>
              <w:autoSpaceDE w:val="0"/>
              <w:autoSpaceDN w:val="0"/>
              <w:adjustRightInd w:val="0"/>
              <w:spacing w:line="320" w:lineRule="exact"/>
              <w:rPr>
                <w:rFonts w:ascii="宋体" w:eastAsia="宋体" w:hAnsi="宋体" w:cs="宋体"/>
                <w:b/>
                <w:bCs/>
                <w:szCs w:val="21"/>
              </w:rPr>
            </w:pPr>
            <w:r>
              <w:rPr>
                <w:rFonts w:ascii="宋体" w:eastAsia="宋体" w:hAnsi="宋体" w:cs="宋体" w:hint="eastAsia"/>
                <w:b/>
                <w:bCs/>
                <w:szCs w:val="21"/>
              </w:rPr>
              <w:t>一、评审内容：</w:t>
            </w:r>
          </w:p>
          <w:p>
            <w:pPr>
              <w:autoSpaceDE w:val="0"/>
              <w:autoSpaceDN w:val="0"/>
              <w:adjustRightInd w:val="0"/>
              <w:spacing w:line="320" w:lineRule="exact"/>
              <w:rPr>
                <w:rFonts w:ascii="宋体" w:eastAsia="宋体" w:hAnsi="宋体" w:cs="宋体"/>
                <w:szCs w:val="21"/>
              </w:rPr>
            </w:pPr>
            <w:r>
              <w:rPr>
                <w:rFonts w:ascii="宋体" w:eastAsia="宋体" w:hAnsi="宋体" w:cs="宋体" w:hint="eastAsia"/>
                <w:szCs w:val="21"/>
              </w:rPr>
              <w:t>根据《关于印发节能产品政府采购品目清单的通知》（财库〔2019〕19号）以及《关于印发环境标志产品政府采购品目清单的通知》（财库〔2019〕18号）的要求，投标人所投任一产品（以招标文件第三章 用户需求书 二、货物需求明细中“货物名称”为准）被列入节能产品政府采购品目清单（</w:t>
            </w:r>
            <w:r>
              <w:rPr>
                <w:rFonts w:ascii="宋体" w:eastAsia="宋体" w:hAnsi="宋体" w:cs="宋体" w:hint="eastAsia"/>
                <w:color w:val="FF0000"/>
                <w:szCs w:val="21"/>
              </w:rPr>
              <w:t>已标注“★”号属政府强制采购产品需具有节能产品认证证书的除外</w:t>
            </w:r>
            <w:r>
              <w:rPr>
                <w:rFonts w:ascii="宋体" w:eastAsia="宋体" w:hAnsi="宋体" w:cs="宋体" w:hint="eastAsia"/>
                <w:szCs w:val="21"/>
              </w:rPr>
              <w:t>）或环境标志产品政府采购品目清单，且具有有效期内的节能产品或环境标志产品认证证书的，每提供1项得100分，最高得100分。</w:t>
            </w:r>
          </w:p>
          <w:p>
            <w:pPr>
              <w:snapToGrid w:val="0"/>
              <w:spacing w:line="320" w:lineRule="exact"/>
              <w:rPr>
                <w:rFonts w:ascii="宋体" w:eastAsia="宋体" w:hAnsi="宋体" w:cs="宋体"/>
                <w:b/>
                <w:bCs/>
                <w:color w:val="0000CC"/>
                <w:szCs w:val="21"/>
              </w:rPr>
            </w:pPr>
            <w:r>
              <w:rPr>
                <w:rFonts w:ascii="宋体" w:eastAsia="宋体" w:hAnsi="宋体" w:cs="宋体" w:hint="eastAsia"/>
                <w:b/>
                <w:bCs/>
                <w:color w:val="0000CC"/>
                <w:szCs w:val="21"/>
              </w:rPr>
              <w:t>二、评审依据：</w:t>
            </w:r>
          </w:p>
          <w:p>
            <w:pPr>
              <w:snapToGrid w:val="0"/>
              <w:spacing w:line="320" w:lineRule="exact"/>
              <w:rPr>
                <w:rFonts w:ascii="宋体" w:eastAsia="宋体" w:hAnsi="宋体" w:cs="宋体"/>
                <w:color w:val="0000FF"/>
                <w:szCs w:val="21"/>
              </w:rPr>
            </w:pPr>
            <w:r>
              <w:rPr>
                <w:rFonts w:ascii="宋体" w:eastAsia="宋体" w:hAnsi="宋体" w:cs="宋体" w:hint="eastAsia"/>
                <w:color w:val="0000FF"/>
                <w:szCs w:val="21"/>
              </w:rPr>
              <w:t>1、提供《市场监管总局关于发布参与实施政府采购节能产品、环境标志产品认证机构名录的公告》（2019年第16号）确定的认证机构出具的且处于有效期内的节能产品或环境标志产品认证证书扫描件；</w:t>
            </w:r>
          </w:p>
          <w:p>
            <w:pPr>
              <w:autoSpaceDE w:val="0"/>
              <w:autoSpaceDN w:val="0"/>
              <w:adjustRightInd w:val="0"/>
              <w:spacing w:line="300" w:lineRule="exact"/>
              <w:jc w:val="left"/>
              <w:rPr>
                <w:rFonts w:ascii="宋体" w:eastAsia="宋体" w:hAnsi="宋体" w:cs="Times New Roman"/>
                <w:bCs/>
                <w:szCs w:val="21"/>
              </w:rPr>
            </w:pPr>
            <w:r>
              <w:rPr>
                <w:rFonts w:ascii="宋体" w:eastAsia="宋体" w:hAnsi="宋体" w:cs="宋体" w:hint="eastAsia"/>
                <w:color w:val="0000FF"/>
                <w:szCs w:val="21"/>
              </w:rPr>
              <w:t>2、未按要求提供证明材料（或证明材料无法判断是否符合评分要求）的不得分，原件备查。</w:t>
            </w:r>
          </w:p>
        </w:tc>
      </w:tr>
      <w:tr>
        <w:tblPrEx>
          <w:tblW w:w="8881" w:type="dxa"/>
          <w:jc w:val="center"/>
          <w:tblLayout w:type="fixed"/>
          <w:tblCellMar>
            <w:top w:w="0" w:type="dxa"/>
            <w:left w:w="108" w:type="dxa"/>
            <w:bottom w:w="0" w:type="dxa"/>
            <w:right w:w="108" w:type="dxa"/>
          </w:tblCellMar>
        </w:tblPrEx>
        <w:trPr>
          <w:trHeight w:val="454"/>
          <w:jc w:val="center"/>
        </w:trPr>
        <w:tc>
          <w:tcPr>
            <w:tcW w:w="841" w:type="dxa"/>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3</w:t>
            </w:r>
          </w:p>
        </w:tc>
        <w:tc>
          <w:tcPr>
            <w:tcW w:w="2993" w:type="dxa"/>
            <w:gridSpan w:val="3"/>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商务部分</w:t>
            </w:r>
          </w:p>
        </w:tc>
        <w:tc>
          <w:tcPr>
            <w:tcW w:w="5047" w:type="dxa"/>
            <w:vAlign w:val="center"/>
          </w:tcPr>
          <w:p>
            <w:pPr>
              <w:spacing w:line="320" w:lineRule="exact"/>
              <w:jc w:val="center"/>
              <w:rPr>
                <w:rFonts w:ascii="宋体" w:eastAsia="黑体" w:hAnsi="宋体" w:cs="Arial"/>
                <w:b/>
                <w:bCs/>
                <w:color w:val="000000"/>
                <w:kern w:val="44"/>
                <w:sz w:val="24"/>
              </w:rPr>
            </w:pPr>
            <w:r>
              <w:rPr>
                <w:rFonts w:ascii="宋体" w:eastAsia="黑体" w:hAnsi="宋体" w:cs="Arial" w:hint="eastAsia"/>
                <w:b/>
                <w:bCs/>
                <w:color w:val="000000"/>
                <w:kern w:val="44"/>
                <w:sz w:val="24"/>
              </w:rPr>
              <w:t>18</w:t>
            </w:r>
          </w:p>
        </w:tc>
      </w:tr>
      <w:tr>
        <w:tblPrEx>
          <w:tblW w:w="8881" w:type="dxa"/>
          <w:jc w:val="center"/>
          <w:tblLayout w:type="fixed"/>
          <w:tblCellMar>
            <w:top w:w="0" w:type="dxa"/>
            <w:left w:w="108" w:type="dxa"/>
            <w:bottom w:w="0" w:type="dxa"/>
            <w:right w:w="108" w:type="dxa"/>
          </w:tblCellMar>
        </w:tblPrEx>
        <w:trPr>
          <w:trHeight w:val="454"/>
          <w:jc w:val="center"/>
        </w:trPr>
        <w:tc>
          <w:tcPr>
            <w:tcW w:w="841" w:type="dxa"/>
            <w:vMerge w:val="restart"/>
            <w:vAlign w:val="center"/>
          </w:tcPr>
          <w:p>
            <w:pPr>
              <w:spacing w:line="320" w:lineRule="exact"/>
              <w:jc w:val="left"/>
              <w:rPr>
                <w:rFonts w:ascii="宋体" w:eastAsia="黑体" w:hAnsi="宋体" w:cs="Arial"/>
                <w:b/>
                <w:bCs/>
                <w:kern w:val="44"/>
                <w:sz w:val="24"/>
              </w:rPr>
            </w:pPr>
          </w:p>
        </w:tc>
        <w:tc>
          <w:tcPr>
            <w:tcW w:w="713" w:type="dxa"/>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序号</w:t>
            </w:r>
          </w:p>
        </w:tc>
        <w:tc>
          <w:tcPr>
            <w:tcW w:w="1406" w:type="dxa"/>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评分因素</w:t>
            </w:r>
          </w:p>
        </w:tc>
        <w:tc>
          <w:tcPr>
            <w:tcW w:w="874" w:type="dxa"/>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权重（%）</w:t>
            </w:r>
          </w:p>
        </w:tc>
        <w:tc>
          <w:tcPr>
            <w:tcW w:w="5047" w:type="dxa"/>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评分准则</w:t>
            </w:r>
          </w:p>
        </w:tc>
      </w:tr>
      <w:tr>
        <w:tblPrEx>
          <w:tblW w:w="8881" w:type="dxa"/>
          <w:jc w:val="center"/>
          <w:tblLayout w:type="fixed"/>
          <w:tblCellMar>
            <w:top w:w="0" w:type="dxa"/>
            <w:left w:w="108" w:type="dxa"/>
            <w:bottom w:w="0" w:type="dxa"/>
            <w:right w:w="108" w:type="dxa"/>
          </w:tblCellMar>
        </w:tblPrEx>
        <w:trPr>
          <w:trHeight w:val="454"/>
          <w:jc w:val="center"/>
        </w:trPr>
        <w:tc>
          <w:tcPr>
            <w:tcW w:w="841" w:type="dxa"/>
            <w:vMerge/>
            <w:vAlign w:val="center"/>
          </w:tcPr>
          <w:p>
            <w:pPr>
              <w:spacing w:line="320" w:lineRule="exact"/>
              <w:jc w:val="left"/>
              <w:rPr>
                <w:rFonts w:ascii="宋体" w:eastAsia="黑体" w:hAnsi="宋体" w:cs="Arial"/>
                <w:b/>
                <w:bCs/>
                <w:kern w:val="44"/>
                <w:sz w:val="24"/>
              </w:rPr>
            </w:pPr>
          </w:p>
        </w:tc>
        <w:tc>
          <w:tcPr>
            <w:tcW w:w="713"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1</w:t>
            </w:r>
          </w:p>
        </w:tc>
        <w:tc>
          <w:tcPr>
            <w:tcW w:w="1406" w:type="dxa"/>
            <w:vAlign w:val="center"/>
          </w:tcPr>
          <w:p>
            <w:pPr>
              <w:snapToGrid w:val="0"/>
              <w:spacing w:line="320" w:lineRule="exact"/>
              <w:jc w:val="center"/>
              <w:rPr>
                <w:rFonts w:ascii="宋体" w:eastAsia="宋体" w:hAnsi="宋体" w:cs="Times New Roman"/>
                <w:color w:val="000000"/>
                <w:szCs w:val="21"/>
              </w:rPr>
            </w:pPr>
            <w:r>
              <w:rPr>
                <w:rFonts w:ascii="宋体" w:eastAsia="宋体" w:hAnsi="宋体" w:cs="宋体" w:hint="eastAsia"/>
                <w:color w:val="000000"/>
                <w:szCs w:val="21"/>
              </w:rPr>
              <w:t>管理体系证书</w:t>
            </w:r>
          </w:p>
        </w:tc>
        <w:tc>
          <w:tcPr>
            <w:tcW w:w="874" w:type="dxa"/>
            <w:vAlign w:val="center"/>
          </w:tcPr>
          <w:p>
            <w:pPr>
              <w:snapToGrid w:val="0"/>
              <w:jc w:val="center"/>
              <w:rPr>
                <w:rFonts w:ascii="宋体" w:eastAsia="宋体" w:hAnsi="宋体" w:cs="Times New Roman"/>
                <w:color w:val="000000"/>
                <w:szCs w:val="21"/>
              </w:rPr>
            </w:pPr>
            <w:r>
              <w:rPr>
                <w:rFonts w:ascii="宋体" w:eastAsia="宋体" w:hAnsi="宋体" w:cs="宋体" w:hint="eastAsia"/>
                <w:color w:val="000000"/>
                <w:szCs w:val="21"/>
              </w:rPr>
              <w:t>5</w:t>
            </w:r>
          </w:p>
        </w:tc>
        <w:tc>
          <w:tcPr>
            <w:tcW w:w="5047" w:type="dxa"/>
          </w:tcPr>
          <w:p>
            <w:pPr>
              <w:snapToGrid w:val="0"/>
              <w:spacing w:line="320" w:lineRule="exact"/>
              <w:rPr>
                <w:rFonts w:ascii="Times New Roman" w:eastAsia="宋体" w:hAnsi="Times New Roman" w:cs="Times New Roman"/>
                <w:bCs/>
                <w:color w:val="000000"/>
                <w:szCs w:val="21"/>
              </w:rPr>
            </w:pPr>
            <w:r>
              <w:rPr>
                <w:rFonts w:ascii="Times New Roman" w:eastAsia="宋体" w:hAnsi="Times New Roman" w:cs="Times New Roman" w:hint="eastAsia"/>
                <w:b/>
                <w:color w:val="000000"/>
                <w:szCs w:val="21"/>
              </w:rPr>
              <w:t>（一）评审内容：</w:t>
            </w:r>
          </w:p>
          <w:p>
            <w:pPr>
              <w:snapToGrid w:val="0"/>
              <w:spacing w:line="320" w:lineRule="exac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投标人具有有效期内的质量管理体系认证证书、环境管理体系认证证书、职业健康安全管理体系认证证书；每满足一项得35分， 本项最高得100分。</w:t>
            </w:r>
          </w:p>
          <w:p>
            <w:pPr>
              <w:snapToGrid w:val="0"/>
              <w:spacing w:line="320" w:lineRule="exact"/>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（二）评审依据：</w:t>
            </w:r>
          </w:p>
          <w:p>
            <w:pPr>
              <w:snapToGrid w:val="0"/>
              <w:spacing w:line="320" w:lineRule="exact"/>
              <w:rPr>
                <w:rFonts w:ascii="宋体" w:eastAsia="宋体" w:hAnsi="宋体" w:cs="Times New Roman"/>
                <w:bCs/>
                <w:color w:val="000000"/>
                <w:szCs w:val="21"/>
              </w:rPr>
            </w:pPr>
            <w:r>
              <w:rPr>
                <w:rFonts w:ascii="等线" w:eastAsia="宋体" w:hAnsi="等线" w:cs="Times New Roman" w:hint="eastAsia"/>
                <w:kern w:val="0"/>
                <w:szCs w:val="21"/>
              </w:rPr>
              <w:t>提供相关认证机构颁发的有效期内的认证证书扫描件及认证信息查询截图（截图需显示证书状态为有效）。说明：</w:t>
            </w:r>
            <w:r>
              <w:rPr>
                <w:rFonts w:ascii="等线" w:eastAsia="宋体" w:hAnsi="等线" w:cs="Times New Roman"/>
                <w:kern w:val="0"/>
                <w:szCs w:val="21"/>
              </w:rPr>
              <w:t>1.</w:t>
            </w:r>
            <w:r>
              <w:rPr>
                <w:rFonts w:ascii="等线" w:eastAsia="宋体" w:hAnsi="等线" w:cs="Times New Roman" w:hint="eastAsia"/>
                <w:kern w:val="0"/>
                <w:szCs w:val="21"/>
              </w:rPr>
              <w:t>证书与查询信息截图必须同时提供，缺一不可。未同时提供的不得分，后果由投标人自行承担。</w:t>
            </w:r>
            <w:r>
              <w:rPr>
                <w:rFonts w:ascii="等线" w:eastAsia="宋体" w:hAnsi="等线" w:cs="Times New Roman"/>
                <w:kern w:val="0"/>
                <w:szCs w:val="21"/>
              </w:rPr>
              <w:t>2.</w:t>
            </w:r>
            <w:r>
              <w:rPr>
                <w:rFonts w:ascii="等线" w:eastAsia="宋体" w:hAnsi="等线" w:cs="Times New Roman" w:hint="eastAsia"/>
                <w:kern w:val="0"/>
                <w:szCs w:val="21"/>
              </w:rPr>
              <w:t>投标人应确保认证证书在开标当天仍处于有效状态，并对所提供的证书及查询截图的真实性负责，如出现与事实不符的情形，视同隐瞒真实情况，提供虚假资料，将依法承担相应的法律责任。</w:t>
            </w:r>
            <w:r>
              <w:rPr>
                <w:rFonts w:ascii="等线" w:eastAsia="宋体" w:hAnsi="等线" w:cs="Times New Roman"/>
                <w:kern w:val="0"/>
                <w:szCs w:val="21"/>
              </w:rPr>
              <w:t>3.</w:t>
            </w:r>
            <w:r>
              <w:rPr>
                <w:rFonts w:ascii="等线" w:eastAsia="宋体" w:hAnsi="等线" w:cs="Times New Roman" w:hint="eastAsia"/>
                <w:kern w:val="0"/>
                <w:szCs w:val="21"/>
              </w:rPr>
              <w:t>质疑投诉处理中对证书是否有效的认定，以国家认监委网站【全国认证认可信息公共服务平台（</w:t>
            </w:r>
            <w:r>
              <w:rPr>
                <w:rFonts w:ascii="等线" w:eastAsia="宋体" w:hAnsi="等线" w:cs="Times New Roman"/>
                <w:kern w:val="0"/>
                <w:szCs w:val="21"/>
              </w:rPr>
              <w:t>//cx.cnca.cn</w:t>
            </w:r>
            <w:r>
              <w:rPr>
                <w:rFonts w:ascii="等线" w:eastAsia="宋体" w:hAnsi="等线" w:cs="Times New Roman" w:hint="eastAsia"/>
                <w:kern w:val="0"/>
                <w:szCs w:val="21"/>
              </w:rPr>
              <w:t>）】查询结果为准。</w:t>
            </w:r>
          </w:p>
        </w:tc>
      </w:tr>
      <w:tr>
        <w:tblPrEx>
          <w:tblW w:w="8881" w:type="dxa"/>
          <w:jc w:val="center"/>
          <w:tblLayout w:type="fixed"/>
          <w:tblCellMar>
            <w:top w:w="0" w:type="dxa"/>
            <w:left w:w="108" w:type="dxa"/>
            <w:bottom w:w="0" w:type="dxa"/>
            <w:right w:w="108" w:type="dxa"/>
          </w:tblCellMar>
        </w:tblPrEx>
        <w:trPr>
          <w:trHeight w:val="454"/>
          <w:jc w:val="center"/>
        </w:trPr>
        <w:tc>
          <w:tcPr>
            <w:tcW w:w="841" w:type="dxa"/>
            <w:vMerge/>
            <w:vAlign w:val="center"/>
          </w:tcPr>
          <w:p>
            <w:pPr>
              <w:spacing w:line="320" w:lineRule="exact"/>
              <w:jc w:val="left"/>
              <w:rPr>
                <w:rFonts w:ascii="宋体" w:eastAsia="黑体" w:hAnsi="宋体" w:cs="Arial"/>
                <w:b/>
                <w:bCs/>
                <w:kern w:val="44"/>
                <w:sz w:val="24"/>
              </w:rPr>
            </w:pPr>
          </w:p>
        </w:tc>
        <w:tc>
          <w:tcPr>
            <w:tcW w:w="713" w:type="dxa"/>
            <w:vAlign w:val="center"/>
          </w:tcPr>
          <w:p>
            <w:pPr>
              <w:spacing w:line="320" w:lineRule="exact"/>
              <w:jc w:val="center"/>
              <w:rPr>
                <w:rFonts w:ascii="Times New Roman" w:eastAsia="宋体" w:hAnsi="Times New Roman" w:cs="Times New Roman"/>
                <w:szCs w:val="21"/>
              </w:rPr>
            </w:pPr>
            <w:r>
              <w:rPr>
                <w:rFonts w:ascii="宋体" w:eastAsia="宋体" w:hAnsi="宋体" w:cs="Times New Roman" w:hint="eastAsia"/>
                <w:szCs w:val="21"/>
              </w:rPr>
              <w:t>2</w:t>
            </w:r>
          </w:p>
        </w:tc>
        <w:tc>
          <w:tcPr>
            <w:tcW w:w="1406" w:type="dxa"/>
            <w:vAlign w:val="center"/>
          </w:tcPr>
          <w:p>
            <w:pPr>
              <w:snapToGrid w:val="0"/>
              <w:spacing w:line="320" w:lineRule="exact"/>
              <w:jc w:val="center"/>
              <w:rPr>
                <w:rFonts w:ascii="Times New Roman" w:eastAsia="宋体" w:hAnsi="Times New Roman" w:cs="宋体"/>
                <w:szCs w:val="21"/>
              </w:rPr>
            </w:pPr>
            <w:r>
              <w:rPr>
                <w:rFonts w:ascii="宋体" w:eastAsia="宋体" w:hAnsi="宋体" w:cs="宋体" w:hint="eastAsia"/>
                <w:szCs w:val="21"/>
              </w:rPr>
              <w:t>绿色采购情况</w:t>
            </w:r>
          </w:p>
        </w:tc>
        <w:tc>
          <w:tcPr>
            <w:tcW w:w="874" w:type="dxa"/>
            <w:vAlign w:val="center"/>
          </w:tcPr>
          <w:p>
            <w:pPr>
              <w:snapToGrid w:val="0"/>
              <w:jc w:val="center"/>
              <w:rPr>
                <w:rFonts w:ascii="Times New Roman" w:eastAsia="宋体" w:hAnsi="Times New Roman" w:cs="宋体"/>
                <w:szCs w:val="21"/>
              </w:rPr>
            </w:pPr>
            <w:r>
              <w:rPr>
                <w:rFonts w:ascii="宋体" w:eastAsia="宋体" w:hAnsi="宋体" w:cs="宋体" w:hint="eastAsia"/>
                <w:szCs w:val="21"/>
              </w:rPr>
              <w:t>1</w:t>
            </w:r>
          </w:p>
        </w:tc>
        <w:tc>
          <w:tcPr>
            <w:tcW w:w="5047" w:type="dxa"/>
          </w:tcPr>
          <w:p>
            <w:pPr>
              <w:snapToGrid w:val="0"/>
              <w:rPr>
                <w:rFonts w:ascii="Times New Roman" w:eastAsia="宋体" w:hAnsi="Times New Roman" w:cs="宋体"/>
                <w:szCs w:val="21"/>
              </w:rPr>
            </w:pPr>
            <w:r>
              <w:rPr>
                <w:rFonts w:ascii="Times New Roman" w:eastAsia="宋体" w:hAnsi="Times New Roman" w:cs="宋体" w:hint="eastAsia"/>
                <w:szCs w:val="21"/>
              </w:rPr>
              <w:t>本项目采购内容中需要对相关产品进行商品包装和快递包装，投标人承诺以下内容的得100分：</w:t>
            </w:r>
          </w:p>
          <w:p>
            <w:pPr>
              <w:snapToGrid w:val="0"/>
              <w:rPr>
                <w:rFonts w:ascii="Times New Roman" w:eastAsia="宋体" w:hAnsi="Times New Roman" w:cs="宋体"/>
                <w:szCs w:val="21"/>
              </w:rPr>
            </w:pPr>
            <w:r>
              <w:rPr>
                <w:rFonts w:ascii="Times New Roman" w:eastAsia="宋体" w:hAnsi="Times New Roman" w:cs="宋体" w:hint="eastAsia"/>
                <w:szCs w:val="21"/>
              </w:rPr>
              <w:t>所进行的商品包装和快递包装满足财政部《商品包装政府采购需求标准（试行）》《快递包装政府采购需求标准（试行）》（财办库〔2020〕123号）的要求，采用环保材料进行包装。</w:t>
            </w:r>
          </w:p>
          <w:p>
            <w:pPr>
              <w:snapToGrid w:val="0"/>
              <w:rPr>
                <w:rFonts w:ascii="Times New Roman" w:eastAsia="宋体" w:hAnsi="Times New Roman" w:cs="宋体"/>
                <w:szCs w:val="21"/>
              </w:rPr>
            </w:pPr>
            <w:r>
              <w:rPr>
                <w:rFonts w:ascii="Times New Roman" w:eastAsia="宋体" w:hAnsi="Times New Roman" w:cs="宋体" w:hint="eastAsia"/>
                <w:szCs w:val="21"/>
              </w:rPr>
              <w:t>评审依据：</w:t>
            </w:r>
          </w:p>
          <w:p>
            <w:pPr>
              <w:snapToGrid w:val="0"/>
              <w:rPr>
                <w:rFonts w:ascii="Times New Roman" w:eastAsia="宋体" w:hAnsi="Times New Roman" w:cs="宋体"/>
                <w:szCs w:val="21"/>
              </w:rPr>
            </w:pPr>
            <w:r>
              <w:rPr>
                <w:rFonts w:ascii="Times New Roman" w:eastAsia="宋体" w:hAnsi="Times New Roman" w:cs="宋体" w:hint="eastAsia"/>
                <w:szCs w:val="21"/>
              </w:rPr>
              <w:t>提供相关承诺函（格式自定），未按要求提供证明材料（或证明材料无法判断是否符合评分要求）的不得分，原件备查。</w:t>
            </w:r>
          </w:p>
        </w:tc>
      </w:tr>
      <w:tr>
        <w:tblPrEx>
          <w:tblW w:w="8881" w:type="dxa"/>
          <w:jc w:val="center"/>
          <w:tblLayout w:type="fixed"/>
          <w:tblCellMar>
            <w:top w:w="0" w:type="dxa"/>
            <w:left w:w="108" w:type="dxa"/>
            <w:bottom w:w="0" w:type="dxa"/>
            <w:right w:w="108" w:type="dxa"/>
          </w:tblCellMar>
        </w:tblPrEx>
        <w:trPr>
          <w:trHeight w:val="616"/>
          <w:jc w:val="center"/>
        </w:trPr>
        <w:tc>
          <w:tcPr>
            <w:tcW w:w="841" w:type="dxa"/>
            <w:vMerge/>
            <w:vAlign w:val="center"/>
          </w:tcPr>
          <w:p>
            <w:pPr>
              <w:spacing w:line="320" w:lineRule="exact"/>
              <w:jc w:val="left"/>
              <w:rPr>
                <w:rFonts w:ascii="宋体" w:eastAsia="黑体" w:hAnsi="宋体" w:cs="Arial"/>
                <w:b/>
                <w:bCs/>
                <w:kern w:val="44"/>
                <w:sz w:val="28"/>
              </w:rPr>
            </w:pPr>
          </w:p>
        </w:tc>
        <w:tc>
          <w:tcPr>
            <w:tcW w:w="713"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3</w:t>
            </w:r>
          </w:p>
        </w:tc>
        <w:tc>
          <w:tcPr>
            <w:tcW w:w="1406" w:type="dxa"/>
            <w:vAlign w:val="center"/>
          </w:tcPr>
          <w:p>
            <w:pPr>
              <w:snapToGrid w:val="0"/>
              <w:spacing w:line="320" w:lineRule="exact"/>
              <w:jc w:val="center"/>
              <w:rPr>
                <w:rFonts w:ascii="宋体" w:eastAsia="宋体" w:hAnsi="宋体" w:cs="Times New Roman"/>
                <w:szCs w:val="21"/>
              </w:rPr>
            </w:pPr>
            <w:r>
              <w:rPr>
                <w:rFonts w:ascii="宋体" w:eastAsia="宋体" w:hAnsi="宋体" w:cs="宋体" w:hint="eastAsia"/>
                <w:szCs w:val="21"/>
              </w:rPr>
              <w:t>同类项目业绩</w:t>
            </w:r>
          </w:p>
        </w:tc>
        <w:tc>
          <w:tcPr>
            <w:tcW w:w="874" w:type="dxa"/>
            <w:vAlign w:val="center"/>
          </w:tcPr>
          <w:p>
            <w:pPr>
              <w:snapToGrid w:val="0"/>
              <w:jc w:val="center"/>
              <w:rPr>
                <w:rFonts w:ascii="宋体" w:eastAsia="宋体" w:hAnsi="宋体" w:cs="Times New Roman"/>
                <w:szCs w:val="21"/>
              </w:rPr>
            </w:pPr>
            <w:r>
              <w:rPr>
                <w:rFonts w:ascii="宋体" w:eastAsia="宋体" w:hAnsi="宋体" w:cs="宋体" w:hint="eastAsia"/>
                <w:szCs w:val="21"/>
              </w:rPr>
              <w:t>4</w:t>
            </w:r>
          </w:p>
        </w:tc>
        <w:tc>
          <w:tcPr>
            <w:tcW w:w="5047" w:type="dxa"/>
          </w:tcPr>
          <w:p>
            <w:pPr>
              <w:spacing w:line="320" w:lineRule="exact"/>
              <w:rPr>
                <w:rFonts w:ascii="Times New Roman" w:eastAsia="宋体" w:hAnsi="Times New Roman" w:cs="Times New Roman"/>
                <w:b/>
                <w:szCs w:val="21"/>
              </w:rPr>
            </w:pPr>
            <w:r>
              <w:rPr>
                <w:rFonts w:ascii="Times New Roman" w:eastAsia="宋体" w:hAnsi="Times New Roman" w:cs="Times New Roman" w:hint="eastAsia"/>
                <w:b/>
                <w:szCs w:val="21"/>
              </w:rPr>
              <w:t>（一）评审内容：</w:t>
            </w:r>
          </w:p>
          <w:p>
            <w:pPr>
              <w:spacing w:line="320" w:lineRule="exact"/>
              <w:rPr>
                <w:bCs/>
              </w:rPr>
            </w:pPr>
            <w:r>
              <w:rPr>
                <w:rFonts w:hint="eastAsia"/>
                <w:bCs/>
              </w:rPr>
              <w:t>投标人2021年1月1日（以合同签订日期为准）以来：</w:t>
            </w:r>
          </w:p>
          <w:p>
            <w:pPr>
              <w:spacing w:line="320" w:lineRule="exact"/>
              <w:rPr>
                <w:rFonts w:ascii="Times New Roman" w:eastAsia="宋体" w:hAnsi="Times New Roman" w:cs="Times New Roman"/>
                <w:bCs/>
                <w:szCs w:val="21"/>
              </w:rPr>
            </w:pPr>
            <w:r>
              <w:rPr>
                <w:rFonts w:ascii="Times New Roman" w:eastAsia="宋体" w:hAnsi="Times New Roman" w:cs="Times New Roman" w:hint="eastAsia"/>
                <w:bCs/>
                <w:szCs w:val="21"/>
              </w:rPr>
              <w:t>投标人具有理科实验考试设备类项目经验，每提供1个项目得25分，最高得分为100分。</w:t>
            </w:r>
          </w:p>
          <w:p>
            <w:pPr>
              <w:spacing w:line="320" w:lineRule="exact"/>
              <w:rPr>
                <w:rFonts w:ascii="Times New Roman" w:eastAsia="宋体" w:hAnsi="Times New Roman" w:cs="宋体"/>
                <w:b/>
                <w:bCs/>
                <w:szCs w:val="21"/>
              </w:rPr>
            </w:pPr>
            <w:r>
              <w:rPr>
                <w:rFonts w:ascii="Times New Roman" w:eastAsia="宋体" w:hAnsi="Times New Roman" w:cs="宋体" w:hint="eastAsia"/>
                <w:b/>
                <w:bCs/>
                <w:szCs w:val="21"/>
              </w:rPr>
              <w:t>（二）评审依据：</w:t>
            </w:r>
          </w:p>
          <w:p>
            <w:pPr>
              <w:snapToGrid w:val="0"/>
              <w:rPr>
                <w:rFonts w:ascii="宋体" w:eastAsia="宋体" w:hAnsi="宋体" w:cs="宋体"/>
                <w:szCs w:val="21"/>
              </w:rPr>
            </w:pPr>
            <w:r>
              <w:rPr>
                <w:rFonts w:ascii="Times New Roman" w:eastAsia="宋体" w:hAnsi="Times New Roman" w:cs="宋体" w:hint="eastAsia"/>
                <w:szCs w:val="21"/>
              </w:rPr>
              <w:t>1、</w:t>
            </w:r>
            <w:r>
              <w:rPr>
                <w:rFonts w:ascii="宋体" w:eastAsia="宋体" w:hAnsi="宋体" w:cs="宋体" w:hint="eastAsia"/>
                <w:szCs w:val="21"/>
              </w:rPr>
              <w:t>同时提供：①经验项目合同关键页（含签订合同双方的单位名称、合同项目名称、含签订合同双方的落款盖章、签订日期的关键页）；②设备配置清单扫描件；③甲方出具的验收报告或履约评价（加盖合同甲方公章（或甲方业务章））</w:t>
            </w:r>
          </w:p>
          <w:p>
            <w:pPr>
              <w:snapToGrid w:val="0"/>
              <w:spacing w:line="320" w:lineRule="exact"/>
              <w:rPr>
                <w:rFonts w:ascii="宋体" w:hAnsi="宋体"/>
                <w:bCs/>
              </w:rPr>
            </w:pPr>
            <w:r>
              <w:rPr>
                <w:rFonts w:ascii="Times New Roman" w:eastAsia="宋体" w:hAnsi="Times New Roman" w:cs="宋体" w:hint="eastAsia"/>
                <w:szCs w:val="21"/>
              </w:rPr>
              <w:t>2、未按要求提供证明材料（或证明材料无法判断是否符合评分要求）的不得分，原件备查</w:t>
            </w:r>
            <w:r>
              <w:rPr>
                <w:rFonts w:ascii="Times New Roman" w:eastAsia="宋体" w:hAnsi="Times New Roman" w:cs="宋体"/>
                <w:szCs w:val="21"/>
              </w:rPr>
              <w:t>。</w:t>
            </w:r>
          </w:p>
        </w:tc>
      </w:tr>
      <w:tr>
        <w:tblPrEx>
          <w:tblW w:w="8881" w:type="dxa"/>
          <w:jc w:val="center"/>
          <w:tblLayout w:type="fixed"/>
          <w:tblCellMar>
            <w:top w:w="0" w:type="dxa"/>
            <w:left w:w="108" w:type="dxa"/>
            <w:bottom w:w="0" w:type="dxa"/>
            <w:right w:w="108" w:type="dxa"/>
          </w:tblCellMar>
        </w:tblPrEx>
        <w:trPr>
          <w:trHeight w:val="616"/>
          <w:jc w:val="center"/>
        </w:trPr>
        <w:tc>
          <w:tcPr>
            <w:tcW w:w="841" w:type="dxa"/>
            <w:vMerge/>
            <w:vAlign w:val="center"/>
          </w:tcPr>
          <w:p>
            <w:pPr>
              <w:spacing w:line="320" w:lineRule="exact"/>
              <w:jc w:val="left"/>
              <w:rPr>
                <w:rFonts w:ascii="宋体" w:eastAsia="黑体" w:hAnsi="宋体" w:cs="Arial"/>
                <w:b/>
                <w:bCs/>
                <w:kern w:val="44"/>
                <w:sz w:val="28"/>
              </w:rPr>
            </w:pPr>
          </w:p>
        </w:tc>
        <w:tc>
          <w:tcPr>
            <w:tcW w:w="713"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4</w:t>
            </w:r>
          </w:p>
        </w:tc>
        <w:tc>
          <w:tcPr>
            <w:tcW w:w="1406" w:type="dxa"/>
            <w:vAlign w:val="center"/>
          </w:tcPr>
          <w:p>
            <w:pPr>
              <w:snapToGrid w:val="0"/>
              <w:spacing w:line="320" w:lineRule="exact"/>
              <w:jc w:val="center"/>
              <w:rPr>
                <w:rFonts w:ascii="宋体" w:eastAsia="宋体" w:hAnsi="宋体" w:cs="宋体"/>
                <w:szCs w:val="21"/>
              </w:rPr>
            </w:pPr>
            <w:r>
              <w:rPr>
                <w:rFonts w:ascii="Times New Roman" w:eastAsia="宋体" w:hAnsi="Times New Roman" w:cs="宋体" w:hint="eastAsia"/>
                <w:color w:val="000000"/>
                <w:szCs w:val="21"/>
              </w:rPr>
              <w:t>“校级管理平台”</w:t>
            </w:r>
            <w:r>
              <w:rPr>
                <w:rFonts w:ascii="Times New Roman" w:eastAsia="宋体" w:hAnsi="Times New Roman" w:cs="宋体" w:hint="eastAsia"/>
                <w:bCs/>
                <w:szCs w:val="21"/>
              </w:rPr>
              <w:t>相关证书</w:t>
            </w:r>
          </w:p>
        </w:tc>
        <w:tc>
          <w:tcPr>
            <w:tcW w:w="874" w:type="dxa"/>
            <w:vAlign w:val="center"/>
          </w:tcPr>
          <w:p>
            <w:pPr>
              <w:snapToGrid w:val="0"/>
              <w:jc w:val="center"/>
              <w:rPr>
                <w:rFonts w:ascii="宋体" w:eastAsia="宋体" w:hAnsi="宋体" w:cs="宋体"/>
                <w:szCs w:val="21"/>
              </w:rPr>
            </w:pPr>
            <w:r>
              <w:rPr>
                <w:rFonts w:ascii="宋体" w:eastAsia="宋体" w:hAnsi="宋体" w:cs="宋体" w:hint="eastAsia"/>
                <w:szCs w:val="21"/>
              </w:rPr>
              <w:t>4</w:t>
            </w:r>
          </w:p>
        </w:tc>
        <w:tc>
          <w:tcPr>
            <w:tcW w:w="5047" w:type="dxa"/>
          </w:tcPr>
          <w:p>
            <w:pPr>
              <w:spacing w:line="320" w:lineRule="exact"/>
              <w:rPr>
                <w:rFonts w:ascii="Times New Roman" w:eastAsia="宋体" w:hAnsi="Times New Roman" w:cs="Times New Roman"/>
                <w:b/>
                <w:szCs w:val="21"/>
              </w:rPr>
            </w:pPr>
            <w:r>
              <w:rPr>
                <w:rFonts w:ascii="Times New Roman" w:eastAsia="宋体" w:hAnsi="Times New Roman" w:cs="Times New Roman"/>
                <w:szCs w:val="24"/>
              </w:rPr>
              <w:t>（一）评分内容：</w:t>
            </w:r>
            <w:r>
              <w:rPr>
                <w:rFonts w:ascii="Times New Roman" w:eastAsia="宋体" w:hAnsi="Times New Roman" w:cs="Times New Roman"/>
                <w:szCs w:val="24"/>
              </w:rPr>
              <w:br/>
            </w:r>
            <w:r>
              <w:rPr>
                <w:rFonts w:ascii="Times New Roman" w:eastAsia="宋体" w:hAnsi="Times New Roman" w:cs="Times New Roman"/>
                <w:szCs w:val="24"/>
              </w:rPr>
              <w:t>1、投标人所投“</w:t>
            </w:r>
            <w:r>
              <w:rPr>
                <w:rFonts w:ascii="Times New Roman" w:eastAsia="宋体" w:hAnsi="Times New Roman" w:cs="宋体" w:hint="eastAsia"/>
                <w:szCs w:val="21"/>
              </w:rPr>
              <w:t>校级管理平台</w:t>
            </w:r>
            <w:r>
              <w:rPr>
                <w:rFonts w:ascii="Times New Roman" w:eastAsia="宋体" w:hAnsi="Times New Roman" w:cs="Times New Roman"/>
                <w:szCs w:val="24"/>
              </w:rPr>
              <w:t>”产品，具有以下类别计算机软件著作权登记证书的，每提供一类得</w:t>
            </w:r>
            <w:r>
              <w:rPr>
                <w:rFonts w:ascii="Times New Roman" w:eastAsia="宋体" w:hAnsi="Times New Roman" w:cs="Times New Roman" w:hint="eastAsia"/>
                <w:szCs w:val="24"/>
              </w:rPr>
              <w:t>33.5</w:t>
            </w:r>
            <w:r>
              <w:rPr>
                <w:rFonts w:ascii="Times New Roman" w:eastAsia="宋体" w:hAnsi="Times New Roman" w:cs="Times New Roman"/>
                <w:szCs w:val="24"/>
              </w:rPr>
              <w:t>分，最高得</w:t>
            </w:r>
            <w:r>
              <w:rPr>
                <w:rFonts w:ascii="Times New Roman" w:eastAsia="宋体" w:hAnsi="Times New Roman" w:cs="Times New Roman" w:hint="eastAsia"/>
                <w:szCs w:val="24"/>
              </w:rPr>
              <w:t>100</w:t>
            </w:r>
            <w:r>
              <w:rPr>
                <w:rFonts w:ascii="Times New Roman" w:eastAsia="宋体" w:hAnsi="Times New Roman" w:cs="Times New Roman"/>
                <w:szCs w:val="24"/>
              </w:rPr>
              <w:t>分：</w:t>
            </w:r>
            <w:r>
              <w:rPr>
                <w:rFonts w:ascii="Times New Roman" w:eastAsia="宋体" w:hAnsi="Times New Roman" w:cs="Times New Roman"/>
                <w:szCs w:val="24"/>
              </w:rPr>
              <w:br/>
            </w:r>
            <w:r>
              <w:rPr>
                <w:rFonts w:ascii="宋体" w:eastAsia="宋体" w:hAnsi="宋体" w:cs="宋体" w:hint="eastAsia"/>
                <w:szCs w:val="24"/>
              </w:rPr>
              <w:t>①</w:t>
            </w:r>
            <w:r>
              <w:rPr>
                <w:rFonts w:ascii="Times New Roman" w:eastAsia="宋体" w:hAnsi="Times New Roman" w:cs="宋体" w:hint="eastAsia"/>
                <w:szCs w:val="21"/>
              </w:rPr>
              <w:t>AI辅助实验</w:t>
            </w:r>
            <w:r>
              <w:rPr>
                <w:rFonts w:ascii="Times New Roman" w:eastAsia="宋体" w:hAnsi="Times New Roman" w:cs="Times New Roman"/>
                <w:szCs w:val="24"/>
              </w:rPr>
              <w:t>类；</w:t>
            </w:r>
            <w:r>
              <w:rPr>
                <w:rFonts w:ascii="Times New Roman" w:eastAsia="宋体" w:hAnsi="Times New Roman" w:cs="Times New Roman"/>
                <w:szCs w:val="24"/>
              </w:rPr>
              <w:br/>
            </w:r>
            <w:r>
              <w:rPr>
                <w:rFonts w:ascii="宋体" w:eastAsia="宋体" w:hAnsi="宋体" w:cs="宋体" w:hint="eastAsia"/>
                <w:szCs w:val="24"/>
              </w:rPr>
              <w:t>②</w:t>
            </w:r>
            <w:r>
              <w:rPr>
                <w:rFonts w:ascii="Times New Roman" w:eastAsia="宋体" w:hAnsi="Times New Roman" w:cs="宋体" w:hint="eastAsia"/>
                <w:szCs w:val="21"/>
              </w:rPr>
              <w:t>AI实验评分软件</w:t>
            </w:r>
            <w:r>
              <w:rPr>
                <w:rFonts w:ascii="Times New Roman" w:eastAsia="宋体" w:hAnsi="Times New Roman" w:cs="Times New Roman"/>
                <w:szCs w:val="24"/>
              </w:rPr>
              <w:t>类；</w:t>
            </w:r>
            <w:r>
              <w:rPr>
                <w:rFonts w:ascii="Times New Roman" w:eastAsia="宋体" w:hAnsi="Times New Roman" w:cs="Times New Roman"/>
                <w:szCs w:val="24"/>
              </w:rPr>
              <w:br/>
            </w:r>
            <w:r>
              <w:rPr>
                <w:rFonts w:ascii="宋体" w:eastAsia="宋体" w:hAnsi="宋体" w:cs="宋体" w:hint="eastAsia"/>
                <w:szCs w:val="24"/>
              </w:rPr>
              <w:t>③</w:t>
            </w:r>
            <w:r>
              <w:rPr>
                <w:rFonts w:ascii="Times New Roman" w:eastAsia="宋体" w:hAnsi="Times New Roman" w:cs="宋体" w:hint="eastAsia"/>
                <w:szCs w:val="21"/>
              </w:rPr>
              <w:t>校级运维监控类</w:t>
            </w:r>
            <w:r>
              <w:rPr>
                <w:rFonts w:ascii="Times New Roman" w:eastAsia="宋体" w:hAnsi="Times New Roman" w:cs="Times New Roman"/>
                <w:szCs w:val="24"/>
              </w:rPr>
              <w:t>；</w:t>
            </w:r>
            <w:r>
              <w:rPr>
                <w:rFonts w:ascii="Times New Roman" w:eastAsia="宋体" w:hAnsi="Times New Roman" w:cs="Times New Roman"/>
                <w:szCs w:val="24"/>
              </w:rPr>
              <w:br/>
            </w:r>
            <w:r>
              <w:rPr>
                <w:rFonts w:ascii="Times New Roman" w:eastAsia="宋体" w:hAnsi="Times New Roman" w:cs="Times New Roman"/>
                <w:szCs w:val="24"/>
              </w:rPr>
              <w:t>以上同一类中提供多个证书的不重复计分。</w:t>
            </w:r>
            <w:r>
              <w:rPr>
                <w:rFonts w:ascii="Times New Roman" w:eastAsia="宋体" w:hAnsi="Times New Roman" w:cs="Times New Roman"/>
                <w:szCs w:val="24"/>
              </w:rPr>
              <w:br/>
            </w:r>
            <w:r>
              <w:rPr>
                <w:rFonts w:ascii="Times New Roman" w:eastAsia="宋体" w:hAnsi="Times New Roman" w:cs="Times New Roman"/>
                <w:szCs w:val="24"/>
              </w:rPr>
              <w:t>（二）评分依据：</w:t>
            </w:r>
            <w:r>
              <w:rPr>
                <w:rFonts w:ascii="Times New Roman" w:eastAsia="宋体" w:hAnsi="Times New Roman" w:cs="Times New Roman"/>
                <w:szCs w:val="24"/>
              </w:rPr>
              <w:br/>
            </w:r>
            <w:r>
              <w:rPr>
                <w:rFonts w:ascii="Times New Roman" w:eastAsia="宋体" w:hAnsi="Times New Roman" w:cs="Times New Roman"/>
                <w:szCs w:val="24"/>
              </w:rPr>
              <w:t>1、提供：</w:t>
            </w:r>
            <w:r>
              <w:rPr>
                <w:rFonts w:ascii="宋体" w:eastAsia="宋体" w:hAnsi="宋体" w:cs="宋体" w:hint="eastAsia"/>
                <w:szCs w:val="24"/>
              </w:rPr>
              <w:t>①</w:t>
            </w:r>
            <w:r>
              <w:rPr>
                <w:rFonts w:ascii="Times New Roman" w:eastAsia="宋体" w:hAnsi="Times New Roman" w:cs="Times New Roman"/>
                <w:szCs w:val="24"/>
              </w:rPr>
              <w:t>国家版权局颁发的相关计算机软件著作权登记证书扫描件；</w:t>
            </w:r>
            <w:r>
              <w:rPr>
                <w:rFonts w:ascii="宋体" w:eastAsia="宋体" w:hAnsi="宋体" w:cs="宋体" w:hint="eastAsia"/>
                <w:szCs w:val="24"/>
              </w:rPr>
              <w:t>②</w:t>
            </w:r>
            <w:r>
              <w:rPr>
                <w:rFonts w:ascii="Times New Roman" w:eastAsia="宋体" w:hAnsi="Times New Roman" w:cs="Times New Roman"/>
                <w:szCs w:val="24"/>
              </w:rPr>
              <w:t>中国版权保护中心（https://register.ccopyright.com.cn/query.html）计算机软件著作权登记公告检索截图；</w:t>
            </w:r>
            <w:r>
              <w:rPr>
                <w:rFonts w:ascii="Times New Roman" w:eastAsia="宋体" w:hAnsi="Times New Roman" w:cs="Times New Roman"/>
                <w:szCs w:val="24"/>
              </w:rPr>
              <w:br/>
            </w:r>
            <w:r>
              <w:rPr>
                <w:rFonts w:ascii="Times New Roman" w:eastAsia="宋体" w:hAnsi="Times New Roman" w:cs="Times New Roman"/>
                <w:szCs w:val="24"/>
              </w:rPr>
              <w:t>2、未按要求提供相关证明材料（或相关证明材料无法判断是否符合评分要求）的不计得分，原件备查。</w:t>
            </w:r>
          </w:p>
        </w:tc>
      </w:tr>
      <w:tr>
        <w:tblPrEx>
          <w:tblW w:w="8881" w:type="dxa"/>
          <w:jc w:val="center"/>
          <w:tblLayout w:type="fixed"/>
          <w:tblCellMar>
            <w:top w:w="0" w:type="dxa"/>
            <w:left w:w="108" w:type="dxa"/>
            <w:bottom w:w="0" w:type="dxa"/>
            <w:right w:w="108" w:type="dxa"/>
          </w:tblCellMar>
        </w:tblPrEx>
        <w:trPr>
          <w:trHeight w:val="616"/>
          <w:jc w:val="center"/>
        </w:trPr>
        <w:tc>
          <w:tcPr>
            <w:tcW w:w="841" w:type="dxa"/>
            <w:vMerge/>
            <w:vAlign w:val="center"/>
          </w:tcPr>
          <w:p>
            <w:pPr>
              <w:spacing w:line="320" w:lineRule="exact"/>
              <w:jc w:val="left"/>
              <w:rPr>
                <w:rFonts w:ascii="宋体" w:eastAsia="黑体" w:hAnsi="宋体" w:cs="Arial"/>
                <w:b/>
                <w:bCs/>
                <w:kern w:val="44"/>
                <w:sz w:val="28"/>
              </w:rPr>
            </w:pPr>
          </w:p>
        </w:tc>
        <w:tc>
          <w:tcPr>
            <w:tcW w:w="713"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5</w:t>
            </w:r>
          </w:p>
        </w:tc>
        <w:tc>
          <w:tcPr>
            <w:tcW w:w="1406" w:type="dxa"/>
            <w:vAlign w:val="center"/>
          </w:tcPr>
          <w:p>
            <w:pPr>
              <w:snapToGrid w:val="0"/>
              <w:spacing w:line="320" w:lineRule="exact"/>
              <w:jc w:val="center"/>
              <w:rPr>
                <w:rFonts w:ascii="宋体" w:eastAsia="宋体" w:hAnsi="宋体" w:cs="宋体"/>
                <w:szCs w:val="21"/>
              </w:rPr>
            </w:pPr>
            <w:r>
              <w:rPr>
                <w:rFonts w:ascii="Times New Roman" w:eastAsia="宋体" w:hAnsi="Times New Roman" w:cs="宋体" w:hint="eastAsia"/>
                <w:color w:val="000000"/>
                <w:szCs w:val="21"/>
              </w:rPr>
              <w:t>“实验信息采集终端”</w:t>
            </w:r>
            <w:r>
              <w:rPr>
                <w:rFonts w:ascii="Times New Roman" w:eastAsia="宋体" w:hAnsi="Times New Roman" w:cs="宋体" w:hint="eastAsia"/>
                <w:bCs/>
                <w:szCs w:val="21"/>
              </w:rPr>
              <w:t>相关证书</w:t>
            </w:r>
          </w:p>
        </w:tc>
        <w:tc>
          <w:tcPr>
            <w:tcW w:w="874" w:type="dxa"/>
            <w:vAlign w:val="center"/>
          </w:tcPr>
          <w:p>
            <w:pPr>
              <w:snapToGrid w:val="0"/>
              <w:jc w:val="center"/>
              <w:rPr>
                <w:rFonts w:ascii="宋体" w:eastAsia="宋体" w:hAnsi="宋体" w:cs="宋体"/>
                <w:szCs w:val="21"/>
              </w:rPr>
            </w:pPr>
            <w:r>
              <w:rPr>
                <w:rFonts w:ascii="宋体" w:eastAsia="宋体" w:hAnsi="宋体" w:cs="宋体" w:hint="eastAsia"/>
                <w:szCs w:val="21"/>
              </w:rPr>
              <w:t>4</w:t>
            </w:r>
          </w:p>
        </w:tc>
        <w:tc>
          <w:tcPr>
            <w:tcW w:w="5047" w:type="dxa"/>
          </w:tcPr>
          <w:p>
            <w:pPr>
              <w:spacing w:line="320" w:lineRule="exact"/>
              <w:rPr>
                <w:rFonts w:ascii="Times New Roman" w:eastAsia="宋体" w:hAnsi="Times New Roman" w:cs="Times New Roman"/>
                <w:b/>
                <w:szCs w:val="21"/>
              </w:rPr>
            </w:pPr>
            <w:r>
              <w:rPr>
                <w:rFonts w:ascii="Times New Roman" w:eastAsia="宋体" w:hAnsi="Times New Roman" w:cs="Times New Roman"/>
                <w:szCs w:val="24"/>
              </w:rPr>
              <w:t>（一）评分内容：</w:t>
            </w:r>
            <w:r>
              <w:rPr>
                <w:rFonts w:ascii="Times New Roman" w:eastAsia="宋体" w:hAnsi="Times New Roman" w:cs="Times New Roman"/>
                <w:szCs w:val="24"/>
              </w:rPr>
              <w:br/>
            </w:r>
            <w:r>
              <w:rPr>
                <w:rFonts w:ascii="Times New Roman" w:eastAsia="宋体" w:hAnsi="Times New Roman" w:cs="Times New Roman"/>
                <w:szCs w:val="24"/>
              </w:rPr>
              <w:t>1、投标人所投“</w:t>
            </w:r>
            <w:r>
              <w:rPr>
                <w:rFonts w:ascii="Times New Roman" w:eastAsia="宋体" w:hAnsi="Times New Roman" w:cs="宋体" w:hint="eastAsia"/>
                <w:szCs w:val="21"/>
              </w:rPr>
              <w:t>实验信息采集终端</w:t>
            </w:r>
            <w:r>
              <w:rPr>
                <w:rFonts w:ascii="Times New Roman" w:eastAsia="宋体" w:hAnsi="Times New Roman" w:cs="Times New Roman"/>
                <w:szCs w:val="24"/>
              </w:rPr>
              <w:t>”产品，具有以下类别计算机软件著作权登记证书的，每提供一类得</w:t>
            </w:r>
            <w:r>
              <w:rPr>
                <w:rFonts w:ascii="Times New Roman" w:eastAsia="宋体" w:hAnsi="Times New Roman" w:cs="Times New Roman" w:hint="eastAsia"/>
                <w:szCs w:val="24"/>
              </w:rPr>
              <w:t>25</w:t>
            </w:r>
            <w:r>
              <w:rPr>
                <w:rFonts w:ascii="Times New Roman" w:eastAsia="宋体" w:hAnsi="Times New Roman" w:cs="Times New Roman"/>
                <w:szCs w:val="24"/>
              </w:rPr>
              <w:t>分，最高得</w:t>
            </w:r>
            <w:r>
              <w:rPr>
                <w:rFonts w:ascii="Times New Roman" w:eastAsia="宋体" w:hAnsi="Times New Roman" w:cs="Times New Roman" w:hint="eastAsia"/>
                <w:szCs w:val="24"/>
              </w:rPr>
              <w:t>100</w:t>
            </w:r>
            <w:r>
              <w:rPr>
                <w:rFonts w:ascii="Times New Roman" w:eastAsia="宋体" w:hAnsi="Times New Roman" w:cs="Times New Roman"/>
                <w:szCs w:val="24"/>
              </w:rPr>
              <w:t>分：</w:t>
            </w:r>
            <w:r>
              <w:rPr>
                <w:rFonts w:ascii="Times New Roman" w:eastAsia="宋体" w:hAnsi="Times New Roman" w:cs="Times New Roman"/>
                <w:szCs w:val="24"/>
              </w:rPr>
              <w:br/>
            </w:r>
            <w:r>
              <w:rPr>
                <w:rFonts w:ascii="宋体" w:eastAsia="宋体" w:hAnsi="宋体" w:cs="宋体" w:hint="eastAsia"/>
                <w:szCs w:val="24"/>
              </w:rPr>
              <w:t>①</w:t>
            </w:r>
            <w:r>
              <w:rPr>
                <w:rFonts w:ascii="Times New Roman" w:eastAsia="宋体" w:hAnsi="Times New Roman" w:cs="宋体" w:hint="eastAsia"/>
                <w:szCs w:val="21"/>
              </w:rPr>
              <w:t>实验资源库</w:t>
            </w:r>
            <w:r>
              <w:rPr>
                <w:rFonts w:ascii="Times New Roman" w:eastAsia="宋体" w:hAnsi="Times New Roman" w:cs="Times New Roman"/>
                <w:szCs w:val="24"/>
              </w:rPr>
              <w:t>类；</w:t>
            </w:r>
            <w:r>
              <w:rPr>
                <w:rFonts w:ascii="Times New Roman" w:eastAsia="宋体" w:hAnsi="Times New Roman" w:cs="Times New Roman"/>
                <w:szCs w:val="24"/>
              </w:rPr>
              <w:br/>
            </w:r>
            <w:r>
              <w:rPr>
                <w:rFonts w:ascii="Times New Roman" w:eastAsia="宋体" w:hAnsi="Times New Roman" w:cs="Times New Roman" w:hint="eastAsia"/>
                <w:szCs w:val="24"/>
              </w:rPr>
              <w:t>②</w:t>
            </w:r>
            <w:r>
              <w:rPr>
                <w:rFonts w:ascii="Times New Roman" w:eastAsia="宋体" w:hAnsi="Times New Roman" w:cs="宋体" w:hint="eastAsia"/>
                <w:szCs w:val="21"/>
              </w:rPr>
              <w:t>互动示教</w:t>
            </w:r>
            <w:r>
              <w:rPr>
                <w:rFonts w:ascii="Times New Roman" w:eastAsia="宋体" w:hAnsi="Times New Roman" w:cs="Times New Roman"/>
                <w:szCs w:val="24"/>
              </w:rPr>
              <w:t>类；</w:t>
            </w:r>
            <w:r>
              <w:rPr>
                <w:rFonts w:ascii="Times New Roman" w:eastAsia="宋体" w:hAnsi="Times New Roman" w:cs="Times New Roman"/>
                <w:szCs w:val="24"/>
              </w:rPr>
              <w:br/>
            </w:r>
            <w:r>
              <w:rPr>
                <w:rFonts w:ascii="Times New Roman" w:eastAsia="宋体" w:hAnsi="Times New Roman" w:cs="Times New Roman" w:hint="eastAsia"/>
                <w:szCs w:val="24"/>
              </w:rPr>
              <w:t>③</w:t>
            </w:r>
            <w:r>
              <w:rPr>
                <w:rFonts w:ascii="Times New Roman" w:eastAsia="宋体" w:hAnsi="Times New Roman" w:cs="宋体" w:hint="eastAsia"/>
                <w:szCs w:val="21"/>
              </w:rPr>
              <w:t>实训实操测评</w:t>
            </w:r>
            <w:r>
              <w:rPr>
                <w:rFonts w:ascii="Times New Roman" w:eastAsia="宋体" w:hAnsi="Times New Roman" w:cs="Times New Roman"/>
                <w:szCs w:val="24"/>
              </w:rPr>
              <w:t>类；</w:t>
            </w:r>
            <w:r>
              <w:rPr>
                <w:rFonts w:ascii="Times New Roman" w:eastAsia="宋体" w:hAnsi="Times New Roman" w:cs="Times New Roman"/>
                <w:szCs w:val="24"/>
              </w:rPr>
              <w:br/>
            </w:r>
            <w:r>
              <w:rPr>
                <w:rFonts w:ascii="宋体" w:eastAsia="宋体" w:hAnsi="宋体" w:cs="宋体" w:hint="eastAsia"/>
                <w:szCs w:val="24"/>
              </w:rPr>
              <w:t>④</w:t>
            </w:r>
            <w:r>
              <w:rPr>
                <w:rFonts w:ascii="Times New Roman" w:eastAsia="宋体" w:hAnsi="Times New Roman" w:cs="宋体" w:hint="eastAsia"/>
                <w:szCs w:val="21"/>
              </w:rPr>
              <w:t>双流视频类</w:t>
            </w:r>
            <w:r>
              <w:rPr>
                <w:rFonts w:ascii="Times New Roman" w:eastAsia="宋体" w:hAnsi="Times New Roman" w:cs="Times New Roman"/>
                <w:szCs w:val="24"/>
              </w:rPr>
              <w:t>；</w:t>
            </w:r>
            <w:r>
              <w:rPr>
                <w:rFonts w:ascii="Times New Roman" w:eastAsia="宋体" w:hAnsi="Times New Roman" w:cs="Times New Roman"/>
                <w:szCs w:val="24"/>
              </w:rPr>
              <w:br/>
            </w:r>
            <w:r>
              <w:rPr>
                <w:rFonts w:ascii="Times New Roman" w:eastAsia="宋体" w:hAnsi="Times New Roman" w:cs="Times New Roman"/>
                <w:szCs w:val="24"/>
              </w:rPr>
              <w:t>以上同一类中提供多个证书的不重复计分。</w:t>
            </w:r>
            <w:r>
              <w:rPr>
                <w:rFonts w:ascii="Times New Roman" w:eastAsia="宋体" w:hAnsi="Times New Roman" w:cs="Times New Roman"/>
                <w:szCs w:val="24"/>
              </w:rPr>
              <w:br/>
            </w:r>
            <w:r>
              <w:rPr>
                <w:rFonts w:ascii="Times New Roman" w:eastAsia="宋体" w:hAnsi="Times New Roman" w:cs="Times New Roman"/>
                <w:szCs w:val="24"/>
              </w:rPr>
              <w:t>（二）评分依据：</w:t>
            </w:r>
            <w:r>
              <w:rPr>
                <w:rFonts w:ascii="Times New Roman" w:eastAsia="宋体" w:hAnsi="Times New Roman" w:cs="Times New Roman"/>
                <w:szCs w:val="24"/>
              </w:rPr>
              <w:br/>
            </w:r>
            <w:r>
              <w:rPr>
                <w:rFonts w:ascii="Times New Roman" w:eastAsia="宋体" w:hAnsi="Times New Roman" w:cs="Times New Roman"/>
                <w:szCs w:val="24"/>
              </w:rPr>
              <w:t>1、提供：</w:t>
            </w:r>
            <w:r>
              <w:rPr>
                <w:rFonts w:ascii="宋体" w:eastAsia="宋体" w:hAnsi="宋体" w:cs="宋体" w:hint="eastAsia"/>
                <w:szCs w:val="24"/>
              </w:rPr>
              <w:t>①</w:t>
            </w:r>
            <w:r>
              <w:rPr>
                <w:rFonts w:ascii="Times New Roman" w:eastAsia="宋体" w:hAnsi="Times New Roman" w:cs="Times New Roman"/>
                <w:szCs w:val="24"/>
              </w:rPr>
              <w:t>国家版权局颁发的相关计算机软件著作权登记证书扫描件；</w:t>
            </w:r>
            <w:r>
              <w:rPr>
                <w:rFonts w:ascii="宋体" w:eastAsia="宋体" w:hAnsi="宋体" w:cs="宋体" w:hint="eastAsia"/>
                <w:szCs w:val="24"/>
              </w:rPr>
              <w:t>②</w:t>
            </w:r>
            <w:r>
              <w:rPr>
                <w:rFonts w:ascii="Times New Roman" w:eastAsia="宋体" w:hAnsi="Times New Roman" w:cs="Times New Roman"/>
                <w:szCs w:val="24"/>
              </w:rPr>
              <w:t>中国版权保护中心（https://register.ccopyright.com.cn/query.html）计算机软件著作权登记公告检索截图；</w:t>
            </w:r>
            <w:r>
              <w:rPr>
                <w:rFonts w:ascii="Times New Roman" w:eastAsia="宋体" w:hAnsi="Times New Roman" w:cs="Times New Roman"/>
                <w:szCs w:val="24"/>
              </w:rPr>
              <w:br/>
            </w:r>
            <w:r>
              <w:rPr>
                <w:rFonts w:ascii="Times New Roman" w:eastAsia="宋体" w:hAnsi="Times New Roman" w:cs="Times New Roman"/>
                <w:szCs w:val="24"/>
              </w:rPr>
              <w:t>2、未按要求提供相关证明材料（或相关证明材料无法判断是否符合评分要求）的不计得分，原件备查</w:t>
            </w:r>
            <w:r>
              <w:rPr>
                <w:rFonts w:ascii="Times New Roman" w:eastAsia="宋体" w:hAnsi="Times New Roman" w:cs="Times New Roman" w:hint="eastAsia"/>
                <w:szCs w:val="24"/>
              </w:rPr>
              <w:t>。</w:t>
            </w:r>
          </w:p>
        </w:tc>
      </w:tr>
      <w:tr>
        <w:tblPrEx>
          <w:tblW w:w="8881" w:type="dxa"/>
          <w:jc w:val="center"/>
          <w:tblLayout w:type="fixed"/>
          <w:tblCellMar>
            <w:top w:w="0" w:type="dxa"/>
            <w:left w:w="108" w:type="dxa"/>
            <w:bottom w:w="0" w:type="dxa"/>
            <w:right w:w="108" w:type="dxa"/>
          </w:tblCellMar>
        </w:tblPrEx>
        <w:trPr>
          <w:trHeight w:val="58"/>
          <w:jc w:val="center"/>
        </w:trPr>
        <w:tc>
          <w:tcPr>
            <w:tcW w:w="841" w:type="dxa"/>
            <w:vAlign w:val="center"/>
          </w:tcPr>
          <w:p>
            <w:pPr>
              <w:spacing w:line="320" w:lineRule="exact"/>
              <w:jc w:val="center"/>
              <w:rPr>
                <w:rFonts w:ascii="宋体" w:eastAsia="黑体" w:hAnsi="宋体" w:cs="Times New Roman"/>
                <w:b/>
                <w:bCs/>
                <w:kern w:val="44"/>
                <w:sz w:val="24"/>
              </w:rPr>
            </w:pPr>
            <w:r>
              <w:rPr>
                <w:rFonts w:ascii="宋体" w:eastAsia="黑体" w:hAnsi="宋体" w:cs="Times New Roman" w:hint="eastAsia"/>
                <w:b/>
                <w:bCs/>
                <w:kern w:val="44"/>
                <w:sz w:val="24"/>
              </w:rPr>
              <w:t>4</w:t>
            </w:r>
          </w:p>
        </w:tc>
        <w:tc>
          <w:tcPr>
            <w:tcW w:w="2993" w:type="dxa"/>
            <w:gridSpan w:val="3"/>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其他部分</w:t>
            </w:r>
          </w:p>
        </w:tc>
        <w:tc>
          <w:tcPr>
            <w:tcW w:w="5047" w:type="dxa"/>
            <w:vAlign w:val="center"/>
          </w:tcPr>
          <w:p>
            <w:pPr>
              <w:spacing w:line="320" w:lineRule="exact"/>
              <w:jc w:val="center"/>
              <w:rPr>
                <w:rFonts w:ascii="宋体" w:eastAsia="黑体" w:hAnsi="宋体" w:cs="Arial"/>
                <w:b/>
                <w:bCs/>
                <w:kern w:val="44"/>
                <w:sz w:val="24"/>
              </w:rPr>
            </w:pPr>
            <w:r>
              <w:rPr>
                <w:rFonts w:ascii="宋体" w:eastAsia="黑体" w:hAnsi="宋体" w:cs="Arial" w:hint="eastAsia"/>
                <w:b/>
                <w:bCs/>
                <w:kern w:val="44"/>
                <w:sz w:val="24"/>
              </w:rPr>
              <w:t>5</w:t>
            </w:r>
          </w:p>
        </w:tc>
      </w:tr>
      <w:tr>
        <w:tblPrEx>
          <w:tblW w:w="8881" w:type="dxa"/>
          <w:jc w:val="center"/>
          <w:tblLayout w:type="fixed"/>
          <w:tblCellMar>
            <w:top w:w="0" w:type="dxa"/>
            <w:left w:w="108" w:type="dxa"/>
            <w:bottom w:w="0" w:type="dxa"/>
            <w:right w:w="108" w:type="dxa"/>
          </w:tblCellMar>
        </w:tblPrEx>
        <w:trPr>
          <w:trHeight w:val="332"/>
          <w:jc w:val="center"/>
        </w:trPr>
        <w:tc>
          <w:tcPr>
            <w:tcW w:w="841" w:type="dxa"/>
            <w:vMerge w:val="restart"/>
            <w:vAlign w:val="center"/>
          </w:tcPr>
          <w:p>
            <w:pPr>
              <w:spacing w:line="320" w:lineRule="exact"/>
              <w:jc w:val="left"/>
              <w:rPr>
                <w:rFonts w:ascii="宋体" w:eastAsia="宋体" w:hAnsi="宋体" w:cs="Arial"/>
                <w:bCs/>
                <w:sz w:val="24"/>
                <w:szCs w:val="24"/>
              </w:rPr>
            </w:pPr>
          </w:p>
        </w:tc>
        <w:tc>
          <w:tcPr>
            <w:tcW w:w="713" w:type="dxa"/>
            <w:vAlign w:val="center"/>
          </w:tcPr>
          <w:p>
            <w:pPr>
              <w:spacing w:line="320" w:lineRule="exact"/>
              <w:jc w:val="center"/>
              <w:rPr>
                <w:rFonts w:ascii="宋体" w:eastAsia="黑体" w:hAnsi="宋体" w:cs="Times New Roman"/>
                <w:b/>
                <w:bCs/>
                <w:kern w:val="44"/>
                <w:sz w:val="24"/>
              </w:rPr>
            </w:pPr>
            <w:r>
              <w:rPr>
                <w:rFonts w:ascii="宋体" w:eastAsia="黑体" w:hAnsi="宋体" w:cs="Times New Roman" w:hint="eastAsia"/>
                <w:b/>
                <w:bCs/>
                <w:kern w:val="44"/>
                <w:sz w:val="24"/>
              </w:rPr>
              <w:t>序号</w:t>
            </w:r>
          </w:p>
        </w:tc>
        <w:tc>
          <w:tcPr>
            <w:tcW w:w="1406" w:type="dxa"/>
            <w:vAlign w:val="center"/>
          </w:tcPr>
          <w:p>
            <w:pPr>
              <w:spacing w:line="320" w:lineRule="exact"/>
              <w:jc w:val="center"/>
              <w:rPr>
                <w:rFonts w:ascii="宋体" w:eastAsia="黑体" w:hAnsi="宋体" w:cs="Times New Roman"/>
                <w:b/>
                <w:bCs/>
                <w:kern w:val="44"/>
                <w:sz w:val="24"/>
              </w:rPr>
            </w:pPr>
            <w:r>
              <w:rPr>
                <w:rFonts w:ascii="宋体" w:eastAsia="黑体" w:hAnsi="宋体" w:cs="Times New Roman" w:hint="eastAsia"/>
                <w:b/>
                <w:bCs/>
                <w:kern w:val="44"/>
                <w:sz w:val="24"/>
              </w:rPr>
              <w:t>评分因素</w:t>
            </w:r>
          </w:p>
        </w:tc>
        <w:tc>
          <w:tcPr>
            <w:tcW w:w="874" w:type="dxa"/>
            <w:vAlign w:val="center"/>
          </w:tcPr>
          <w:p>
            <w:pPr>
              <w:spacing w:line="320" w:lineRule="exact"/>
              <w:jc w:val="center"/>
              <w:rPr>
                <w:rFonts w:ascii="宋体" w:eastAsia="黑体" w:hAnsi="宋体" w:cs="Times New Roman"/>
                <w:b/>
                <w:bCs/>
                <w:kern w:val="44"/>
                <w:sz w:val="24"/>
              </w:rPr>
            </w:pPr>
            <w:r>
              <w:rPr>
                <w:rFonts w:ascii="宋体" w:eastAsia="黑体" w:hAnsi="宋体" w:cs="Times New Roman" w:hint="eastAsia"/>
                <w:b/>
                <w:bCs/>
                <w:kern w:val="44"/>
                <w:sz w:val="24"/>
              </w:rPr>
              <w:t>权重</w:t>
            </w:r>
            <w:r>
              <w:rPr>
                <w:rFonts w:ascii="宋体" w:eastAsia="黑体" w:hAnsi="宋体" w:cs="Arial" w:hint="eastAsia"/>
                <w:b/>
                <w:bCs/>
                <w:kern w:val="44"/>
                <w:sz w:val="24"/>
              </w:rPr>
              <w:t>（%）</w:t>
            </w:r>
          </w:p>
        </w:tc>
        <w:tc>
          <w:tcPr>
            <w:tcW w:w="5047" w:type="dxa"/>
            <w:vAlign w:val="center"/>
          </w:tcPr>
          <w:p>
            <w:pPr>
              <w:spacing w:line="320" w:lineRule="exact"/>
              <w:jc w:val="center"/>
              <w:rPr>
                <w:rFonts w:ascii="宋体" w:eastAsia="黑体" w:hAnsi="宋体" w:cs="Times New Roman"/>
                <w:b/>
                <w:bCs/>
                <w:kern w:val="44"/>
                <w:sz w:val="24"/>
              </w:rPr>
            </w:pPr>
            <w:r>
              <w:rPr>
                <w:rFonts w:ascii="宋体" w:eastAsia="黑体" w:hAnsi="宋体" w:cs="Times New Roman" w:hint="eastAsia"/>
                <w:b/>
                <w:bCs/>
                <w:kern w:val="44"/>
                <w:sz w:val="24"/>
              </w:rPr>
              <w:t>评分准则</w:t>
            </w:r>
          </w:p>
        </w:tc>
      </w:tr>
      <w:tr>
        <w:tblPrEx>
          <w:tblW w:w="8881" w:type="dxa"/>
          <w:jc w:val="center"/>
          <w:tblLayout w:type="fixed"/>
          <w:tblCellMar>
            <w:top w:w="0" w:type="dxa"/>
            <w:left w:w="108" w:type="dxa"/>
            <w:bottom w:w="0" w:type="dxa"/>
            <w:right w:w="108" w:type="dxa"/>
          </w:tblCellMar>
        </w:tblPrEx>
        <w:trPr>
          <w:trHeight w:val="58"/>
          <w:jc w:val="center"/>
        </w:trPr>
        <w:tc>
          <w:tcPr>
            <w:tcW w:w="841" w:type="dxa"/>
            <w:vMerge/>
            <w:vAlign w:val="center"/>
          </w:tcPr>
          <w:p>
            <w:pPr>
              <w:spacing w:line="320" w:lineRule="exact"/>
              <w:jc w:val="left"/>
              <w:rPr>
                <w:rFonts w:ascii="宋体" w:eastAsia="宋体" w:hAnsi="宋体" w:cs="Arial"/>
                <w:bCs/>
                <w:szCs w:val="21"/>
              </w:rPr>
            </w:pPr>
          </w:p>
        </w:tc>
        <w:tc>
          <w:tcPr>
            <w:tcW w:w="713" w:type="dxa"/>
            <w:vAlign w:val="center"/>
          </w:tcPr>
          <w:p>
            <w:pPr>
              <w:spacing w:line="320" w:lineRule="exact"/>
              <w:jc w:val="center"/>
              <w:rPr>
                <w:rFonts w:ascii="宋体" w:eastAsia="宋体" w:hAnsi="宋体" w:cs="Times New Roman"/>
                <w:szCs w:val="21"/>
              </w:rPr>
            </w:pPr>
            <w:r>
              <w:rPr>
                <w:rFonts w:ascii="宋体" w:eastAsia="宋体" w:hAnsi="宋体" w:cs="Times New Roman" w:hint="eastAsia"/>
                <w:szCs w:val="21"/>
              </w:rPr>
              <w:t>1</w:t>
            </w:r>
          </w:p>
        </w:tc>
        <w:tc>
          <w:tcPr>
            <w:tcW w:w="1406" w:type="dxa"/>
            <w:vAlign w:val="center"/>
          </w:tcPr>
          <w:p>
            <w:pPr>
              <w:spacing w:line="320" w:lineRule="exact"/>
              <w:jc w:val="center"/>
              <w:rPr>
                <w:rFonts w:ascii="宋体" w:eastAsia="宋体" w:hAnsi="宋体" w:cs="Times New Roman"/>
                <w:bCs/>
                <w:szCs w:val="21"/>
              </w:rPr>
            </w:pPr>
            <w:r>
              <w:rPr>
                <w:rFonts w:ascii="宋体" w:eastAsia="宋体" w:hAnsi="宋体" w:cs="Times New Roman" w:hint="eastAsia"/>
                <w:bCs/>
                <w:szCs w:val="21"/>
              </w:rPr>
              <w:t>诚信情况</w:t>
            </w:r>
          </w:p>
        </w:tc>
        <w:tc>
          <w:tcPr>
            <w:tcW w:w="874" w:type="dxa"/>
            <w:vAlign w:val="center"/>
          </w:tcPr>
          <w:p>
            <w:pPr>
              <w:spacing w:line="320" w:lineRule="exact"/>
              <w:jc w:val="center"/>
              <w:rPr>
                <w:rFonts w:ascii="宋体" w:eastAsia="宋体" w:hAnsi="宋体" w:cs="Times New Roman"/>
                <w:bCs/>
                <w:szCs w:val="21"/>
              </w:rPr>
            </w:pPr>
            <w:r>
              <w:rPr>
                <w:rFonts w:ascii="宋体" w:eastAsia="宋体" w:hAnsi="宋体" w:cs="Times New Roman" w:hint="eastAsia"/>
                <w:bCs/>
                <w:szCs w:val="21"/>
              </w:rPr>
              <w:t>5</w:t>
            </w:r>
          </w:p>
        </w:tc>
        <w:tc>
          <w:tcPr>
            <w:tcW w:w="5047" w:type="dxa"/>
            <w:vAlign w:val="center"/>
          </w:tcPr>
          <w:p>
            <w:pPr>
              <w:spacing w:line="320" w:lineRule="exact"/>
              <w:jc w:val="left"/>
              <w:rPr>
                <w:rFonts w:ascii="宋体" w:eastAsia="宋体" w:hAnsi="宋体" w:cs="Times New Roman"/>
                <w:bCs/>
                <w:szCs w:val="21"/>
              </w:rPr>
            </w:pPr>
            <w:r>
              <w:rPr>
                <w:rFonts w:ascii="宋体" w:eastAsia="宋体" w:hAnsi="宋体" w:cs="Times New Roman" w:hint="eastAsia"/>
                <w:bCs/>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
      <w:pPr>
        <w:jc w:val="center"/>
        <w:rPr>
          <w:b/>
          <w:sz w:val="84"/>
          <w:szCs w:val="84"/>
        </w:rPr>
      </w:pPr>
    </w:p>
    <w:p>
      <w:pPr>
        <w:jc w:val="center"/>
        <w:rPr>
          <w:b/>
          <w:sz w:val="84"/>
          <w:szCs w:val="84"/>
        </w:rPr>
      </w:pPr>
    </w:p>
    <w:p>
      <w:pPr>
        <w:jc w:val="center"/>
        <w:rPr>
          <w:b/>
          <w:sz w:val="84"/>
          <w:szCs w:val="84"/>
        </w:rPr>
      </w:pPr>
    </w:p>
    <w:p>
      <w:pPr>
        <w:jc w:val="center"/>
        <w:rPr>
          <w:b/>
          <w:sz w:val="120"/>
          <w:szCs w:val="120"/>
        </w:rPr>
      </w:pPr>
    </w:p>
    <w:p>
      <w:pPr>
        <w:rPr>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r>
        <w:rPr>
          <w:rFonts w:ascii="宋体" w:hAnsi="宋体" w:hint="eastAsia"/>
          <w:b/>
          <w:sz w:val="44"/>
          <w:szCs w:val="44"/>
        </w:rPr>
        <w:t>深圳公共资源交易中心</w:t>
      </w:r>
    </w:p>
    <w:p>
      <w:pPr>
        <w:jc w:val="center"/>
        <w:rPr>
          <w:b/>
          <w:sz w:val="44"/>
          <w:szCs w:val="44"/>
        </w:rPr>
      </w:pPr>
      <w:r>
        <w:rPr>
          <w:rFonts w:ascii="宋体" w:hAnsi="宋体" w:hint="eastAsia"/>
          <w:b/>
          <w:sz w:val="44"/>
          <w:szCs w:val="44"/>
        </w:rPr>
        <w:t>（</w:t>
      </w:r>
      <w:r>
        <w:rPr>
          <w:b/>
          <w:sz w:val="44"/>
          <w:szCs w:val="44"/>
        </w:rPr>
        <w:t>20</w:t>
      </w:r>
      <w:r>
        <w:rPr>
          <w:rFonts w:hint="eastAsia"/>
          <w:b/>
          <w:sz w:val="44"/>
          <w:szCs w:val="44"/>
        </w:rPr>
        <w:t>24</w:t>
      </w:r>
      <w:r>
        <w:rPr>
          <w:rFonts w:ascii="宋体" w:hAnsi="宋体" w:hint="eastAsia"/>
          <w:b/>
          <w:sz w:val="44"/>
          <w:szCs w:val="44"/>
        </w:rPr>
        <w:t>）</w:t>
      </w:r>
    </w:p>
    <w:p>
      <w:pPr>
        <w:widowControl/>
        <w:jc w:val="left"/>
        <w:rPr>
          <w:rFonts w:ascii="宋体" w:eastAsia="黑体" w:hAnsi="宋体"/>
          <w:b/>
          <w:bCs/>
          <w:color w:val="FF0000"/>
          <w:kern w:val="44"/>
          <w:sz w:val="28"/>
          <w:szCs w:val="44"/>
        </w:rPr>
      </w:pPr>
      <w:bookmarkStart w:id="2" w:name="_Hlk73564573"/>
      <w:r>
        <w:rPr>
          <w:rFonts w:ascii="宋体" w:eastAsia="黑体" w:hAnsi="宋体"/>
          <w:b/>
          <w:bCs/>
          <w:color w:val="FF0000"/>
          <w:kern w:val="44"/>
          <w:sz w:val="28"/>
          <w:szCs w:val="44"/>
        </w:rPr>
        <w:br w:type="page"/>
      </w:r>
    </w:p>
    <w:p>
      <w:pPr>
        <w:ind w:firstLine="2730" w:firstLineChars="1300"/>
        <w:outlineLvl w:val="0"/>
        <w:rPr>
          <w:rFonts w:ascii="宋体" w:hAnsi="宋体"/>
          <w:color w:val="FF0000"/>
          <w:szCs w:val="21"/>
        </w:rPr>
      </w:pPr>
      <w:r>
        <w:rPr>
          <w:rFonts w:ascii="宋体" w:eastAsia="黑体" w:hAnsi="宋体" w:hint="eastAsia"/>
          <w:b/>
          <w:bCs/>
          <w:color w:val="FF0000"/>
          <w:kern w:val="44"/>
          <w:sz w:val="28"/>
          <w:szCs w:val="44"/>
        </w:rPr>
        <w:t>警示条款</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w:t>
      </w:r>
      <w:r>
        <w:rPr>
          <w:rFonts w:asciiTheme="minorEastAsia" w:hAnsiTheme="minorEastAsia" w:cstheme="minorEastAsia" w:hint="eastAsia"/>
          <w:b/>
          <w:bCs/>
          <w:color w:val="FF0000"/>
          <w:szCs w:val="21"/>
        </w:rPr>
        <w:t>《深圳经济特区政府采购条例》第五十七条</w:t>
      </w:r>
      <w:r>
        <w:rPr>
          <w:rFonts w:asciiTheme="minorEastAsia" w:hAnsiTheme="minorEastAsia" w:cstheme="minorEastAsia" w:hint="eastAsia"/>
          <w:color w:val="FF0000"/>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（一）在采购活动中应当回避而未回避的；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（二）未按本条例规定签订、履行采购合同，造成严重后果的；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（三）隐瞒真实情况，提供虚假资料的；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（四）以非法手段排斥其他供应商参与竞争的；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（五）与其他采购参加人串通投标的；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（六）恶意投诉的；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（七）向采购项目相关人行贿或者提供其他不当利益的；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（八）阻碍、抗拒主管部门监督检查的；</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（九）其他违反本条例规定的行为。</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二、《深圳经济特区政府采购条例实施细则》第七十五条 </w:t>
      </w:r>
      <w:r>
        <w:rPr>
          <w:rFonts w:asciiTheme="minorEastAsia" w:hAnsiTheme="minorEastAsia" w:cstheme="minorEastAsia"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三、《深圳经济特区政府采购条例实施细则》第七十七条 </w:t>
      </w:r>
      <w:r>
        <w:rPr>
          <w:rFonts w:asciiTheme="minorEastAsia" w:hAnsiTheme="minorEastAsia" w:cstheme="minorEastAsia"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投标供应商不能提供项目负责人或者主要技术人员的劳动合同、社会保险等劳动关系证明材料的，视为存在前款第（三）项规定的情形。</w:t>
      </w:r>
      <w:bookmarkEnd w:id="2"/>
    </w:p>
    <w:p>
      <w:pPr>
        <w:spacing w:line="280" w:lineRule="exact"/>
        <w:ind w:firstLine="420" w:firstLineChars="200"/>
        <w:rPr>
          <w:rFonts w:asciiTheme="minorEastAsia" w:hAnsiTheme="minorEastAsia" w:cstheme="minorEastAsia"/>
          <w:b/>
          <w:color w:val="FF0000"/>
          <w:szCs w:val="21"/>
        </w:rPr>
      </w:pPr>
      <w:r>
        <w:rPr>
          <w:rFonts w:asciiTheme="minorEastAsia" w:hAnsiTheme="minorEastAsia" w:cstheme="minorEastAsia" w:hint="eastAsia"/>
          <w:b/>
          <w:color w:val="FF0000"/>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为避免出现不同供应商投标文件的文件制作机器码、文件创建标识码、IP 地址一致的异常情况，建议各供应商编制、上传投标文件时不要使用公共电脑设备或公共网络。</w:t>
      </w:r>
    </w:p>
    <w:p>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rPr>
      </w:pPr>
    </w:p>
    <w:p>
      <w:pPr>
        <w:snapToGrid w:val="0"/>
        <w:spacing w:line="360" w:lineRule="exact"/>
        <w:jc w:val="left"/>
        <w:rPr>
          <w:rFonts w:ascii="宋体" w:eastAsia="宋体" w:hAnsi="宋体" w:cs="宋体"/>
          <w:color w:val="000000"/>
          <w:kern w:val="0"/>
          <w:sz w:val="24"/>
          <w:szCs w:val="24"/>
        </w:rPr>
      </w:pPr>
    </w:p>
    <w:p>
      <w:pPr>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   录</w:t>
      </w:r>
    </w:p>
    <w:p>
      <w:pPr>
        <w:rPr>
          <w:b/>
          <w:sz w:val="24"/>
          <w:szCs w:val="24"/>
        </w:rPr>
      </w:pPr>
      <w:r>
        <w:rPr>
          <w:rFonts w:hint="eastAsia"/>
          <w:b/>
          <w:sz w:val="24"/>
          <w:szCs w:val="24"/>
        </w:rPr>
        <w:t>第一册  专用条款</w:t>
      </w:r>
    </w:p>
    <w:p>
      <w:pPr>
        <w:ind w:left="630" w:firstLine="412" w:leftChars="300" w:firstLineChars="196"/>
        <w:rPr>
          <w:rFonts w:ascii="宋体" w:hAnsi="宋体"/>
          <w:szCs w:val="21"/>
        </w:rPr>
      </w:pPr>
      <w:r>
        <w:rPr>
          <w:rFonts w:ascii="宋体" w:hAnsi="宋体" w:hint="eastAsia"/>
          <w:szCs w:val="21"/>
        </w:rPr>
        <w:tab/>
      </w:r>
      <w:r>
        <w:rPr>
          <w:rFonts w:ascii="宋体" w:hAnsi="宋体" w:hint="eastAsia"/>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ascii="宋体" w:hAnsi="宋体" w:hint="eastAsia"/>
          <w:szCs w:val="21"/>
        </w:rPr>
        <w:t>第四章 投标文件组成要求及格式</w:t>
      </w:r>
    </w:p>
    <w:p>
      <w:pPr>
        <w:ind w:left="630" w:firstLine="412" w:leftChars="300" w:firstLineChars="196"/>
        <w:rPr>
          <w:rFonts w:ascii="宋体" w:hAnsi="宋体"/>
          <w:szCs w:val="21"/>
        </w:rPr>
      </w:pPr>
      <w:r>
        <w:rPr>
          <w:rFonts w:ascii="宋体" w:hAnsi="宋体" w:hint="eastAsia"/>
          <w:szCs w:val="21"/>
        </w:rPr>
        <w:t>第五章  合同条款及格式</w:t>
      </w:r>
    </w:p>
    <w:p>
      <w:pPr>
        <w:rPr>
          <w:b/>
          <w:sz w:val="24"/>
        </w:rPr>
      </w:pPr>
    </w:p>
    <w:p>
      <w:pPr>
        <w:rPr>
          <w:b/>
          <w:sz w:val="24"/>
          <w:szCs w:val="24"/>
        </w:rPr>
      </w:pPr>
      <w:r>
        <w:rPr>
          <w:rFonts w:hint="eastAsia"/>
          <w:b/>
          <w:sz w:val="24"/>
          <w:szCs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r>
        <w:rPr>
          <w:rFonts w:hint="eastAsia"/>
        </w:rPr>
        <w:t xml:space="preserve">          第十一章  质疑处理</w:t>
      </w:r>
    </w:p>
    <w:p/>
    <w:p/>
    <w:p>
      <w:pPr>
        <w:widowControl/>
        <w:jc w:val="left"/>
      </w:pPr>
      <w:r>
        <w:br w:type="page"/>
      </w:r>
    </w:p>
    <w:p>
      <w:pPr>
        <w:pStyle w:val="Heading1"/>
        <w:spacing w:after="78"/>
        <w:jc w:val="center"/>
        <w:rPr>
          <w:sz w:val="32"/>
          <w:szCs w:val="32"/>
        </w:rPr>
      </w:pPr>
      <w:r>
        <w:rPr>
          <w:rFonts w:hint="eastAsia"/>
          <w:sz w:val="32"/>
          <w:szCs w:val="32"/>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2）本项目不接受联合体投标，不接受投标人选用进口产品参与投标。</w:t>
      </w:r>
    </w:p>
    <w:p>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3）参与本项目政府采购活动时不存在被有关部门禁止参与政府采购活动且在有效期内的情况（由供应商在《政府采购投标及履约承诺函》中作出声明）。</w:t>
      </w:r>
    </w:p>
    <w:p>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4）具备《中华人民共和国政府采购法》第二十二条第一款的条件（由供应商在《政府采购投标及履约承诺函》中作出声明）。</w:t>
      </w:r>
    </w:p>
    <w:p>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5）未被列入失信被执行人、重大税收违法案件当事人名单、政府采购严重违法失信行为记录名单（由供应商在《政府采购投标及履约承诺函》中作出声明）。</w:t>
      </w:r>
    </w:p>
    <w:p>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7）本项目是（否）专门面向中小企业采购：否。</w:t>
      </w:r>
    </w:p>
    <w:p>
      <w:pPr>
        <w:snapToGrid w:val="0"/>
        <w:spacing w:line="360" w:lineRule="exact"/>
        <w:ind w:firstLine="465"/>
        <w:rPr>
          <w:rFonts w:asciiTheme="minorEastAsia" w:hAnsiTheme="minorEastAsia" w:cstheme="minorEastAsia"/>
          <w:b/>
          <w:sz w:val="24"/>
          <w:szCs w:val="24"/>
        </w:rPr>
      </w:pPr>
    </w:p>
    <w:p>
      <w:pPr>
        <w:snapToGrid w:val="0"/>
        <w:spacing w:line="360" w:lineRule="exact"/>
        <w:ind w:firstLine="420" w:firstLineChars="200"/>
        <w:rPr>
          <w:rFonts w:asciiTheme="minorEastAsia" w:hAnsiTheme="minorEastAsia" w:cstheme="minorEastAsia"/>
          <w:sz w:val="24"/>
          <w:szCs w:val="24"/>
        </w:rPr>
      </w:pPr>
    </w:p>
    <w:p>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注：</w:t>
      </w:r>
    </w:p>
    <w:p>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rPr>
      </w:pPr>
    </w:p>
    <w:p>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rPr>
          <w:rStyle w:val="Hyperlink"/>
          <w:b/>
          <w:sz w:val="30"/>
          <w:szCs w:val="30"/>
        </w:rPr>
        <w:fldChar w:fldCharType="end"/>
      </w:r>
      <w:r>
        <w:rPr>
          <w:rFonts w:hint="eastAsia"/>
          <w:b/>
          <w:color w:val="FF0000"/>
          <w:sz w:val="30"/>
          <w:szCs w:val="30"/>
        </w:rPr>
        <w:t>）</w:t>
      </w:r>
    </w:p>
    <w:p>
      <w:pPr>
        <w:spacing w:after="78" w:afterLines="25"/>
        <w:rPr>
          <w:rFonts w:ascii="Arial" w:eastAsia="宋体" w:hAnsi="Arial" w:cs="Times New Roman"/>
          <w:b/>
          <w:color w:val="FF0000"/>
          <w:sz w:val="30"/>
          <w:szCs w:val="30"/>
        </w:rPr>
      </w:pPr>
    </w:p>
    <w:p>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bookmarkStart w:id="4" w:name="_Toc60631620"/>
      <w:bookmarkStart w:id="5" w:name="_Toc60560625"/>
      <w:bookmarkStart w:id="6" w:name="_Toc73518117"/>
      <w:bookmarkStart w:id="7" w:name="_Toc73521635"/>
      <w:bookmarkStart w:id="8" w:name="_Toc100052364"/>
      <w:bookmarkStart w:id="9" w:name="_Toc73521547"/>
      <w:bookmarkStart w:id="10" w:name="_Toc101074876"/>
      <w:bookmarkStart w:id="11" w:name="_Toc73517639"/>
      <w:r>
        <w:rPr>
          <w:rFonts w:ascii="宋体" w:eastAsia="宋体" w:hAnsi="宋体" w:cs="Times New Roman" w:hint="eastAsia"/>
          <w:b/>
          <w:bCs/>
          <w:kern w:val="0"/>
          <w:sz w:val="24"/>
          <w:szCs w:val="24"/>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1755" w:type="dxa"/>
            <w:vAlign w:val="center"/>
          </w:tcPr>
          <w:p>
            <w:pPr>
              <w:jc w:val="center"/>
              <w:rPr>
                <w:rFonts w:ascii="宋体" w:hAnsi="宋体"/>
                <w:b/>
                <w:bCs/>
              </w:rPr>
            </w:pPr>
            <w:r>
              <w:rPr>
                <w:rFonts w:ascii="宋体" w:hAnsi="宋体" w:hint="eastAsia"/>
                <w:b/>
                <w:bCs/>
              </w:rPr>
              <w:t>涉及事项</w:t>
            </w:r>
          </w:p>
        </w:tc>
        <w:tc>
          <w:tcPr>
            <w:tcW w:w="6795" w:type="dxa"/>
            <w:vAlign w:val="center"/>
          </w:tcPr>
          <w:p>
            <w:pPr>
              <w:jc w:val="center"/>
              <w:rPr>
                <w:rFonts w:ascii="宋体" w:hAnsi="宋体"/>
                <w:b/>
                <w:bCs/>
              </w:rPr>
            </w:pPr>
            <w:r>
              <w:rPr>
                <w:rFonts w:ascii="宋体" w:hAnsi="宋体" w:hint="eastAsia"/>
                <w:b/>
                <w:bCs/>
              </w:rPr>
              <w:t>具 体 补 充 内 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1755" w:type="dxa"/>
            <w:vAlign w:val="center"/>
          </w:tcPr>
          <w:p>
            <w:pPr>
              <w:jc w:val="center"/>
            </w:pPr>
            <w:r>
              <w:rPr>
                <w:rFonts w:hint="eastAsia"/>
              </w:rPr>
              <w:t>采购人</w:t>
            </w:r>
          </w:p>
        </w:tc>
        <w:tc>
          <w:tcPr>
            <w:tcW w:w="6795" w:type="dxa"/>
            <w:vAlign w:val="center"/>
          </w:tcPr>
          <w:p>
            <w:pPr>
              <w:jc w:val="left"/>
              <w:rPr>
                <w:rFonts w:ascii="宋体" w:hAnsi="宋体"/>
              </w:rPr>
            </w:pPr>
            <w:r>
              <w:rPr>
                <w:rFonts w:ascii="宋体" w:eastAsia="宋体" w:hAnsi="宋体" w:cs="Arial" w:hint="eastAsia"/>
                <w:b/>
                <w:szCs w:val="21"/>
              </w:rPr>
              <w:t>深圳市宝安区荣根学校</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1755" w:type="dxa"/>
            <w:vAlign w:val="center"/>
          </w:tcPr>
          <w:p>
            <w:pPr>
              <w:jc w:val="center"/>
              <w:rPr>
                <w:rFonts w:ascii="宋体" w:hAnsi="宋体"/>
              </w:rPr>
            </w:pPr>
            <w:r>
              <w:rPr>
                <w:rFonts w:ascii="宋体" w:hAnsi="宋体" w:hint="eastAsia"/>
              </w:rPr>
              <w:t>政府集中采购机构</w:t>
            </w:r>
          </w:p>
        </w:tc>
        <w:tc>
          <w:tcPr>
            <w:tcW w:w="6795" w:type="dxa"/>
            <w:vAlign w:val="center"/>
          </w:tcPr>
          <w:p>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1755" w:type="dxa"/>
            <w:vAlign w:val="center"/>
          </w:tcPr>
          <w:p>
            <w:pPr>
              <w:jc w:val="center"/>
              <w:rPr>
                <w:rFonts w:ascii="宋体" w:hAnsi="宋体"/>
              </w:rPr>
            </w:pPr>
            <w:r>
              <w:rPr>
                <w:rFonts w:ascii="宋体" w:hAnsi="宋体" w:hint="eastAsia"/>
              </w:rPr>
              <w:t>联合体投标</w:t>
            </w:r>
          </w:p>
        </w:tc>
        <w:tc>
          <w:tcPr>
            <w:tcW w:w="6795" w:type="dxa"/>
            <w:vAlign w:val="center"/>
          </w:tcPr>
          <w:p>
            <w:pPr>
              <w:jc w:val="left"/>
              <w:rPr>
                <w:rFonts w:ascii="宋体" w:hAnsi="宋体"/>
              </w:rPr>
            </w:pPr>
            <w:r>
              <w:rPr>
                <w:rFonts w:ascii="宋体" w:hAnsi="宋体" w:hint="eastAsia"/>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1755" w:type="dxa"/>
            <w:vAlign w:val="center"/>
          </w:tcPr>
          <w:p>
            <w:pPr>
              <w:jc w:val="center"/>
              <w:rPr>
                <w:rFonts w:ascii="宋体" w:hAnsi="宋体"/>
                <w:color w:val="FF0000"/>
              </w:rPr>
            </w:pPr>
            <w:r>
              <w:rPr>
                <w:rFonts w:ascii="宋体" w:hAnsi="宋体" w:hint="eastAsia"/>
                <w:color w:val="FF0000"/>
              </w:rPr>
              <w:t>踏勘现场</w:t>
            </w:r>
          </w:p>
        </w:tc>
        <w:tc>
          <w:tcPr>
            <w:tcW w:w="6795" w:type="dxa"/>
            <w:vAlign w:val="center"/>
          </w:tcPr>
          <w:p>
            <w:pPr>
              <w:snapToGrid w:val="0"/>
              <w:jc w:val="left"/>
              <w:rPr>
                <w:rFonts w:ascii="宋体" w:hAnsi="宋体"/>
                <w:color w:val="FF0000"/>
              </w:rPr>
            </w:pPr>
            <w:r>
              <w:rPr>
                <w:rFonts w:ascii="宋体" w:hAnsi="宋体" w:hint="eastAsia"/>
                <w:color w:val="FF0000"/>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snapToGrid w:val="0"/>
              <w:jc w:val="left"/>
              <w:rPr>
                <w:rFonts w:ascii="宋体" w:hAnsi="宋体"/>
                <w:color w:val="FF0000"/>
              </w:rPr>
            </w:pPr>
            <w:r>
              <w:rPr>
                <w:rFonts w:ascii="宋体" w:hAnsi="宋体" w:hint="eastAsia"/>
                <w:color w:val="FF0000"/>
              </w:rPr>
              <w:t>有应标意向的投标人可自行踏勘或联系采购人（联系人：刘老师  电话：13713886857），按采购人规定的集合时间和地点进行踏勘。</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1755" w:type="dxa"/>
            <w:vAlign w:val="center"/>
          </w:tcPr>
          <w:p>
            <w:pPr>
              <w:jc w:val="center"/>
              <w:rPr>
                <w:rFonts w:ascii="宋体" w:hAnsi="宋体"/>
              </w:rPr>
            </w:pPr>
            <w:r>
              <w:rPr>
                <w:rFonts w:ascii="宋体" w:hAnsi="宋体" w:hint="eastAsia"/>
              </w:rPr>
              <w:t>标前会议</w:t>
            </w:r>
          </w:p>
        </w:tc>
        <w:tc>
          <w:tcPr>
            <w:tcW w:w="6795" w:type="dxa"/>
            <w:vAlign w:val="center"/>
          </w:tcPr>
          <w:p>
            <w:pPr>
              <w:jc w:val="left"/>
              <w:rPr>
                <w:rFonts w:ascii="宋体" w:hAnsi="宋体"/>
              </w:rPr>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pPr>
              <w:jc w:val="center"/>
              <w:rPr>
                <w:rFonts w:ascii="宋体" w:hAnsi="宋体"/>
              </w:rPr>
            </w:pPr>
            <w:r>
              <w:rPr>
                <w:rFonts w:ascii="宋体" w:hAnsi="宋体" w:hint="eastAsia"/>
              </w:rPr>
              <w:t>招标文件的澄清和修改</w:t>
            </w:r>
          </w:p>
        </w:tc>
        <w:tc>
          <w:tcPr>
            <w:tcW w:w="6795" w:type="dxa"/>
            <w:vAlign w:val="center"/>
          </w:tcPr>
          <w:p>
            <w:pPr>
              <w:jc w:val="left"/>
              <w:rPr>
                <w:rFonts w:ascii="宋体" w:hAnsi="宋体"/>
              </w:rPr>
            </w:pPr>
            <w:r>
              <w:rPr>
                <w:rFonts w:ascii="宋体" w:hAnsi="宋体" w:hint="eastAsia"/>
              </w:rPr>
              <w:t>对招标文件澄清/修改时间不晚于投标截止日三日前，投标人有义务在招标期间在政府集中采购机构网站浏览与本项目有关的澄清和修改信息。</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1755" w:type="dxa"/>
            <w:vAlign w:val="center"/>
          </w:tcPr>
          <w:p>
            <w:pPr>
              <w:jc w:val="center"/>
              <w:rPr>
                <w:rFonts w:ascii="宋体" w:hAnsi="宋体"/>
              </w:rPr>
            </w:pPr>
            <w:r>
              <w:rPr>
                <w:rFonts w:ascii="宋体" w:hAnsi="宋体" w:hint="eastAsia"/>
              </w:rPr>
              <w:t>投标有效期</w:t>
            </w:r>
          </w:p>
        </w:tc>
        <w:tc>
          <w:tcPr>
            <w:tcW w:w="6795" w:type="dxa"/>
            <w:vAlign w:val="center"/>
          </w:tcPr>
          <w:p>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1755" w:type="dxa"/>
            <w:vAlign w:val="center"/>
          </w:tcPr>
          <w:p>
            <w:pPr>
              <w:jc w:val="center"/>
              <w:rPr>
                <w:rFonts w:ascii="宋体" w:hAnsi="宋体"/>
              </w:rPr>
            </w:pPr>
            <w:r>
              <w:rPr>
                <w:rFonts w:ascii="宋体" w:hAnsi="宋体" w:hint="eastAsia"/>
              </w:rPr>
              <w:t>投标人的替代方案</w:t>
            </w:r>
          </w:p>
        </w:tc>
        <w:tc>
          <w:tcPr>
            <w:tcW w:w="6795" w:type="dxa"/>
            <w:vAlign w:val="center"/>
          </w:tcPr>
          <w:p>
            <w:pPr>
              <w:jc w:val="left"/>
              <w:rPr>
                <w:rFonts w:ascii="宋体" w:hAnsi="宋体"/>
              </w:rPr>
            </w:pPr>
            <w:r>
              <w:rPr>
                <w:rFonts w:ascii="宋体" w:hAnsi="宋体" w:hint="eastAsia"/>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1755" w:type="dxa"/>
            <w:vAlign w:val="center"/>
          </w:tcPr>
          <w:p>
            <w:pPr>
              <w:jc w:val="center"/>
              <w:rPr>
                <w:rFonts w:ascii="宋体" w:hAnsi="宋体"/>
              </w:rPr>
            </w:pPr>
            <w:r>
              <w:rPr>
                <w:rFonts w:ascii="宋体" w:hAnsi="宋体" w:hint="eastAsia"/>
              </w:rPr>
              <w:t>投标文件的大小</w:t>
            </w:r>
          </w:p>
        </w:tc>
        <w:tc>
          <w:tcPr>
            <w:tcW w:w="6795" w:type="dxa"/>
            <w:vAlign w:val="center"/>
          </w:tcPr>
          <w:p>
            <w:pPr>
              <w:jc w:val="left"/>
              <w:rPr>
                <w:rFonts w:ascii="宋体" w:hAnsi="宋体"/>
              </w:rPr>
            </w:pPr>
            <w:r>
              <w:rPr>
                <w:rFonts w:ascii="宋体" w:eastAsia="宋体" w:hAnsi="宋体" w:cs="Arial" w:hint="eastAsia"/>
                <w:szCs w:val="21"/>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1755" w:type="dxa"/>
            <w:vAlign w:val="center"/>
          </w:tcPr>
          <w:p>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pPr>
              <w:jc w:val="left"/>
              <w:rPr>
                <w:rFonts w:ascii="宋体" w:hAnsi="宋体"/>
              </w:rPr>
            </w:pPr>
            <w:r>
              <w:rPr>
                <w:rFonts w:ascii="宋体" w:hAnsi="宋体" w:hint="eastAsia"/>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1755" w:type="dxa"/>
            <w:vAlign w:val="center"/>
          </w:tcPr>
          <w:p>
            <w:pPr>
              <w:jc w:val="center"/>
              <w:rPr>
                <w:rFonts w:ascii="宋体" w:hAnsi="宋体"/>
              </w:rPr>
            </w:pPr>
            <w:r>
              <w:rPr>
                <w:rFonts w:ascii="宋体" w:hAnsi="宋体" w:hint="eastAsia"/>
              </w:rPr>
              <w:t>评审方法</w:t>
            </w:r>
          </w:p>
        </w:tc>
        <w:tc>
          <w:tcPr>
            <w:tcW w:w="6795" w:type="dxa"/>
            <w:vAlign w:val="center"/>
          </w:tcPr>
          <w:p>
            <w:pPr>
              <w:jc w:val="left"/>
              <w:rPr>
                <w:rFonts w:ascii="宋体" w:hAnsi="宋体"/>
              </w:rPr>
            </w:pPr>
            <w:r>
              <w:rPr>
                <w:rFonts w:ascii="宋体" w:hAnsi="宋体"/>
                <w:b/>
                <w:bCs/>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1755" w:type="dxa"/>
            <w:vAlign w:val="center"/>
          </w:tcPr>
          <w:p>
            <w:pPr>
              <w:jc w:val="center"/>
              <w:rPr>
                <w:rFonts w:ascii="宋体" w:hAnsi="宋体"/>
              </w:rPr>
            </w:pPr>
            <w:r>
              <w:rPr>
                <w:rFonts w:ascii="宋体" w:hAnsi="宋体" w:hint="eastAsia"/>
              </w:rPr>
              <w:t>定标方法</w:t>
            </w:r>
          </w:p>
        </w:tc>
        <w:tc>
          <w:tcPr>
            <w:tcW w:w="6795" w:type="dxa"/>
            <w:vAlign w:val="center"/>
          </w:tcPr>
          <w:p>
            <w:pPr>
              <w:jc w:val="left"/>
              <w:rPr>
                <w:rFonts w:ascii="宋体" w:hAnsi="宋体"/>
                <w:b/>
                <w:bCs/>
              </w:rPr>
            </w:pPr>
            <w:r>
              <w:rPr>
                <w:rFonts w:ascii="宋体" w:eastAsia="宋体" w:hAnsi="宋体" w:cs="Times New Roman" w:hint="eastAsia"/>
                <w:b/>
                <w:bCs/>
                <w:szCs w:val="21"/>
                <w:highlight w:val="yellow"/>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1755" w:type="dxa"/>
            <w:vAlign w:val="center"/>
          </w:tcPr>
          <w:p>
            <w:pPr>
              <w:jc w:val="center"/>
              <w:rPr>
                <w:rFonts w:ascii="宋体" w:hAnsi="宋体"/>
              </w:rPr>
            </w:pPr>
            <w:r>
              <w:rPr>
                <w:rFonts w:ascii="宋体" w:hAnsi="宋体" w:hint="eastAsia"/>
              </w:rPr>
              <w:t>履约担保</w:t>
            </w:r>
          </w:p>
        </w:tc>
        <w:tc>
          <w:tcPr>
            <w:tcW w:w="6795" w:type="dxa"/>
            <w:vAlign w:val="center"/>
          </w:tcPr>
          <w:p>
            <w:pPr>
              <w:jc w:val="left"/>
              <w:rPr>
                <w:rFonts w:ascii="宋体" w:hAnsi="宋体"/>
              </w:rPr>
            </w:pPr>
            <w:r>
              <w:rPr>
                <w:rFonts w:ascii="宋体" w:hAnsi="宋体" w:hint="eastAsia"/>
              </w:rPr>
              <w:t>不需要</w:t>
            </w:r>
            <w:bookmarkEnd w:id="4"/>
            <w:bookmarkEnd w:id="5"/>
            <w:bookmarkEnd w:id="6"/>
            <w:bookmarkEnd w:id="7"/>
            <w:bookmarkEnd w:id="8"/>
            <w:bookmarkEnd w:id="9"/>
            <w:bookmarkEnd w:id="10"/>
            <w:bookmarkEnd w:id="11"/>
          </w:p>
        </w:tc>
      </w:tr>
    </w:tbl>
    <w:p>
      <w:pPr>
        <w:widowControl/>
        <w:jc w:val="center"/>
        <w:rPr>
          <w:szCs w:val="21"/>
        </w:rPr>
      </w:pPr>
      <w:r>
        <w:rPr>
          <w:rFonts w:hint="eastAsia"/>
          <w:szCs w:val="21"/>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pPr>
        <w:tabs>
          <w:tab w:val="left" w:pos="720"/>
        </w:tabs>
        <w:rPr>
          <w:rFonts w:ascii="黑体" w:eastAsia="黑体" w:hAnsi="宋体"/>
          <w:bCs/>
          <w:sz w:val="24"/>
        </w:rPr>
      </w:pPr>
      <w:r>
        <w:rPr>
          <w:rFonts w:ascii="黑体" w:eastAsia="黑体" w:hAnsi="宋体" w:hint="eastAsia"/>
          <w:bCs/>
          <w:sz w:val="24"/>
        </w:rPr>
        <w:t>1、评标定标信息</w:t>
      </w:r>
    </w:p>
    <w:p>
      <w:pPr>
        <w:tabs>
          <w:tab w:val="left" w:pos="720"/>
        </w:tabs>
        <w:jc w:val="center"/>
      </w:pPr>
      <w:r>
        <w:rPr>
          <w:rFonts w:hint="eastAsia"/>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pPr>
            <w:bookmarkStart w:id="13" w:name="_Hlk74239733"/>
            <w:r>
              <w:rPr>
                <w:rFonts w:hint="eastAsia"/>
              </w:rPr>
              <w:t>评标方法</w:t>
            </w:r>
          </w:p>
        </w:tc>
        <w:tc>
          <w:tcPr>
            <w:tcW w:w="4265" w:type="dxa"/>
          </w:tcPr>
          <w:p>
            <w:pPr>
              <w:jc w:val="center"/>
            </w:pPr>
            <w:r>
              <w:rPr>
                <w:rFonts w:hint="eastAsia"/>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候选中标供应商家数</w:t>
            </w:r>
          </w:p>
        </w:tc>
        <w:tc>
          <w:tcPr>
            <w:tcW w:w="4265" w:type="dxa"/>
          </w:tcPr>
          <w:p>
            <w:pPr>
              <w:jc w:val="center"/>
            </w:pPr>
            <w:r>
              <w:rPr>
                <w:rFonts w:hint="eastAsia"/>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中标供应商家数</w:t>
            </w:r>
          </w:p>
        </w:tc>
        <w:tc>
          <w:tcPr>
            <w:tcW w:w="4265" w:type="dxa"/>
          </w:tcPr>
          <w:p>
            <w:pPr>
              <w:jc w:val="center"/>
            </w:pPr>
            <w:r>
              <w:rPr>
                <w:rFonts w:hint="eastAsia"/>
              </w:rPr>
              <w:t>1</w:t>
            </w:r>
          </w:p>
        </w:tc>
      </w:tr>
    </w:tbl>
    <w:p>
      <w:pPr>
        <w:tabs>
          <w:tab w:val="left" w:pos="720"/>
        </w:tabs>
        <w:rPr>
          <w:rFonts w:ascii="黑体" w:eastAsia="黑体" w:hAnsi="宋体"/>
          <w:bCs/>
          <w:sz w:val="24"/>
        </w:rPr>
      </w:pPr>
      <w:bookmarkEnd w:id="13"/>
    </w:p>
    <w:p>
      <w:pPr>
        <w:tabs>
          <w:tab w:val="left" w:pos="720"/>
        </w:tabs>
        <w:rPr>
          <w:rFonts w:ascii="黑体" w:eastAsia="黑体" w:hAnsi="宋体"/>
          <w:bCs/>
          <w:sz w:val="24"/>
        </w:rPr>
      </w:pPr>
    </w:p>
    <w:p>
      <w:pPr>
        <w:tabs>
          <w:tab w:val="left" w:pos="720"/>
        </w:tabs>
        <w:rPr>
          <w:rFonts w:ascii="黑体" w:eastAsia="黑体" w:hAnsi="宋体"/>
          <w:bCs/>
          <w:sz w:val="24"/>
        </w:rPr>
      </w:pPr>
      <w:r>
        <w:rPr>
          <w:rFonts w:ascii="黑体" w:eastAsia="黑体" w:hAnsi="宋体" w:hint="eastAsia"/>
          <w:bCs/>
          <w:sz w:val="24"/>
        </w:rPr>
        <w:t>2、关于包组的定义</w:t>
      </w:r>
    </w:p>
    <w:p>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rPr>
      </w:pPr>
      <w:r>
        <w:rPr>
          <w:rFonts w:ascii="黑体" w:eastAsia="黑体" w:hAnsi="宋体" w:hint="eastAsia"/>
          <w:sz w:val="24"/>
        </w:rPr>
        <w:t>3、关于涉及采取随机抽取方式确定中标候选人（候选中标供应商）的规则</w:t>
      </w:r>
    </w:p>
    <w:p>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rPr>
      </w:pPr>
    </w:p>
    <w:p>
      <w:pPr>
        <w:tabs>
          <w:tab w:val="left" w:pos="720"/>
        </w:tabs>
        <w:rPr>
          <w:rFonts w:ascii="黑体" w:eastAsia="黑体" w:hAnsi="宋体"/>
          <w:sz w:val="24"/>
        </w:rPr>
      </w:pPr>
      <w:r>
        <w:rPr>
          <w:rFonts w:ascii="黑体" w:eastAsia="黑体" w:hAnsi="宋体" w:hint="eastAsia"/>
          <w:sz w:val="24"/>
        </w:rPr>
        <w:t>（二）其他事项</w:t>
      </w:r>
    </w:p>
    <w:p>
      <w:pPr>
        <w:tabs>
          <w:tab w:val="left" w:pos="720"/>
        </w:tabs>
        <w:rPr>
          <w:rFonts w:ascii="黑体" w:eastAsia="黑体" w:hAnsi="宋体"/>
          <w:sz w:val="24"/>
        </w:rPr>
      </w:pPr>
      <w:r>
        <w:rPr>
          <w:rFonts w:ascii="黑体" w:eastAsia="黑体" w:hAnsi="宋体" w:hint="eastAsia"/>
          <w:sz w:val="24"/>
        </w:rPr>
        <w:t>1、关于享受优惠政策的主体及价格扣除比例</w:t>
      </w:r>
    </w:p>
    <w:p>
      <w:pPr>
        <w:ind w:firstLine="412" w:firstLineChars="196"/>
        <w:rPr>
          <w:rFonts w:ascii="Arial" w:eastAsia="宋体" w:hAnsi="Arial" w:cs="Times New Roman"/>
          <w:b/>
          <w:color w:val="0000FF"/>
          <w:szCs w:val="21"/>
        </w:rPr>
      </w:pPr>
      <w:r>
        <w:rPr>
          <w:rFonts w:ascii="宋体" w:hAnsi="宋体" w:hint="eastAsia"/>
        </w:rPr>
        <w:t>（1）投标人提供的货物（以招标文件用户需求书“货物需求明细”的“货物名称”一栏为准）全部均由优惠主体制造的，对其投标总价给予</w:t>
      </w:r>
      <w:r>
        <w:rPr>
          <w:rFonts w:ascii="宋体" w:eastAsia="宋体" w:hAnsi="宋体" w:cs="Times New Roman" w:hint="eastAsia"/>
          <w:b/>
          <w:sz w:val="24"/>
          <w:szCs w:val="24"/>
          <w:u w:val="single"/>
        </w:rPr>
        <w:t>10%</w:t>
      </w:r>
      <w:r>
        <w:rPr>
          <w:rFonts w:ascii="宋体" w:hAnsi="宋体" w:hint="eastAsia"/>
        </w:rPr>
        <w:t>的扣除，用扣除后的价格参与评审。满足多项优惠政策的企业，不重复享受多项价格扣除政策。</w:t>
      </w:r>
      <w:r>
        <w:rPr>
          <w:rFonts w:ascii="Arial" w:eastAsia="宋体" w:hAnsi="Arial" w:cs="Times New Roman" w:hint="eastAsia"/>
          <w:b/>
          <w:szCs w:val="21"/>
        </w:rPr>
        <w:t>政策调整后价格仅作为评审依据，不作为中标价格。</w:t>
      </w:r>
    </w:p>
    <w:p>
      <w:pPr>
        <w:ind w:firstLine="420" w:firstLineChars="200"/>
        <w:rPr>
          <w:rFonts w:asciiTheme="minorEastAsia" w:hAnsiTheme="minorEastAsia" w:cstheme="minorEastAsia"/>
          <w:szCs w:val="21"/>
        </w:rPr>
      </w:pPr>
      <w:r>
        <w:rPr>
          <w:rFonts w:asciiTheme="minorEastAsia" w:hAnsiTheme="minorEastAsia" w:cstheme="minorEastAsia" w:hint="eastAsia"/>
          <w:szCs w:val="21"/>
        </w:rPr>
        <w:t>备注：</w:t>
      </w:r>
      <w:r>
        <w:rPr>
          <w:rFonts w:asciiTheme="minorEastAsia" w:hAnsiTheme="minorEastAsia" w:cstheme="minorEastAsia" w:hint="eastAsia"/>
          <w:b/>
          <w:bCs/>
          <w:szCs w:val="21"/>
        </w:rPr>
        <w:t>（a）</w:t>
      </w:r>
      <w:r>
        <w:rPr>
          <w:rFonts w:asciiTheme="minorEastAsia" w:hAnsiTheme="minorEastAsia" w:cstheme="minorEastAsia" w:hint="eastAsia"/>
          <w:szCs w:val="21"/>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Cs w:val="21"/>
        </w:rPr>
        <w:t>(b)</w:t>
      </w:r>
      <w:r>
        <w:rPr>
          <w:rFonts w:asciiTheme="minorEastAsia" w:hAnsiTheme="minorEastAsia" w:cstheme="minorEastAsia" w:hint="eastAsia"/>
          <w:szCs w:val="21"/>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hAnsiTheme="minorEastAsia" w:cstheme="minorEastAsia"/>
          <w:szCs w:val="21"/>
        </w:rPr>
      </w:pPr>
      <w:r>
        <w:rPr>
          <w:rFonts w:asciiTheme="minorEastAsia" w:hAnsiTheme="minorEastAsia" w:cstheme="minorEastAsia" w:hint="eastAsia"/>
          <w:szCs w:val="21"/>
        </w:rPr>
        <w:t>（2）根据《工业和信息化部、国家统计局、国家发展和改革委员会、财政部关于印发中小企业划型标准规定的通知》（工信部联企业〔2011〕300 号）、《统计上大中小微型企业划分办法（2017）》（国统字〔2017〕213 号）、</w:t>
      </w:r>
      <w:r>
        <w:rPr>
          <w:rFonts w:asciiTheme="minorEastAsia" w:hAnsiTheme="minorEastAsia" w:cstheme="minorEastAsia" w:hint="eastAsia"/>
          <w:kern w:val="0"/>
          <w:szCs w:val="21"/>
        </w:rPr>
        <w:t>《金融业企业划型标准规定》（银发〔2015〕309号）</w:t>
      </w:r>
      <w:r>
        <w:rPr>
          <w:rFonts w:asciiTheme="minorEastAsia" w:hAnsiTheme="minorEastAsia" w:cstheme="minorEastAsia" w:hint="eastAsia"/>
          <w:szCs w:val="21"/>
        </w:rPr>
        <w:t>或国务院批准的其他中小企业划分标准文件，</w:t>
      </w:r>
      <w:bookmarkStart w:id="14" w:name="_Hlk71970739"/>
      <w:r>
        <w:rPr>
          <w:rFonts w:asciiTheme="minorEastAsia" w:hAnsiTheme="minorEastAsia" w:cstheme="minorEastAsia" w:hint="eastAsia"/>
          <w:szCs w:val="21"/>
        </w:rPr>
        <w:t>本项目</w:t>
      </w:r>
      <w:bookmarkStart w:id="15" w:name="_Hlk71924718"/>
      <w:r>
        <w:rPr>
          <w:rFonts w:asciiTheme="minorEastAsia" w:hAnsiTheme="minorEastAsia" w:cstheme="minorEastAsia" w:hint="eastAsia"/>
          <w:szCs w:val="21"/>
        </w:rPr>
        <w:t>采购标的（货物）对应的中小企业划分标准所属行业</w:t>
      </w:r>
      <w:bookmarkEnd w:id="15"/>
      <w:r>
        <w:rPr>
          <w:rFonts w:asciiTheme="minorEastAsia" w:hAnsiTheme="minorEastAsia" w:cstheme="minorEastAsia" w:hint="eastAsia"/>
          <w:szCs w:val="21"/>
        </w:rPr>
        <w:t>为</w:t>
      </w:r>
      <w:r>
        <w:rPr>
          <w:rFonts w:asciiTheme="minorEastAsia" w:hAnsiTheme="minorEastAsia" w:cstheme="minorEastAsia" w:hint="eastAsia"/>
          <w:b/>
          <w:bCs/>
          <w:color w:val="FF0000"/>
          <w:sz w:val="24"/>
          <w:szCs w:val="24"/>
          <w:u w:val="single"/>
        </w:rPr>
        <w:t>软件和信息技术服务业</w:t>
      </w:r>
      <w:r>
        <w:rPr>
          <w:rFonts w:asciiTheme="minorEastAsia" w:hAnsiTheme="minorEastAsia" w:cstheme="minorEastAsia" w:hint="eastAsia"/>
          <w:szCs w:val="21"/>
        </w:rPr>
        <w:t>。</w:t>
      </w:r>
      <w:bookmarkEnd w:id="14"/>
    </w:p>
    <w:p>
      <w:pPr>
        <w:ind w:firstLine="420" w:firstLineChars="200"/>
        <w:rPr>
          <w:rFonts w:asciiTheme="minorEastAsia" w:hAnsiTheme="minorEastAsia" w:cstheme="minorEastAsia"/>
          <w:szCs w:val="21"/>
        </w:rPr>
      </w:pPr>
      <w:r>
        <w:rPr>
          <w:rFonts w:asciiTheme="minorEastAsia" w:hAnsiTheme="minorEastAsia" w:cstheme="minorEastAsia" w:hint="eastAsia"/>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hAnsiTheme="minorEastAsia" w:cstheme="minorEastAsia"/>
          <w:szCs w:val="21"/>
        </w:rPr>
      </w:pPr>
      <w:r>
        <w:rPr>
          <w:rFonts w:asciiTheme="minorEastAsia" w:hAnsiTheme="minorEastAsia" w:cstheme="minorEastAsia" w:hint="eastAsia"/>
          <w:szCs w:val="21"/>
        </w:rPr>
        <w:t>（4）享受价格扣除获得政府采购合同的，小微企业不得将合同分包给大中型企业。</w:t>
      </w:r>
    </w:p>
    <w:p>
      <w:pPr>
        <w:tabs>
          <w:tab w:val="left" w:pos="720"/>
        </w:tabs>
        <w:ind w:firstLine="420" w:firstLineChars="200"/>
        <w:rPr>
          <w:rFonts w:ascii="宋体" w:hAnsi="宋体"/>
          <w:bCs/>
        </w:rPr>
      </w:pPr>
    </w:p>
    <w:p>
      <w:pPr>
        <w:tabs>
          <w:tab w:val="left" w:pos="720"/>
        </w:tabs>
        <w:ind w:firstLine="420" w:firstLineChars="200"/>
        <w:rPr>
          <w:rFonts w:asciiTheme="minorEastAsia" w:hAnsiTheme="minorEastAsia" w:cstheme="minorEastAsia"/>
          <w:szCs w:val="21"/>
        </w:rPr>
      </w:pPr>
    </w:p>
    <w:p>
      <w:pPr>
        <w:tabs>
          <w:tab w:val="left" w:pos="720"/>
        </w:tabs>
        <w:ind w:firstLine="420" w:firstLineChars="200"/>
        <w:rPr>
          <w:rFonts w:ascii="黑体" w:eastAsia="黑体" w:hAnsi="宋体"/>
          <w:sz w:val="24"/>
        </w:rPr>
      </w:pPr>
    </w:p>
    <w:p>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pPr>
        <w:ind w:firstLine="420" w:firstLineChars="200"/>
        <w:rPr>
          <w:rFonts w:ascii="宋体" w:eastAsia="宋体" w:hAnsi="宋体" w:cs="Times New Roman"/>
          <w:b/>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sz w:val="24"/>
        </w:rPr>
      </w:pPr>
    </w:p>
    <w:p>
      <w:pPr>
        <w:tabs>
          <w:tab w:val="left" w:pos="720"/>
        </w:tabs>
        <w:rPr>
          <w:rFonts w:ascii="Arial" w:hAnsi="Arial"/>
          <w:b/>
          <w:bCs/>
          <w:color w:val="FF0000"/>
        </w:rPr>
      </w:pPr>
      <w:r>
        <w:rPr>
          <w:rFonts w:ascii="Arial" w:hAnsi="Arial" w:hint="eastAsia"/>
          <w:b/>
          <w:bCs/>
          <w:color w:val="FF0000"/>
        </w:rPr>
        <w:t>3、本项目不向中标供应商收取代理服务费。</w:t>
      </w:r>
    </w:p>
    <w:p>
      <w:pPr>
        <w:widowControl/>
        <w:ind w:firstLine="420"/>
        <w:jc w:val="left"/>
        <w:rPr>
          <w:rFonts w:ascii="宋体" w:eastAsia="黑体" w:hAnsi="宋体" w:cs="Times New Roman"/>
          <w:bCs/>
          <w:kern w:val="44"/>
          <w:szCs w:val="21"/>
        </w:rPr>
      </w:pPr>
    </w:p>
    <w:p>
      <w:pPr>
        <w:widowControl/>
        <w:jc w:val="left"/>
        <w:rPr>
          <w:rFonts w:ascii="宋体" w:eastAsia="黑体" w:hAnsi="宋体" w:cs="Times New Roman"/>
          <w:bCs/>
          <w:kern w:val="44"/>
          <w:sz w:val="28"/>
          <w:szCs w:val="44"/>
        </w:rPr>
      </w:pPr>
      <w: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pPr>
            <w:r>
              <w:rPr>
                <w:rFonts w:hint="eastAsia"/>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pPr>
            <w:r>
              <w:rPr>
                <w:rFonts w:hint="eastAsia"/>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pPr>
            <w:r>
              <w:rPr>
                <w:rFonts w:hint="eastAsia"/>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pPr>
            <w:r>
              <w:rPr>
                <w:rFonts w:asciiTheme="minorEastAsia" w:hAnsiTheme="minorEastAsia" w:hint="eastAsia"/>
                <w:sz w:val="24"/>
                <w:szCs w:val="24"/>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sz w:val="24"/>
                <w:szCs w:val="24"/>
              </w:rPr>
            </w:pPr>
            <w:r>
              <w:rPr>
                <w:rFonts w:asciiTheme="minorEastAsia" w:hAnsiTheme="minorEastAsia" w:hint="eastAsia"/>
                <w:sz w:val="24"/>
                <w:szCs w:val="24"/>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sz w:val="24"/>
                <w:szCs w:val="24"/>
              </w:rPr>
            </w:pPr>
            <w:r>
              <w:rPr>
                <w:rFonts w:asciiTheme="minorEastAsia" w:hAnsiTheme="minorEastAsia"/>
                <w:sz w:val="24"/>
                <w:szCs w:val="24"/>
              </w:rPr>
              <w:t>PLAN-2024-440306000-112062-02091</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hAnsiTheme="minorEastAsia"/>
                <w:sz w:val="24"/>
                <w:szCs w:val="24"/>
              </w:rPr>
            </w:pPr>
            <w:r>
              <w:rPr>
                <w:rFonts w:asciiTheme="minorEastAsia" w:hAnsiTheme="minorEastAsia" w:hint="eastAsia"/>
                <w:sz w:val="24"/>
                <w:szCs w:val="24"/>
              </w:rPr>
              <w:t>深圳市宝安区荣根学校理科实验考试设备采购项目</w:t>
            </w:r>
          </w:p>
          <w:p>
            <w:pPr>
              <w:jc w:val="center"/>
            </w:pPr>
            <w:r>
              <w:rPr>
                <w:rFonts w:asciiTheme="minorEastAsia" w:hAnsiTheme="minorEastAsia" w:hint="eastAsia"/>
                <w:sz w:val="24"/>
                <w:szCs w:val="24"/>
              </w:rPr>
              <w:t>（</w:t>
            </w:r>
            <w:r>
              <w:rPr>
                <w:rFonts w:asciiTheme="minorEastAsia" w:hAnsiTheme="minorEastAsia" w:cs="Times New Roman" w:hint="eastAsia"/>
                <w:sz w:val="24"/>
                <w:szCs w:val="24"/>
              </w:rPr>
              <w:t>A包</w:t>
            </w:r>
            <w:r>
              <w:rPr>
                <w:rFonts w:asciiTheme="minorEastAsia" w:hAnsiTheme="minorEastAsia" w:hint="eastAsia"/>
                <w:sz w:val="24"/>
                <w:szCs w:val="24"/>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sz w:val="24"/>
                <w:szCs w:val="24"/>
              </w:rPr>
            </w:pPr>
            <w:r>
              <w:rPr>
                <w:rFonts w:asciiTheme="minorEastAsia" w:hAnsiTheme="minorEastAsia"/>
                <w:sz w:val="24"/>
                <w:szCs w:val="24"/>
              </w:rPr>
              <w:t>1500000.00</w:t>
            </w:r>
          </w:p>
          <w:p>
            <w:pPr>
              <w:jc w:val="center"/>
              <w:rPr>
                <w:rFonts w:asciiTheme="minorEastAsia" w:hAnsiTheme="minorEastAsia"/>
                <w:sz w:val="24"/>
                <w:szCs w:val="24"/>
              </w:rPr>
            </w:pPr>
            <w:r>
              <w:rPr>
                <w:rFonts w:asciiTheme="minorEastAsia" w:hAnsiTheme="minorEastAsia" w:hint="eastAsia"/>
                <w:sz w:val="24"/>
                <w:szCs w:val="24"/>
              </w:rPr>
              <w:t xml:space="preserve"> </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pPr>
            <w:r>
              <w:rPr>
                <w:rFonts w:hint="eastAsia"/>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sz w:val="24"/>
                <w:szCs w:val="24"/>
              </w:rPr>
            </w:pPr>
            <w:r>
              <w:rPr>
                <w:rFonts w:asciiTheme="minorEastAsia" w:hAnsiTheme="minorEastAsia"/>
                <w:sz w:val="24"/>
                <w:szCs w:val="24"/>
              </w:rPr>
              <w:t>1500000.00</w:t>
            </w:r>
          </w:p>
        </w:tc>
      </w:tr>
    </w:tbl>
    <w:p>
      <w:pPr>
        <w:rPr>
          <w:sz w:val="24"/>
          <w:szCs w:val="24"/>
        </w:rPr>
      </w:pPr>
      <w:r>
        <w:rPr>
          <w:rFonts w:ascii="Arial" w:eastAsia="宋体" w:hAnsi="Arial" w:cs="Times New Roman" w:hint="eastAsia"/>
          <w:b/>
          <w:color w:val="FF0000"/>
          <w:sz w:val="24"/>
          <w:szCs w:val="24"/>
        </w:rPr>
        <w:t>本项目控制金额为人民币</w:t>
      </w:r>
      <w:r>
        <w:rPr>
          <w:rFonts w:ascii="Arial" w:eastAsia="宋体" w:hAnsi="Arial" w:cs="Times New Roman" w:hint="eastAsia"/>
          <w:b/>
          <w:color w:val="0000FF"/>
          <w:sz w:val="24"/>
          <w:szCs w:val="24"/>
        </w:rPr>
        <w:t>：150万元</w:t>
      </w:r>
      <w:r>
        <w:rPr>
          <w:rFonts w:ascii="Arial" w:eastAsia="宋体" w:hAnsi="Arial" w:cs="Times New Roman" w:hint="eastAsia"/>
          <w:b/>
          <w:color w:val="FF0000"/>
          <w:sz w:val="24"/>
          <w:szCs w:val="24"/>
        </w:rPr>
        <w:t>，投标报价超出控制金额将作投标无效处理。</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pPr>
        <w:rPr>
          <w:rFonts w:ascii="宋体" w:eastAsia="宋体" w:hAnsi="宋体" w:cs="Times New Roman"/>
          <w:b/>
          <w:bCs/>
          <w:color w:val="FF0000"/>
          <w:sz w:val="32"/>
          <w:szCs w:val="32"/>
        </w:rPr>
      </w:pPr>
      <w:r>
        <w:rPr>
          <w:rFonts w:ascii="宋体" w:hAnsi="宋体" w:hint="eastAsia"/>
          <w:b/>
          <w:color w:val="FF0000"/>
          <w:sz w:val="32"/>
          <w:szCs w:val="32"/>
        </w:rPr>
        <w:t>本项目核心产品为：</w:t>
      </w:r>
      <w:r>
        <w:rPr>
          <w:rFonts w:ascii="宋体" w:eastAsia="宋体" w:hAnsi="宋体" w:cs="Times New Roman" w:hint="eastAsia"/>
          <w:b/>
          <w:bCs/>
          <w:color w:val="FF0000"/>
          <w:sz w:val="32"/>
          <w:szCs w:val="32"/>
        </w:rPr>
        <w:t>实验信息采集终端</w:t>
      </w:r>
    </w:p>
    <w:tbl>
      <w:tblPr>
        <w:tblStyle w:val="TableNormal"/>
        <w:tblpPr w:leftFromText="180" w:rightFromText="180" w:vertAnchor="text" w:horzAnchor="page" w:tblpX="1926" w:tblpY="7"/>
        <w:tblOverlap w:val="never"/>
        <w:tblW w:w="100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4290"/>
        <w:gridCol w:w="1275"/>
        <w:gridCol w:w="1843"/>
        <w:gridCol w:w="1843"/>
      </w:tblGrid>
      <w:tr>
        <w:tblPrEx>
          <w:tblW w:w="100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
        </w:trPr>
        <w:tc>
          <w:tcPr>
            <w:tcW w:w="780" w:type="dxa"/>
            <w:vAlign w:val="center"/>
          </w:tcPr>
          <w:p>
            <w:pPr>
              <w:wordWrap w:val="0"/>
              <w:spacing w:after="160"/>
              <w:jc w:val="center"/>
              <w:outlineLvl w:val="2"/>
              <w:rPr>
                <w:rFonts w:ascii="宋体" w:eastAsia="宋体" w:hAnsi="宋体" w:cs="宋体"/>
                <w:b/>
                <w:szCs w:val="21"/>
              </w:rPr>
            </w:pPr>
            <w:r>
              <w:rPr>
                <w:rFonts w:ascii="宋体" w:eastAsia="宋体" w:hAnsi="宋体" w:cs="宋体" w:hint="eastAsia"/>
                <w:b/>
                <w:szCs w:val="21"/>
              </w:rPr>
              <w:t>序号</w:t>
            </w:r>
          </w:p>
        </w:tc>
        <w:tc>
          <w:tcPr>
            <w:tcW w:w="4290" w:type="dxa"/>
            <w:vAlign w:val="center"/>
          </w:tcPr>
          <w:p>
            <w:pPr>
              <w:widowControl/>
              <w:jc w:val="center"/>
              <w:rPr>
                <w:rFonts w:ascii="宋体" w:eastAsia="宋体" w:hAnsi="宋体" w:cs="宋体"/>
                <w:b/>
                <w:szCs w:val="21"/>
              </w:rPr>
            </w:pPr>
            <w:r>
              <w:rPr>
                <w:rFonts w:hint="eastAsia"/>
                <w:b/>
              </w:rPr>
              <w:t>货物名称（标的名称）</w:t>
            </w:r>
          </w:p>
        </w:tc>
        <w:tc>
          <w:tcPr>
            <w:tcW w:w="1275" w:type="dxa"/>
            <w:vAlign w:val="center"/>
          </w:tcPr>
          <w:p>
            <w:pPr>
              <w:widowControl/>
              <w:jc w:val="center"/>
              <w:rPr>
                <w:rFonts w:ascii="宋体" w:eastAsia="宋体" w:hAnsi="宋体" w:cs="宋体"/>
                <w:b/>
                <w:szCs w:val="21"/>
              </w:rPr>
            </w:pPr>
            <w:r>
              <w:rPr>
                <w:rFonts w:ascii="宋体" w:eastAsia="宋体" w:hAnsi="宋体" w:cs="宋体" w:hint="eastAsia"/>
                <w:b/>
                <w:szCs w:val="21"/>
              </w:rPr>
              <w:t>数量</w:t>
            </w:r>
          </w:p>
        </w:tc>
        <w:tc>
          <w:tcPr>
            <w:tcW w:w="1843" w:type="dxa"/>
            <w:vAlign w:val="center"/>
          </w:tcPr>
          <w:p>
            <w:pPr>
              <w:widowControl/>
              <w:jc w:val="center"/>
              <w:rPr>
                <w:rFonts w:ascii="宋体" w:eastAsia="宋体" w:hAnsi="宋体" w:cs="宋体"/>
                <w:b/>
                <w:szCs w:val="21"/>
              </w:rPr>
            </w:pPr>
            <w:r>
              <w:rPr>
                <w:rFonts w:ascii="宋体" w:eastAsia="宋体" w:hAnsi="宋体" w:cs="宋体" w:hint="eastAsia"/>
                <w:b/>
                <w:szCs w:val="21"/>
              </w:rPr>
              <w:t>单位</w:t>
            </w:r>
          </w:p>
        </w:tc>
        <w:tc>
          <w:tcPr>
            <w:tcW w:w="1843" w:type="dxa"/>
          </w:tcPr>
          <w:p>
            <w:pPr>
              <w:widowControl/>
              <w:jc w:val="center"/>
              <w:rPr>
                <w:rFonts w:ascii="宋体" w:eastAsia="宋体" w:hAnsi="宋体" w:cs="宋体"/>
                <w:b/>
                <w:szCs w:val="21"/>
              </w:rPr>
            </w:pPr>
            <w:r>
              <w:rPr>
                <w:rFonts w:ascii="宋体" w:eastAsia="宋体" w:hAnsi="宋体" w:cs="宋体" w:hint="eastAsia"/>
                <w:b/>
                <w:bCs/>
                <w:szCs w:val="21"/>
                <w:highlight w:val="yellow"/>
              </w:rPr>
              <w:t>所属行业</w:t>
            </w: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kern w:val="0"/>
                <w:szCs w:val="21"/>
              </w:rPr>
            </w:pPr>
            <w:r>
              <w:rPr>
                <w:rFonts w:ascii="宋体" w:eastAsia="宋体" w:hAnsi="宋体" w:cs="宋体" w:hint="eastAsia"/>
                <w:color w:val="000000"/>
                <w:kern w:val="0"/>
                <w:szCs w:val="21"/>
              </w:rPr>
              <w:t>1</w:t>
            </w:r>
          </w:p>
        </w:tc>
        <w:tc>
          <w:tcPr>
            <w:tcW w:w="4290" w:type="dxa"/>
            <w:vAlign w:val="center"/>
          </w:tcPr>
          <w:p>
            <w:pPr>
              <w:widowControl/>
              <w:jc w:val="center"/>
              <w:textAlignment w:val="center"/>
              <w:rPr>
                <w:rFonts w:ascii="宋体" w:eastAsia="宋体" w:hAnsi="宋体" w:cs="宋体"/>
                <w:bCs/>
                <w:color w:val="000000"/>
                <w:szCs w:val="21"/>
              </w:rPr>
            </w:pPr>
            <w:r>
              <w:rPr>
                <w:rFonts w:ascii="宋体" w:eastAsia="宋体" w:hAnsi="宋体" w:cs="宋体" w:hint="eastAsia"/>
                <w:color w:val="000000"/>
                <w:kern w:val="0"/>
                <w:szCs w:val="21"/>
              </w:rPr>
              <w:t>考试专用服务器</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2</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val="restart"/>
          </w:tcPr>
          <w:p>
            <w:pPr>
              <w:widowControl/>
              <w:jc w:val="center"/>
              <w:textAlignment w:val="center"/>
              <w:rPr>
                <w:rFonts w:ascii="宋体" w:eastAsia="宋体" w:hAnsi="宋体" w:cs="宋体"/>
                <w:color w:val="000000"/>
                <w:kern w:val="0"/>
                <w:szCs w:val="21"/>
              </w:rPr>
            </w:pPr>
            <w:r>
              <w:rPr>
                <w:rFonts w:ascii="宋体" w:eastAsia="宋体" w:hAnsi="宋体" w:cs="宋体" w:hint="eastAsia"/>
                <w:bCs/>
                <w:szCs w:val="21"/>
                <w:highlight w:val="yellow"/>
              </w:rPr>
              <w:t>软件和信息技术服务业</w:t>
            </w: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kern w:val="0"/>
                <w:szCs w:val="21"/>
              </w:rPr>
            </w:pPr>
            <w:r>
              <w:rPr>
                <w:rFonts w:ascii="宋体" w:eastAsia="宋体" w:hAnsi="宋体" w:cs="宋体" w:hint="eastAsia"/>
                <w:color w:val="000000"/>
                <w:kern w:val="0"/>
                <w:szCs w:val="21"/>
              </w:rPr>
              <w:t>2</w:t>
            </w:r>
          </w:p>
        </w:tc>
        <w:tc>
          <w:tcPr>
            <w:tcW w:w="4290" w:type="dxa"/>
            <w:vAlign w:val="center"/>
          </w:tcPr>
          <w:p>
            <w:pPr>
              <w:widowControl/>
              <w:jc w:val="center"/>
              <w:textAlignment w:val="center"/>
              <w:rPr>
                <w:rFonts w:ascii="宋体" w:eastAsia="宋体" w:hAnsi="宋体" w:cs="宋体"/>
                <w:bCs/>
                <w:color w:val="000000"/>
                <w:szCs w:val="21"/>
              </w:rPr>
            </w:pPr>
            <w:r>
              <w:rPr>
                <w:rFonts w:ascii="宋体" w:eastAsia="宋体" w:hAnsi="宋体" w:cs="宋体" w:hint="eastAsia"/>
                <w:color w:val="000000"/>
                <w:kern w:val="0"/>
                <w:szCs w:val="21"/>
              </w:rPr>
              <w:t>移动硬盘</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3</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个</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kern w:val="0"/>
                <w:szCs w:val="21"/>
              </w:rPr>
            </w:pPr>
            <w:r>
              <w:rPr>
                <w:rFonts w:ascii="宋体" w:eastAsia="宋体" w:hAnsi="宋体" w:cs="宋体" w:hint="eastAsia"/>
                <w:color w:val="000000"/>
                <w:kern w:val="0"/>
                <w:szCs w:val="21"/>
              </w:rPr>
              <w:t>3</w:t>
            </w:r>
          </w:p>
        </w:tc>
        <w:tc>
          <w:tcPr>
            <w:tcW w:w="4290" w:type="dxa"/>
            <w:vAlign w:val="center"/>
          </w:tcPr>
          <w:p>
            <w:pPr>
              <w:widowControl/>
              <w:jc w:val="center"/>
              <w:textAlignment w:val="center"/>
              <w:rPr>
                <w:rFonts w:ascii="宋体" w:eastAsia="宋体" w:hAnsi="宋体" w:cs="宋体"/>
                <w:bCs/>
                <w:color w:val="000000"/>
                <w:szCs w:val="21"/>
              </w:rPr>
            </w:pPr>
            <w:r>
              <w:rPr>
                <w:rFonts w:ascii="宋体" w:eastAsia="宋体" w:hAnsi="宋体" w:cs="宋体" w:hint="eastAsia"/>
                <w:color w:val="000000"/>
                <w:kern w:val="0"/>
                <w:szCs w:val="21"/>
              </w:rPr>
              <w:t>交换机</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3</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4</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考场监考管理主机</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3</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5</w:t>
            </w:r>
          </w:p>
        </w:tc>
        <w:tc>
          <w:tcPr>
            <w:tcW w:w="4290" w:type="dxa"/>
            <w:vAlign w:val="center"/>
          </w:tcPr>
          <w:p>
            <w:pPr>
              <w:widowControl/>
              <w:jc w:val="center"/>
              <w:textAlignment w:val="center"/>
              <w:rPr>
                <w:rFonts w:ascii="宋体" w:eastAsia="宋体" w:hAnsi="宋体" w:cs="宋体"/>
                <w:bCs/>
                <w:color w:val="000000"/>
                <w:szCs w:val="21"/>
              </w:rPr>
            </w:pPr>
            <w:r>
              <w:rPr>
                <w:rFonts w:ascii="宋体" w:eastAsia="宋体" w:hAnsi="宋体" w:cs="宋体" w:hint="eastAsia"/>
                <w:color w:val="000000"/>
                <w:kern w:val="0"/>
                <w:szCs w:val="21"/>
              </w:rPr>
              <w:t>校级管理平台</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1</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套</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6</w:t>
            </w:r>
          </w:p>
        </w:tc>
        <w:tc>
          <w:tcPr>
            <w:tcW w:w="4290" w:type="dxa"/>
            <w:vAlign w:val="center"/>
          </w:tcPr>
          <w:p>
            <w:pPr>
              <w:widowControl/>
              <w:jc w:val="center"/>
              <w:textAlignment w:val="center"/>
              <w:rPr>
                <w:rFonts w:ascii="宋体" w:eastAsia="宋体" w:hAnsi="宋体" w:cs="宋体"/>
                <w:bCs/>
                <w:color w:val="FF0000"/>
                <w:kern w:val="0"/>
                <w:szCs w:val="21"/>
              </w:rPr>
            </w:pPr>
            <w:r>
              <w:rPr>
                <w:rFonts w:ascii="宋体" w:eastAsia="宋体" w:hAnsi="宋体" w:cs="宋体" w:hint="eastAsia"/>
                <w:color w:val="FF0000"/>
                <w:kern w:val="0"/>
                <w:szCs w:val="21"/>
              </w:rPr>
              <w:t>实验信息采集终端</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75</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套</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7</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电子目镜</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50</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个</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8</w:t>
            </w:r>
          </w:p>
        </w:tc>
        <w:tc>
          <w:tcPr>
            <w:tcW w:w="4290"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AI算力设备</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1</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9</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UPS</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2</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10</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机柜</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2</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个</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11</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综合布线</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75</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点</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12</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color w:val="000000"/>
                <w:kern w:val="0"/>
                <w:szCs w:val="21"/>
              </w:rPr>
              <w:t>电源布线</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75</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点</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13</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巡考摄像机</w:t>
            </w:r>
          </w:p>
        </w:tc>
        <w:tc>
          <w:tcPr>
            <w:tcW w:w="1275"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6</w:t>
            </w:r>
          </w:p>
        </w:tc>
        <w:tc>
          <w:tcPr>
            <w:tcW w:w="1843"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台</w:t>
            </w:r>
          </w:p>
        </w:tc>
        <w:tc>
          <w:tcPr>
            <w:tcW w:w="1843" w:type="dxa"/>
            <w:vMerge/>
          </w:tcPr>
          <w:p>
            <w:pPr>
              <w:widowControl/>
              <w:jc w:val="center"/>
              <w:textAlignment w:val="center"/>
              <w:rPr>
                <w:rFonts w:ascii="宋体" w:eastAsia="宋体" w:hAnsi="宋体" w:cs="宋体"/>
                <w:bCs/>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14</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智能融合信息终端</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4</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15</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触控面板</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4</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台</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bCs/>
                <w:color w:val="000000"/>
                <w:kern w:val="0"/>
                <w:szCs w:val="21"/>
              </w:rPr>
              <w:t>16</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高保真音箱</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4</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对</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bCs/>
                <w:color w:val="000000"/>
                <w:kern w:val="0"/>
                <w:szCs w:val="21"/>
              </w:rPr>
              <w:t>17</w:t>
            </w:r>
          </w:p>
        </w:tc>
        <w:tc>
          <w:tcPr>
            <w:tcW w:w="4290"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bCs/>
                <w:color w:val="000000"/>
                <w:kern w:val="0"/>
                <w:szCs w:val="21"/>
              </w:rPr>
              <w:t>作弊防控系统</w:t>
            </w:r>
          </w:p>
        </w:tc>
        <w:tc>
          <w:tcPr>
            <w:tcW w:w="1275"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2</w:t>
            </w:r>
          </w:p>
        </w:tc>
        <w:tc>
          <w:tcPr>
            <w:tcW w:w="1843" w:type="dxa"/>
            <w:vAlign w:val="center"/>
          </w:tcPr>
          <w:p>
            <w:pPr>
              <w:widowControl/>
              <w:jc w:val="center"/>
              <w:textAlignment w:val="center"/>
              <w:rPr>
                <w:rFonts w:ascii="宋体" w:eastAsia="宋体" w:hAnsi="宋体" w:cs="宋体"/>
                <w:color w:val="000000"/>
                <w:kern w:val="0"/>
                <w:szCs w:val="21"/>
              </w:rPr>
            </w:pPr>
            <w:r>
              <w:rPr>
                <w:rFonts w:ascii="宋体" w:eastAsia="宋体" w:hAnsi="宋体" w:cs="宋体" w:hint="eastAsia"/>
                <w:color w:val="000000"/>
                <w:kern w:val="0"/>
                <w:szCs w:val="21"/>
              </w:rPr>
              <w:t>套</w:t>
            </w:r>
          </w:p>
        </w:tc>
        <w:tc>
          <w:tcPr>
            <w:tcW w:w="1843" w:type="dxa"/>
            <w:vMerge/>
          </w:tcPr>
          <w:p>
            <w:pPr>
              <w:widowControl/>
              <w:jc w:val="center"/>
              <w:textAlignment w:val="center"/>
              <w:rPr>
                <w:rFonts w:ascii="宋体" w:eastAsia="宋体" w:hAnsi="宋体" w:cs="宋体"/>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18</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功放</w:t>
            </w:r>
          </w:p>
        </w:tc>
        <w:tc>
          <w:tcPr>
            <w:tcW w:w="1275"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w:t>
            </w:r>
          </w:p>
        </w:tc>
        <w:tc>
          <w:tcPr>
            <w:tcW w:w="1843"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台</w:t>
            </w:r>
          </w:p>
        </w:tc>
        <w:tc>
          <w:tcPr>
            <w:tcW w:w="1843" w:type="dxa"/>
            <w:vMerge/>
          </w:tcPr>
          <w:p>
            <w:pPr>
              <w:widowControl/>
              <w:jc w:val="center"/>
              <w:textAlignment w:val="center"/>
              <w:rPr>
                <w:rFonts w:ascii="宋体" w:eastAsia="宋体" w:hAnsi="宋体" w:cs="宋体"/>
                <w:bCs/>
                <w:color w:val="000000"/>
                <w:kern w:val="0"/>
                <w:szCs w:val="21"/>
              </w:rPr>
            </w:pPr>
          </w:p>
        </w:tc>
      </w:tr>
      <w:tr>
        <w:tblPrEx>
          <w:tblW w:w="10031" w:type="dxa"/>
          <w:tblInd w:w="0" w:type="dxa"/>
          <w:tblLayout w:type="fixed"/>
          <w:tblCellMar>
            <w:top w:w="0" w:type="dxa"/>
            <w:left w:w="108" w:type="dxa"/>
            <w:bottom w:w="0" w:type="dxa"/>
            <w:right w:w="108" w:type="dxa"/>
          </w:tblCellMar>
        </w:tblPrEx>
        <w:trPr>
          <w:trHeight w:val="510"/>
        </w:trPr>
        <w:tc>
          <w:tcPr>
            <w:tcW w:w="78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19</w:t>
            </w:r>
          </w:p>
        </w:tc>
        <w:tc>
          <w:tcPr>
            <w:tcW w:w="4290"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音柱</w:t>
            </w:r>
          </w:p>
        </w:tc>
        <w:tc>
          <w:tcPr>
            <w:tcW w:w="1275"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8</w:t>
            </w:r>
          </w:p>
        </w:tc>
        <w:tc>
          <w:tcPr>
            <w:tcW w:w="1843" w:type="dxa"/>
            <w:vAlign w:val="center"/>
          </w:tcPr>
          <w:p>
            <w:pPr>
              <w:widowControl/>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只</w:t>
            </w:r>
          </w:p>
        </w:tc>
        <w:tc>
          <w:tcPr>
            <w:tcW w:w="1843" w:type="dxa"/>
            <w:vMerge/>
          </w:tcPr>
          <w:p>
            <w:pPr>
              <w:widowControl/>
              <w:jc w:val="center"/>
              <w:textAlignment w:val="center"/>
              <w:rPr>
                <w:rFonts w:ascii="宋体" w:eastAsia="宋体" w:hAnsi="宋体" w:cs="宋体"/>
                <w:bCs/>
                <w:color w:val="000000"/>
                <w:kern w:val="0"/>
                <w:szCs w:val="21"/>
              </w:rPr>
            </w:pPr>
          </w:p>
        </w:tc>
      </w:tr>
    </w:tbl>
    <w:p>
      <w:pPr>
        <w:rPr>
          <w:color w:val="FF0000"/>
        </w:rPr>
      </w:pPr>
    </w:p>
    <w:p>
      <w:pPr>
        <w:rPr>
          <w:color w:val="FF0000"/>
        </w:rPr>
      </w:pPr>
      <w:r>
        <w:rPr>
          <w:rFonts w:hint="eastAsia"/>
          <w:color w:val="FF0000"/>
        </w:rPr>
        <w:t>备注：</w:t>
      </w:r>
    </w:p>
    <w:p>
      <w:pPr>
        <w:ind w:firstLine="420" w:firstLineChars="200"/>
        <w:rPr>
          <w:color w:val="FF0000"/>
        </w:rPr>
      </w:pPr>
      <w:r>
        <w:rPr>
          <w:rFonts w:hint="eastAsia"/>
          <w:color w:val="FF0000"/>
        </w:rPr>
        <w:t>1、“备注”栏注明有“接受进口”或“允许进口”的产品允许投标人选用进口产品参与投标，但不排斥国内产品投标；未注明“接受进口”或“允许进口”的产品均不接受进口产品投标。</w:t>
      </w:r>
    </w:p>
    <w:p>
      <w:pPr>
        <w:ind w:firstLine="420" w:firstLineChars="200"/>
        <w:rPr>
          <w:color w:val="FF0000"/>
        </w:rPr>
      </w:pPr>
      <w:r>
        <w:rPr>
          <w:rFonts w:hint="eastAsia"/>
          <w:color w:val="FF0000"/>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color w:val="FF0000"/>
        </w:rPr>
      </w:pPr>
      <w:r>
        <w:rPr>
          <w:rFonts w:hint="eastAsia"/>
          <w:color w:val="FF0000"/>
        </w:rPr>
        <w:t>3、如注明有单价控制金额的产品，投标人对该产品的报价不得超过控制金额，否则将作投标无效处理。</w:t>
      </w:r>
    </w:p>
    <w:p>
      <w:pPr>
        <w:ind w:firstLine="420" w:firstLineChars="200"/>
        <w:rPr>
          <w:color w:val="FF0000"/>
        </w:rPr>
      </w:pPr>
      <w:r>
        <w:rPr>
          <w:rFonts w:hint="eastAsia"/>
          <w:color w:val="FF0000"/>
        </w:rPr>
        <w:t>4、根据《政府采购货物和服务招标投标管理办法》（财政部令第87号）第三十一条规定，单一产品项目或非单一产品项目中的核心产品均应明确品牌，投标人未填报品牌的将作投标无效处理。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rPr>
      </w:pPr>
    </w:p>
    <w:p>
      <w:pPr>
        <w:ind w:firstLine="420" w:firstLineChars="200"/>
        <w:rPr>
          <w:color w:val="FF0000"/>
        </w:rPr>
      </w:pPr>
    </w:p>
    <w:p>
      <w:pPr>
        <w:ind w:firstLine="420" w:firstLineChars="200"/>
        <w:rPr>
          <w:color w:val="FF0000"/>
        </w:rPr>
      </w:pPr>
    </w:p>
    <w:p>
      <w:pPr>
        <w:widowControl/>
        <w:jc w:val="left"/>
        <w:rPr>
          <w:rFonts w:ascii="Arial" w:eastAsia="宋体" w:hAnsi="Arial" w:cs="Times New Roman"/>
          <w:b/>
          <w:bCs/>
          <w:sz w:val="32"/>
          <w:szCs w:val="32"/>
        </w:rPr>
      </w:pPr>
      <w:r>
        <w:rPr>
          <w:rFonts w:ascii="Arial" w:eastAsia="宋体" w:hAnsi="Arial" w:cs="Times New Roman"/>
          <w:b/>
          <w:bCs/>
          <w:sz w:val="32"/>
          <w:szCs w:val="32"/>
        </w:rPr>
        <w:br w:type="page"/>
      </w:r>
    </w:p>
    <w:p>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pPr>
        <w:rPr>
          <w:b/>
          <w:color w:val="FF0000"/>
        </w:rPr>
      </w:pPr>
      <w:r>
        <w:rPr>
          <w:rFonts w:hint="eastAsia"/>
          <w:b/>
          <w:color w:val="FF0000"/>
        </w:rPr>
        <w:t>1.本部分内容为项目正常开展的基本要求，均为★号条款要求，投标人必须完全响应满足本部分的全部内容，否则将导致投标无效。投标人是否满足本部分带★号条款要求，以《商务（服务）条款偏离表》响应为准。</w:t>
      </w:r>
    </w:p>
    <w:p>
      <w:pPr>
        <w:rPr>
          <w:b/>
          <w:color w:val="FF0000"/>
        </w:rPr>
      </w:pPr>
      <w:r>
        <w:rPr>
          <w:rFonts w:hint="eastAsia"/>
          <w:b/>
          <w:color w:val="FF0000"/>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rPr>
      </w:pPr>
    </w:p>
    <w:p>
      <w:pPr>
        <w:ind w:firstLine="420" w:firstLineChars="200"/>
        <w:jc w:val="left"/>
        <w:rPr>
          <w:rFonts w:ascii="仿宋_GB2312" w:eastAsia="仿宋_GB2312" w:hAnsi="仿宋_GB2312" w:cs="仿宋_GB2312"/>
          <w:color w:val="FF0000"/>
          <w:kern w:val="0"/>
          <w:sz w:val="28"/>
          <w:szCs w:val="28"/>
        </w:rPr>
      </w:pPr>
      <w:r>
        <w:rPr>
          <w:rFonts w:ascii="仿宋_GB2312" w:eastAsia="仿宋_GB2312" w:hAnsi="仿宋_GB2312" w:cs="仿宋_GB2312" w:hint="eastAsia"/>
          <w:color w:val="FF0000"/>
          <w:kern w:val="0"/>
          <w:sz w:val="28"/>
          <w:szCs w:val="28"/>
        </w:rPr>
        <w:t>1、交货地点：深圳市宝安区荣根学校</w:t>
      </w:r>
    </w:p>
    <w:p>
      <w:pPr>
        <w:ind w:firstLine="420" w:firstLineChars="200"/>
        <w:jc w:val="left"/>
        <w:rPr>
          <w:rFonts w:ascii="仿宋_GB2312" w:eastAsia="仿宋_GB2312" w:hAnsi="仿宋_GB2312" w:cs="仿宋_GB2312"/>
          <w:color w:val="FF0000"/>
          <w:kern w:val="0"/>
          <w:sz w:val="28"/>
          <w:szCs w:val="28"/>
        </w:rPr>
      </w:pPr>
      <w:r>
        <w:rPr>
          <w:rFonts w:ascii="仿宋_GB2312" w:eastAsia="仿宋_GB2312" w:hAnsi="仿宋_GB2312" w:cs="仿宋_GB2312" w:hint="eastAsia"/>
          <w:color w:val="FF0000"/>
          <w:kern w:val="0"/>
          <w:sz w:val="28"/>
          <w:szCs w:val="28"/>
        </w:rPr>
        <w:t>2、交货时间：本项目要求在合同签订日起30个日历日内完工。</w:t>
      </w:r>
    </w:p>
    <w:p>
      <w:pPr>
        <w:ind w:firstLine="420" w:firstLineChars="200"/>
        <w:jc w:val="left"/>
        <w:rPr>
          <w:rFonts w:ascii="仿宋_GB2312" w:eastAsia="仿宋_GB2312" w:hAnsi="仿宋_GB2312" w:cs="仿宋_GB2312"/>
          <w:color w:val="FF0000"/>
          <w:kern w:val="0"/>
          <w:sz w:val="28"/>
          <w:szCs w:val="28"/>
        </w:rPr>
      </w:pPr>
      <w:r>
        <w:rPr>
          <w:rFonts w:ascii="仿宋_GB2312" w:eastAsia="仿宋_GB2312" w:hAnsi="仿宋_GB2312" w:cs="仿宋_GB2312" w:hint="eastAsia"/>
          <w:color w:val="FF0000"/>
          <w:kern w:val="0"/>
          <w:sz w:val="28"/>
          <w:szCs w:val="28"/>
        </w:rPr>
        <w:t>3、验收方式；由监理单位协助学校、中标单位进行验收。</w:t>
      </w:r>
    </w:p>
    <w:p>
      <w:pPr>
        <w:ind w:firstLine="420" w:firstLineChars="200"/>
        <w:jc w:val="left"/>
        <w:rPr>
          <w:rFonts w:ascii="仿宋_GB2312" w:eastAsia="仿宋_GB2312" w:hAnsi="仿宋_GB2312" w:cs="仿宋_GB2312"/>
          <w:color w:val="FF0000"/>
          <w:sz w:val="28"/>
          <w:szCs w:val="28"/>
        </w:rPr>
      </w:pPr>
      <w:r>
        <w:rPr>
          <w:rFonts w:ascii="仿宋_GB2312" w:eastAsia="仿宋_GB2312" w:hAnsi="仿宋_GB2312" w:cs="仿宋_GB2312" w:hint="eastAsia"/>
          <w:color w:val="FF0000"/>
          <w:sz w:val="28"/>
          <w:szCs w:val="28"/>
        </w:rPr>
        <w:t>4、付款方式：本项目完成并经验收合格后，对于满足合同约定支付条件的，采购人应当自收到发票后30日内将资金支付到合同约定的中标供应商账户。</w:t>
      </w:r>
    </w:p>
    <w:p>
      <w:pPr>
        <w:ind w:firstLine="420" w:firstLineChars="200"/>
        <w:jc w:val="left"/>
        <w:rPr>
          <w:rFonts w:ascii="仿宋_GB2312" w:eastAsia="仿宋_GB2312" w:hAnsi="仿宋_GB2312" w:cs="仿宋_GB2312"/>
          <w:color w:val="FF0000"/>
          <w:sz w:val="28"/>
          <w:szCs w:val="28"/>
        </w:rPr>
      </w:pPr>
      <w:r>
        <w:rPr>
          <w:rFonts w:ascii="仿宋_GB2312" w:eastAsia="仿宋_GB2312" w:hAnsi="仿宋_GB2312" w:cs="仿宋_GB2312" w:hint="eastAsia"/>
          <w:color w:val="FF0000"/>
          <w:kern w:val="0"/>
          <w:sz w:val="28"/>
          <w:szCs w:val="28"/>
        </w:rPr>
        <w:t>5、报价要求：</w:t>
      </w:r>
      <w:r>
        <w:rPr>
          <w:rFonts w:ascii="仿宋_GB2312" w:eastAsia="仿宋_GB2312" w:hAnsi="仿宋_GB2312" w:cs="仿宋_GB2312" w:hint="eastAsia"/>
          <w:color w:val="FF0000"/>
          <w:sz w:val="28"/>
          <w:szCs w:val="28"/>
        </w:rPr>
        <w:t>投标总价必须是完成该项目的一切费用总和，包括投标费、设备费、运输费、装卸费、保险费、技术培训费、设备安装费、调试费、检测费、国家规定的各项税费等。</w:t>
      </w:r>
    </w:p>
    <w:p>
      <w:pPr>
        <w:spacing w:line="440" w:lineRule="exact"/>
        <w:ind w:firstLine="420" w:firstLineChars="200"/>
        <w:jc w:val="left"/>
        <w:rPr>
          <w:rFonts w:ascii="仿宋_GB2312" w:eastAsia="仿宋_GB2312" w:hAnsi="华文仿宋" w:cs="Times New Roman"/>
          <w:color w:val="FF0000"/>
          <w:sz w:val="28"/>
          <w:szCs w:val="28"/>
        </w:rPr>
      </w:pPr>
      <w:r>
        <w:rPr>
          <w:rFonts w:ascii="仿宋_GB2312" w:eastAsia="仿宋_GB2312" w:hAnsi="华文仿宋" w:cs="Times New Roman" w:hint="eastAsia"/>
          <w:color w:val="FF0000"/>
          <w:sz w:val="28"/>
          <w:szCs w:val="28"/>
        </w:rPr>
        <w:t>6、售后服务</w:t>
      </w:r>
      <w:r>
        <w:rPr>
          <w:rFonts w:ascii="仿宋_GB2312" w:eastAsia="仿宋_GB2312" w:hAnsi="华文仿宋" w:cs="Times New Roman"/>
          <w:color w:val="FF0000"/>
          <w:sz w:val="28"/>
          <w:szCs w:val="28"/>
        </w:rPr>
        <w:t>要求</w:t>
      </w:r>
      <w:r>
        <w:rPr>
          <w:rFonts w:ascii="仿宋_GB2312" w:eastAsia="仿宋_GB2312" w:hAnsi="华文仿宋" w:cs="Times New Roman" w:hint="eastAsia"/>
          <w:color w:val="FF0000"/>
          <w:sz w:val="28"/>
          <w:szCs w:val="28"/>
        </w:rPr>
        <w:t>：</w:t>
      </w:r>
    </w:p>
    <w:p>
      <w:pPr>
        <w:ind w:left="279" w:firstLine="210" w:leftChars="133" w:firstLineChars="100"/>
        <w:jc w:val="left"/>
        <w:rPr>
          <w:rFonts w:ascii="仿宋_GB2312" w:eastAsia="仿宋_GB2312" w:hAnsi="华文仿宋" w:cs="Times New Roman"/>
          <w:color w:val="FF0000"/>
          <w:sz w:val="28"/>
          <w:szCs w:val="28"/>
        </w:rPr>
      </w:pPr>
      <w:r>
        <w:rPr>
          <w:rFonts w:ascii="仿宋_GB2312" w:eastAsia="仿宋_GB2312" w:hAnsi="华文仿宋" w:cs="Times New Roman" w:hint="eastAsia"/>
          <w:color w:val="FF0000"/>
          <w:sz w:val="28"/>
          <w:szCs w:val="28"/>
        </w:rPr>
        <w:t>（1）所有货物及系统集成免费保修期三年，时间自最终验收合格并交付使用之日起计算。免费保修期内，所有服务及配件全部免费。（有注明的除外）。</w:t>
      </w:r>
    </w:p>
    <w:p>
      <w:pPr>
        <w:ind w:firstLine="420" w:firstLineChars="200"/>
        <w:jc w:val="left"/>
        <w:rPr>
          <w:rFonts w:ascii="仿宋_GB2312" w:eastAsia="仿宋_GB2312" w:hAnsi="华文仿宋" w:cs="Times New Roman"/>
          <w:color w:val="FF0000"/>
          <w:sz w:val="28"/>
          <w:szCs w:val="28"/>
        </w:rPr>
      </w:pPr>
      <w:r>
        <w:rPr>
          <w:rFonts w:ascii="仿宋_GB2312" w:eastAsia="仿宋_GB2312" w:hAnsi="华文仿宋" w:cs="Times New Roman" w:hint="eastAsia"/>
          <w:color w:val="FF0000"/>
          <w:sz w:val="28"/>
          <w:szCs w:val="28"/>
        </w:rPr>
        <w:t>（2）技术支持: 项目验收后，连续三年中考理化生实验考试期间，中标人需每年派不少于 1名工程师在学校中考理化生实验考试的 2 天时间里提供技术支持服务。</w:t>
      </w:r>
    </w:p>
    <w:p>
      <w:pPr>
        <w:ind w:firstLine="420" w:firstLineChars="200"/>
        <w:jc w:val="left"/>
        <w:rPr>
          <w:rFonts w:ascii="仿宋_GB2312" w:eastAsia="仿宋_GB2312" w:hAnsi="华文仿宋" w:cs="Times New Roman"/>
          <w:color w:val="FF0000"/>
          <w:sz w:val="28"/>
          <w:szCs w:val="28"/>
        </w:rPr>
      </w:pPr>
      <w:r>
        <w:rPr>
          <w:rFonts w:ascii="仿宋_GB2312" w:eastAsia="仿宋_GB2312" w:hAnsi="华文仿宋" w:cs="Times New Roman" w:hint="eastAsia"/>
          <w:color w:val="FF0000"/>
          <w:sz w:val="28"/>
          <w:szCs w:val="28"/>
        </w:rPr>
        <w:t>（3）在保修期内，一旦发生质量问题，投标人保证在接到通知4小时内赶到现场进行修理或更换，并承诺24小时内修复。</w:t>
      </w:r>
    </w:p>
    <w:p>
      <w:pPr>
        <w:ind w:firstLine="420" w:firstLineChars="200"/>
        <w:jc w:val="left"/>
        <w:rPr>
          <w:rFonts w:ascii="仿宋_GB2312" w:eastAsia="仿宋_GB2312" w:hAnsi="华文仿宋" w:cs="Times New Roman"/>
          <w:color w:val="FF0000"/>
          <w:sz w:val="28"/>
          <w:szCs w:val="28"/>
        </w:rPr>
      </w:pPr>
      <w:r>
        <w:rPr>
          <w:rFonts w:ascii="仿宋_GB2312" w:eastAsia="仿宋_GB2312" w:hAnsi="华文仿宋" w:cs="Times New Roman" w:hint="eastAsia"/>
          <w:color w:val="FF0000"/>
          <w:sz w:val="28"/>
          <w:szCs w:val="28"/>
        </w:rPr>
        <w:t>（4）对保修期外采购方设备发生故障需更换的，投标人免收上门服务费，并以优惠价格提供配件。</w:t>
      </w:r>
    </w:p>
    <w:p>
      <w:pPr>
        <w:spacing w:line="440" w:lineRule="exact"/>
        <w:ind w:firstLine="420" w:firstLineChars="200"/>
        <w:jc w:val="left"/>
        <w:rPr>
          <w:rFonts w:ascii="仿宋_GB2312" w:eastAsia="仿宋_GB2312" w:hAnsi="华文仿宋" w:cs="Times New Roman"/>
          <w:color w:val="FF0000"/>
          <w:sz w:val="28"/>
          <w:szCs w:val="28"/>
        </w:rPr>
      </w:pPr>
      <w:r>
        <w:rPr>
          <w:rFonts w:ascii="仿宋_GB2312" w:eastAsia="仿宋_GB2312" w:hAnsi="华文仿宋" w:cs="Times New Roman" w:hint="eastAsia"/>
          <w:color w:val="FF0000"/>
          <w:sz w:val="28"/>
          <w:szCs w:val="28"/>
        </w:rPr>
        <w:t>7、其他要求：</w:t>
      </w:r>
    </w:p>
    <w:p>
      <w:pPr>
        <w:ind w:firstLine="420" w:firstLineChars="200"/>
        <w:rPr>
          <w:rFonts w:ascii="仿宋" w:eastAsia="仿宋_GB2312" w:hAnsi="仿宋" w:cs="宋体"/>
          <w:color w:val="FF0000"/>
          <w:kern w:val="0"/>
          <w:sz w:val="28"/>
          <w:szCs w:val="28"/>
        </w:rPr>
      </w:pPr>
      <w:r>
        <w:rPr>
          <w:rFonts w:ascii="仿宋_GB2312" w:eastAsia="仿宋_GB2312" w:hAnsi="仿宋_GB2312" w:cs="仿宋_GB2312" w:hint="eastAsia"/>
          <w:color w:val="FF0000"/>
          <w:sz w:val="28"/>
          <w:szCs w:val="28"/>
        </w:rPr>
        <w:t>(1) 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pPr>
        <w:ind w:firstLine="420" w:firstLineChars="200"/>
        <w:rPr>
          <w:rFonts w:ascii="仿宋_GB2312" w:eastAsia="仿宋_GB2312" w:hAnsi="仿宋_GB2312" w:cs="仿宋_GB2312"/>
          <w:color w:val="FF0000"/>
          <w:sz w:val="28"/>
          <w:szCs w:val="28"/>
        </w:rPr>
      </w:pPr>
      <w:r>
        <w:rPr>
          <w:rFonts w:ascii="仿宋_GB2312" w:eastAsia="仿宋_GB2312" w:hAnsi="仿宋_GB2312" w:cs="仿宋_GB2312" w:hint="eastAsia"/>
          <w:color w:val="FF0000"/>
          <w:sz w:val="28"/>
          <w:szCs w:val="28"/>
        </w:rPr>
        <w:t>(2）投标商必须确保中标后提供的货物为正规渠道供货，不存在违反国家法律法规的情况。</w:t>
      </w:r>
    </w:p>
    <w:p>
      <w:pPr>
        <w:ind w:firstLine="420" w:firstLineChars="200"/>
        <w:rPr>
          <w:rFonts w:ascii="仿宋_GB2312" w:eastAsia="仿宋_GB2312" w:hAnsi="仿宋_GB2312" w:cs="仿宋_GB2312"/>
          <w:color w:val="FF0000"/>
          <w:sz w:val="28"/>
          <w:szCs w:val="28"/>
        </w:rPr>
      </w:pPr>
      <w:r>
        <w:rPr>
          <w:rFonts w:ascii="仿宋_GB2312" w:eastAsia="仿宋_GB2312" w:hAnsi="仿宋_GB2312" w:cs="仿宋_GB2312" w:hint="eastAsia"/>
          <w:color w:val="FF0000"/>
          <w:sz w:val="28"/>
          <w:szCs w:val="28"/>
        </w:rPr>
        <w:t>（3）投标人必须签订合同前向采购方逐一按投标文件中的响应情况演示设备清单中“▲”符号技术参数，演示内容完全符合投标文件中的相应技术参数响应内容方可签订合同，否则有权按相关政府采购法律法规中规定的弄虚作假骗取中标条例处理。</w:t>
      </w:r>
    </w:p>
    <w:p>
      <w:pPr>
        <w:spacing w:line="440" w:lineRule="exact"/>
        <w:ind w:firstLine="420" w:firstLineChars="200"/>
        <w:jc w:val="left"/>
        <w:rPr>
          <w:rFonts w:ascii="仿宋_GB2312" w:eastAsia="仿宋_GB2312" w:hAnsi="仿宋_GB2312" w:cs="仿宋_GB2312"/>
          <w:color w:val="FF0000"/>
          <w:sz w:val="28"/>
          <w:szCs w:val="28"/>
        </w:rPr>
      </w:pPr>
      <w:r>
        <w:rPr>
          <w:rFonts w:ascii="仿宋_GB2312" w:eastAsia="仿宋_GB2312" w:hAnsi="仿宋_GB2312" w:cs="仿宋_GB2312" w:hint="eastAsia"/>
          <w:color w:val="FF0000"/>
          <w:sz w:val="28"/>
          <w:szCs w:val="28"/>
        </w:rPr>
        <w:t>8、中标人需保证区级平台建设好后可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p>
      <w:pPr>
        <w:spacing w:line="440" w:lineRule="exact"/>
        <w:ind w:firstLine="420" w:firstLineChars="200"/>
        <w:jc w:val="left"/>
        <w:rPr>
          <w:rFonts w:ascii="仿宋_GB2312" w:eastAsia="仿宋_GB2312" w:hAnsi="仿宋_GB2312" w:cs="仿宋_GB2312"/>
          <w:color w:val="FF0000"/>
          <w:sz w:val="28"/>
          <w:szCs w:val="28"/>
        </w:rPr>
      </w:pPr>
    </w:p>
    <w:p>
      <w:pPr>
        <w:spacing w:after="78" w:afterLines="25" w:line="300" w:lineRule="auto"/>
        <w:rPr>
          <w:rFonts w:ascii="Arial" w:eastAsia="宋体" w:hAnsi="Arial" w:cs="Times New Roman"/>
          <w:szCs w:val="24"/>
        </w:rPr>
      </w:pPr>
    </w:p>
    <w:p>
      <w:pPr>
        <w:widowControl/>
        <w:jc w:val="left"/>
        <w:rPr>
          <w:rFonts w:ascii="Arial" w:eastAsia="宋体" w:hAnsi="Arial" w:cs="Times New Roman"/>
          <w:szCs w:val="24"/>
        </w:rPr>
      </w:pPr>
    </w:p>
    <w:p>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四、技术要求部分</w:t>
      </w:r>
    </w:p>
    <w:p>
      <w:pPr>
        <w:rPr>
          <w:rFonts w:ascii="宋体" w:eastAsia="宋体" w:hAnsi="宋体" w:cs="Times New Roman"/>
          <w:b/>
          <w:color w:val="FF0000"/>
          <w:szCs w:val="21"/>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将导致投标无效。带▲号参数为重要参数，其他参数（非▲号参数）为普通参数，如出现负偏离，将按照评分准则做扣分处理。如注明要求提供相关佐证材料的，需以佐证材料作为是否偏离的依据。</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4、除有特别注明的以外，招标技术参数要求为区间范围值的，投标技术参数响应招标技术参数区间范围内的任意值或响应招标技术参数区间范围都视为符合招标文件要求（例：如招标技术参数区间要求为0-20ML，如投标技术参数响应为15ML或0-20ML的，视为符合招标文件要求）。</w:t>
      </w:r>
    </w:p>
    <w:tbl>
      <w:tblPr>
        <w:tblStyle w:val="TableNormal"/>
        <w:tblW w:w="8354"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57"/>
        <w:gridCol w:w="735"/>
        <w:gridCol w:w="7062"/>
      </w:tblGrid>
      <w:tr>
        <w:tblPrEx>
          <w:tblW w:w="8354"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02"/>
        </w:trPr>
        <w:tc>
          <w:tcPr>
            <w:tcW w:w="557" w:type="dxa"/>
            <w:vAlign w:val="center"/>
          </w:tcPr>
          <w:p>
            <w:pPr>
              <w:spacing w:after="40" w:line="440" w:lineRule="exact"/>
              <w:jc w:val="left"/>
              <w:rPr>
                <w:rFonts w:ascii="宋体" w:eastAsia="宋体" w:hAnsi="宋体" w:cs="宋体"/>
                <w:b/>
                <w:bCs/>
                <w:color w:val="000000"/>
                <w:kern w:val="0"/>
                <w:szCs w:val="21"/>
              </w:rPr>
            </w:pPr>
            <w:bookmarkStart w:id="16" w:name="RANGE!B2"/>
            <w:r>
              <w:rPr>
                <w:rFonts w:ascii="宋体" w:eastAsia="宋体" w:hAnsi="宋体" w:cs="宋体" w:hint="eastAsia"/>
                <w:b/>
                <w:bCs/>
                <w:color w:val="000000"/>
                <w:kern w:val="0"/>
                <w:szCs w:val="21"/>
              </w:rPr>
              <w:t>序号</w:t>
            </w:r>
            <w:bookmarkEnd w:id="16"/>
          </w:p>
        </w:tc>
        <w:tc>
          <w:tcPr>
            <w:tcW w:w="735" w:type="dxa"/>
            <w:vAlign w:val="center"/>
          </w:tcPr>
          <w:p>
            <w:pPr>
              <w:widowControl/>
              <w:spacing w:after="40"/>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设备名称</w:t>
            </w:r>
          </w:p>
        </w:tc>
        <w:tc>
          <w:tcPr>
            <w:tcW w:w="7062" w:type="dxa"/>
            <w:vAlign w:val="center"/>
          </w:tcPr>
          <w:p>
            <w:pPr>
              <w:widowControl/>
              <w:spacing w:after="40"/>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技术参数要求</w:t>
            </w:r>
          </w:p>
        </w:tc>
      </w:tr>
      <w:tr>
        <w:tblPrEx>
          <w:tblW w:w="8354" w:type="dxa"/>
          <w:tblInd w:w="118" w:type="dxa"/>
          <w:tblLayout w:type="fixed"/>
          <w:tblCellMar>
            <w:top w:w="0" w:type="dxa"/>
            <w:left w:w="108" w:type="dxa"/>
            <w:bottom w:w="0" w:type="dxa"/>
            <w:right w:w="108" w:type="dxa"/>
          </w:tblCellMar>
        </w:tblPrEx>
        <w:trPr>
          <w:trHeight w:val="402"/>
        </w:trPr>
        <w:tc>
          <w:tcPr>
            <w:tcW w:w="557" w:type="dxa"/>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1</w:t>
            </w:r>
          </w:p>
        </w:tc>
        <w:tc>
          <w:tcPr>
            <w:tcW w:w="735" w:type="dxa"/>
            <w:noWrap/>
            <w:vAlign w:val="center"/>
          </w:tcPr>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考试专用服务器</w:t>
            </w:r>
          </w:p>
        </w:tc>
        <w:tc>
          <w:tcPr>
            <w:tcW w:w="7062" w:type="dxa"/>
            <w:vAlign w:val="center"/>
          </w:tcPr>
          <w:p>
            <w:pPr>
              <w:wordWrap w:val="0"/>
              <w:spacing w:after="40"/>
              <w:outlineLvl w:val="2"/>
              <w:rPr>
                <w:rFonts w:ascii="宋体" w:eastAsia="宋体" w:hAnsi="宋体" w:cs="宋体"/>
                <w:color w:val="000000"/>
                <w:kern w:val="0"/>
                <w:szCs w:val="21"/>
              </w:rPr>
            </w:pPr>
            <w:r>
              <w:rPr>
                <w:rFonts w:ascii="宋体" w:eastAsia="宋体" w:hAnsi="宋体" w:cs="宋体" w:hint="eastAsia"/>
                <w:color w:val="000000"/>
                <w:szCs w:val="21"/>
              </w:rPr>
              <w:t>CPU：主频不低于2.4GHZ，不低于10核20线程，单核缓存不低于11MB。内存：不低于64GB。硬盘：不小于8TB,≥8个热插拔硬盘仓,支持RAID0,1,5等。网卡：</w:t>
            </w:r>
            <w:r>
              <w:rPr>
                <w:rFonts w:ascii="宋体" w:eastAsia="宋体" w:hAnsi="宋体" w:cs="宋体" w:hint="eastAsia"/>
                <w:szCs w:val="21"/>
              </w:rPr>
              <w:t>双口千兆</w:t>
            </w:r>
            <w:r>
              <w:rPr>
                <w:rFonts w:ascii="宋体" w:eastAsia="宋体" w:hAnsi="宋体" w:cs="宋体" w:hint="eastAsia"/>
                <w:color w:val="000000"/>
                <w:szCs w:val="21"/>
              </w:rPr>
              <w:t>；流媒体：专业级别的流媒体终端，支持高速网络流媒体存储，可同时存储不低于144路1080P实时视频流。</w:t>
            </w:r>
          </w:p>
        </w:tc>
      </w:tr>
      <w:tr>
        <w:tblPrEx>
          <w:tblW w:w="8354" w:type="dxa"/>
          <w:tblInd w:w="118" w:type="dxa"/>
          <w:tblLayout w:type="fixed"/>
          <w:tblCellMar>
            <w:top w:w="0" w:type="dxa"/>
            <w:left w:w="108" w:type="dxa"/>
            <w:bottom w:w="0" w:type="dxa"/>
            <w:right w:w="108" w:type="dxa"/>
          </w:tblCellMar>
        </w:tblPrEx>
        <w:trPr>
          <w:trHeight w:val="402"/>
        </w:trPr>
        <w:tc>
          <w:tcPr>
            <w:tcW w:w="557" w:type="dxa"/>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2</w:t>
            </w:r>
          </w:p>
        </w:tc>
        <w:tc>
          <w:tcPr>
            <w:tcW w:w="735" w:type="dxa"/>
            <w:noWrap/>
            <w:vAlign w:val="center"/>
          </w:tcPr>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移动硬盘</w:t>
            </w:r>
          </w:p>
        </w:tc>
        <w:tc>
          <w:tcPr>
            <w:tcW w:w="7062" w:type="dxa"/>
            <w:noWrap/>
            <w:vAlign w:val="center"/>
          </w:tcPr>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≥2TB固态硬盘，支持 USB2.0/3.0接口，防震，超薄。</w:t>
            </w:r>
          </w:p>
        </w:tc>
      </w:tr>
      <w:tr>
        <w:tblPrEx>
          <w:tblW w:w="8354" w:type="dxa"/>
          <w:tblInd w:w="118" w:type="dxa"/>
          <w:tblLayout w:type="fixed"/>
          <w:tblCellMar>
            <w:top w:w="0" w:type="dxa"/>
            <w:left w:w="108" w:type="dxa"/>
            <w:bottom w:w="0" w:type="dxa"/>
            <w:right w:w="108" w:type="dxa"/>
          </w:tblCellMar>
        </w:tblPrEx>
        <w:trPr>
          <w:trHeight w:val="402"/>
        </w:trPr>
        <w:tc>
          <w:tcPr>
            <w:tcW w:w="557" w:type="dxa"/>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3</w:t>
            </w:r>
          </w:p>
        </w:tc>
        <w:tc>
          <w:tcPr>
            <w:tcW w:w="735" w:type="dxa"/>
            <w:noWrap/>
            <w:vAlign w:val="center"/>
          </w:tcPr>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交换机</w:t>
            </w:r>
          </w:p>
        </w:tc>
        <w:tc>
          <w:tcPr>
            <w:tcW w:w="7062" w:type="dxa"/>
            <w:vAlign w:val="center"/>
          </w:tcPr>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接口：≥48个以太网端口，≥2个万兆接口，容量：≥432Gbps，包转发率：≥132Mpps</w:t>
            </w:r>
          </w:p>
        </w:tc>
      </w:tr>
      <w:tr>
        <w:tblPrEx>
          <w:tblW w:w="8354" w:type="dxa"/>
          <w:tblInd w:w="118" w:type="dxa"/>
          <w:tblLayout w:type="fixed"/>
          <w:tblCellMar>
            <w:top w:w="0" w:type="dxa"/>
            <w:left w:w="108" w:type="dxa"/>
            <w:bottom w:w="0" w:type="dxa"/>
            <w:right w:w="108" w:type="dxa"/>
          </w:tblCellMar>
        </w:tblPrEx>
        <w:trPr>
          <w:trHeight w:val="402"/>
        </w:trPr>
        <w:tc>
          <w:tcPr>
            <w:tcW w:w="557" w:type="dxa"/>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4</w:t>
            </w:r>
          </w:p>
        </w:tc>
        <w:tc>
          <w:tcPr>
            <w:tcW w:w="735" w:type="dxa"/>
            <w:noWrap/>
            <w:vAlign w:val="center"/>
          </w:tcPr>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考场监考管理主机</w:t>
            </w:r>
          </w:p>
        </w:tc>
        <w:tc>
          <w:tcPr>
            <w:tcW w:w="7062" w:type="dxa"/>
            <w:noWrap/>
            <w:vAlign w:val="center"/>
          </w:tcPr>
          <w:p>
            <w:pPr>
              <w:spacing w:after="40"/>
              <w:rPr>
                <w:rFonts w:ascii="宋体" w:eastAsia="宋体" w:hAnsi="宋体" w:cs="宋体"/>
                <w:kern w:val="0"/>
                <w:szCs w:val="21"/>
              </w:rPr>
            </w:pPr>
            <w:r>
              <w:rPr>
                <w:rFonts w:ascii="宋体" w:eastAsia="宋体" w:hAnsi="宋体" w:cs="宋体" w:hint="eastAsia"/>
                <w:kern w:val="0"/>
                <w:szCs w:val="21"/>
              </w:rPr>
              <w:t>1.硬盘≥1TB，内存≥16GB，带操作系统，显示器≥21.5 英寸；CPU主频≥2.50GHz 、≥6核心12线程；USB3.0≥6个；TypeC≥1个；HDMI输出≥1；VGA输出≥1；DP输出≥1；音频接口≥2；麦克风输入≥1；RJ45≥2；</w:t>
            </w:r>
          </w:p>
          <w:p>
            <w:pPr>
              <w:spacing w:after="40"/>
              <w:rPr>
                <w:rFonts w:ascii="宋体" w:eastAsia="宋体" w:hAnsi="宋体" w:cs="宋体"/>
                <w:kern w:val="0"/>
                <w:szCs w:val="21"/>
              </w:rPr>
            </w:pPr>
            <w:r>
              <w:rPr>
                <w:rFonts w:ascii="宋体" w:eastAsia="宋体" w:hAnsi="宋体" w:cs="宋体" w:hint="eastAsia"/>
                <w:kern w:val="0"/>
                <w:szCs w:val="21"/>
              </w:rPr>
              <w:t>2.▲网络特性：支持不低于1000Mbps，网口支持wake on LAN。</w:t>
            </w:r>
            <w:r>
              <w:rPr>
                <w:rFonts w:ascii="宋体" w:eastAsia="宋体" w:hAnsi="宋体" w:cs="宋体" w:hint="eastAsia"/>
                <w:b/>
                <w:kern w:val="0"/>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kern w:val="0"/>
                <w:szCs w:val="21"/>
              </w:rPr>
              <w:t>；</w:t>
            </w:r>
          </w:p>
          <w:p>
            <w:pPr>
              <w:spacing w:after="40"/>
              <w:rPr>
                <w:rFonts w:ascii="宋体" w:eastAsia="宋体" w:hAnsi="宋体" w:cs="宋体"/>
                <w:color w:val="FF0000"/>
                <w:kern w:val="0"/>
                <w:szCs w:val="21"/>
              </w:rPr>
            </w:pPr>
            <w:r>
              <w:rPr>
                <w:rFonts w:ascii="宋体" w:eastAsia="宋体" w:hAnsi="宋体" w:cs="宋体" w:hint="eastAsia"/>
                <w:color w:val="FF0000"/>
                <w:kern w:val="0"/>
                <w:szCs w:val="21"/>
              </w:rPr>
              <w:t>★投标时提供所投产品获得国家认可的认证机构出具的处于有效期内的节能产品认证证书；</w:t>
            </w:r>
          </w:p>
        </w:tc>
      </w:tr>
      <w:tr>
        <w:tblPrEx>
          <w:tblW w:w="8354" w:type="dxa"/>
          <w:tblInd w:w="118" w:type="dxa"/>
          <w:tblLayout w:type="fixed"/>
          <w:tblCellMar>
            <w:top w:w="0" w:type="dxa"/>
            <w:left w:w="108" w:type="dxa"/>
            <w:bottom w:w="0" w:type="dxa"/>
            <w:right w:w="108" w:type="dxa"/>
          </w:tblCellMar>
        </w:tblPrEx>
        <w:trPr>
          <w:trHeight w:val="402"/>
        </w:trPr>
        <w:tc>
          <w:tcPr>
            <w:tcW w:w="557" w:type="dxa"/>
            <w:vMerge w:val="restart"/>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5</w:t>
            </w:r>
          </w:p>
        </w:tc>
        <w:tc>
          <w:tcPr>
            <w:tcW w:w="735" w:type="dxa"/>
            <w:vMerge w:val="restart"/>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校级管理平台</w:t>
            </w:r>
          </w:p>
        </w:tc>
        <w:tc>
          <w:tcPr>
            <w:tcW w:w="7062" w:type="dxa"/>
            <w:vMerge w:val="restart"/>
            <w:vAlign w:val="center"/>
          </w:tcPr>
          <w:p>
            <w:pPr>
              <w:spacing w:after="40"/>
              <w:rPr>
                <w:rFonts w:ascii="宋体" w:eastAsia="宋体" w:hAnsi="宋体" w:cs="宋体"/>
                <w:szCs w:val="21"/>
              </w:rPr>
            </w:pPr>
            <w:r>
              <w:rPr>
                <w:rFonts w:ascii="宋体" w:eastAsia="宋体" w:hAnsi="宋体" w:cs="宋体" w:hint="eastAsia"/>
                <w:szCs w:val="21"/>
              </w:rPr>
              <w:t>【基础要求】</w:t>
            </w:r>
          </w:p>
          <w:p>
            <w:pPr>
              <w:numPr>
                <w:ilvl w:val="0"/>
                <w:numId w:val="1"/>
              </w:numPr>
              <w:spacing w:after="40"/>
              <w:rPr>
                <w:rFonts w:ascii="宋体" w:eastAsia="宋体" w:hAnsi="宋体" w:cs="宋体"/>
                <w:szCs w:val="21"/>
              </w:rPr>
            </w:pPr>
            <w:r>
              <w:rPr>
                <w:rFonts w:ascii="宋体" w:eastAsia="宋体" w:hAnsi="宋体" w:cs="宋体" w:hint="eastAsia"/>
                <w:szCs w:val="21"/>
              </w:rPr>
              <w:t>平台支持学校理、化、生实验考务管理、阅卷管理、题库管理、新增实验教案和成绩查询统计。具备理、化、生实验AI赋分功能：支持查看实验的AI评分成绩，支持查看AI出具对实验考评点的扣分理由。具备实验AI评分准确率统计功能，支持对比实验AI评分与教师评分得到AI评分准确率。校级运维监控：能够实时监控校内与本考试相关的服务器的实时运维数据，包括存储、网卡、CPU、内存占用、网络请求等情况。</w:t>
            </w:r>
          </w:p>
          <w:p>
            <w:pPr>
              <w:wordWrap w:val="0"/>
              <w:spacing w:after="40"/>
              <w:outlineLvl w:val="2"/>
              <w:rPr>
                <w:rFonts w:ascii="宋体" w:eastAsia="宋体" w:hAnsi="宋体" w:cs="宋体"/>
                <w:szCs w:val="21"/>
              </w:rPr>
            </w:pPr>
          </w:p>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【校级实验教学测评平台】</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考务管理：具有信息管理及考场记录、抽签管理、场次管理、座位管理功能；可以根据评分项设置评分值标准，支持启用电子试卷，可以自定义电子实验报告，报告填写内容可设置填空题、简答题及选择题等；</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阅卷及成绩管理：（a）支持在线视频阅卷评分，在线阅卷时支持0.5X、1X、2X、4X、8X倍速播放、暂停、查看考卷实验报告等操作。支持展示整体阅卷进度，包括阅卷的百分比、已阅卷份数、剩余考卷份数、待仲裁考卷数量、剩余考卷数量等；支持考中实时查看考试进程和异常数据统计；考后查看分数统计情况；相关数据上传至实验教学与测评管理平台；（b）对评阅的成绩有异议时，可由老师账号申请成绩异议。该场的阅卷组长可对其提出的申请进行审核，审核通过则发还视频重新阅卷；审核驳回则维持原来评分。。</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多科联考：支持多科联考模式，安排考试时，可选择联考科目，在规定时间内，学生可任意选择优先考试的科目，完成当前科目后，可继续选择下一科目进行考试，根据学生切换科目的时间节点，自动保存不同科目的考试视频；</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排考管理：（a）支持每个考位固定考题、固定实验器材、固定座位号，学生进场前抽签决定座位。（b）.语音播报：支持进行现场报到，当学生完成报道时，系统将进行语音播报学生报道信息；（c）.结果预览：支持排考数据填写完毕后，具有数据检测功能，检测通过方可发布考试，可以以文字方式指出错误原因（d）.存储预警：排考成功后，系统可以显示本次考试各端设备预计需要占用的磁盘空间，便于老师快速判断是否需要清理磁盘。</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三端校验：可以通过 MD5 加密算法生成序列码，平台服务端、监考端考生端视频文件使用 MD5 进行校验；</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▲考试监控管理：可管理播放多个考场的巡考摄像机，支持切换二分屏、四分屏、九分屏等画面布局</w:t>
            </w:r>
            <w:r>
              <w:rPr>
                <w:rFonts w:ascii="宋体" w:eastAsia="宋体" w:hAnsi="宋体" w:cs="宋体" w:hint="eastAsia"/>
                <w:b/>
                <w:bCs/>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color w:val="000000"/>
                <w:kern w:val="0"/>
                <w:szCs w:val="21"/>
              </w:rPr>
              <w:t>；</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考卷数据核验：a）支持对从考场上传的数据进行核验；b）核验内容包括电子实验报告、显微镜截图、考卷视频数据；c）输出核验结果，可以显示核查考卷数、存在问题，支持跳转至异常考卷列表，可以补充上传。 </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阅卷规则：支持单评制、多评制，多评制可以设定阈值。可以在正式阅卷工作之前试评卷，随机选取部分考卷发放给阅卷老师进行评阅，以便阅卷组长统一评分标准。</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数据统计：可查看每一场考试的数据统计，包括报考人数、考点数量、考试进度、阅卷进度、待仲裁份数、历史同类考试平均分对比曲线图、各考点现场监控等。</w:t>
            </w:r>
          </w:p>
          <w:p>
            <w:pPr>
              <w:widowControl/>
              <w:numPr>
                <w:ilvl w:val="0"/>
                <w:numId w:val="1"/>
              </w:numPr>
              <w:spacing w:after="40"/>
              <w:jc w:val="left"/>
              <w:rPr>
                <w:rFonts w:ascii="宋体" w:eastAsia="宋体" w:hAnsi="宋体" w:cs="宋体"/>
                <w:b/>
                <w:bCs/>
                <w:color w:val="000000"/>
                <w:kern w:val="0"/>
                <w:szCs w:val="21"/>
              </w:rPr>
            </w:pPr>
            <w:r>
              <w:rPr>
                <w:rFonts w:ascii="宋体" w:eastAsia="宋体" w:hAnsi="宋体" w:cs="宋体" w:hint="eastAsia"/>
                <w:color w:val="000000"/>
                <w:kern w:val="0"/>
                <w:szCs w:val="21"/>
              </w:rPr>
              <w:t>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上开始考试和结束考试即可，可根据考务要求配置规则，定时结束考试。考试结束前具有提示功能，监考老师可根据实际情况选择是否延长考试；</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设备管理：可查看、清理服务器磁盘容量；查看监考端、学生端当前版本并上传软件更新包，实现远程自动更新；</w:t>
            </w:r>
          </w:p>
          <w:p>
            <w:pPr>
              <w:wordWrap w:val="0"/>
              <w:spacing w:after="40"/>
              <w:outlineLvl w:val="2"/>
              <w:rPr>
                <w:rFonts w:ascii="宋体" w:eastAsia="宋体" w:hAnsi="宋体" w:cs="宋体"/>
                <w:szCs w:val="21"/>
              </w:rPr>
            </w:pPr>
          </w:p>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【AI实验评分】</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支持管理AI算力服务器设备，实现对其进行配置与状态监控。</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szCs w:val="21"/>
              </w:rPr>
              <w:t>支持管理AI评分实验，展示实验列表，回顾评分实验</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可根据实验题目评分标准，通过AI对物体进行智能判别与分析，并通过AI辅助学生实验操作过程，对其完成情况进行全自动评价。</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支持查看实验的AI评分成绩，支持实验操作评价点关键帧自动标记时间标签，方便人工复核成绩、提升成绩复核效率；</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支持实验操作评价点关键帧截图，支持跳转至关键帧时间点，快速复核；</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具有AI课堂助手，支持AI练习及AI教学模式；</w:t>
            </w:r>
          </w:p>
          <w:p>
            <w:pPr>
              <w:wordWrap w:val="0"/>
              <w:spacing w:after="40"/>
              <w:outlineLvl w:val="2"/>
              <w:rPr>
                <w:rFonts w:ascii="宋体" w:eastAsia="宋体" w:hAnsi="宋体" w:cs="宋体"/>
                <w:szCs w:val="21"/>
              </w:rPr>
            </w:pPr>
          </w:p>
          <w:p>
            <w:pPr>
              <w:widowControl/>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w:t>
            </w:r>
            <w:r>
              <w:rPr>
                <w:rFonts w:ascii="宋体" w:eastAsia="宋体" w:hAnsi="宋体" w:cs="宋体" w:hint="eastAsia"/>
                <w:szCs w:val="21"/>
              </w:rPr>
              <w:t>教学测评监考</w:t>
            </w:r>
            <w:r>
              <w:rPr>
                <w:rFonts w:ascii="宋体" w:eastAsia="宋体" w:hAnsi="宋体" w:cs="宋体" w:hint="eastAsia"/>
                <w:color w:val="000000"/>
                <w:kern w:val="0"/>
                <w:szCs w:val="21"/>
              </w:rPr>
              <w:t>】</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szCs w:val="21"/>
              </w:rPr>
              <w:t>多科联考监控：多科联考模式下，支持实时查看所有学生的考试科目提交情况。</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szCs w:val="21"/>
              </w:rPr>
              <w:t>▲应可以同时监看考场内考生视频采集情况，可支持同时监看24/12/6名考生的两个操作画面，最高可同时显示24个座位即48路学生端的直播画面</w:t>
            </w:r>
            <w:r>
              <w:rPr>
                <w:rFonts w:ascii="宋体" w:eastAsia="宋体" w:hAnsi="宋体" w:cs="宋体" w:hint="eastAsia"/>
                <w:b/>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color w:val="000000"/>
                <w:kern w:val="0"/>
                <w:szCs w:val="21"/>
              </w:rPr>
              <w:t>；</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负责处理校级平台数据中心和学生套件之间网络数据同步管理和交换服务（下发学生信息、下发实验操作指令、上传实验视频等）；</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支持调节监看窗口的数量，可选择只看主画面或只看副画面，也可以选择同时观看主画面、副画面；</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szCs w:val="21"/>
              </w:rPr>
              <w:t>管理系统调试：可以统一管理考试系统设备，可以远程关闭考生套件，可在监考端查看学生端的软件版本和在线状态，支持远程升级、关机、清理磁盘空间等批量操作；</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可对故障设备进行管理，支持更换实验信息采集终端套件。更换套件时无需在本系统上做任何配置，只需在考生套件端修改座位号即可，系统后台全自动配对；</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szCs w:val="21"/>
              </w:rPr>
              <w:t>考试状态：支持监考界面显示每个座位考生的考试状态，包括确认无误、人工核验、提前交卷、考生报错、取消考试等，每个状态可以显示为不同色块</w:t>
            </w:r>
            <w:r>
              <w:rPr>
                <w:rFonts w:ascii="宋体" w:eastAsia="宋体" w:hAnsi="宋体" w:cs="宋体" w:hint="eastAsia"/>
                <w:color w:val="000000"/>
                <w:kern w:val="0"/>
                <w:szCs w:val="21"/>
              </w:rPr>
              <w:t>。</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视频上传管理：可设定同时上传至校级服务器的视频数量并限制上传带宽，以减少资源占用，确保考试顺利进行。</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人工核验：当考生在考位上人脸登录失败后，可以在监考界面进行人工比对核验。通过后考生可以继续考试。</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可以在教室电脑上取消某个考生的本场考试，并决定是否安排补考（执行该操作时输入监考组长的账号和密码）。若选择安排补考，则该生会进入补考名单，在网页端可查；</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倒计时：系统显示当前考试的名称和考场信息，同时显示考试结束倒计时，当进入考试准备过程中，可以显示下一场考试开始倒计时。</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考情统计：可以统计并显示当前批次考试评分提交情况（现考现评模式下）、显微镜截图提交情况（生物考试）、电子试卷填写提交。</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考试控制：当考试办法为灵活定点或随到随考时，监考老师可以根据考场情况控制考试的开启与结束。</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延长考试：当考试设置了定时任务时，到达预设的考试时间后，系统将提示用户是否延长考试，延长考试后，考生可以继续作答。  </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考试视频可以在本地视频备份存储功能；</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记录实验操作过程并形成视频文件,支持传输至</w:t>
            </w:r>
            <w:r>
              <w:rPr>
                <w:rFonts w:ascii="宋体" w:eastAsia="宋体" w:hAnsi="宋体" w:cs="宋体" w:hint="eastAsia"/>
                <w:szCs w:val="21"/>
              </w:rPr>
              <w:t>上级</w:t>
            </w:r>
            <w:r>
              <w:rPr>
                <w:rFonts w:ascii="宋体" w:eastAsia="宋体" w:hAnsi="宋体" w:cs="宋体" w:hint="eastAsia"/>
                <w:color w:val="000000"/>
                <w:kern w:val="0"/>
                <w:szCs w:val="21"/>
              </w:rPr>
              <w:t>平台；录制的视频文件格式满足H.264格式，可以在大部分播放器中直接播放；</w:t>
            </w:r>
          </w:p>
          <w:p>
            <w:pPr>
              <w:widowControl/>
              <w:numPr>
                <w:ilvl w:val="0"/>
                <w:numId w:val="1"/>
              </w:numPr>
              <w:spacing w:after="40"/>
              <w:jc w:val="left"/>
              <w:rPr>
                <w:rFonts w:ascii="宋体" w:eastAsia="宋体" w:hAnsi="宋体" w:cs="宋体"/>
                <w:color w:val="000000"/>
                <w:kern w:val="0"/>
                <w:szCs w:val="21"/>
              </w:rPr>
            </w:pPr>
            <w:r>
              <w:rPr>
                <w:rFonts w:ascii="宋体" w:eastAsia="宋体" w:hAnsi="宋体" w:cs="宋体" w:hint="eastAsia"/>
                <w:color w:val="000000"/>
                <w:kern w:val="0"/>
                <w:szCs w:val="21"/>
              </w:rPr>
              <w:t>支持全局统计每个批次考生各类数据的上传情况，包括视频数据、显微镜截图数据、实验报告等，对于未上传数据的异常处理，支持从学生端补传至监考端。</w:t>
            </w:r>
          </w:p>
          <w:p>
            <w:pPr>
              <w:numPr>
                <w:ilvl w:val="0"/>
                <w:numId w:val="1"/>
              </w:numPr>
              <w:spacing w:after="40"/>
              <w:rPr>
                <w:rFonts w:ascii="宋体" w:eastAsia="宋体" w:hAnsi="宋体" w:cs="宋体"/>
                <w:szCs w:val="21"/>
              </w:rPr>
            </w:pPr>
            <w:r>
              <w:rPr>
                <w:rFonts w:ascii="宋体" w:eastAsia="宋体" w:hAnsi="宋体" w:cs="宋体" w:hint="eastAsia"/>
                <w:szCs w:val="21"/>
              </w:rPr>
              <w:t>教学模式：支持对学生端进行智能控制，点击进入教学模式后可进行示范教学和课堂练习，选择模式后将智能控制所有学生端自动进入对应模式；</w:t>
            </w:r>
          </w:p>
          <w:p>
            <w:pPr>
              <w:numPr>
                <w:ilvl w:val="0"/>
                <w:numId w:val="1"/>
              </w:numPr>
              <w:spacing w:after="40"/>
              <w:rPr>
                <w:rFonts w:ascii="宋体" w:eastAsia="宋体" w:hAnsi="宋体" w:cs="宋体"/>
                <w:color w:val="000000"/>
                <w:kern w:val="0"/>
                <w:szCs w:val="21"/>
              </w:rPr>
            </w:pPr>
            <w:r>
              <w:rPr>
                <w:rFonts w:ascii="宋体" w:eastAsia="宋体" w:hAnsi="宋体" w:cs="宋体" w:hint="eastAsia"/>
                <w:szCs w:val="21"/>
              </w:rPr>
              <w:t>示范教学：将一套学生套件转为教学套件，老师能够使用教学套件进行操作演示、操作录制等；.课堂练习：进入后可以直接进行学生端录制，可自定义录制时间，录制完成后能够编辑本次练习的名称，并可进行点播回看；</w:t>
            </w:r>
          </w:p>
        </w:tc>
      </w:tr>
      <w:tr>
        <w:tblPrEx>
          <w:tblW w:w="8354" w:type="dxa"/>
          <w:tblInd w:w="118" w:type="dxa"/>
          <w:tblLayout w:type="fixed"/>
          <w:tblCellMar>
            <w:top w:w="0" w:type="dxa"/>
            <w:left w:w="108" w:type="dxa"/>
            <w:bottom w:w="0" w:type="dxa"/>
            <w:right w:w="108" w:type="dxa"/>
          </w:tblCellMar>
        </w:tblPrEx>
        <w:trPr>
          <w:trHeight w:val="402"/>
        </w:trPr>
        <w:tc>
          <w:tcPr>
            <w:tcW w:w="557" w:type="dxa"/>
            <w:vMerge/>
            <w:vAlign w:val="center"/>
          </w:tcPr>
          <w:p>
            <w:pPr>
              <w:widowControl/>
              <w:spacing w:after="40"/>
              <w:jc w:val="left"/>
              <w:rPr>
                <w:rFonts w:ascii="宋体" w:eastAsia="宋体" w:hAnsi="宋体" w:cs="宋体"/>
                <w:color w:val="000000"/>
                <w:kern w:val="0"/>
                <w:szCs w:val="21"/>
              </w:rPr>
            </w:pPr>
          </w:p>
        </w:tc>
        <w:tc>
          <w:tcPr>
            <w:tcW w:w="735" w:type="dxa"/>
            <w:vMerge/>
            <w:vAlign w:val="center"/>
          </w:tcPr>
          <w:p>
            <w:pPr>
              <w:widowControl/>
              <w:spacing w:after="40"/>
              <w:jc w:val="left"/>
              <w:rPr>
                <w:rFonts w:ascii="宋体" w:eastAsia="宋体" w:hAnsi="宋体" w:cs="宋体"/>
                <w:color w:val="000000"/>
                <w:kern w:val="0"/>
                <w:szCs w:val="21"/>
              </w:rPr>
            </w:pPr>
          </w:p>
        </w:tc>
        <w:tc>
          <w:tcPr>
            <w:tcW w:w="7062" w:type="dxa"/>
            <w:vMerge/>
            <w:vAlign w:val="center"/>
          </w:tcPr>
          <w:p>
            <w:pPr>
              <w:widowControl/>
              <w:spacing w:after="40"/>
              <w:jc w:val="left"/>
              <w:rPr>
                <w:rFonts w:ascii="宋体" w:eastAsia="宋体" w:hAnsi="宋体" w:cs="宋体"/>
                <w:color w:val="000000"/>
                <w:kern w:val="0"/>
                <w:szCs w:val="21"/>
              </w:rPr>
            </w:pPr>
          </w:p>
        </w:tc>
      </w:tr>
      <w:tr>
        <w:tblPrEx>
          <w:tblW w:w="8354" w:type="dxa"/>
          <w:tblInd w:w="118" w:type="dxa"/>
          <w:tblLayout w:type="fixed"/>
          <w:tblCellMar>
            <w:top w:w="0" w:type="dxa"/>
            <w:left w:w="108" w:type="dxa"/>
            <w:bottom w:w="0" w:type="dxa"/>
            <w:right w:w="108" w:type="dxa"/>
          </w:tblCellMar>
        </w:tblPrEx>
        <w:trPr>
          <w:trHeight w:val="402"/>
        </w:trPr>
        <w:tc>
          <w:tcPr>
            <w:tcW w:w="557" w:type="dxa"/>
            <w:vMerge/>
            <w:vAlign w:val="center"/>
          </w:tcPr>
          <w:p>
            <w:pPr>
              <w:widowControl/>
              <w:spacing w:after="40"/>
              <w:jc w:val="left"/>
              <w:rPr>
                <w:rFonts w:ascii="宋体" w:eastAsia="宋体" w:hAnsi="宋体" w:cs="宋体"/>
                <w:color w:val="000000"/>
                <w:kern w:val="0"/>
                <w:szCs w:val="21"/>
              </w:rPr>
            </w:pPr>
          </w:p>
        </w:tc>
        <w:tc>
          <w:tcPr>
            <w:tcW w:w="735" w:type="dxa"/>
            <w:vMerge/>
            <w:vAlign w:val="center"/>
          </w:tcPr>
          <w:p>
            <w:pPr>
              <w:widowControl/>
              <w:spacing w:after="40"/>
              <w:jc w:val="left"/>
              <w:rPr>
                <w:rFonts w:ascii="宋体" w:eastAsia="宋体" w:hAnsi="宋体" w:cs="宋体"/>
                <w:color w:val="000000"/>
                <w:kern w:val="0"/>
                <w:szCs w:val="21"/>
              </w:rPr>
            </w:pPr>
          </w:p>
        </w:tc>
        <w:tc>
          <w:tcPr>
            <w:tcW w:w="7062" w:type="dxa"/>
            <w:vMerge/>
            <w:vAlign w:val="center"/>
          </w:tcPr>
          <w:p>
            <w:pPr>
              <w:widowControl/>
              <w:spacing w:after="40"/>
              <w:jc w:val="left"/>
              <w:rPr>
                <w:rFonts w:ascii="宋体" w:eastAsia="宋体" w:hAnsi="宋体" w:cs="宋体"/>
                <w:color w:val="000000"/>
                <w:kern w:val="0"/>
                <w:szCs w:val="21"/>
              </w:rPr>
            </w:pPr>
          </w:p>
        </w:tc>
      </w:tr>
      <w:tr>
        <w:tblPrEx>
          <w:tblW w:w="8354" w:type="dxa"/>
          <w:tblInd w:w="118" w:type="dxa"/>
          <w:tblLayout w:type="fixed"/>
          <w:tblCellMar>
            <w:top w:w="0" w:type="dxa"/>
            <w:left w:w="108" w:type="dxa"/>
            <w:bottom w:w="0" w:type="dxa"/>
            <w:right w:w="108" w:type="dxa"/>
          </w:tblCellMar>
        </w:tblPrEx>
        <w:trPr>
          <w:trHeight w:val="402"/>
        </w:trPr>
        <w:tc>
          <w:tcPr>
            <w:tcW w:w="557" w:type="dxa"/>
            <w:vMerge w:val="restart"/>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6</w:t>
            </w:r>
          </w:p>
        </w:tc>
        <w:tc>
          <w:tcPr>
            <w:tcW w:w="735" w:type="dxa"/>
            <w:vMerge w:val="restart"/>
            <w:noWrap/>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实验信息采集终端</w:t>
            </w:r>
          </w:p>
        </w:tc>
        <w:tc>
          <w:tcPr>
            <w:tcW w:w="7062" w:type="dxa"/>
            <w:vMerge w:val="restart"/>
            <w:vAlign w:val="center"/>
          </w:tcPr>
          <w:p>
            <w:pPr>
              <w:widowControl/>
              <w:numPr>
                <w:ilvl w:val="0"/>
                <w:numId w:val="2"/>
              </w:numPr>
              <w:spacing w:after="40"/>
              <w:ind w:left="0" w:firstLine="0"/>
              <w:jc w:val="left"/>
              <w:rPr>
                <w:rFonts w:ascii="宋体" w:eastAsia="宋体" w:hAnsi="宋体" w:cs="宋体"/>
                <w:color w:val="000000"/>
                <w:kern w:val="0"/>
                <w:szCs w:val="21"/>
              </w:rPr>
            </w:pPr>
            <w:r>
              <w:rPr>
                <w:rFonts w:ascii="宋体" w:eastAsia="宋体" w:hAnsi="宋体" w:cs="宋体" w:hint="eastAsia"/>
                <w:color w:val="000000"/>
                <w:kern w:val="0"/>
                <w:szCs w:val="21"/>
              </w:rPr>
              <w:t>一体化支架：使用过程中应稳定维持固定拍摄角度，不可自由伸缩和旋转；支架底座具备固定功能；支架线材不可完全外露；可用于标准实验桌；支持折叠收纳；</w:t>
            </w:r>
          </w:p>
          <w:p>
            <w:pPr>
              <w:widowControl/>
              <w:numPr>
                <w:ilvl w:val="0"/>
                <w:numId w:val="2"/>
              </w:numPr>
              <w:spacing w:after="40"/>
              <w:ind w:left="0" w:firstLine="0"/>
              <w:jc w:val="left"/>
              <w:rPr>
                <w:rFonts w:ascii="宋体" w:eastAsia="宋体" w:hAnsi="宋体" w:cs="宋体"/>
                <w:color w:val="000000"/>
                <w:kern w:val="0"/>
                <w:szCs w:val="21"/>
              </w:rPr>
            </w:pPr>
            <w:r>
              <w:rPr>
                <w:rFonts w:ascii="宋体" w:eastAsia="宋体" w:hAnsi="宋体" w:cs="宋体" w:hint="eastAsia"/>
                <w:b/>
                <w:bCs/>
                <w:szCs w:val="21"/>
              </w:rPr>
              <w:t>▲</w:t>
            </w:r>
            <w:r>
              <w:rPr>
                <w:rFonts w:ascii="宋体" w:eastAsia="宋体" w:hAnsi="宋体" w:cs="宋体" w:hint="eastAsia"/>
                <w:szCs w:val="21"/>
              </w:rPr>
              <w:t>折叠收纳：具有≥2组折叠收纳杆体，具有≥6个转动轴；每个转动轴均为阻尼匀力转轴，可在活动范围内的任意位置悬停。</w:t>
            </w:r>
            <w:r>
              <w:rPr>
                <w:rFonts w:ascii="宋体" w:eastAsia="宋体" w:hAnsi="宋体" w:cs="宋体" w:hint="eastAsia"/>
                <w:b/>
                <w:bCs/>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color w:val="000000"/>
                <w:kern w:val="0"/>
                <w:szCs w:val="21"/>
              </w:rPr>
              <w:t>。</w:t>
            </w:r>
          </w:p>
          <w:p>
            <w:pPr>
              <w:widowControl/>
              <w:numPr>
                <w:ilvl w:val="0"/>
                <w:numId w:val="2"/>
              </w:numPr>
              <w:spacing w:after="40"/>
              <w:ind w:left="0" w:firstLine="0"/>
              <w:jc w:val="left"/>
              <w:rPr>
                <w:rFonts w:ascii="宋体" w:eastAsia="宋体" w:hAnsi="宋体" w:cs="宋体"/>
                <w:color w:val="000000"/>
                <w:kern w:val="0"/>
                <w:szCs w:val="21"/>
              </w:rPr>
            </w:pPr>
            <w:r>
              <w:rPr>
                <w:rFonts w:ascii="宋体" w:eastAsia="宋体" w:hAnsi="宋体" w:cs="宋体" w:hint="eastAsia"/>
                <w:color w:val="000000"/>
                <w:kern w:val="0"/>
                <w:szCs w:val="21"/>
              </w:rPr>
              <w:t>视频采集摄像头：自动白平衡；支持多码流传输；帧率不低于25fps；支持3D数字降噪；各摄像头视频同步偏差不高于80ms；支持H.265/H.264/MJPEG视频压缩编码；自动曝光；支持宽动态，宽动态范围不低于90dB；提供核心操作区标识，引导学生在核心区域完成实验操作</w:t>
            </w:r>
            <w:r>
              <w:rPr>
                <w:rFonts w:ascii="宋体" w:eastAsia="宋体" w:hAnsi="宋体" w:cs="宋体" w:hint="eastAsia"/>
                <w:szCs w:val="21"/>
              </w:rPr>
              <w:t>；</w:t>
            </w:r>
          </w:p>
          <w:p>
            <w:pPr>
              <w:widowControl/>
              <w:numPr>
                <w:ilvl w:val="0"/>
                <w:numId w:val="2"/>
              </w:numPr>
              <w:spacing w:after="40"/>
              <w:ind w:left="0" w:firstLine="0"/>
              <w:jc w:val="left"/>
              <w:rPr>
                <w:rFonts w:ascii="宋体" w:eastAsia="宋体" w:hAnsi="宋体" w:cs="宋体"/>
                <w:color w:val="000000"/>
                <w:kern w:val="0"/>
                <w:szCs w:val="21"/>
              </w:rPr>
            </w:pPr>
            <w:r>
              <w:rPr>
                <w:rFonts w:ascii="宋体" w:eastAsia="宋体" w:hAnsi="宋体" w:cs="宋体" w:hint="eastAsia"/>
                <w:b/>
                <w:bCs/>
                <w:color w:val="000000"/>
                <w:kern w:val="0"/>
                <w:szCs w:val="21"/>
              </w:rPr>
              <w:t>▲</w:t>
            </w:r>
            <w:r>
              <w:rPr>
                <w:rFonts w:ascii="宋体" w:eastAsia="宋体" w:hAnsi="宋体" w:cs="宋体" w:hint="eastAsia"/>
                <w:color w:val="000000"/>
                <w:kern w:val="0"/>
                <w:szCs w:val="21"/>
              </w:rPr>
              <w:t>具有≥两路摄像头，像素均＞</w:t>
            </w:r>
            <w:r>
              <w:rPr>
                <w:rFonts w:ascii="Times New Roman" w:eastAsia="宋体" w:hAnsi="Times New Roman" w:cs="Times New Roman" w:hint="eastAsia"/>
                <w:szCs w:val="24"/>
              </w:rPr>
              <w:t>400</w:t>
            </w:r>
            <w:r>
              <w:rPr>
                <w:rFonts w:ascii="宋体" w:eastAsia="宋体" w:hAnsi="宋体" w:cs="宋体" w:hint="eastAsia"/>
                <w:color w:val="000000"/>
                <w:kern w:val="0"/>
                <w:szCs w:val="21"/>
              </w:rPr>
              <w:t>万像,支持≥2880*1620分辨率</w:t>
            </w:r>
            <w:r>
              <w:rPr>
                <w:rFonts w:ascii="宋体" w:eastAsia="宋体" w:hAnsi="宋体" w:cs="宋体" w:hint="eastAsia"/>
                <w:b/>
                <w:bCs/>
                <w:color w:val="000000"/>
                <w:kern w:val="0"/>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color w:val="000000"/>
                <w:kern w:val="0"/>
                <w:szCs w:val="21"/>
              </w:rPr>
              <w:t>；</w:t>
            </w:r>
          </w:p>
          <w:p>
            <w:pPr>
              <w:widowControl/>
              <w:numPr>
                <w:ilvl w:val="0"/>
                <w:numId w:val="2"/>
              </w:numPr>
              <w:spacing w:after="40"/>
              <w:ind w:left="0" w:firstLine="0"/>
              <w:jc w:val="left"/>
              <w:rPr>
                <w:rFonts w:ascii="宋体" w:eastAsia="宋体" w:hAnsi="宋体" w:cs="宋体"/>
                <w:color w:val="000000"/>
                <w:kern w:val="0"/>
                <w:szCs w:val="21"/>
              </w:rPr>
            </w:pPr>
            <w:r>
              <w:rPr>
                <w:rFonts w:ascii="宋体" w:eastAsia="宋体" w:hAnsi="宋体" w:cs="宋体" w:hint="eastAsia"/>
                <w:b/>
                <w:bCs/>
                <w:color w:val="000000"/>
                <w:kern w:val="0"/>
                <w:szCs w:val="21"/>
              </w:rPr>
              <w:t>▲视频采集摄像头：</w:t>
            </w:r>
            <w:r>
              <w:rPr>
                <w:rFonts w:ascii="宋体" w:eastAsia="宋体" w:hAnsi="宋体" w:cs="宋体" w:hint="eastAsia"/>
                <w:color w:val="000000"/>
                <w:kern w:val="0"/>
                <w:szCs w:val="21"/>
              </w:rPr>
              <w:t>具有一个俯视角摄像头需能在一个画面内拍摄整个实验台，具有一个侧视角摄像头，可以拍摄核心操作区内操作和刻度细节，摄像机二向转轴可以在两个互相垂直的轴上进行转动，其中一个轴可以0°～270°旋转调节，另一个轴可以0°～180°旋转调节。</w:t>
            </w:r>
            <w:r>
              <w:rPr>
                <w:rFonts w:ascii="宋体" w:eastAsia="宋体" w:hAnsi="宋体" w:cs="宋体" w:hint="eastAsia"/>
                <w:b/>
                <w:bCs/>
                <w:color w:val="000000"/>
                <w:kern w:val="0"/>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color w:val="000000"/>
                <w:kern w:val="0"/>
                <w:szCs w:val="21"/>
              </w:rPr>
              <w:t>。</w:t>
            </w:r>
          </w:p>
          <w:p>
            <w:pPr>
              <w:widowControl/>
              <w:numPr>
                <w:ilvl w:val="0"/>
                <w:numId w:val="2"/>
              </w:numPr>
              <w:spacing w:after="40"/>
              <w:ind w:left="0" w:firstLine="0"/>
              <w:jc w:val="left"/>
              <w:rPr>
                <w:rFonts w:ascii="宋体" w:eastAsia="宋体" w:hAnsi="宋体" w:cs="宋体"/>
                <w:color w:val="000000"/>
                <w:kern w:val="0"/>
                <w:szCs w:val="21"/>
              </w:rPr>
            </w:pPr>
            <w:r>
              <w:rPr>
                <w:rFonts w:ascii="宋体" w:eastAsia="宋体" w:hAnsi="宋体" w:cs="宋体" w:hint="eastAsia"/>
                <w:b/>
                <w:bCs/>
                <w:color w:val="000000"/>
                <w:kern w:val="0"/>
                <w:szCs w:val="21"/>
              </w:rPr>
              <w:t>▲</w:t>
            </w:r>
            <w:r>
              <w:rPr>
                <w:rFonts w:ascii="宋体" w:eastAsia="宋体" w:hAnsi="宋体" w:cs="宋体" w:hint="eastAsia"/>
                <w:color w:val="000000"/>
                <w:kern w:val="0"/>
                <w:szCs w:val="21"/>
              </w:rPr>
              <w:t>拍摄角度：可以通过调节转轴，满足正视角、侧视角、俯视角度的拍摄，满足实验考试和教学的拍摄需要。要求拍摄画面无翻转。</w:t>
            </w:r>
            <w:r>
              <w:rPr>
                <w:rFonts w:ascii="宋体" w:eastAsia="宋体" w:hAnsi="宋体" w:cs="宋体" w:hint="eastAsia"/>
                <w:b/>
                <w:bCs/>
                <w:color w:val="000000"/>
                <w:kern w:val="0"/>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color w:val="000000"/>
                <w:kern w:val="0"/>
                <w:szCs w:val="21"/>
              </w:rPr>
              <w:t>；</w:t>
            </w:r>
          </w:p>
          <w:p>
            <w:pPr>
              <w:widowControl/>
              <w:numPr>
                <w:ilvl w:val="0"/>
                <w:numId w:val="2"/>
              </w:numPr>
              <w:spacing w:after="40"/>
              <w:ind w:left="0" w:firstLine="0"/>
              <w:jc w:val="left"/>
              <w:rPr>
                <w:rFonts w:ascii="宋体" w:eastAsia="宋体" w:hAnsi="宋体" w:cs="宋体"/>
                <w:b/>
                <w:bCs/>
                <w:color w:val="000000"/>
                <w:kern w:val="0"/>
                <w:szCs w:val="21"/>
              </w:rPr>
            </w:pPr>
            <w:r>
              <w:rPr>
                <w:rFonts w:ascii="宋体" w:eastAsia="宋体" w:hAnsi="宋体" w:cs="宋体" w:hint="eastAsia"/>
                <w:color w:val="000000"/>
                <w:kern w:val="0"/>
                <w:szCs w:val="21"/>
              </w:rPr>
              <w:t>显示终端：尺寸</w:t>
            </w:r>
            <w:r>
              <w:rPr>
                <w:rFonts w:ascii="宋体" w:eastAsia="宋体" w:hAnsi="宋体" w:cs="宋体" w:hint="eastAsia"/>
                <w:szCs w:val="21"/>
              </w:rPr>
              <w:t>≥</w:t>
            </w:r>
            <w:r>
              <w:rPr>
                <w:rFonts w:ascii="宋体" w:eastAsia="宋体" w:hAnsi="宋体" w:cs="宋体" w:hint="eastAsia"/>
                <w:color w:val="000000"/>
                <w:kern w:val="0"/>
                <w:szCs w:val="21"/>
              </w:rPr>
              <w:t>10英寸；分辨率</w:t>
            </w:r>
            <w:r>
              <w:rPr>
                <w:rFonts w:ascii="宋体" w:eastAsia="宋体" w:hAnsi="宋体" w:cs="宋体" w:hint="eastAsia"/>
                <w:szCs w:val="21"/>
              </w:rPr>
              <w:t>≥1920*1080</w:t>
            </w:r>
            <w:r>
              <w:rPr>
                <w:rFonts w:ascii="宋体" w:eastAsia="宋体" w:hAnsi="宋体" w:cs="宋体" w:hint="eastAsia"/>
                <w:color w:val="000000"/>
                <w:kern w:val="0"/>
                <w:szCs w:val="21"/>
              </w:rPr>
              <w:t>；支持多点(</w:t>
            </w:r>
            <w:r>
              <w:rPr>
                <w:rFonts w:ascii="宋体" w:eastAsia="宋体" w:hAnsi="宋体" w:cs="宋体" w:hint="eastAsia"/>
                <w:szCs w:val="21"/>
              </w:rPr>
              <w:t>≥</w:t>
            </w:r>
            <w:r>
              <w:rPr>
                <w:rFonts w:ascii="宋体" w:eastAsia="宋体" w:hAnsi="宋体" w:cs="宋体" w:hint="eastAsia"/>
                <w:color w:val="000000"/>
                <w:kern w:val="0"/>
                <w:szCs w:val="21"/>
              </w:rPr>
              <w:t>10点）触控</w:t>
            </w:r>
            <w:r>
              <w:rPr>
                <w:rFonts w:ascii="宋体" w:eastAsia="宋体" w:hAnsi="宋体" w:cs="宋体" w:hint="eastAsia"/>
                <w:szCs w:val="21"/>
              </w:rPr>
              <w:t>；</w:t>
            </w:r>
            <w:r>
              <w:rPr>
                <w:rFonts w:ascii="宋体" w:eastAsia="宋体" w:hAnsi="宋体" w:cs="宋体" w:hint="eastAsia"/>
                <w:color w:val="000000"/>
                <w:kern w:val="0"/>
                <w:szCs w:val="21"/>
              </w:rPr>
              <w:t>支持WiFi；具有人脸识别前置摄像头；标准Pogo-pin接口，支持数据传输、连接外部设备；内置扬声器≥4个；可通过多功能Type-C口连接，实现充电与数据通信，获取2个摄像机画面及电子目镜画面；处理器：CPU：≥8核，其中</w:t>
            </w:r>
            <w:r>
              <w:rPr>
                <w:rFonts w:ascii="宋体" w:eastAsia="宋体" w:hAnsi="宋体" w:cs="宋体" w:hint="eastAsia"/>
                <w:szCs w:val="21"/>
              </w:rPr>
              <w:t>≥</w:t>
            </w:r>
            <w:r>
              <w:rPr>
                <w:rFonts w:ascii="宋体" w:eastAsia="宋体" w:hAnsi="宋体" w:cs="宋体" w:hint="eastAsia"/>
                <w:color w:val="000000"/>
                <w:kern w:val="0"/>
                <w:szCs w:val="21"/>
              </w:rPr>
              <w:t>4个单核最高主频≥2.4GHz；内存：</w:t>
            </w:r>
            <w:r>
              <w:rPr>
                <w:rFonts w:ascii="宋体" w:eastAsia="宋体" w:hAnsi="宋体" w:cs="宋体" w:hint="eastAsia"/>
                <w:szCs w:val="21"/>
              </w:rPr>
              <w:t>≥</w:t>
            </w:r>
            <w:r>
              <w:rPr>
                <w:rFonts w:ascii="宋体" w:eastAsia="宋体" w:hAnsi="宋体" w:cs="宋体" w:hint="eastAsia"/>
                <w:color w:val="000000"/>
                <w:kern w:val="0"/>
                <w:szCs w:val="21"/>
              </w:rPr>
              <w:t>4G。存储：</w:t>
            </w:r>
            <w:r>
              <w:rPr>
                <w:rFonts w:ascii="宋体" w:eastAsia="宋体" w:hAnsi="宋体" w:cs="宋体" w:hint="eastAsia"/>
                <w:szCs w:val="21"/>
              </w:rPr>
              <w:t>≥</w:t>
            </w:r>
            <w:r>
              <w:rPr>
                <w:rFonts w:ascii="宋体" w:eastAsia="宋体" w:hAnsi="宋体" w:cs="宋体" w:hint="eastAsia"/>
                <w:color w:val="000000"/>
                <w:kern w:val="0"/>
                <w:szCs w:val="21"/>
              </w:rPr>
              <w:t>64GB，可插卡扩展至128GB。</w:t>
            </w:r>
          </w:p>
          <w:p>
            <w:pPr>
              <w:widowControl/>
              <w:numPr>
                <w:ilvl w:val="0"/>
                <w:numId w:val="2"/>
              </w:numPr>
              <w:spacing w:after="40"/>
              <w:ind w:left="0" w:firstLine="0"/>
              <w:jc w:val="left"/>
              <w:rPr>
                <w:rFonts w:ascii="宋体" w:eastAsia="宋体" w:hAnsi="宋体" w:cs="宋体"/>
                <w:b/>
                <w:bCs/>
                <w:color w:val="000000"/>
                <w:kern w:val="0"/>
                <w:szCs w:val="21"/>
              </w:rPr>
            </w:pPr>
            <w:r>
              <w:rPr>
                <w:rFonts w:ascii="宋体" w:eastAsia="宋体" w:hAnsi="宋体" w:cs="宋体" w:hint="eastAsia"/>
                <w:color w:val="000000"/>
                <w:kern w:val="0"/>
                <w:szCs w:val="21"/>
              </w:rPr>
              <w:t>电源接口：支持220V转DC持续供电，且支持“POE”供电；</w:t>
            </w:r>
          </w:p>
          <w:p>
            <w:pPr>
              <w:widowControl/>
              <w:numPr>
                <w:ilvl w:val="0"/>
                <w:numId w:val="2"/>
              </w:numPr>
              <w:spacing w:after="40"/>
              <w:ind w:left="0" w:firstLine="0"/>
              <w:jc w:val="left"/>
              <w:rPr>
                <w:rFonts w:ascii="宋体" w:eastAsia="宋体" w:hAnsi="宋体" w:cs="宋体"/>
                <w:b/>
                <w:bCs/>
                <w:color w:val="000000"/>
                <w:kern w:val="0"/>
                <w:szCs w:val="21"/>
              </w:rPr>
            </w:pPr>
            <w:r>
              <w:rPr>
                <w:rFonts w:ascii="宋体" w:eastAsia="宋体" w:hAnsi="宋体" w:cs="宋体" w:hint="eastAsia"/>
                <w:kern w:val="0"/>
                <w:szCs w:val="21"/>
              </w:rPr>
              <w:t>网络接口：支持有线联网，≥100M网卡，支持单网口双 IP，两台摄像机独立设置 IP 地址，可独立管理</w:t>
            </w:r>
            <w:r>
              <w:rPr>
                <w:rFonts w:ascii="宋体" w:eastAsia="宋体" w:hAnsi="宋体" w:cs="宋体" w:hint="eastAsia"/>
                <w:color w:val="000000"/>
                <w:kern w:val="0"/>
                <w:szCs w:val="21"/>
              </w:rPr>
              <w:t>；</w:t>
            </w:r>
          </w:p>
          <w:p>
            <w:pPr>
              <w:widowControl/>
              <w:numPr>
                <w:ilvl w:val="0"/>
                <w:numId w:val="2"/>
              </w:numPr>
              <w:spacing w:after="40"/>
              <w:ind w:left="0" w:firstLine="0"/>
              <w:jc w:val="left"/>
              <w:rPr>
                <w:rFonts w:ascii="宋体" w:eastAsia="宋体" w:hAnsi="宋体" w:cs="宋体"/>
                <w:b/>
                <w:bCs/>
                <w:color w:val="000000"/>
                <w:kern w:val="0"/>
                <w:szCs w:val="21"/>
              </w:rPr>
            </w:pPr>
            <w:r>
              <w:rPr>
                <w:rFonts w:ascii="宋体" w:eastAsia="宋体" w:hAnsi="宋体" w:cs="宋体" w:hint="eastAsia"/>
                <w:color w:val="000000"/>
                <w:kern w:val="0"/>
                <w:szCs w:val="21"/>
              </w:rPr>
              <w:t>▲外设接口：≥1个USB 2.0接口，用于接入电子目镜或数码显微镜图像，具有≥1个POE 网口、≥1个DC12~13V 宽电压充电口、≥1个多功能type-C口、≥1个reset 键、≥1个航空接口</w:t>
            </w:r>
            <w:r>
              <w:rPr>
                <w:rFonts w:ascii="宋体" w:eastAsia="宋体" w:hAnsi="宋体" w:cs="宋体" w:hint="eastAsia"/>
                <w:b/>
                <w:bCs/>
                <w:color w:val="000000"/>
                <w:kern w:val="0"/>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p>
          <w:p>
            <w:pPr>
              <w:widowControl/>
              <w:numPr>
                <w:ilvl w:val="0"/>
                <w:numId w:val="2"/>
              </w:numPr>
              <w:spacing w:after="40"/>
              <w:ind w:left="0" w:firstLine="0"/>
              <w:jc w:val="left"/>
              <w:rPr>
                <w:rFonts w:ascii="宋体" w:eastAsia="宋体" w:hAnsi="宋体" w:cs="宋体"/>
                <w:b/>
                <w:bCs/>
                <w:color w:val="000000"/>
                <w:kern w:val="0"/>
                <w:szCs w:val="21"/>
              </w:rPr>
            </w:pPr>
            <w:r>
              <w:rPr>
                <w:rFonts w:ascii="宋体" w:eastAsia="宋体" w:hAnsi="宋体" w:cs="宋体" w:hint="eastAsia"/>
                <w:color w:val="000000"/>
                <w:kern w:val="0"/>
                <w:szCs w:val="21"/>
              </w:rPr>
              <w:t>终端操作系统：使用通用的开放互联的操作系统；内置开机自启动的操作系统</w:t>
            </w:r>
            <w:r>
              <w:rPr>
                <w:rFonts w:ascii="宋体" w:eastAsia="宋体" w:hAnsi="宋体" w:cs="宋体" w:hint="eastAsia"/>
                <w:b/>
                <w:bCs/>
                <w:color w:val="000000"/>
                <w:kern w:val="0"/>
                <w:szCs w:val="21"/>
              </w:rPr>
              <w:t>；</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color w:val="000000"/>
                <w:kern w:val="0"/>
                <w:szCs w:val="21"/>
              </w:rPr>
              <w:t>▲多功能Type-C口相关要求：a.具有1个多功能Type-C口，支持充电、USB数据传输、网络传输；b.支持通过多功能Type-C口输出10W PD快充；c.支持通过多功能Type-C口输出USB电子目镜画面或者U盘数据或者鼠标键盘信号；d.支持通过多功能Type-C口输出100M有线网络信号。</w:t>
            </w:r>
            <w:r>
              <w:rPr>
                <w:rFonts w:ascii="宋体" w:eastAsia="宋体" w:hAnsi="宋体" w:cs="宋体" w:hint="eastAsia"/>
                <w:b/>
                <w:szCs w:val="21"/>
              </w:rPr>
              <w:t>（上述a-d项，</w:t>
            </w:r>
            <w:r>
              <w:rPr>
                <w:rFonts w:ascii="宋体" w:eastAsia="宋体" w:hAnsi="宋体" w:cs="宋体" w:hint="eastAsia"/>
                <w:b/>
                <w:bCs/>
                <w:color w:val="000000"/>
                <w:kern w:val="0"/>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Fonts w:ascii="宋体" w:eastAsia="宋体" w:hAnsi="宋体" w:cs="宋体" w:hint="eastAsia"/>
                <w:b/>
                <w:szCs w:val="21"/>
              </w:rPr>
              <w:t>）</w:t>
            </w:r>
            <w:r>
              <w:rPr>
                <w:rFonts w:ascii="宋体" w:eastAsia="宋体" w:hAnsi="宋体" w:cs="宋体" w:hint="eastAsia"/>
                <w:szCs w:val="21"/>
              </w:rPr>
              <w:t>;</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与考场监考端通讯地址绑定使用，修改绑定监考端通讯地址后既自动接收其他考场的信息；</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跨网通信：学生终端只与考场监考端通信，不与市级平台、校级平台进行通信，实现网络隔离，可以在完全不连接外网或者完全不连接学校网络的情况下，通过监考端转发信息实现视频录制；；</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开机自动启动考试软件，且不可以随意退出，输入密码才可退出软件；支持显示启动器加载进度条，实时显示加载状态；支持通过DHCP修改自动获取IP；</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摄像机管理：支持多类摄像机接入，支持接入网络摄像机，可以配置主摄和副摄的主副码流地址；支持接入数码显微镜、电子目镜；</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配置方式：在自动获取IP的状态下，仅需配置监考端IP和本机座位号即可开启考试；</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快速备换：当有设备发生故障时，备用考生设备仅需改动座位号即可快速替换使用，其他配置无需改动；</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状态上报：不间断向上级平台上报自身运行状态，包括：磁盘使用率，版本号，座位号，版本号等；</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模式切换：拥有考试、教学模式，用户可在不同模式之间自由切换，但是以监考端的统一指令为最高优先级指令；</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快速入座：考生入座核验信息前，可以全屏显示座位号，便于考生进入考场后快速定位考试座位号。</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支持通过触屏操作，自动控制设备内部录播系统进行录制。考生通过触屏操作核对信息无误后，检查摄像头状态，即可开始考试；考试开始时候录播系统自动启动录制；考试结束时，录播系统自动停止录制并保存文件。</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流媒体转发：软件具备流媒体转发功能，可对两路摄像机画面进行视屏流的转发，外部系统通过与本地系统的IP地址通讯，即可获取两路摄像机的画面</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检测摄像头：考试前，学生核对摄像头角度、清晰度无误后，才可进行考试；在考试和互动教学的过程中，实时显示2个摄像头的画面，每个摄像头画面可提供双流（高清主流+标清辅流）模式，双击画面即可播放高清主流，确保画面清晰且无明显延迟；</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视频录制：显示每个摄像头的状态，包括连接状态、直播状态和录制状态；软件可实现本地录制时同步生成直播流供考试管理系统和监考端进行录制，且当考试管理系统或监考端崩溃时，不影响本地录制；考试过程中，可对学生屏幕进行自动录制，并保存到学生端本地；</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考试过程中实时显示日期、剩余时间、考试科目、姓名和考试题目；</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显微镜截图：生物考试时，考生终端屏幕可以显示显微镜画面，并支持学生进行截图以便于生物考试评分。</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答题卡截图：提供软件答题卡供考生作答，考生可以申请提前交卷，系统会核验考生填写的答题卡是否已经保存。确认情况后，考生方可提前交卷。交卷后，系统自动抓屏保存答题卡截图，格式满足《深圳市教育局关于做好 2024 年初中学业水平生物学实验操作考试工作的通知》的相关要求。</w:t>
            </w:r>
          </w:p>
          <w:p>
            <w:pPr>
              <w:widowControl/>
              <w:numPr>
                <w:ilvl w:val="0"/>
                <w:numId w:val="2"/>
              </w:numPr>
              <w:spacing w:after="40"/>
              <w:ind w:left="0" w:firstLine="0"/>
              <w:jc w:val="left"/>
              <w:rPr>
                <w:rFonts w:ascii="宋体" w:eastAsia="宋体" w:hAnsi="宋体" w:cs="宋体"/>
                <w:szCs w:val="21"/>
              </w:rPr>
            </w:pPr>
            <w:r>
              <w:rPr>
                <w:rFonts w:ascii="宋体" w:eastAsia="宋体" w:hAnsi="宋体" w:cs="宋体" w:hint="eastAsia"/>
                <w:szCs w:val="21"/>
              </w:rPr>
              <w:t>多科联考：多科联考模式下，学生可自主选择优先考试的科目，完成当前考试科目后，可继续选择下一个考试科目，不同科目的视频分开保存，便于进行考试视频的调阅；符合深圳排考模式；</w:t>
            </w:r>
          </w:p>
          <w:p>
            <w:pPr>
              <w:numPr>
                <w:ilvl w:val="0"/>
                <w:numId w:val="2"/>
              </w:numPr>
              <w:spacing w:after="40"/>
              <w:ind w:left="0" w:firstLine="0"/>
              <w:rPr>
                <w:rFonts w:ascii="宋体" w:eastAsia="宋体" w:hAnsi="宋体" w:cs="宋体"/>
                <w:color w:val="000000"/>
                <w:kern w:val="0"/>
                <w:szCs w:val="21"/>
              </w:rPr>
            </w:pPr>
            <w:r>
              <w:rPr>
                <w:rFonts w:ascii="宋体" w:eastAsia="宋体" w:hAnsi="宋体" w:cs="宋体" w:hint="eastAsia"/>
                <w:szCs w:val="21"/>
              </w:rPr>
              <w:t>实训实操测评：支持学生自主开展实训实操，能与校级平台AI系统对接</w:t>
            </w:r>
          </w:p>
        </w:tc>
      </w:tr>
      <w:tr>
        <w:tblPrEx>
          <w:tblW w:w="8354" w:type="dxa"/>
          <w:tblInd w:w="118" w:type="dxa"/>
          <w:tblLayout w:type="fixed"/>
          <w:tblCellMar>
            <w:top w:w="0" w:type="dxa"/>
            <w:left w:w="108" w:type="dxa"/>
            <w:bottom w:w="0" w:type="dxa"/>
            <w:right w:w="108" w:type="dxa"/>
          </w:tblCellMar>
        </w:tblPrEx>
        <w:trPr>
          <w:trHeight w:val="402"/>
        </w:trPr>
        <w:tc>
          <w:tcPr>
            <w:tcW w:w="557" w:type="dxa"/>
            <w:vMerge/>
            <w:vAlign w:val="center"/>
          </w:tcPr>
          <w:p>
            <w:pPr>
              <w:widowControl/>
              <w:spacing w:after="40"/>
              <w:jc w:val="left"/>
              <w:rPr>
                <w:rFonts w:ascii="宋体" w:eastAsia="宋体" w:hAnsi="宋体" w:cs="宋体"/>
                <w:color w:val="000000"/>
                <w:kern w:val="0"/>
                <w:szCs w:val="21"/>
              </w:rPr>
            </w:pPr>
          </w:p>
        </w:tc>
        <w:tc>
          <w:tcPr>
            <w:tcW w:w="735" w:type="dxa"/>
            <w:vMerge/>
            <w:vAlign w:val="center"/>
          </w:tcPr>
          <w:p>
            <w:pPr>
              <w:widowControl/>
              <w:spacing w:after="40"/>
              <w:jc w:val="left"/>
              <w:rPr>
                <w:rFonts w:ascii="宋体" w:eastAsia="宋体" w:hAnsi="宋体" w:cs="宋体"/>
                <w:color w:val="000000"/>
                <w:kern w:val="0"/>
                <w:szCs w:val="21"/>
              </w:rPr>
            </w:pPr>
          </w:p>
        </w:tc>
        <w:tc>
          <w:tcPr>
            <w:tcW w:w="7062" w:type="dxa"/>
            <w:vMerge/>
            <w:vAlign w:val="center"/>
          </w:tcPr>
          <w:p>
            <w:pPr>
              <w:widowControl/>
              <w:spacing w:after="40"/>
              <w:jc w:val="left"/>
              <w:rPr>
                <w:rFonts w:ascii="宋体" w:eastAsia="宋体" w:hAnsi="宋体" w:cs="宋体"/>
                <w:color w:val="000000"/>
                <w:kern w:val="0"/>
                <w:szCs w:val="21"/>
              </w:rPr>
            </w:pP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7</w:t>
            </w:r>
          </w:p>
        </w:tc>
        <w:tc>
          <w:tcPr>
            <w:tcW w:w="735"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电子目镜</w:t>
            </w:r>
          </w:p>
        </w:tc>
        <w:tc>
          <w:tcPr>
            <w:tcW w:w="7062" w:type="dxa"/>
            <w:noWrap/>
            <w:vAlign w:val="center"/>
          </w:tcPr>
          <w:p>
            <w:pPr>
              <w:widowControl/>
              <w:spacing w:after="40"/>
              <w:rPr>
                <w:rFonts w:ascii="宋体" w:eastAsia="宋体" w:hAnsi="宋体" w:cs="宋体"/>
                <w:color w:val="000000"/>
                <w:kern w:val="0"/>
                <w:szCs w:val="21"/>
              </w:rPr>
            </w:pPr>
            <w:r>
              <w:rPr>
                <w:rFonts w:ascii="宋体" w:eastAsia="宋体" w:hAnsi="宋体" w:cs="宋体" w:hint="eastAsia"/>
                <w:color w:val="000000"/>
                <w:kern w:val="0"/>
                <w:szCs w:val="21"/>
              </w:rPr>
              <w:t>信号输出接口为USB接口；自动曝光；自动白平衡；图像传感器像素＞400万像素,支持≥2880*1620分辨率。</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8</w:t>
            </w:r>
          </w:p>
        </w:tc>
        <w:tc>
          <w:tcPr>
            <w:tcW w:w="735" w:type="dxa"/>
            <w:vAlign w:val="center"/>
          </w:tcPr>
          <w:p>
            <w:pPr>
              <w:spacing w:after="40"/>
              <w:rPr>
                <w:rFonts w:ascii="宋体" w:eastAsia="宋体" w:hAnsi="宋体" w:cs="宋体"/>
                <w:color w:val="FF0000"/>
                <w:kern w:val="0"/>
                <w:szCs w:val="21"/>
              </w:rPr>
            </w:pPr>
            <w:r>
              <w:rPr>
                <w:rFonts w:ascii="宋体" w:eastAsia="宋体" w:hAnsi="宋体" w:cs="宋体" w:hint="eastAsia"/>
                <w:color w:val="000000"/>
                <w:kern w:val="0"/>
                <w:szCs w:val="21"/>
              </w:rPr>
              <w:t>AI算力服务器</w:t>
            </w:r>
          </w:p>
        </w:tc>
        <w:tc>
          <w:tcPr>
            <w:tcW w:w="7062" w:type="dxa"/>
            <w:vAlign w:val="center"/>
          </w:tcPr>
          <w:p>
            <w:pPr>
              <w:spacing w:after="40"/>
              <w:rPr>
                <w:rFonts w:ascii="宋体" w:eastAsia="宋体" w:hAnsi="宋体" w:cs="宋体"/>
                <w:color w:val="FF0000"/>
                <w:kern w:val="0"/>
                <w:szCs w:val="21"/>
              </w:rPr>
            </w:pPr>
            <w:r>
              <w:rPr>
                <w:rFonts w:ascii="宋体" w:eastAsia="宋体" w:hAnsi="宋体" w:cs="宋体" w:hint="eastAsia"/>
                <w:color w:val="000000"/>
                <w:szCs w:val="21"/>
              </w:rPr>
              <w:t>≥</w:t>
            </w:r>
            <w:r>
              <w:rPr>
                <w:rFonts w:ascii="宋体" w:eastAsia="宋体" w:hAnsi="宋体" w:cs="宋体" w:hint="eastAsia"/>
                <w:szCs w:val="21"/>
              </w:rPr>
              <w:t>2个2.5GHz 20核40线程CPU；</w:t>
            </w:r>
            <w:r>
              <w:rPr>
                <w:rFonts w:ascii="宋体" w:eastAsia="宋体" w:hAnsi="宋体" w:cs="宋体" w:hint="eastAsia"/>
                <w:color w:val="000000"/>
                <w:szCs w:val="21"/>
              </w:rPr>
              <w:t>≥</w:t>
            </w:r>
            <w:r>
              <w:rPr>
                <w:rFonts w:ascii="宋体" w:eastAsia="宋体" w:hAnsi="宋体" w:cs="宋体" w:hint="eastAsia"/>
                <w:szCs w:val="21"/>
              </w:rPr>
              <w:t>8个32GB内存；</w:t>
            </w:r>
            <w:r>
              <w:rPr>
                <w:rFonts w:ascii="宋体" w:eastAsia="宋体" w:hAnsi="宋体" w:cs="宋体" w:hint="eastAsia"/>
                <w:color w:val="000000"/>
                <w:szCs w:val="21"/>
              </w:rPr>
              <w:t>≥</w:t>
            </w:r>
            <w:r>
              <w:rPr>
                <w:rFonts w:ascii="宋体" w:eastAsia="宋体" w:hAnsi="宋体" w:cs="宋体" w:hint="eastAsia"/>
                <w:szCs w:val="21"/>
              </w:rPr>
              <w:t>2个960GB SSD硬盘；</w:t>
            </w:r>
            <w:r>
              <w:rPr>
                <w:rFonts w:ascii="宋体" w:eastAsia="宋体" w:hAnsi="宋体" w:cs="宋体" w:hint="eastAsia"/>
                <w:color w:val="000000"/>
                <w:szCs w:val="21"/>
              </w:rPr>
              <w:t>≥</w:t>
            </w:r>
            <w:r>
              <w:rPr>
                <w:rFonts w:ascii="宋体" w:eastAsia="宋体" w:hAnsi="宋体" w:cs="宋体" w:hint="eastAsia"/>
                <w:szCs w:val="21"/>
              </w:rPr>
              <w:t>4个GeForce RTX 3090 GPU（或提供同等算力的推理卡，算力指标以半数精度FP16值为基准，</w:t>
            </w:r>
            <w:r>
              <w:rPr>
                <w:rFonts w:ascii="宋体" w:eastAsia="宋体" w:hAnsi="宋体" w:cs="宋体" w:hint="eastAsia"/>
                <w:color w:val="000000"/>
                <w:szCs w:val="21"/>
              </w:rPr>
              <w:t>≥</w:t>
            </w:r>
            <w:r>
              <w:rPr>
                <w:rFonts w:ascii="宋体" w:eastAsia="宋体" w:hAnsi="宋体" w:cs="宋体" w:hint="eastAsia"/>
                <w:szCs w:val="21"/>
              </w:rPr>
              <w:t>4个GeForce RTX 3090的FP16指标值之和，且支持INT8/FP16/BF16/FP32混合精度处理，支持</w:t>
            </w:r>
            <w:r>
              <w:rPr>
                <w:rFonts w:ascii="宋体" w:eastAsia="宋体" w:hAnsi="宋体" w:cs="宋体" w:hint="eastAsia"/>
                <w:color w:val="000000"/>
                <w:szCs w:val="21"/>
              </w:rPr>
              <w:t>≥</w:t>
            </w:r>
            <w:r>
              <w:rPr>
                <w:rFonts w:ascii="宋体" w:eastAsia="宋体" w:hAnsi="宋体" w:cs="宋体" w:hint="eastAsia"/>
                <w:szCs w:val="21"/>
              </w:rPr>
              <w:t>70路1080P高清视频全流程处理。支持8K视频解码分辨率。深度学习框架支持TensorFlow、Pytorch、PaddlePaddle、Caffe、ONNX、MXNet、DarkNet）；</w:t>
            </w:r>
            <w:r>
              <w:rPr>
                <w:rFonts w:ascii="宋体" w:eastAsia="宋体" w:hAnsi="宋体" w:cs="宋体" w:hint="eastAsia"/>
                <w:color w:val="000000"/>
                <w:szCs w:val="21"/>
              </w:rPr>
              <w:t>≥</w:t>
            </w:r>
            <w:r>
              <w:rPr>
                <w:rFonts w:ascii="宋体" w:eastAsia="宋体" w:hAnsi="宋体" w:cs="宋体" w:hint="eastAsia"/>
                <w:szCs w:val="21"/>
              </w:rPr>
              <w:t>2个千兆网口。</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9</w:t>
            </w:r>
          </w:p>
        </w:tc>
        <w:tc>
          <w:tcPr>
            <w:tcW w:w="735"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UPS</w:t>
            </w:r>
          </w:p>
        </w:tc>
        <w:tc>
          <w:tcPr>
            <w:tcW w:w="7062" w:type="dxa"/>
            <w:vAlign w:val="center"/>
          </w:tcPr>
          <w:p>
            <w:pPr>
              <w:spacing w:after="40"/>
              <w:rPr>
                <w:rFonts w:ascii="宋体" w:eastAsia="宋体" w:hAnsi="宋体" w:cs="宋体"/>
                <w:color w:val="000000"/>
                <w:kern w:val="0"/>
                <w:szCs w:val="21"/>
              </w:rPr>
            </w:pPr>
            <w:r>
              <w:rPr>
                <w:rFonts w:ascii="宋体" w:eastAsia="宋体" w:hAnsi="宋体" w:cs="宋体" w:hint="eastAsia"/>
                <w:color w:val="000000"/>
                <w:kern w:val="0"/>
                <w:szCs w:val="21"/>
              </w:rPr>
              <w:t>输出/入电压220V/220V；额定功率</w:t>
            </w:r>
            <w:r>
              <w:rPr>
                <w:rFonts w:ascii="宋体" w:eastAsia="宋体" w:hAnsi="宋体" w:cs="宋体" w:hint="eastAsia"/>
                <w:color w:val="000000"/>
                <w:szCs w:val="21"/>
              </w:rPr>
              <w:t>≥</w:t>
            </w:r>
            <w:r>
              <w:rPr>
                <w:rFonts w:ascii="宋体" w:eastAsia="宋体" w:hAnsi="宋体" w:cs="宋体" w:hint="eastAsia"/>
                <w:color w:val="000000"/>
                <w:kern w:val="0"/>
                <w:szCs w:val="21"/>
              </w:rPr>
              <w:t>4.5KW；90%负载应急供电时间</w:t>
            </w:r>
            <w:r>
              <w:rPr>
                <w:rFonts w:ascii="宋体" w:eastAsia="宋体" w:hAnsi="宋体" w:cs="宋体" w:hint="eastAsia"/>
                <w:color w:val="000000"/>
                <w:szCs w:val="21"/>
              </w:rPr>
              <w:t>≥</w:t>
            </w:r>
            <w:r>
              <w:rPr>
                <w:rFonts w:ascii="宋体" w:eastAsia="宋体" w:hAnsi="宋体" w:cs="宋体" w:hint="eastAsia"/>
                <w:color w:val="000000"/>
                <w:kern w:val="0"/>
                <w:szCs w:val="21"/>
              </w:rPr>
              <w:t>30分钟；输入额定电压：208/220/230/240Vac</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10</w:t>
            </w:r>
          </w:p>
        </w:tc>
        <w:tc>
          <w:tcPr>
            <w:tcW w:w="735"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机柜</w:t>
            </w:r>
          </w:p>
        </w:tc>
        <w:tc>
          <w:tcPr>
            <w:tcW w:w="7062" w:type="dxa"/>
            <w:noWrap/>
            <w:vAlign w:val="center"/>
          </w:tcPr>
          <w:p>
            <w:pPr>
              <w:widowControl/>
              <w:spacing w:after="40"/>
              <w:rPr>
                <w:rFonts w:ascii="宋体" w:eastAsia="宋体" w:hAnsi="宋体" w:cs="宋体"/>
                <w:color w:val="000000"/>
                <w:kern w:val="0"/>
                <w:szCs w:val="21"/>
              </w:rPr>
            </w:pPr>
            <w:r>
              <w:rPr>
                <w:rFonts w:ascii="宋体" w:eastAsia="宋体" w:hAnsi="宋体" w:cs="宋体" w:hint="eastAsia"/>
                <w:color w:val="000000"/>
                <w:kern w:val="0"/>
                <w:szCs w:val="21"/>
              </w:rPr>
              <w:t>标准19英寸服务器机柜，高度</w:t>
            </w:r>
            <w:r>
              <w:rPr>
                <w:rFonts w:ascii="宋体" w:eastAsia="宋体" w:hAnsi="宋体" w:cs="宋体" w:hint="eastAsia"/>
                <w:color w:val="000000"/>
                <w:szCs w:val="21"/>
              </w:rPr>
              <w:t>≥</w:t>
            </w:r>
            <w:r>
              <w:rPr>
                <w:rFonts w:ascii="宋体" w:eastAsia="宋体" w:hAnsi="宋体" w:cs="宋体" w:hint="eastAsia"/>
                <w:color w:val="000000"/>
                <w:kern w:val="0"/>
                <w:szCs w:val="21"/>
              </w:rPr>
              <w:t>32U</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11</w:t>
            </w:r>
          </w:p>
        </w:tc>
        <w:tc>
          <w:tcPr>
            <w:tcW w:w="735"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综合布线</w:t>
            </w:r>
          </w:p>
        </w:tc>
        <w:tc>
          <w:tcPr>
            <w:tcW w:w="7062" w:type="dxa"/>
            <w:noWrap/>
            <w:vAlign w:val="center"/>
          </w:tcPr>
          <w:p>
            <w:pPr>
              <w:widowControl/>
              <w:spacing w:after="40"/>
              <w:rPr>
                <w:rFonts w:ascii="宋体" w:eastAsia="宋体" w:hAnsi="宋体" w:cs="宋体"/>
                <w:color w:val="000000"/>
                <w:kern w:val="0"/>
                <w:szCs w:val="21"/>
              </w:rPr>
            </w:pPr>
            <w:r>
              <w:rPr>
                <w:rFonts w:ascii="宋体" w:eastAsia="宋体" w:hAnsi="宋体" w:cs="宋体" w:hint="eastAsia"/>
                <w:color w:val="000000"/>
                <w:kern w:val="0"/>
                <w:szCs w:val="21"/>
              </w:rPr>
              <w:t>含六类双绞线、面板/插座、跳线、配线架等安装配件，面板带两个信息口。</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12</w:t>
            </w:r>
          </w:p>
        </w:tc>
        <w:tc>
          <w:tcPr>
            <w:tcW w:w="735" w:type="dxa"/>
            <w:vAlign w:val="center"/>
          </w:tcPr>
          <w:p>
            <w:pPr>
              <w:widowControl/>
              <w:spacing w:after="40"/>
              <w:jc w:val="center"/>
              <w:rPr>
                <w:rFonts w:ascii="宋体" w:eastAsia="宋体" w:hAnsi="宋体" w:cs="宋体"/>
                <w:color w:val="000000"/>
                <w:kern w:val="0"/>
                <w:szCs w:val="21"/>
              </w:rPr>
            </w:pPr>
            <w:r>
              <w:rPr>
                <w:rFonts w:ascii="宋体" w:eastAsia="宋体" w:hAnsi="宋体" w:cs="宋体" w:hint="eastAsia"/>
                <w:color w:val="000000"/>
                <w:kern w:val="0"/>
                <w:szCs w:val="21"/>
              </w:rPr>
              <w:t>电源布线</w:t>
            </w:r>
          </w:p>
        </w:tc>
        <w:tc>
          <w:tcPr>
            <w:tcW w:w="7062" w:type="dxa"/>
            <w:noWrap/>
            <w:vAlign w:val="center"/>
          </w:tcPr>
          <w:p>
            <w:pPr>
              <w:widowControl/>
              <w:spacing w:after="40"/>
              <w:rPr>
                <w:rFonts w:ascii="宋体" w:eastAsia="宋体" w:hAnsi="宋体" w:cs="宋体"/>
                <w:color w:val="000000"/>
                <w:kern w:val="0"/>
                <w:szCs w:val="21"/>
              </w:rPr>
            </w:pPr>
            <w:r>
              <w:rPr>
                <w:rFonts w:ascii="宋体" w:eastAsia="宋体" w:hAnsi="宋体" w:cs="宋体" w:hint="eastAsia"/>
                <w:color w:val="000000"/>
                <w:kern w:val="0"/>
                <w:szCs w:val="21"/>
              </w:rPr>
              <w:t>含室内配电箱主电源接入（主线不低于国标3*6mm²电线）；UPS输出电源线不低于国标3*6mm²电线，含线槽、插座和开关等安装配件。</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textAlignment w:val="center"/>
              <w:rPr>
                <w:rFonts w:ascii="宋体" w:eastAsia="宋体" w:hAnsi="宋体" w:cs="宋体"/>
                <w:color w:val="000000"/>
                <w:kern w:val="0"/>
                <w:szCs w:val="21"/>
              </w:rPr>
            </w:pPr>
            <w:r>
              <w:rPr>
                <w:rFonts w:ascii="宋体" w:eastAsia="宋体" w:hAnsi="宋体" w:cs="宋体" w:hint="eastAsia"/>
                <w:bCs/>
                <w:color w:val="000000"/>
                <w:kern w:val="0"/>
                <w:szCs w:val="21"/>
              </w:rPr>
              <w:t>13</w:t>
            </w:r>
          </w:p>
        </w:tc>
        <w:tc>
          <w:tcPr>
            <w:tcW w:w="735" w:type="dxa"/>
            <w:vAlign w:val="center"/>
          </w:tcPr>
          <w:p>
            <w:pPr>
              <w:widowControl/>
              <w:spacing w:after="40"/>
              <w:jc w:val="center"/>
              <w:textAlignment w:val="center"/>
              <w:rPr>
                <w:rFonts w:ascii="宋体" w:eastAsia="宋体" w:hAnsi="宋体" w:cs="宋体"/>
                <w:color w:val="000000"/>
                <w:kern w:val="0"/>
                <w:szCs w:val="21"/>
              </w:rPr>
            </w:pPr>
            <w:r>
              <w:rPr>
                <w:rFonts w:ascii="宋体" w:eastAsia="宋体" w:hAnsi="宋体" w:cs="宋体" w:hint="eastAsia"/>
                <w:szCs w:val="21"/>
              </w:rPr>
              <w:t>巡考摄像机</w:t>
            </w:r>
          </w:p>
        </w:tc>
        <w:tc>
          <w:tcPr>
            <w:tcW w:w="7062" w:type="dxa"/>
            <w:noWrap/>
            <w:vAlign w:val="center"/>
          </w:tcPr>
          <w:p>
            <w:pPr>
              <w:widowControl/>
              <w:spacing w:after="40"/>
              <w:rPr>
                <w:rFonts w:ascii="宋体" w:eastAsia="宋体" w:hAnsi="宋体" w:cs="宋体"/>
                <w:szCs w:val="21"/>
              </w:rPr>
            </w:pPr>
            <w:r>
              <w:rPr>
                <w:rFonts w:ascii="宋体" w:eastAsia="宋体" w:hAnsi="宋体" w:cs="宋体" w:hint="eastAsia"/>
                <w:bCs/>
                <w:color w:val="000000"/>
                <w:kern w:val="0"/>
                <w:szCs w:val="21"/>
              </w:rPr>
              <w:t>≥</w:t>
            </w:r>
            <w:r>
              <w:rPr>
                <w:rFonts w:ascii="宋体" w:eastAsia="宋体" w:hAnsi="宋体" w:cs="宋体" w:hint="eastAsia"/>
                <w:color w:val="000000"/>
                <w:kern w:val="0"/>
                <w:szCs w:val="21"/>
              </w:rPr>
              <w:t>400万像素，分辨率可选2560*1440,1920*1080；支持poe供电网络；监控高清摄像机镜头焦距</w:t>
            </w:r>
            <w:r>
              <w:rPr>
                <w:rFonts w:ascii="宋体" w:eastAsia="宋体" w:hAnsi="宋体" w:cs="宋体" w:hint="eastAsia"/>
                <w:bCs/>
                <w:color w:val="000000"/>
                <w:kern w:val="0"/>
                <w:szCs w:val="21"/>
              </w:rPr>
              <w:t>≥</w:t>
            </w:r>
            <w:r>
              <w:rPr>
                <w:rFonts w:ascii="宋体" w:eastAsia="宋体" w:hAnsi="宋体" w:cs="宋体" w:hint="eastAsia"/>
                <w:color w:val="000000"/>
                <w:kern w:val="0"/>
                <w:szCs w:val="21"/>
              </w:rPr>
              <w:t>2.8mm；支持广角或超广角、</w:t>
            </w:r>
            <w:r>
              <w:rPr>
                <w:rFonts w:ascii="宋体" w:eastAsia="宋体" w:hAnsi="宋体" w:cs="宋体" w:hint="eastAsia"/>
                <w:bCs/>
                <w:color w:val="000000"/>
                <w:kern w:val="0"/>
                <w:szCs w:val="21"/>
              </w:rPr>
              <w:t>≥</w:t>
            </w:r>
            <w:r>
              <w:rPr>
                <w:rFonts w:ascii="宋体" w:eastAsia="宋体" w:hAnsi="宋体" w:cs="宋体" w:hint="eastAsia"/>
                <w:color w:val="000000"/>
                <w:kern w:val="0"/>
                <w:szCs w:val="21"/>
              </w:rPr>
              <w:t>100M 以太网端口；内置麦克风</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textAlignment w:val="center"/>
              <w:rPr>
                <w:rFonts w:ascii="宋体" w:eastAsia="宋体" w:hAnsi="宋体" w:cs="宋体"/>
                <w:color w:val="000000"/>
                <w:kern w:val="0"/>
                <w:szCs w:val="21"/>
              </w:rPr>
            </w:pPr>
            <w:r>
              <w:rPr>
                <w:rFonts w:ascii="宋体" w:eastAsia="宋体" w:hAnsi="宋体" w:cs="宋体" w:hint="eastAsia"/>
                <w:bCs/>
                <w:color w:val="000000"/>
                <w:kern w:val="0"/>
                <w:szCs w:val="21"/>
              </w:rPr>
              <w:t>14</w:t>
            </w:r>
          </w:p>
        </w:tc>
        <w:tc>
          <w:tcPr>
            <w:tcW w:w="735" w:type="dxa"/>
            <w:vAlign w:val="center"/>
          </w:tcPr>
          <w:p>
            <w:pPr>
              <w:widowControl/>
              <w:spacing w:after="40"/>
              <w:jc w:val="center"/>
              <w:textAlignment w:val="center"/>
              <w:rPr>
                <w:rFonts w:ascii="宋体" w:eastAsia="宋体" w:hAnsi="宋体" w:cs="宋体"/>
                <w:szCs w:val="21"/>
              </w:rPr>
            </w:pPr>
            <w:r>
              <w:rPr>
                <w:rFonts w:ascii="宋体" w:eastAsia="宋体" w:hAnsi="宋体" w:cs="宋体" w:hint="eastAsia"/>
                <w:szCs w:val="21"/>
              </w:rPr>
              <w:t>智能融合信息终端</w:t>
            </w:r>
          </w:p>
        </w:tc>
        <w:tc>
          <w:tcPr>
            <w:tcW w:w="7062" w:type="dxa"/>
            <w:noWrap/>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机柜式终端，≥1U机架式设计，内置操作系统；集成千兆交换机功能，具备≥5个RJ45网口，具备≥1路SFP光口，最大支持不低于4组vlan划分。集成≥2*60W数字功放，具备≥2路3.5mm音频线性输入接口，具备≥1路3.5mm音频线性输出。具备≥2路幻象供电麦克风输入接口，支持配置幻象供电开启或关闭。具备≥2路RS232通信端口，具备≥2路USB通信接口，具备≥1路磁控锁接口。具备≥3*2HDMI交叉矩阵，具备≥3路HDMI高清输入接口，具备≥2路HDMI高清输出接口,具备≥1路HDBaseT接口。通过配套触控面板可完成一键开关机设备、音量调节、广播控制。支持IC卡刷卡/插卡、IP对讲等功能，支持同品牌无线麦克风接入及扩声。支持设备故障报修功能，待机状态下可显示设备联机网络信息、终端ID信息、运维电话等。</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textAlignment w:val="center"/>
              <w:rPr>
                <w:rFonts w:ascii="宋体" w:eastAsia="宋体" w:hAnsi="宋体" w:cs="宋体"/>
                <w:color w:val="000000"/>
                <w:kern w:val="0"/>
                <w:szCs w:val="21"/>
              </w:rPr>
            </w:pPr>
            <w:r>
              <w:rPr>
                <w:rFonts w:ascii="宋体" w:eastAsia="宋体" w:hAnsi="宋体" w:cs="宋体" w:hint="eastAsia"/>
                <w:bCs/>
                <w:color w:val="000000"/>
                <w:kern w:val="0"/>
                <w:szCs w:val="21"/>
              </w:rPr>
              <w:t>15</w:t>
            </w:r>
          </w:p>
        </w:tc>
        <w:tc>
          <w:tcPr>
            <w:tcW w:w="735" w:type="dxa"/>
            <w:vAlign w:val="center"/>
          </w:tcPr>
          <w:p>
            <w:pPr>
              <w:widowControl/>
              <w:spacing w:after="40"/>
              <w:jc w:val="center"/>
              <w:textAlignment w:val="center"/>
              <w:rPr>
                <w:rFonts w:ascii="宋体" w:eastAsia="宋体" w:hAnsi="宋体" w:cs="宋体"/>
                <w:szCs w:val="21"/>
              </w:rPr>
            </w:pPr>
            <w:r>
              <w:rPr>
                <w:rFonts w:ascii="宋体" w:eastAsia="宋体" w:hAnsi="宋体" w:cs="宋体" w:hint="eastAsia"/>
                <w:szCs w:val="21"/>
              </w:rPr>
              <w:t>触控面板</w:t>
            </w:r>
          </w:p>
        </w:tc>
        <w:tc>
          <w:tcPr>
            <w:tcW w:w="7062" w:type="dxa"/>
            <w:noWrap/>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一体化设计，；集成≥5英寸高分辨率工业触摸屏，具备≥4个触摸按键。支持画面切换，声音调整，设备控制。具备物联网关功能，可接入最大不低于30路同品牌2.4G无线物联模块，可接入≥2路同品牌无线电子时钟，通过配套主机及系统平台实现对接入的物联模块进行策略管理。集成IC卡读卡器，支持插卡或者刷卡开机；内置扬声器、拾音器。支持设备故障报修功能；</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16</w:t>
            </w:r>
          </w:p>
        </w:tc>
        <w:tc>
          <w:tcPr>
            <w:tcW w:w="735" w:type="dxa"/>
            <w:vAlign w:val="center"/>
          </w:tcPr>
          <w:p>
            <w:pPr>
              <w:widowControl/>
              <w:spacing w:after="40"/>
              <w:jc w:val="center"/>
              <w:textAlignment w:val="center"/>
              <w:rPr>
                <w:rFonts w:ascii="宋体" w:eastAsia="宋体" w:hAnsi="宋体" w:cs="宋体"/>
                <w:szCs w:val="21"/>
              </w:rPr>
            </w:pPr>
            <w:r>
              <w:rPr>
                <w:rFonts w:ascii="宋体" w:eastAsia="宋体" w:hAnsi="宋体" w:cs="宋体" w:hint="eastAsia"/>
                <w:szCs w:val="21"/>
              </w:rPr>
              <w:t>高保真音箱</w:t>
            </w:r>
          </w:p>
        </w:tc>
        <w:tc>
          <w:tcPr>
            <w:tcW w:w="7062" w:type="dxa"/>
            <w:noWrap/>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高强度ABS工程环保塑料一次注塑成形。采用号角式结构、双导向管、音柱型箱体设计。室内壁挂式安装，角度可调节；内置1个4×6寸椭圆形专业定制低音单元，≥94mm球顶高音单元、HIFI分频器。功率：≤60W，阻抗：8欧姆；频响：35HZ-18KHZ；总谐波失真：低音喇叭＜5% ，高音喇叭＜3%；灵敏度：≥90±3dB。</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17</w:t>
            </w:r>
          </w:p>
        </w:tc>
        <w:tc>
          <w:tcPr>
            <w:tcW w:w="735" w:type="dxa"/>
            <w:vAlign w:val="center"/>
          </w:tcPr>
          <w:p>
            <w:pPr>
              <w:widowControl/>
              <w:spacing w:after="40"/>
              <w:jc w:val="center"/>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作弊防控系统</w:t>
            </w:r>
          </w:p>
        </w:tc>
        <w:tc>
          <w:tcPr>
            <w:tcW w:w="7062" w:type="dxa"/>
            <w:noWrap/>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具备数传作弊接收设备数据清除功能，</w:t>
            </w:r>
            <w:r>
              <w:rPr>
                <w:rFonts w:ascii="宋体" w:eastAsia="宋体" w:hAnsi="宋体" w:cs="宋体" w:hint="eastAsia"/>
                <w:color w:val="000000"/>
                <w:kern w:val="0"/>
                <w:szCs w:val="21"/>
              </w:rPr>
              <w:t>具有5G信号屏蔽等；</w:t>
            </w:r>
            <w:r>
              <w:rPr>
                <w:rFonts w:ascii="宋体" w:eastAsia="宋体" w:hAnsi="宋体" w:cs="宋体" w:hint="eastAsia"/>
                <w:bCs/>
                <w:color w:val="000000"/>
                <w:kern w:val="0"/>
                <w:szCs w:val="21"/>
              </w:rPr>
              <w:t>采用侦测引导阻断方式，支持平台运行集中控制管理.针对不同区域可实现远程开启与关闭；RJ45数据接口,支持宽带10M/100M</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18</w:t>
            </w:r>
          </w:p>
        </w:tc>
        <w:tc>
          <w:tcPr>
            <w:tcW w:w="735" w:type="dxa"/>
            <w:vAlign w:val="center"/>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功放</w:t>
            </w:r>
          </w:p>
        </w:tc>
        <w:tc>
          <w:tcPr>
            <w:tcW w:w="7062" w:type="dxa"/>
            <w:noWrap/>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 xml:space="preserve">各路输入具有独立音量调节，且总音量具有高音、低音调节及音量大小控制。具备≥1路EMC输入，≥2路AUX输入，≥4路MIC输入；通道优先功能EMC&gt;MIC1&gt;MIC2, MIC3, AUX1, AUX2。 支持2种输出方式：定压输出100V、4-16Ω；输出功率≥350W；支持宽电压供电：180V-240V 能正常工作。                                        </w:t>
            </w:r>
          </w:p>
        </w:tc>
      </w:tr>
      <w:tr>
        <w:tblPrEx>
          <w:tblW w:w="8354" w:type="dxa"/>
          <w:tblInd w:w="118" w:type="dxa"/>
          <w:tblLayout w:type="fixed"/>
          <w:tblCellMar>
            <w:top w:w="0" w:type="dxa"/>
            <w:left w:w="108" w:type="dxa"/>
            <w:bottom w:w="0" w:type="dxa"/>
            <w:right w:w="108" w:type="dxa"/>
          </w:tblCellMar>
        </w:tblPrEx>
        <w:trPr>
          <w:trHeight w:val="402"/>
        </w:trPr>
        <w:tc>
          <w:tcPr>
            <w:tcW w:w="557" w:type="dxa"/>
            <w:vAlign w:val="center"/>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19</w:t>
            </w:r>
          </w:p>
        </w:tc>
        <w:tc>
          <w:tcPr>
            <w:tcW w:w="735" w:type="dxa"/>
            <w:vAlign w:val="center"/>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音柱</w:t>
            </w:r>
          </w:p>
        </w:tc>
        <w:tc>
          <w:tcPr>
            <w:tcW w:w="7062" w:type="dxa"/>
            <w:noWrap/>
          </w:tcPr>
          <w:p>
            <w:pPr>
              <w:widowControl/>
              <w:spacing w:after="40"/>
              <w:textAlignment w:val="center"/>
              <w:rPr>
                <w:rFonts w:ascii="宋体" w:eastAsia="宋体" w:hAnsi="宋体" w:cs="宋体"/>
                <w:bCs/>
                <w:color w:val="000000"/>
                <w:kern w:val="0"/>
                <w:szCs w:val="21"/>
              </w:rPr>
            </w:pPr>
            <w:r>
              <w:rPr>
                <w:rFonts w:ascii="宋体" w:eastAsia="宋体" w:hAnsi="宋体" w:cs="宋体" w:hint="eastAsia"/>
                <w:bCs/>
                <w:color w:val="000000"/>
                <w:kern w:val="0"/>
                <w:szCs w:val="21"/>
              </w:rPr>
              <w:t>额定功率：≥20W，灵敏度≥91dB±3dB，频率响应：130Hz-18KHz</w:t>
            </w:r>
          </w:p>
        </w:tc>
      </w:tr>
    </w:tbl>
    <w:p>
      <w:pPr>
        <w:spacing w:after="78"/>
        <w:jc w:val="left"/>
        <w:rPr>
          <w:rFonts w:ascii="Calibri" w:eastAsia="宋体" w:hAnsi="Calibri" w:cs="Times New Roman"/>
          <w:color w:val="FF0000"/>
          <w:szCs w:val="21"/>
        </w:rPr>
      </w:pPr>
    </w:p>
    <w:p>
      <w:pPr>
        <w:pStyle w:val="Heading3"/>
        <w:spacing w:before="156" w:beforeLines="50" w:after="156" w:afterLines="50" w:line="416" w:lineRule="auto"/>
        <w:jc w:val="center"/>
        <w:rPr>
          <w:szCs w:val="28"/>
        </w:rPr>
      </w:pPr>
      <w:r>
        <w:br w:type="page"/>
      </w:r>
      <w:r>
        <w:rPr>
          <w:rFonts w:hint="eastAsia"/>
          <w:szCs w:val="28"/>
        </w:rPr>
        <w:t>五、其他重要条款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r>
        <w:rPr>
          <w:bCs/>
          <w:szCs w:val="21"/>
        </w:rPr>
        <w:t>6</w:t>
      </w:r>
      <w:r>
        <w:rPr>
          <w:rFonts w:hint="eastAsia"/>
          <w:bCs/>
          <w:szCs w:val="21"/>
        </w:rPr>
        <w:t>、“信用中国”</w:t>
      </w:r>
      <w:r>
        <w:rPr>
          <w:rFonts w:ascii="宋体" w:eastAsia="宋体" w:hAnsi="宋体" w:cs="宋体"/>
          <w:szCs w:val="21"/>
        </w:rPr>
        <w:t>中“信用服务”栏的“</w:t>
      </w:r>
      <w:r>
        <w:rPr>
          <w:rFonts w:ascii="宋体" w:eastAsia="宋体" w:hAnsi="宋体" w:cs="宋体" w:hint="eastAsia"/>
          <w:szCs w:val="21"/>
        </w:rPr>
        <w:t>重大税收违法失信主体</w:t>
      </w:r>
      <w:r>
        <w:rPr>
          <w:rFonts w:ascii="宋体" w:eastAsia="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eastAsia="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ind w:firstLine="420" w:firstLineChars="200"/>
        <w:rPr>
          <w:bCs/>
          <w:szCs w:val="21"/>
        </w:rPr>
      </w:pPr>
    </w:p>
    <w:p>
      <w:pPr>
        <w:widowControl/>
        <w:jc w:val="left"/>
        <w:rPr>
          <w:rFonts w:ascii="宋体" w:eastAsia="黑体" w:hAnsi="宋体" w:cs="Times New Roman"/>
          <w:bCs/>
          <w:kern w:val="44"/>
          <w:sz w:val="28"/>
          <w:szCs w:val="4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 投标文件组成要求及格式</w:t>
      </w:r>
    </w:p>
    <w:p>
      <w:pPr>
        <w:outlineLvl w:val="2"/>
        <w:rPr>
          <w:rFonts w:ascii="黑体" w:eastAsia="黑体"/>
          <w:b/>
          <w:bCs/>
          <w:color w:val="FF0000"/>
          <w:sz w:val="28"/>
        </w:rPr>
      </w:pPr>
      <w:r>
        <w:rPr>
          <w:rFonts w:ascii="黑体" w:eastAsia="黑体" w:hint="eastAsia"/>
          <w:b/>
          <w:bCs/>
          <w:color w:val="FF0000"/>
          <w:sz w:val="28"/>
        </w:rPr>
        <w:t>特别提醒：</w:t>
      </w:r>
    </w:p>
    <w:p>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rPr>
      </w:pPr>
      <w: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tabs>
          <w:tab w:val="left" w:pos="1470"/>
        </w:tabs>
        <w:snapToGrid w:val="0"/>
        <w:spacing w:line="440" w:lineRule="exact"/>
        <w:ind w:firstLine="420" w:firstLineChars="200"/>
        <w:rPr>
          <w:rFonts w:ascii="宋体" w:eastAsia="宋体" w:hAnsi="宋体" w:cs="Times New Roman"/>
          <w:b/>
          <w:color w:val="FF0000"/>
          <w:sz w:val="28"/>
          <w:szCs w:val="28"/>
        </w:rPr>
      </w:pPr>
    </w:p>
    <w:p>
      <w:pPr>
        <w:tabs>
          <w:tab w:val="left" w:pos="1470"/>
        </w:tabs>
        <w:snapToGrid w:val="0"/>
        <w:spacing w:line="440" w:lineRule="exact"/>
        <w:ind w:firstLine="420" w:firstLineChars="200"/>
        <w:rPr>
          <w:rFonts w:ascii="宋体" w:eastAsia="宋体" w:hAnsi="宋体" w:cs="Times New Roman"/>
          <w:b/>
          <w:color w:val="FF0000"/>
          <w:sz w:val="28"/>
          <w:szCs w:val="28"/>
        </w:rPr>
      </w:pPr>
    </w:p>
    <w:p>
      <w:pPr>
        <w:tabs>
          <w:tab w:val="left" w:pos="1470"/>
        </w:tabs>
        <w:snapToGrid w:val="0"/>
        <w:spacing w:line="440" w:lineRule="exact"/>
        <w:ind w:firstLine="420" w:firstLineChars="200"/>
        <w:rPr>
          <w:rFonts w:ascii="宋体" w:eastAsia="宋体" w:hAnsi="宋体" w:cs="Times New Roman"/>
          <w:b/>
          <w:color w:val="FF0000"/>
          <w:sz w:val="28"/>
          <w:szCs w:val="28"/>
        </w:rPr>
      </w:pPr>
    </w:p>
    <w:p>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pPr>
        <w:numPr>
          <w:ilvl w:val="0"/>
          <w:numId w:val="3"/>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pPr>
        <w:numPr>
          <w:ilvl w:val="0"/>
          <w:numId w:val="3"/>
        </w:numPr>
        <w:snapToGrid w:val="0"/>
        <w:spacing w:after="78" w:afterLines="25"/>
        <w:jc w:val="left"/>
        <w:rPr>
          <w:rFonts w:ascii="宋体" w:eastAsia="宋体" w:hAnsi="宋体" w:cs="Times New Roman"/>
          <w:sz w:val="30"/>
          <w:szCs w:val="30"/>
        </w:rPr>
      </w:pPr>
      <w:bookmarkStart w:id="17" w:name="_Hlk72062521"/>
      <w:r>
        <w:rPr>
          <w:rFonts w:ascii="宋体" w:eastAsia="宋体" w:hAnsi="宋体" w:cs="Times New Roman" w:hint="eastAsia"/>
          <w:sz w:val="30"/>
          <w:szCs w:val="30"/>
        </w:rPr>
        <w:t>政府采购投标及履约承诺函</w:t>
      </w:r>
      <w:bookmarkEnd w:id="17"/>
      <w:r>
        <w:rPr>
          <w:rFonts w:ascii="宋体" w:eastAsia="宋体" w:hAnsi="宋体" w:cs="Times New Roman" w:hint="eastAsia"/>
          <w:sz w:val="30"/>
          <w:szCs w:val="30"/>
        </w:rPr>
        <w:t>；</w:t>
      </w:r>
    </w:p>
    <w:p>
      <w:pPr>
        <w:numPr>
          <w:ilvl w:val="0"/>
          <w:numId w:val="3"/>
        </w:numPr>
        <w:snapToGrid w:val="0"/>
        <w:spacing w:after="78" w:afterLines="25"/>
        <w:jc w:val="left"/>
        <w:rPr>
          <w:rFonts w:ascii="宋体" w:eastAsia="宋体" w:hAnsi="宋体" w:cs="Times New Roman"/>
          <w:sz w:val="30"/>
          <w:szCs w:val="30"/>
        </w:rPr>
      </w:pPr>
      <w:r>
        <w:rPr>
          <w:rFonts w:ascii="宋体" w:eastAsia="宋体" w:hAnsi="宋体" w:cs="Times New Roman" w:hint="eastAsia"/>
          <w:bCs/>
          <w:sz w:val="30"/>
          <w:szCs w:val="30"/>
        </w:rPr>
        <w:t>营业执照或事业单位法人证书等；</w:t>
      </w:r>
    </w:p>
    <w:p>
      <w:pPr>
        <w:numPr>
          <w:ilvl w:val="0"/>
          <w:numId w:val="3"/>
        </w:numPr>
        <w:snapToGrid w:val="0"/>
        <w:spacing w:after="78" w:afterLines="25"/>
        <w:ind w:left="1456"/>
        <w:jc w:val="left"/>
        <w:rPr>
          <w:rFonts w:ascii="宋体" w:eastAsia="宋体" w:hAnsi="宋体" w:cs="Times New Roman"/>
          <w:bCs/>
          <w:sz w:val="30"/>
          <w:szCs w:val="30"/>
        </w:rPr>
      </w:pPr>
      <w:r>
        <w:rPr>
          <w:rFonts w:ascii="宋体" w:eastAsia="宋体" w:hAnsi="宋体" w:cs="Times New Roman" w:hint="eastAsia"/>
          <w:sz w:val="30"/>
          <w:szCs w:val="30"/>
        </w:rPr>
        <w:t>中小企业相关声明函（如有）；</w:t>
      </w:r>
    </w:p>
    <w:p>
      <w:pPr>
        <w:numPr>
          <w:ilvl w:val="0"/>
          <w:numId w:val="3"/>
        </w:numPr>
        <w:snapToGrid w:val="0"/>
        <w:spacing w:after="78" w:afterLines="25"/>
        <w:ind w:left="1456"/>
        <w:rPr>
          <w:rFonts w:ascii="宋体" w:eastAsia="宋体" w:hAnsi="宋体" w:cs="Times New Roman"/>
          <w:sz w:val="30"/>
          <w:szCs w:val="30"/>
        </w:rPr>
      </w:pPr>
      <w:r>
        <w:rPr>
          <w:rFonts w:ascii="宋体" w:eastAsia="宋体" w:hAnsi="宋体" w:cs="Times New Roman" w:hint="eastAsia"/>
          <w:bCs/>
          <w:sz w:val="30"/>
          <w:szCs w:val="30"/>
        </w:rPr>
        <w:t>分项报价清单；</w:t>
      </w:r>
    </w:p>
    <w:p>
      <w:pPr>
        <w:numPr>
          <w:ilvl w:val="0"/>
          <w:numId w:val="3"/>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管理体系证书；</w:t>
      </w:r>
    </w:p>
    <w:p>
      <w:pPr>
        <w:numPr>
          <w:ilvl w:val="0"/>
          <w:numId w:val="3"/>
        </w:numPr>
        <w:snapToGrid w:val="0"/>
        <w:spacing w:after="78" w:afterLines="25"/>
        <w:ind w:left="1456"/>
        <w:rPr>
          <w:rFonts w:ascii="宋体" w:eastAsia="宋体" w:hAnsi="宋体" w:cs="Times New Roman"/>
          <w:sz w:val="32"/>
          <w:szCs w:val="32"/>
        </w:rPr>
      </w:pPr>
      <w:r>
        <w:rPr>
          <w:rFonts w:ascii="宋体" w:eastAsia="宋体" w:hAnsi="宋体" w:cs="Times New Roman" w:hint="eastAsia"/>
          <w:sz w:val="32"/>
          <w:szCs w:val="32"/>
        </w:rPr>
        <w:t>绿色采购情况；</w:t>
      </w:r>
    </w:p>
    <w:p>
      <w:pPr>
        <w:numPr>
          <w:ilvl w:val="0"/>
          <w:numId w:val="3"/>
        </w:numPr>
        <w:snapToGrid w:val="0"/>
        <w:spacing w:after="78" w:afterLines="25"/>
        <w:ind w:left="1456"/>
        <w:rPr>
          <w:rFonts w:ascii="宋体" w:eastAsia="宋体" w:hAnsi="宋体" w:cs="Times New Roman"/>
          <w:sz w:val="32"/>
          <w:szCs w:val="32"/>
        </w:rPr>
      </w:pPr>
      <w:r>
        <w:rPr>
          <w:rFonts w:ascii="宋体" w:eastAsia="宋体" w:hAnsi="宋体" w:cs="Times New Roman" w:hint="eastAsia"/>
          <w:sz w:val="32"/>
          <w:szCs w:val="32"/>
        </w:rPr>
        <w:t>同类项目业绩；</w:t>
      </w:r>
    </w:p>
    <w:p>
      <w:pPr>
        <w:numPr>
          <w:ilvl w:val="0"/>
          <w:numId w:val="3"/>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“校级管理平台”相关证书；</w:t>
      </w:r>
    </w:p>
    <w:p>
      <w:pPr>
        <w:numPr>
          <w:ilvl w:val="0"/>
          <w:numId w:val="3"/>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“实验信息采集终端”相关证书；</w:t>
      </w:r>
    </w:p>
    <w:p>
      <w:pPr>
        <w:numPr>
          <w:ilvl w:val="0"/>
          <w:numId w:val="3"/>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pPr>
        <w:numPr>
          <w:ilvl w:val="0"/>
          <w:numId w:val="4"/>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pPr>
        <w:numPr>
          <w:ilvl w:val="0"/>
          <w:numId w:val="4"/>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pPr>
        <w:numPr>
          <w:ilvl w:val="0"/>
          <w:numId w:val="4"/>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商务（服务）条款偏离表；</w:t>
      </w:r>
    </w:p>
    <w:p>
      <w:pPr>
        <w:numPr>
          <w:ilvl w:val="0"/>
          <w:numId w:val="4"/>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技术要求偏离表；</w:t>
      </w:r>
    </w:p>
    <w:p>
      <w:pPr>
        <w:numPr>
          <w:ilvl w:val="0"/>
          <w:numId w:val="4"/>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政府采购节能环保产品；</w:t>
      </w:r>
    </w:p>
    <w:p>
      <w:pPr>
        <w:numPr>
          <w:ilvl w:val="0"/>
          <w:numId w:val="4"/>
        </w:numPr>
        <w:snapToGrid w:val="0"/>
        <w:spacing w:after="78" w:afterLines="25"/>
        <w:rPr>
          <w:rFonts w:ascii="宋体" w:eastAsia="宋体" w:hAnsi="宋体" w:cs="Times New Roman"/>
          <w:sz w:val="32"/>
          <w:szCs w:val="32"/>
        </w:rPr>
      </w:pPr>
      <w:r>
        <w:rPr>
          <w:rFonts w:ascii="宋体" w:eastAsia="宋体" w:hAnsi="宋体" w:cs="Times New Roman"/>
          <w:sz w:val="32"/>
          <w:szCs w:val="32"/>
        </w:rPr>
        <w:t xml:space="preserve"> “</w:t>
      </w:r>
      <w:r>
        <w:rPr>
          <w:rFonts w:ascii="宋体" w:eastAsia="宋体" w:hAnsi="宋体" w:cs="Times New Roman" w:hint="eastAsia"/>
          <w:sz w:val="32"/>
          <w:szCs w:val="32"/>
        </w:rPr>
        <w:t>考场监考管理主机</w:t>
      </w:r>
      <w:r>
        <w:rPr>
          <w:rFonts w:ascii="宋体" w:eastAsia="宋体" w:hAnsi="宋体" w:cs="Times New Roman"/>
          <w:sz w:val="32"/>
          <w:szCs w:val="32"/>
        </w:rPr>
        <w:t>”</w:t>
      </w:r>
      <w:r>
        <w:rPr>
          <w:rFonts w:ascii="宋体" w:eastAsia="宋体" w:hAnsi="宋体" w:cs="Times New Roman" w:hint="eastAsia"/>
          <w:sz w:val="32"/>
          <w:szCs w:val="32"/>
        </w:rPr>
        <w:t>节能产品认证证书；</w:t>
      </w:r>
    </w:p>
    <w:p>
      <w:pPr>
        <w:numPr>
          <w:ilvl w:val="0"/>
          <w:numId w:val="4"/>
        </w:numPr>
        <w:snapToGrid w:val="0"/>
        <w:spacing w:after="78" w:afterLines="25"/>
        <w:rPr>
          <w:rFonts w:ascii="宋体" w:eastAsia="宋体" w:hAnsi="宋体" w:cs="Times New Roman"/>
          <w:sz w:val="32"/>
          <w:szCs w:val="32"/>
        </w:rPr>
      </w:pPr>
      <w:r>
        <w:rPr>
          <w:rFonts w:ascii="宋体" w:eastAsia="宋体" w:hAnsi="宋体" w:cs="Times New Roman" w:hint="eastAsia"/>
          <w:sz w:val="32"/>
          <w:szCs w:val="32"/>
        </w:rPr>
        <w:t>“校级管理平台”检测报告；</w:t>
      </w:r>
    </w:p>
    <w:p>
      <w:pPr>
        <w:numPr>
          <w:ilvl w:val="0"/>
          <w:numId w:val="4"/>
        </w:numPr>
        <w:snapToGrid w:val="0"/>
        <w:spacing w:after="78" w:afterLines="25"/>
        <w:rPr>
          <w:rFonts w:ascii="宋体" w:eastAsia="宋体" w:hAnsi="宋体" w:cs="Times New Roman"/>
          <w:sz w:val="32"/>
          <w:szCs w:val="32"/>
        </w:rPr>
      </w:pPr>
      <w:r>
        <w:rPr>
          <w:rFonts w:ascii="宋体" w:eastAsia="宋体" w:hAnsi="宋体" w:cs="Times New Roman" w:hint="eastAsia"/>
          <w:sz w:val="32"/>
          <w:szCs w:val="32"/>
        </w:rPr>
        <w:t>“实验信息采集终端”检测报告；</w:t>
      </w:r>
    </w:p>
    <w:p>
      <w:pPr>
        <w:numPr>
          <w:ilvl w:val="0"/>
          <w:numId w:val="4"/>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pPr>
        <w:rPr>
          <w:rFonts w:ascii="宋体" w:hAnsi="宋体"/>
          <w:b/>
          <w:sz w:val="24"/>
          <w:szCs w:val="28"/>
        </w:rPr>
      </w:pPr>
      <w:bookmarkStart w:id="18" w:name="_Hlk72257771"/>
      <w:r>
        <w:rPr>
          <w:rFonts w:ascii="宋体" w:hAnsi="宋体" w:hint="eastAsia"/>
          <w:b/>
          <w:sz w:val="24"/>
          <w:szCs w:val="28"/>
        </w:rPr>
        <w:t>备注：</w:t>
      </w:r>
    </w:p>
    <w:p>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rPr>
      </w:pPr>
      <w:bookmarkStart w:id="19" w:name="_Hlk72263559"/>
      <w:r>
        <w:rPr>
          <w:rFonts w:ascii="宋体" w:hAnsi="宋体" w:hint="eastAsia"/>
          <w:b/>
          <w:sz w:val="24"/>
          <w:szCs w:val="28"/>
        </w:rPr>
        <w:t>2.关于填写“开标一览表”的说明：“开标一览表”中除“投标总价”外，其他信息不作评审依据。</w:t>
      </w:r>
      <w:bookmarkEnd w:id="18"/>
      <w:bookmarkEnd w:id="19"/>
      <w:r>
        <w:br w:type="page"/>
      </w:r>
    </w:p>
    <w:p>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pPr>
        <w:snapToGrid w:val="0"/>
        <w:spacing w:line="360" w:lineRule="auto"/>
        <w:rPr>
          <w:rFonts w:ascii="Arial" w:eastAsia="宋体" w:hAnsi="Arial" w:cs="Times New Roman"/>
          <w:szCs w:val="24"/>
        </w:rPr>
      </w:pPr>
    </w:p>
    <w:p>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pPr>
        <w:snapToGrid w:val="0"/>
        <w:spacing w:line="360" w:lineRule="auto"/>
        <w:rPr>
          <w:rFonts w:ascii="Arial" w:eastAsia="宋体" w:hAnsi="Arial" w:cs="Arial"/>
          <w:szCs w:val="21"/>
        </w:rPr>
      </w:pPr>
      <w:bookmarkStart w:id="20" w:name="_Hlk73818812"/>
      <w:r>
        <w:rPr>
          <w:rFonts w:ascii="Arial" w:eastAsia="宋体" w:hAnsi="Arial" w:cs="Arial" w:hint="eastAsia"/>
          <w:szCs w:val="21"/>
        </w:rPr>
        <w:t>1、根据已收到贵单位的项目编号为</w:t>
      </w:r>
      <w:r>
        <w:rPr>
          <w:rFonts w:ascii="Arial" w:eastAsia="宋体" w:hAnsi="Arial" w:cs="Arial" w:hint="eastAsia"/>
          <w:szCs w:val="21"/>
          <w:u w:val="single"/>
        </w:rPr>
        <w:t xml:space="preserve"> BACG2024000114 </w:t>
      </w:r>
      <w:r>
        <w:rPr>
          <w:rFonts w:ascii="Arial" w:eastAsia="宋体" w:hAnsi="Arial" w:cs="Arial" w:hint="eastAsia"/>
          <w:szCs w:val="21"/>
        </w:rPr>
        <w:t>的</w:t>
      </w:r>
      <w:r>
        <w:rPr>
          <w:rFonts w:ascii="Arial" w:eastAsia="宋体" w:hAnsi="Arial" w:cs="Arial" w:hint="eastAsia"/>
          <w:szCs w:val="21"/>
          <w:u w:val="single"/>
        </w:rPr>
        <w:t xml:space="preserve">  深圳市宝安区荣根学校理科实验考试设备采购项目 </w:t>
      </w:r>
      <w:r>
        <w:rPr>
          <w:rFonts w:ascii="Arial" w:eastAsia="宋体" w:hAnsi="Arial" w:cs="Arial" w:hint="eastAsia"/>
          <w:szCs w:val="21"/>
        </w:rPr>
        <w:t>项目的招标文件，遵照《深圳经济特区政府采购条例》和《深圳网上政府采购管理暂行办法》等有关规定，我单位经研究上述招标文件的专用条款及通用条款后，</w:t>
      </w:r>
      <w:bookmarkStart w:id="21" w:name="_Hlk72263588"/>
      <w:r>
        <w:rPr>
          <w:rFonts w:ascii="Arial" w:eastAsia="宋体" w:hAnsi="Arial" w:cs="Arial" w:hint="eastAsia"/>
          <w:szCs w:val="21"/>
        </w:rPr>
        <w:t>愿意按照招标文件要求承包上述项目并修补其任何缺陷。</w:t>
      </w:r>
      <w:bookmarkEnd w:id="21"/>
    </w:p>
    <w:p>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pPr>
        <w:snapToGrid w:val="0"/>
        <w:spacing w:line="360" w:lineRule="auto"/>
        <w:rPr>
          <w:rFonts w:ascii="Arial" w:eastAsia="宋体" w:hAnsi="Arial" w:cs="Arial"/>
          <w:szCs w:val="21"/>
        </w:rPr>
      </w:pPr>
      <w:r>
        <w:rPr>
          <w:rFonts w:ascii="Arial" w:eastAsia="宋体" w:hAnsi="Arial" w:cs="Arial" w:hint="eastAsia"/>
          <w:szCs w:val="21"/>
        </w:rPr>
        <w:t>3、如果我单位中标，我单位将按照招标文件的要求足额提交履约担保。</w:t>
      </w:r>
    </w:p>
    <w:p>
      <w:pPr>
        <w:snapToGrid w:val="0"/>
        <w:spacing w:line="360" w:lineRule="auto"/>
        <w:rPr>
          <w:rFonts w:ascii="Arial" w:eastAsia="宋体" w:hAnsi="Arial" w:cs="Arial"/>
          <w:szCs w:val="21"/>
        </w:rPr>
      </w:pPr>
      <w:r>
        <w:rPr>
          <w:rFonts w:ascii="Arial" w:eastAsia="宋体" w:hAnsi="Arial" w:cs="Arial" w:hint="eastAsia"/>
          <w:szCs w:val="21"/>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rPr>
      </w:pPr>
      <w:r>
        <w:rPr>
          <w:rFonts w:ascii="Arial" w:eastAsia="宋体" w:hAnsi="Arial" w:cs="Arial" w:hint="eastAsia"/>
          <w:szCs w:val="21"/>
        </w:rPr>
        <w:t>5、除非另外达成协议并生效，贵单位的中标通知书和本投标文件将构成合同的重要内容。</w:t>
      </w:r>
    </w:p>
    <w:p>
      <w:pPr>
        <w:snapToGrid w:val="0"/>
        <w:spacing w:line="360" w:lineRule="auto"/>
        <w:rPr>
          <w:rFonts w:ascii="Arial" w:eastAsia="宋体" w:hAnsi="Arial" w:cs="Arial"/>
          <w:szCs w:val="21"/>
        </w:rPr>
      </w:pPr>
      <w:r>
        <w:rPr>
          <w:rFonts w:ascii="Arial" w:eastAsia="宋体" w:hAnsi="Arial" w:cs="Arial" w:hint="eastAsia"/>
          <w:szCs w:val="21"/>
        </w:rPr>
        <w:t>6、我单位理解贵单位将不受必须接受所收到的最低报价或其它任何投标文件的约束。</w:t>
      </w:r>
      <w:bookmarkEnd w:id="20"/>
    </w:p>
    <w:p>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rPr>
      </w:pPr>
    </w:p>
    <w:p>
      <w:pPr>
        <w:snapToGrid w:val="0"/>
        <w:spacing w:line="360" w:lineRule="auto"/>
        <w:rPr>
          <w:rFonts w:ascii="Arial" w:eastAsia="宋体" w:hAnsi="Arial" w:cs="Arial"/>
          <w:szCs w:val="21"/>
          <w:u w:val="single"/>
        </w:rPr>
      </w:pPr>
      <w:r>
        <w:rPr>
          <w:rFonts w:ascii="Arial" w:eastAsia="宋体" w:hAnsi="Arial" w:cs="Arial" w:hint="eastAsia"/>
          <w:szCs w:val="21"/>
        </w:rPr>
        <w:t>投标人：</w:t>
      </w:r>
    </w:p>
    <w:p>
      <w:pPr>
        <w:snapToGrid w:val="0"/>
        <w:spacing w:line="360" w:lineRule="auto"/>
        <w:rPr>
          <w:rFonts w:ascii="Arial" w:eastAsia="宋体" w:hAnsi="Arial" w:cs="Arial"/>
          <w:szCs w:val="21"/>
          <w:u w:val="single"/>
        </w:rPr>
      </w:pPr>
      <w:r>
        <w:rPr>
          <w:rFonts w:ascii="Arial" w:eastAsia="宋体" w:hAnsi="Arial" w:cs="Arial" w:hint="eastAsia"/>
          <w:szCs w:val="21"/>
        </w:rPr>
        <w:t>单位地址：</w:t>
      </w:r>
    </w:p>
    <w:p>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法定代表人（负责人）或其授权委托代理人：</w:t>
      </w:r>
    </w:p>
    <w:p>
      <w:pPr>
        <w:pStyle w:val="BodyText"/>
        <w:rPr>
          <w:rFonts w:ascii="Arial" w:eastAsia="宋体" w:hAnsi="Arial" w:cs="Arial"/>
          <w:b w:val="0"/>
          <w:bCs w:val="0"/>
          <w:szCs w:val="21"/>
          <w:u w:val="single"/>
        </w:rPr>
      </w:pPr>
      <w:r>
        <w:rPr>
          <w:rFonts w:ascii="Arial" w:eastAsia="宋体" w:hAnsi="Arial" w:cs="Arial" w:hint="eastAsia"/>
          <w:b w:val="0"/>
          <w:bCs w:val="0"/>
          <w:szCs w:val="21"/>
        </w:rPr>
        <w:t>开户银行名称：</w:t>
      </w:r>
    </w:p>
    <w:p>
      <w:pPr>
        <w:pStyle w:val="BodyText2"/>
        <w:rPr>
          <w:u w:val="single"/>
        </w:rPr>
      </w:pPr>
      <w:r>
        <w:rPr>
          <w:rFonts w:ascii="Arial" w:eastAsia="宋体" w:hAnsi="Arial" w:cs="Arial" w:hint="eastAsia"/>
          <w:szCs w:val="21"/>
        </w:rPr>
        <w:t>开户银行账号：</w:t>
      </w:r>
    </w:p>
    <w:p>
      <w:pPr>
        <w:snapToGrid w:val="0"/>
        <w:spacing w:line="360" w:lineRule="auto"/>
        <w:rPr>
          <w:rFonts w:ascii="Arial" w:eastAsia="宋体" w:hAnsi="Arial" w:cs="Arial"/>
          <w:szCs w:val="21"/>
        </w:rPr>
      </w:pPr>
      <w:r>
        <w:rPr>
          <w:rFonts w:ascii="Arial" w:eastAsia="宋体" w:hAnsi="Arial" w:cs="Arial" w:hint="eastAsia"/>
          <w:szCs w:val="21"/>
        </w:rPr>
        <w:t>邮政编码：</w:t>
      </w:r>
    </w:p>
    <w:p>
      <w:pPr>
        <w:snapToGrid w:val="0"/>
        <w:spacing w:line="360" w:lineRule="auto"/>
        <w:rPr>
          <w:rFonts w:ascii="Arial" w:eastAsia="宋体" w:hAnsi="Arial" w:cs="Arial"/>
          <w:szCs w:val="21"/>
        </w:rPr>
      </w:pPr>
      <w:r>
        <w:rPr>
          <w:rFonts w:ascii="Arial" w:eastAsia="宋体" w:hAnsi="Arial" w:cs="Arial" w:hint="eastAsia"/>
          <w:szCs w:val="21"/>
        </w:rPr>
        <w:t>电话：</w:t>
      </w:r>
    </w:p>
    <w:p>
      <w:pPr>
        <w:snapToGrid w:val="0"/>
        <w:spacing w:line="360" w:lineRule="auto"/>
        <w:rPr>
          <w:rFonts w:ascii="Arial" w:eastAsia="宋体" w:hAnsi="Arial" w:cs="Arial"/>
          <w:szCs w:val="21"/>
          <w:u w:val="single"/>
        </w:rPr>
      </w:pPr>
      <w:r>
        <w:rPr>
          <w:rFonts w:ascii="Arial" w:eastAsia="宋体" w:hAnsi="Arial" w:cs="Arial" w:hint="eastAsia"/>
          <w:szCs w:val="21"/>
        </w:rPr>
        <w:t>传真：</w:t>
      </w:r>
    </w:p>
    <w:p>
      <w:pPr>
        <w:snapToGrid w:val="0"/>
        <w:spacing w:line="360" w:lineRule="auto"/>
        <w:rPr>
          <w:rFonts w:ascii="Arial" w:eastAsia="宋体" w:hAnsi="Arial" w:cs="Arial"/>
          <w:szCs w:val="21"/>
        </w:rPr>
      </w:pPr>
      <w:r>
        <w:rPr>
          <w:rFonts w:ascii="Arial" w:eastAsia="宋体" w:hAnsi="Arial" w:cs="Arial" w:hint="eastAsia"/>
          <w:szCs w:val="21"/>
        </w:rPr>
        <w:t>邮箱：</w:t>
      </w:r>
    </w:p>
    <w:p>
      <w:pPr>
        <w:snapToGrid w:val="0"/>
        <w:spacing w:line="360" w:lineRule="auto"/>
        <w:rPr>
          <w:rFonts w:ascii="Arial" w:eastAsia="宋体" w:hAnsi="Arial" w:cs="Arial"/>
          <w:szCs w:val="21"/>
        </w:rPr>
      </w:pPr>
    </w:p>
    <w:p>
      <w:pPr>
        <w:snapToGrid w:val="0"/>
        <w:spacing w:line="360" w:lineRule="auto"/>
        <w:rPr>
          <w:rFonts w:ascii="Arial" w:eastAsia="宋体" w:hAnsi="Arial" w:cs="Arial"/>
          <w:szCs w:val="21"/>
        </w:rPr>
      </w:pPr>
      <w:r>
        <w:rPr>
          <w:rFonts w:ascii="Arial" w:eastAsia="宋体" w:hAnsi="Arial" w:cs="Arial" w:hint="eastAsia"/>
          <w:szCs w:val="21"/>
        </w:rPr>
        <w:t>日期： 年  月  日</w:t>
      </w:r>
    </w:p>
    <w:p>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w:t>
      </w:r>
      <w:bookmarkStart w:id="22" w:name="_Hlk72587269"/>
      <w:bookmarkStart w:id="23"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2"/>
      <w:r>
        <w:rPr>
          <w:rFonts w:ascii="宋体" w:hAnsi="宋体" w:hint="eastAsia"/>
          <w:szCs w:val="21"/>
        </w:rPr>
        <w:t>。</w:t>
      </w:r>
      <w:bookmarkEnd w:id="23"/>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如存在“不同供应商的董事、股东或其他高级管理人员为同一人的”情形的，承诺不存在串通投标、恶意串通或者视为串通投标的情形。</w:t>
      </w:r>
    </w:p>
    <w:p>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ind w:firstLine="420" w:firstLineChars="200"/>
        <w:rPr>
          <w:rFonts w:ascii="宋体" w:eastAsia="宋体" w:hAnsi="宋体" w:cs="Times New Roman"/>
          <w:szCs w:val="21"/>
        </w:rPr>
      </w:pPr>
      <w:r>
        <w:rPr>
          <w:rFonts w:ascii="宋体" w:eastAsia="宋体" w:hAnsi="宋体" w:cs="Times New Roman" w:hint="eastAsia"/>
          <w:szCs w:val="21"/>
        </w:rPr>
        <w:t>投标单位（投标人）名称：</w:t>
      </w:r>
    </w:p>
    <w:p>
      <w:pPr>
        <w:ind w:firstLine="420" w:firstLineChars="200"/>
        <w:rPr>
          <w:rFonts w:ascii="宋体" w:eastAsia="宋体" w:hAnsi="宋体" w:cs="Times New Roman"/>
          <w:szCs w:val="21"/>
        </w:rPr>
      </w:pPr>
      <w:r>
        <w:rPr>
          <w:rFonts w:ascii="宋体" w:eastAsia="宋体" w:hAnsi="宋体" w:cs="Times New Roman" w:hint="eastAsia"/>
          <w:szCs w:val="21"/>
        </w:rPr>
        <w:t>年月日</w:t>
      </w:r>
    </w:p>
    <w:p>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p>
    <w:p>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spacing w:line="300" w:lineRule="auto"/>
              <w:jc w:val="center"/>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pPr>
              <w:spacing w:line="300" w:lineRule="auto"/>
              <w:jc w:val="center"/>
              <w:rPr>
                <w:rFonts w:ascii="Arial" w:eastAsia="宋体" w:hAnsi="Arial" w:cs="Times New Roman"/>
                <w:szCs w:val="24"/>
              </w:rPr>
            </w:pPr>
            <w:r>
              <w:rPr>
                <w:rFonts w:ascii="Arial" w:eastAsia="宋体" w:hAnsi="Arial" w:cs="Times New Roman" w:hint="eastAsia"/>
                <w:szCs w:val="24"/>
              </w:rPr>
              <w:t>货物名称</w:t>
            </w:r>
          </w:p>
        </w:tc>
        <w:tc>
          <w:tcPr>
            <w:tcW w:w="1281" w:type="dxa"/>
            <w:vAlign w:val="center"/>
          </w:tcPr>
          <w:p>
            <w:pPr>
              <w:spacing w:line="300" w:lineRule="auto"/>
              <w:jc w:val="center"/>
              <w:rPr>
                <w:rFonts w:ascii="Arial" w:eastAsia="宋体" w:hAnsi="Arial" w:cs="Times New Roman"/>
                <w:szCs w:val="24"/>
              </w:rPr>
            </w:pPr>
            <w:r>
              <w:rPr>
                <w:rFonts w:ascii="Arial" w:eastAsia="宋体" w:hAnsi="Arial" w:cs="Times New Roman" w:hint="eastAsia"/>
                <w:szCs w:val="24"/>
              </w:rPr>
              <w:t>规格/品牌/型号</w:t>
            </w:r>
          </w:p>
        </w:tc>
        <w:tc>
          <w:tcPr>
            <w:tcW w:w="993" w:type="dxa"/>
            <w:vAlign w:val="center"/>
          </w:tcPr>
          <w:p>
            <w:pPr>
              <w:spacing w:line="300" w:lineRule="auto"/>
              <w:jc w:val="center"/>
              <w:rPr>
                <w:rFonts w:ascii="Arial" w:eastAsia="宋体" w:hAnsi="Arial" w:cs="Times New Roman"/>
                <w:b/>
                <w:szCs w:val="24"/>
              </w:rPr>
            </w:pPr>
            <w:r>
              <w:rPr>
                <w:rFonts w:ascii="Arial" w:eastAsia="宋体" w:hAnsi="Arial" w:cs="Times New Roman" w:hint="eastAsia"/>
                <w:bCs/>
                <w:szCs w:val="24"/>
              </w:rPr>
              <w:t>制造商名称</w:t>
            </w:r>
          </w:p>
        </w:tc>
        <w:tc>
          <w:tcPr>
            <w:tcW w:w="992" w:type="dxa"/>
            <w:vAlign w:val="center"/>
          </w:tcPr>
          <w:p>
            <w:pPr>
              <w:spacing w:line="300" w:lineRule="auto"/>
              <w:jc w:val="center"/>
              <w:rPr>
                <w:rFonts w:ascii="Arial" w:eastAsia="宋体" w:hAnsi="Arial" w:cs="Times New Roman"/>
                <w:szCs w:val="24"/>
              </w:rPr>
            </w:pPr>
            <w:r>
              <w:rPr>
                <w:rFonts w:ascii="Arial" w:eastAsia="宋体" w:hAnsi="Arial" w:cs="Times New Roman" w:hint="eastAsia"/>
                <w:szCs w:val="24"/>
              </w:rPr>
              <w:t>原产地</w:t>
            </w:r>
          </w:p>
        </w:tc>
        <w:tc>
          <w:tcPr>
            <w:tcW w:w="709" w:type="dxa"/>
            <w:vAlign w:val="center"/>
          </w:tcPr>
          <w:p>
            <w:pPr>
              <w:spacing w:line="300" w:lineRule="auto"/>
              <w:jc w:val="center"/>
              <w:rPr>
                <w:rFonts w:ascii="Arial" w:eastAsia="宋体" w:hAnsi="Arial" w:cs="Times New Roman"/>
                <w:szCs w:val="24"/>
              </w:rPr>
            </w:pPr>
            <w:r>
              <w:rPr>
                <w:rFonts w:ascii="Arial" w:eastAsia="宋体" w:hAnsi="Arial" w:cs="Times New Roman" w:hint="eastAsia"/>
                <w:szCs w:val="24"/>
              </w:rPr>
              <w:t>数量</w:t>
            </w:r>
          </w:p>
        </w:tc>
        <w:tc>
          <w:tcPr>
            <w:tcW w:w="708" w:type="dxa"/>
          </w:tcPr>
          <w:p>
            <w:pPr>
              <w:spacing w:line="300" w:lineRule="auto"/>
              <w:jc w:val="center"/>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pPr>
              <w:spacing w:line="300" w:lineRule="auto"/>
              <w:jc w:val="center"/>
              <w:rPr>
                <w:rFonts w:ascii="Arial" w:eastAsia="宋体" w:hAnsi="Arial" w:cs="Times New Roman"/>
                <w:szCs w:val="24"/>
              </w:rPr>
            </w:pPr>
            <w:r>
              <w:rPr>
                <w:rFonts w:ascii="Arial" w:eastAsia="宋体" w:hAnsi="Arial" w:cs="Times New Roman" w:hint="eastAsia"/>
                <w:szCs w:val="24"/>
              </w:rPr>
              <w:t>单价(元)</w:t>
            </w:r>
          </w:p>
        </w:tc>
        <w:tc>
          <w:tcPr>
            <w:tcW w:w="1322" w:type="dxa"/>
            <w:vAlign w:val="center"/>
          </w:tcPr>
          <w:p>
            <w:pPr>
              <w:spacing w:line="300" w:lineRule="auto"/>
              <w:jc w:val="center"/>
              <w:rPr>
                <w:rFonts w:ascii="Arial" w:eastAsia="宋体" w:hAnsi="Arial" w:cs="Times New Roman"/>
                <w:szCs w:val="24"/>
              </w:rPr>
            </w:pPr>
            <w:r>
              <w:rPr>
                <w:rFonts w:ascii="Arial" w:eastAsia="宋体" w:hAnsi="Arial" w:cs="Times New Roman" w:hint="eastAsia"/>
                <w:szCs w:val="24"/>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（以上各项之和；币种：人民币；单位：元）</w:t>
            </w:r>
          </w:p>
        </w:tc>
        <w:tc>
          <w:tcPr>
            <w:tcW w:w="3732" w:type="dxa"/>
            <w:gridSpan w:val="4"/>
          </w:tcPr>
          <w:p>
            <w:pPr>
              <w:spacing w:after="78" w:afterLines="25" w:line="300" w:lineRule="auto"/>
              <w:rPr>
                <w:rFonts w:ascii="Arial" w:eastAsia="宋体" w:hAnsi="Arial" w:cs="Times New Roman"/>
                <w:szCs w:val="24"/>
              </w:rPr>
            </w:pPr>
          </w:p>
        </w:tc>
      </w:tr>
    </w:tbl>
    <w:p>
      <w:pPr>
        <w:snapToGrid w:val="0"/>
        <w:rPr>
          <w:rFonts w:asciiTheme="minorEastAsia" w:hAnsiTheme="minorEastAsia" w:cs="Times New Roman"/>
          <w:b/>
          <w:szCs w:val="24"/>
        </w:rPr>
      </w:pPr>
      <w:r>
        <w:rPr>
          <w:rFonts w:asciiTheme="minorEastAsia" w:hAnsiTheme="minorEastAsia" w:cs="Times New Roman" w:hint="eastAsia"/>
          <w:b/>
          <w:szCs w:val="24"/>
        </w:rPr>
        <w:t>填写说明：</w:t>
      </w:r>
    </w:p>
    <w:p>
      <w:pPr>
        <w:snapToGrid w:val="0"/>
        <w:rPr>
          <w:rFonts w:asciiTheme="minorEastAsia" w:hAnsiTheme="minorEastAsia" w:cs="Times New Roman"/>
          <w:b/>
          <w:szCs w:val="24"/>
        </w:rPr>
      </w:pPr>
      <w:r>
        <w:rPr>
          <w:rFonts w:asciiTheme="minorEastAsia" w:hAnsiTheme="minorEastAsia" w:cs="Times New Roman" w:hint="eastAsia"/>
          <w:b/>
          <w:szCs w:val="24"/>
        </w:rPr>
        <w:t>1.本表可按同样格式扩展。</w:t>
      </w:r>
    </w:p>
    <w:p>
      <w:pPr>
        <w:snapToGrid w:val="0"/>
        <w:rPr>
          <w:rFonts w:asciiTheme="minorEastAsia" w:hAnsiTheme="minorEastAsia" w:cs="Times New Roman"/>
          <w:b/>
          <w:szCs w:val="24"/>
        </w:rPr>
      </w:pPr>
      <w:r>
        <w:rPr>
          <w:rFonts w:asciiTheme="minorEastAsia" w:hAnsiTheme="minorEastAsia" w:cs="Times New Roman" w:hint="eastAsia"/>
          <w:b/>
          <w:szCs w:val="24"/>
        </w:rPr>
        <w:t>2. 如所投货物属于定制类的非量产货物或无具体品牌、型号的货物，可以在“规格/品牌/型号”一栏仅填写规格信息而不填写品牌、型号等信息（品牌、型号信息用“定制”描述即可）；</w:t>
      </w:r>
      <w:bookmarkStart w:id="24" w:name="_Hlk73646428"/>
      <w:r>
        <w:rPr>
          <w:rFonts w:asciiTheme="minorEastAsia" w:hAnsiTheme="minorEastAsia" w:cs="Times New Roman" w:hint="eastAsia"/>
          <w:b/>
          <w:szCs w:val="24"/>
        </w:rPr>
        <w:t>此类填写错误（所投货物为定制类的非量产货物但供应商却错误填报了品牌、型号）可能的不利后果由供应商承担。</w:t>
      </w:r>
      <w:bookmarkEnd w:id="24"/>
    </w:p>
    <w:p>
      <w:pPr>
        <w:snapToGrid w:val="0"/>
        <w:rPr>
          <w:rFonts w:asciiTheme="minorEastAsia" w:hAnsiTheme="minorEastAsia" w:cs="Times New Roman"/>
          <w:b/>
          <w:szCs w:val="24"/>
        </w:rPr>
      </w:pPr>
      <w:r>
        <w:rPr>
          <w:rFonts w:asciiTheme="minorEastAsia" w:hAnsiTheme="minorEastAsia" w:cs="Times New Roman" w:hint="eastAsia"/>
          <w:b/>
          <w:szCs w:val="24"/>
        </w:rPr>
        <w:t>3.</w:t>
      </w:r>
      <w:bookmarkStart w:id="25" w:name="_Hlk72074795"/>
      <w:r>
        <w:rPr>
          <w:rFonts w:asciiTheme="minorEastAsia" w:hAnsiTheme="minorEastAsia" w:cs="Times New Roman" w:hint="eastAsia"/>
          <w:b/>
          <w:szCs w:val="24"/>
        </w:rPr>
        <w:t>“原产地”是指该货物的实际生产加工地，而非品牌总公司所在地</w:t>
      </w:r>
      <w:bookmarkEnd w:id="25"/>
      <w:r>
        <w:rPr>
          <w:rFonts w:asciiTheme="minorEastAsia" w:hAnsiTheme="minorEastAsia" w:cs="Times New Roman" w:hint="eastAsia"/>
          <w:b/>
          <w:szCs w:val="24"/>
        </w:rPr>
        <w:t>。</w:t>
      </w:r>
    </w:p>
    <w:p>
      <w:pPr>
        <w:snapToGrid w:val="0"/>
        <w:rPr>
          <w:rFonts w:asciiTheme="minorEastAsia" w:hAnsiTheme="minorEastAsia" w:cs="Times New Roman"/>
          <w:b/>
          <w:szCs w:val="24"/>
        </w:rPr>
      </w:pPr>
      <w:r>
        <w:rPr>
          <w:rFonts w:asciiTheme="minorEastAsia" w:hAnsiTheme="minorEastAsia" w:cs="Times New Roman" w:hint="eastAsia"/>
          <w:b/>
          <w:szCs w:val="24"/>
        </w:rPr>
        <w:t>4.所投货物均应填写制造商名称。</w:t>
      </w:r>
    </w:p>
    <w:p>
      <w:pPr>
        <w:snapToGrid w:val="0"/>
        <w:rPr>
          <w:rFonts w:asciiTheme="minorEastAsia" w:hAnsiTheme="minorEastAsia" w:cs="Times New Roman"/>
          <w:b/>
          <w:szCs w:val="24"/>
        </w:rPr>
      </w:pPr>
      <w:r>
        <w:rPr>
          <w:rFonts w:asciiTheme="minorEastAsia" w:hAnsiTheme="minorEastAsia" w:cs="Times New Roman" w:hint="eastAsia"/>
          <w:b/>
          <w:szCs w:val="24"/>
        </w:rPr>
        <w:t>5.以上分项报价表的投标总价应当与开标一览表的投标总价一致。</w:t>
      </w:r>
    </w:p>
    <w:p>
      <w:pPr>
        <w:snapToGrid w:val="0"/>
        <w:rPr>
          <w:rFonts w:asciiTheme="minorEastAsia" w:hAnsiTheme="minorEastAsia" w:cs="Times New Roman"/>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b/>
          <w:szCs w:val="24"/>
        </w:rPr>
      </w:pPr>
    </w:p>
    <w:p>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pPr>
        <w:tabs>
          <w:tab w:val="left" w:pos="720"/>
        </w:tabs>
        <w:rPr>
          <w:rFonts w:ascii="Times New Roman" w:eastAsia="宋体" w:hAnsi="Times New Roman" w:cs="Times New Roman"/>
          <w:b/>
          <w:sz w:val="24"/>
          <w:szCs w:val="24"/>
        </w:rPr>
      </w:pPr>
    </w:p>
    <w:p>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pPr>
        <w:rPr>
          <w:rFonts w:ascii="Times New Roman" w:eastAsia="宋体" w:hAnsi="Times New Roman" w:cs="Times New Roman"/>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rPr>
        <w:t>。</w:t>
      </w:r>
    </w:p>
    <w:p>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pPr>
        <w:spacing w:after="78" w:afterLines="25" w:line="300" w:lineRule="auto"/>
        <w:rPr>
          <w:rFonts w:ascii="Arial" w:eastAsia="宋体" w:hAnsi="Arial" w:cs="Times New Roman"/>
          <w:b/>
          <w:szCs w:val="24"/>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pPr>
        <w:ind w:firstLine="420" w:firstLineChars="200"/>
        <w:rPr>
          <w:rFonts w:hAnsi="宋体"/>
          <w:b/>
          <w:bCs/>
          <w:szCs w:val="21"/>
        </w:rPr>
      </w:pPr>
      <w:r>
        <w:rPr>
          <w:rFonts w:hAnsi="宋体" w:hint="eastAsia"/>
          <w:b/>
          <w:bCs/>
          <w:szCs w:val="21"/>
        </w:rPr>
        <w:t>注：格式可以参照《（一）项目报价表》表格，并提供相应的品牌/规格/型号、原产地、制造商信息（没有品牌、型号的，用“定制”描述即可）、单价等详细信息</w:t>
      </w:r>
    </w:p>
    <w:p>
      <w:pPr>
        <w:ind w:firstLine="420" w:firstLineChars="200"/>
        <w:rPr>
          <w:rFonts w:hAnsi="宋体"/>
          <w:b/>
          <w:bCs/>
          <w:szCs w:val="21"/>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4.中小企业相关声明函</w:t>
      </w:r>
    </w:p>
    <w:p>
      <w:pPr>
        <w:snapToGrid w:val="0"/>
        <w:rPr>
          <w:rFonts w:ascii="黑体" w:eastAsia="黑体" w:hAnsi="黑体" w:cs="黑体"/>
          <w:bCs/>
          <w:color w:val="FF0000"/>
          <w:sz w:val="25"/>
          <w:szCs w:val="25"/>
        </w:rPr>
      </w:pPr>
      <w:r>
        <w:rPr>
          <w:rFonts w:ascii="黑体" w:eastAsia="黑体" w:hAnsi="黑体" w:cs="黑体" w:hint="eastAsia"/>
          <w:bCs/>
          <w:color w:val="FF0000"/>
          <w:sz w:val="25"/>
          <w:szCs w:val="25"/>
        </w:rPr>
        <w:t>填写指引：</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2、该部分内容填写需要参考的相关文件：</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(1)财政部《政府采购促进中小企业发展管理办法》（财库〔2020〕46号）；</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(2)《工业和信息化部、国家统计局、国家发展和改革委员会、财政部关于印发中小企业划型标准规定的通知》（工信部联企业〔2011〕300 号，以下简称300号文）；</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(3)《统计上大中小微型企业划分办法(2017)》（国统字〔2017〕213 号）；</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(4)《关于促进残疾人就业政府采购政策的通知》（财库〔2017〕141号）；</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(5)《关于政府采购支持监狱企业发展有关问题的通知》（财库〔2014〕68号）</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3、请依照提供的格式和内容填写声明函，不要随意变更格式；声明函不需要盖章或签字；满足多项优惠政策的投标人，不重复享受多项价格扣除政策。</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4、声明函具体填写要求：</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（1）声明是中小企业须填写《中小企业声明函》的以下内容：</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第一处，在“单位名称”下划线处如实填写采购人名称（深圳公共资源交易中心不是本项目的采购人，而是组织实施机构）；</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第二处，在“项目名称”下划线处如实填写采购项目名称；</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第三处，在“标的名称”下划线处填写所采购货物（标的）的具体名称</w:t>
      </w:r>
      <w:r>
        <w:rPr>
          <w:rFonts w:ascii="黑体" w:eastAsia="黑体" w:hAnsi="黑体" w:cs="黑体" w:hint="eastAsia"/>
          <w:bCs/>
          <w:color w:val="0000FF"/>
          <w:sz w:val="25"/>
          <w:szCs w:val="25"/>
        </w:rPr>
        <w:t>（以招标文件第一册第三章用户需求书“货物需求明细”的“货物名称”一栏为准）</w:t>
      </w:r>
      <w:r>
        <w:rPr>
          <w:rFonts w:ascii="黑体" w:eastAsia="黑体" w:hAnsi="黑体" w:cs="黑体" w:hint="eastAsia"/>
          <w:bCs/>
          <w:color w:val="FF0000"/>
          <w:sz w:val="25"/>
          <w:szCs w:val="25"/>
        </w:rPr>
        <w:t>；如果涉及多项货物（标的）为同一企业制造，“标的名称”下划线处可以如实填写多项货物；</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第四处，在“招标文件中明确的所属行业”下划线处填写采购标的对应的中小企业划分标准所属行业</w:t>
      </w:r>
      <w:r>
        <w:rPr>
          <w:rFonts w:ascii="黑体" w:eastAsia="黑体" w:hAnsi="黑体" w:cs="黑体" w:hint="eastAsia"/>
          <w:color w:val="0000FF"/>
          <w:sz w:val="25"/>
          <w:szCs w:val="25"/>
        </w:rPr>
        <w:t>（所属行业详见招标文件第一册第二章“对通用条款的补充内容及其他关键信息”章节或第三章用户需求书“货物需求明细”中的所属行业信息）</w:t>
      </w:r>
      <w:r>
        <w:rPr>
          <w:rFonts w:ascii="黑体" w:eastAsia="黑体" w:hAnsi="黑体" w:cs="黑体" w:hint="eastAsia"/>
          <w:bCs/>
          <w:color w:val="FF0000"/>
          <w:sz w:val="25"/>
          <w:szCs w:val="25"/>
        </w:rPr>
        <w:t>；</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（2）声明是残疾人福利性单位须填写《残疾人福利性单位声明函》的相关内容，具体参照以上《中小企业声明函》填写要求执行。</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（3）声明是监狱企业须填写《监狱企业声明函》的三项内容（填写位置的字体已加粗），具体参照以上《中小企业声明函》填写要求执行。</w:t>
      </w:r>
    </w:p>
    <w:p>
      <w:pPr>
        <w:snapToGrid w:val="0"/>
        <w:ind w:firstLine="420" w:firstLineChars="200"/>
        <w:rPr>
          <w:rFonts w:ascii="黑体" w:eastAsia="黑体" w:hAnsi="黑体" w:cs="黑体"/>
          <w:bCs/>
          <w:color w:val="FF0000"/>
          <w:sz w:val="25"/>
          <w:szCs w:val="25"/>
        </w:rPr>
      </w:pPr>
      <w:r>
        <w:rPr>
          <w:rFonts w:ascii="黑体" w:eastAsia="黑体" w:hAnsi="黑体" w:cs="黑体" w:hint="eastAsia"/>
          <w:bCs/>
          <w:color w:val="FF0000"/>
          <w:sz w:val="25"/>
          <w:szCs w:val="25"/>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widowControl/>
        <w:jc w:val="center"/>
        <w:outlineLvl w:val="4"/>
        <w:rPr>
          <w:rFonts w:ascii="Arial" w:eastAsia="宋体" w:hAnsi="Arial" w:cs="Times New Roman"/>
          <w:b/>
          <w:sz w:val="24"/>
          <w:szCs w:val="24"/>
        </w:rPr>
      </w:pPr>
      <w:r>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46 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，从业人员人，营业收入为万元，资产总额为万元 ，属于</w:t>
      </w:r>
      <w:r>
        <w:rPr>
          <w:rFonts w:ascii="Arial" w:eastAsia="宋体" w:hAnsi="Arial" w:cs="Times New Roman"/>
          <w:b/>
          <w:bCs/>
          <w:szCs w:val="21"/>
          <w:u w:val="single"/>
        </w:rPr>
        <w:t>（中型企业、小型企业、微型企业）</w:t>
      </w: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，从业人员人，营业收入为万元，资产总额为万元 ，属于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rPr>
      </w:pPr>
      <w:bookmarkStart w:id="26"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rPr>
        <w:t>投标人</w:t>
      </w:r>
      <w:r>
        <w:rPr>
          <w:rFonts w:ascii="Arial" w:eastAsia="宋体" w:hAnsi="Arial" w:cs="Times New Roman"/>
          <w:szCs w:val="21"/>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rPr>
        <w:t>。</w:t>
      </w:r>
      <w:bookmarkEnd w:id="26"/>
    </w:p>
    <w:p>
      <w:pPr>
        <w:spacing w:after="78" w:afterLines="25" w:line="300" w:lineRule="auto"/>
        <w:ind w:firstLine="630" w:firstLineChars="300"/>
        <w:rPr>
          <w:rFonts w:ascii="Arial" w:eastAsia="宋体" w:hAnsi="Arial" w:cs="Times New Roman"/>
          <w:szCs w:val="21"/>
        </w:rPr>
      </w:pPr>
    </w:p>
    <w:p>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firstLine="420" w:firstLineChars="200"/>
        <w:jc w:val="left"/>
        <w:rPr>
          <w:rFonts w:ascii="宋体" w:eastAsia="宋体" w:hAnsi="宋体" w:cs="Times New Roman"/>
          <w:sz w:val="24"/>
          <w:szCs w:val="24"/>
        </w:rPr>
      </w:pPr>
      <w:r>
        <w:rPr>
          <w:rFonts w:ascii="宋体" w:eastAsia="宋体" w:hAnsi="宋体" w:cs="Times New Roman" w:hint="eastAsia"/>
          <w:b/>
          <w:sz w:val="24"/>
          <w:szCs w:val="24"/>
        </w:rPr>
        <w:t>说明：</w:t>
      </w:r>
      <w:r>
        <w:rPr>
          <w:rFonts w:ascii="宋体" w:eastAsia="宋体" w:hAnsi="宋体" w:cs="Times New Roman" w:hint="eastAsia"/>
          <w:sz w:val="24"/>
          <w:szCs w:val="24"/>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rPr>
      </w:pPr>
      <w:r>
        <w:br w:type="page"/>
      </w:r>
    </w:p>
    <w:p>
      <w:pPr>
        <w:spacing w:after="78" w:afterLines="25" w:line="300" w:lineRule="auto"/>
        <w:jc w:val="center"/>
        <w:outlineLvl w:val="4"/>
        <w:rPr>
          <w:rFonts w:ascii="Arial" w:eastAsia="宋体" w:hAnsi="Arial" w:cs="Times New Roman"/>
          <w:b/>
          <w:sz w:val="24"/>
          <w:szCs w:val="24"/>
        </w:rPr>
      </w:pPr>
      <w:r>
        <w:rPr>
          <w:rFonts w:ascii="宋体" w:eastAsia="宋体" w:hAnsi="宋体" w:cs="Times New Roman" w:hint="eastAsia"/>
          <w:b/>
          <w:sz w:val="24"/>
          <w:szCs w:val="24"/>
        </w:rPr>
        <w:t>②</w:t>
      </w:r>
      <w:r>
        <w:rPr>
          <w:rFonts w:ascii="Arial" w:eastAsia="宋体" w:hAnsi="Arial" w:cs="Times New Roman" w:hint="eastAsia"/>
          <w:b/>
          <w:sz w:val="24"/>
          <w:szCs w:val="24"/>
        </w:rPr>
        <w:t>残疾人福利性单位声明函（货物）</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采购活动，提供的货物全部由符合政策要求的</w:t>
      </w:r>
      <w:r>
        <w:rPr>
          <w:rFonts w:asciiTheme="minorEastAsia" w:hAnsiTheme="minorEastAsia" w:cs="Times New Roman" w:hint="eastAsia"/>
          <w:szCs w:val="21"/>
        </w:rPr>
        <w:t>残疾人福利性单位</w:t>
      </w:r>
      <w:r>
        <w:rPr>
          <w:rFonts w:asciiTheme="minorEastAsia" w:hAnsiTheme="minorEastAsia" w:cs="Times New Roman"/>
          <w:szCs w:val="21"/>
        </w:rPr>
        <w:t>制造。相关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pPr>
        <w:spacing w:after="78" w:afterLines="25" w:line="300" w:lineRule="auto"/>
        <w:ind w:firstLine="420" w:firstLineChars="200"/>
        <w:rPr>
          <w:rFonts w:asciiTheme="minorEastAsia" w:hAnsiTheme="minorEastAsia" w:cs="Times New Roman"/>
          <w:szCs w:val="21"/>
        </w:rPr>
      </w:pPr>
      <w:bookmarkStart w:id="27" w:name="_Hlk73562331"/>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的规定，承诺提供的声明函内容是真实的，如提供声明函内容不实，则依法追究相关法律责任</w:t>
      </w:r>
      <w:r>
        <w:rPr>
          <w:rFonts w:asciiTheme="minorEastAsia" w:hAnsiTheme="minorEastAsia" w:cs="Times New Roman" w:hint="eastAsia"/>
          <w:szCs w:val="21"/>
        </w:rPr>
        <w:t>。</w:t>
      </w:r>
      <w:bookmarkEnd w:id="27"/>
    </w:p>
    <w:p>
      <w:pPr>
        <w:spacing w:after="78" w:afterLines="25" w:line="300" w:lineRule="auto"/>
        <w:jc w:val="right"/>
        <w:rPr>
          <w:rFonts w:asciiTheme="minorEastAsia" w:hAnsiTheme="minorEastAsia" w:cs="Times New Roman"/>
          <w:szCs w:val="21"/>
        </w:rPr>
      </w:pPr>
    </w:p>
    <w:p>
      <w:pPr>
        <w:spacing w:after="78" w:afterLines="25" w:line="300" w:lineRule="auto"/>
        <w:ind w:right="420" w:firstLine="4410" w:firstLineChars="2100"/>
        <w:rPr>
          <w:rFonts w:asciiTheme="minorEastAsia" w:hAnsiTheme="minorEastAsia" w:cs="Times New Roman"/>
          <w:szCs w:val="21"/>
        </w:rPr>
      </w:pPr>
      <w:r>
        <w:rPr>
          <w:rFonts w:asciiTheme="minorEastAsia" w:hAnsiTheme="minorEastAsia" w:cs="Times New Roman" w:hint="eastAsia"/>
          <w:szCs w:val="21"/>
        </w:rPr>
        <w:t>投标人（投标单位）：</w:t>
      </w:r>
    </w:p>
    <w:p>
      <w:pPr>
        <w:spacing w:after="78" w:afterLines="25" w:line="300" w:lineRule="auto"/>
        <w:ind w:right="420" w:firstLine="5775" w:firstLineChars="2750"/>
        <w:rPr>
          <w:rFonts w:asciiTheme="minorEastAsia" w:hAnsiTheme="minorEastAsia" w:cs="Times New Roman"/>
          <w:szCs w:val="21"/>
        </w:rPr>
      </w:pPr>
      <w:r>
        <w:rPr>
          <w:rFonts w:asciiTheme="minorEastAsia" w:hAnsiTheme="minorEastAsia" w:cs="Times New Roman" w:hint="eastAsia"/>
          <w:szCs w:val="21"/>
        </w:rPr>
        <w:t>日期：</w:t>
      </w:r>
    </w:p>
    <w:p>
      <w:pPr>
        <w:spacing w:after="78" w:afterLines="25" w:line="300" w:lineRule="auto"/>
        <w:jc w:val="right"/>
        <w:rPr>
          <w:rFonts w:asciiTheme="minorEastAsia" w:hAnsiTheme="minorEastAsia" w:cs="Times New Roman"/>
          <w:b/>
          <w:color w:val="FF0000"/>
          <w:sz w:val="28"/>
          <w:szCs w:val="28"/>
        </w:rPr>
      </w:pPr>
    </w:p>
    <w:p>
      <w:pPr>
        <w:spacing w:after="78" w:afterLines="25" w:line="300" w:lineRule="auto"/>
        <w:jc w:val="right"/>
        <w:rPr>
          <w:rFonts w:ascii="Arial" w:eastAsia="宋体" w:hAnsi="Arial" w:cs="Times New Roman"/>
          <w:b/>
          <w:color w:val="FF0000"/>
          <w:sz w:val="28"/>
          <w:szCs w:val="28"/>
        </w:rPr>
      </w:pP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b/>
          <w:szCs w:val="21"/>
        </w:rPr>
        <w:t>说明：</w:t>
      </w:r>
      <w:r>
        <w:rPr>
          <w:rFonts w:ascii="宋体" w:eastAsia="宋体" w:hAnsi="宋体" w:cs="Times New Roman" w:hint="eastAsia"/>
          <w:szCs w:val="21"/>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（一）</w:t>
      </w:r>
      <w:r>
        <w:rPr>
          <w:rFonts w:ascii="宋体" w:eastAsia="宋体" w:hAnsi="宋体" w:cs="Times New Roman" w:hint="eastAsia"/>
          <w:b/>
          <w:szCs w:val="21"/>
        </w:rPr>
        <w:t>安置的残疾人占本单位在职职工人数的比例不低于25%（含25%），并且安置的残疾人人数不少于10人（含10人）</w:t>
      </w:r>
      <w:r>
        <w:rPr>
          <w:rFonts w:ascii="宋体" w:eastAsia="宋体" w:hAnsi="宋体" w:cs="Times New Roman" w:hint="eastAsia"/>
          <w:szCs w:val="21"/>
        </w:rPr>
        <w:t>；</w:t>
      </w: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日期：     </w:t>
      </w:r>
    </w:p>
    <w:p>
      <w:pPr>
        <w:widowControl/>
        <w:jc w:val="left"/>
        <w:rPr>
          <w:rFonts w:ascii="Arial" w:eastAsia="宋体" w:hAnsi="Arial" w:cs="Arial"/>
          <w:color w:val="000000"/>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Style w:val="TableNormal"/>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441"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5" w:type="pct"/>
          </w:tcPr>
          <w:p>
            <w:pPr>
              <w:spacing w:after="78" w:afterLines="25" w:line="300" w:lineRule="auto"/>
              <w:rPr>
                <w:rFonts w:ascii="宋体" w:eastAsia="宋体" w:hAnsi="宋体" w:cs="Arial"/>
                <w:sz w:val="24"/>
                <w:szCs w:val="24"/>
              </w:rPr>
            </w:pPr>
          </w:p>
        </w:tc>
        <w:tc>
          <w:tcPr>
            <w:tcW w:w="733" w:type="pct"/>
          </w:tcPr>
          <w:p>
            <w:pPr>
              <w:spacing w:after="78" w:afterLines="25" w:line="300" w:lineRule="auto"/>
              <w:rPr>
                <w:rFonts w:ascii="宋体" w:eastAsia="宋体" w:hAnsi="宋体" w:cs="Arial"/>
                <w:sz w:val="24"/>
                <w:szCs w:val="24"/>
              </w:rPr>
            </w:pPr>
          </w:p>
        </w:tc>
        <w:tc>
          <w:tcPr>
            <w:tcW w:w="764" w:type="pct"/>
          </w:tcPr>
          <w:p>
            <w:pPr>
              <w:spacing w:after="78" w:afterLines="25" w:line="300" w:lineRule="auto"/>
              <w:rPr>
                <w:rFonts w:ascii="宋体" w:eastAsia="宋体" w:hAnsi="宋体" w:cs="Arial"/>
                <w:sz w:val="24"/>
                <w:szCs w:val="24"/>
              </w:rPr>
            </w:pPr>
          </w:p>
        </w:tc>
        <w:tc>
          <w:tcPr>
            <w:tcW w:w="790" w:type="pct"/>
          </w:tcPr>
          <w:p>
            <w:pPr>
              <w:spacing w:after="78" w:afterLines="25" w:line="300" w:lineRule="auto"/>
              <w:rPr>
                <w:rFonts w:ascii="宋体" w:eastAsia="宋体" w:hAnsi="宋体" w:cs="Arial"/>
                <w:sz w:val="24"/>
                <w:szCs w:val="24"/>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5" w:type="pct"/>
          </w:tcPr>
          <w:p>
            <w:pPr>
              <w:spacing w:after="78" w:afterLines="25" w:line="300" w:lineRule="auto"/>
              <w:rPr>
                <w:rFonts w:ascii="宋体" w:eastAsia="宋体" w:hAnsi="宋体" w:cs="Arial"/>
                <w:sz w:val="24"/>
                <w:szCs w:val="24"/>
              </w:rPr>
            </w:pPr>
          </w:p>
        </w:tc>
        <w:tc>
          <w:tcPr>
            <w:tcW w:w="733" w:type="pct"/>
          </w:tcPr>
          <w:p>
            <w:pPr>
              <w:spacing w:after="78" w:afterLines="25" w:line="300" w:lineRule="auto"/>
              <w:rPr>
                <w:rFonts w:ascii="宋体" w:eastAsia="宋体" w:hAnsi="宋体" w:cs="Arial"/>
                <w:sz w:val="24"/>
                <w:szCs w:val="24"/>
              </w:rPr>
            </w:pPr>
          </w:p>
        </w:tc>
        <w:tc>
          <w:tcPr>
            <w:tcW w:w="764" w:type="pct"/>
          </w:tcPr>
          <w:p>
            <w:pPr>
              <w:spacing w:after="78" w:afterLines="25" w:line="300" w:lineRule="auto"/>
              <w:rPr>
                <w:rFonts w:ascii="宋体" w:eastAsia="宋体" w:hAnsi="宋体" w:cs="Arial"/>
                <w:sz w:val="24"/>
                <w:szCs w:val="24"/>
              </w:rPr>
            </w:pPr>
          </w:p>
        </w:tc>
        <w:tc>
          <w:tcPr>
            <w:tcW w:w="790" w:type="pct"/>
          </w:tcPr>
          <w:p>
            <w:pPr>
              <w:spacing w:after="78" w:afterLines="25" w:line="300" w:lineRule="auto"/>
              <w:rPr>
                <w:rFonts w:ascii="宋体" w:eastAsia="宋体" w:hAnsi="宋体" w:cs="Arial"/>
                <w:sz w:val="24"/>
                <w:szCs w:val="24"/>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5" w:type="pct"/>
          </w:tcPr>
          <w:p>
            <w:pPr>
              <w:spacing w:after="78" w:afterLines="25" w:line="300" w:lineRule="auto"/>
              <w:rPr>
                <w:rFonts w:ascii="宋体" w:eastAsia="宋体" w:hAnsi="宋体" w:cs="Arial"/>
                <w:sz w:val="24"/>
                <w:szCs w:val="24"/>
              </w:rPr>
            </w:pPr>
          </w:p>
        </w:tc>
        <w:tc>
          <w:tcPr>
            <w:tcW w:w="733" w:type="pct"/>
          </w:tcPr>
          <w:p>
            <w:pPr>
              <w:spacing w:after="78" w:afterLines="25" w:line="300" w:lineRule="auto"/>
              <w:rPr>
                <w:rFonts w:ascii="宋体" w:eastAsia="宋体" w:hAnsi="宋体" w:cs="Arial"/>
                <w:sz w:val="24"/>
                <w:szCs w:val="24"/>
              </w:rPr>
            </w:pPr>
          </w:p>
        </w:tc>
        <w:tc>
          <w:tcPr>
            <w:tcW w:w="764" w:type="pct"/>
          </w:tcPr>
          <w:p>
            <w:pPr>
              <w:spacing w:after="78" w:afterLines="25" w:line="300" w:lineRule="auto"/>
              <w:rPr>
                <w:rFonts w:ascii="宋体" w:eastAsia="宋体" w:hAnsi="宋体" w:cs="Arial"/>
                <w:sz w:val="24"/>
                <w:szCs w:val="24"/>
              </w:rPr>
            </w:pPr>
          </w:p>
        </w:tc>
        <w:tc>
          <w:tcPr>
            <w:tcW w:w="790" w:type="pct"/>
          </w:tcPr>
          <w:p>
            <w:pPr>
              <w:spacing w:after="78" w:afterLines="25" w:line="300" w:lineRule="auto"/>
              <w:rPr>
                <w:rFonts w:ascii="宋体" w:eastAsia="宋体" w:hAnsi="宋体" w:cs="Arial"/>
                <w:sz w:val="24"/>
                <w:szCs w:val="24"/>
              </w:rPr>
            </w:pPr>
          </w:p>
        </w:tc>
      </w:tr>
    </w:tbl>
    <w:p>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jc w:val="center"/>
        <w:rPr>
          <w:rFonts w:ascii="Arial" w:eastAsia="宋体" w:hAnsi="Arial" w:cs="Times New Roman"/>
          <w:b/>
          <w:sz w:val="24"/>
          <w:szCs w:val="24"/>
        </w:rPr>
      </w:pPr>
    </w:p>
    <w:p>
      <w:pPr>
        <w:ind w:firstLine="630" w:firstLineChars="300"/>
        <w:jc w:val="center"/>
        <w:rPr>
          <w:b/>
          <w:color w:val="FF0000"/>
          <w:sz w:val="24"/>
        </w:rPr>
      </w:pPr>
      <w:r>
        <w:rPr>
          <w:rFonts w:hint="eastAsia"/>
          <w:b/>
          <w:color w:val="FF0000"/>
          <w:sz w:val="24"/>
        </w:rPr>
        <w:t>（信息公开部分的内容到此为止！以下为信息不公开部分。）</w:t>
      </w:r>
    </w:p>
    <w:p>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pPr>
        <w:spacing w:after="78" w:afterLines="25" w:line="300" w:lineRule="auto"/>
        <w:rPr>
          <w:rFonts w:ascii="Arial" w:eastAsia="宋体" w:hAnsi="Arial" w:cs="Times New Roman"/>
          <w:szCs w:val="24"/>
        </w:rPr>
      </w:pPr>
    </w:p>
    <w:p>
      <w:pPr>
        <w:spacing w:line="300" w:lineRule="auto"/>
        <w:ind w:left="140"/>
        <w:jc w:val="center"/>
        <w:rPr>
          <w:rFonts w:ascii="Arial" w:eastAsia="宋体" w:hAnsi="Arial" w:cs="Arial"/>
          <w:b/>
          <w:sz w:val="30"/>
          <w:szCs w:val="30"/>
        </w:rPr>
      </w:pPr>
    </w:p>
    <w:p>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pPr>
        <w:spacing w:line="300" w:lineRule="auto"/>
        <w:ind w:left="140"/>
        <w:jc w:val="center"/>
        <w:rPr>
          <w:rFonts w:ascii="Arial" w:eastAsia="宋体" w:hAnsi="Arial" w:cs="Arial"/>
          <w:b/>
          <w:sz w:val="24"/>
          <w:szCs w:val="24"/>
        </w:rPr>
      </w:pPr>
    </w:p>
    <w:p>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同志，现任我单位职务，为我单位法定代表人（负责人）。</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p>
    <w:p>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pPr>
        <w:spacing w:line="300" w:lineRule="auto"/>
        <w:rPr>
          <w:rFonts w:ascii="Arial" w:eastAsia="宋体" w:hAnsi="Arial" w:cs="Times New Roman"/>
          <w:szCs w:val="21"/>
        </w:rPr>
      </w:pPr>
    </w:p>
    <w:p>
      <w:pPr>
        <w:spacing w:line="300" w:lineRule="auto"/>
        <w:rPr>
          <w:rFonts w:ascii="Arial" w:eastAsia="宋体" w:hAnsi="Arial" w:cs="Times New Roman"/>
          <w:szCs w:val="21"/>
        </w:rPr>
      </w:pPr>
      <w:r>
        <w:rPr>
          <w:rFonts w:ascii="Arial" w:eastAsia="宋体" w:hAnsi="Arial" w:cs="Times New Roman" w:hint="eastAsia"/>
          <w:szCs w:val="21"/>
        </w:rPr>
        <w:t>投标人（投标单位）：</w:t>
      </w:r>
    </w:p>
    <w:p>
      <w:pPr>
        <w:spacing w:line="300" w:lineRule="auto"/>
        <w:rPr>
          <w:rFonts w:ascii="Arial" w:eastAsia="宋体" w:hAnsi="Arial" w:cs="Times New Roman"/>
          <w:szCs w:val="21"/>
        </w:rPr>
      </w:pPr>
      <w:r>
        <w:rPr>
          <w:rFonts w:ascii="Arial" w:eastAsia="宋体" w:hAnsi="Arial" w:cs="Times New Roman" w:hint="eastAsia"/>
          <w:szCs w:val="21"/>
        </w:rPr>
        <w:t>日期：年月日</w:t>
      </w:r>
    </w:p>
    <w:p>
      <w:pPr>
        <w:spacing w:line="500" w:lineRule="exact"/>
        <w:rPr>
          <w:rFonts w:ascii="Arial" w:eastAsia="宋体" w:hAnsi="Arial" w:cs="Times New Roman"/>
          <w:szCs w:val="24"/>
        </w:rPr>
      </w:pPr>
    </w:p>
    <w:p>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rPr>
      </w:pP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pPr>
        <w:spacing w:line="500" w:lineRule="exact"/>
        <w:ind w:firstLine="420" w:firstLineChars="200"/>
        <w:rPr>
          <w:rFonts w:ascii="Arial" w:eastAsia="宋体" w:hAnsi="Arial" w:cs="Times New Roman"/>
          <w:szCs w:val="24"/>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pPr>
        <w:spacing w:line="300" w:lineRule="auto"/>
        <w:jc w:val="center"/>
        <w:rPr>
          <w:rFonts w:ascii="Arial" w:eastAsia="宋体" w:hAnsi="Arial" w:cs="Times New Roman"/>
          <w:b/>
          <w:sz w:val="28"/>
          <w:szCs w:val="28"/>
        </w:rPr>
      </w:pP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hint="eastAsia"/>
          <w:szCs w:val="21"/>
          <w:u w:val="single"/>
        </w:rPr>
        <w:t>（姓名）</w:t>
      </w:r>
      <w:r>
        <w:rPr>
          <w:rFonts w:ascii="Arial" w:eastAsia="宋体" w:hAnsi="Arial" w:cs="Times New Roman" w:hint="eastAsia"/>
          <w:szCs w:val="21"/>
        </w:rPr>
        <w:t>系</w:t>
      </w:r>
      <w:r>
        <w:rPr>
          <w:rFonts w:ascii="Arial" w:eastAsia="宋体" w:hAnsi="Arial" w:cs="Times New Roman" w:hint="eastAsia"/>
          <w:szCs w:val="21"/>
          <w:u w:val="single"/>
        </w:rPr>
        <w:t>（投标人名称）</w:t>
      </w:r>
      <w:r>
        <w:rPr>
          <w:rFonts w:ascii="Arial" w:eastAsia="宋体" w:hAnsi="Arial" w:cs="Times New Roman" w:hint="eastAsia"/>
          <w:szCs w:val="21"/>
        </w:rPr>
        <w:t>的法定代表人（负责人），现授权委托</w:t>
      </w:r>
      <w:r>
        <w:rPr>
          <w:rFonts w:ascii="Arial" w:eastAsia="宋体" w:hAnsi="Arial" w:cs="Times New Roman" w:hint="eastAsia"/>
          <w:szCs w:val="21"/>
          <w:u w:val="single"/>
        </w:rPr>
        <w:t>（姓名）</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pPr>
        <w:spacing w:line="300" w:lineRule="auto"/>
        <w:rPr>
          <w:rFonts w:ascii="Arial" w:eastAsia="宋体" w:hAnsi="Arial" w:cs="Times New Roman"/>
          <w:szCs w:val="21"/>
        </w:rPr>
      </w:pP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代理人：性别：</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联系电话：手机：</w:t>
      </w: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身份证号码：职务：</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授权委托日期：年月日</w:t>
      </w:r>
    </w:p>
    <w:p>
      <w:pPr>
        <w:spacing w:line="500" w:lineRule="exact"/>
        <w:ind w:firstLine="420" w:firstLineChars="200"/>
        <w:rPr>
          <w:rFonts w:ascii="Arial" w:eastAsia="宋体" w:hAnsi="Arial" w:cs="Times New Roman"/>
          <w:szCs w:val="24"/>
        </w:rPr>
      </w:pPr>
    </w:p>
    <w:p>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rPr>
      </w:pPr>
    </w:p>
    <w:p>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p>
    <w:p>
      <w:pPr>
        <w:snapToGrid w:val="0"/>
        <w:rPr>
          <w:rFonts w:asciiTheme="minorEastAsia" w:hAnsiTheme="minorEastAsia" w:cs="Times New Roman"/>
          <w:b/>
          <w:sz w:val="24"/>
          <w:szCs w:val="24"/>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CellMar>
            <w:top w:w="0" w:type="dxa"/>
            <w:left w:w="108" w:type="dxa"/>
            <w:bottom w:w="0" w:type="dxa"/>
            <w:right w:w="108" w:type="dxa"/>
          </w:tblCellMar>
        </w:tblPrEx>
        <w:trPr>
          <w:jc w:val="center"/>
        </w:trPr>
        <w:tc>
          <w:tcPr>
            <w:tcW w:w="602" w:type="dxa"/>
            <w:vAlign w:val="center"/>
          </w:tcPr>
          <w:p>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pPr>
              <w:jc w:val="center"/>
              <w:rPr>
                <w:rFonts w:ascii="宋体" w:eastAsia="宋体" w:hAnsi="宋体" w:cs="Arial"/>
                <w:szCs w:val="21"/>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pPr>
        <w:numPr>
          <w:ilvl w:val="0"/>
          <w:numId w:val="5"/>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5"/>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5"/>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pPr>
        <w:numPr>
          <w:ilvl w:val="0"/>
          <w:numId w:val="5"/>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pPr>
        <w:widowControl/>
        <w:jc w:val="left"/>
        <w:rPr>
          <w:rFonts w:ascii="宋体" w:eastAsia="宋体" w:hAnsi="宋体" w:cs="Times New Roman"/>
          <w:color w:val="FF0000"/>
          <w:sz w:val="32"/>
          <w:szCs w:val="32"/>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4.技术要求偏离表</w:t>
      </w:r>
    </w:p>
    <w:p>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p>
    <w:p>
      <w:pPr>
        <w:snapToGrid w:val="0"/>
        <w:rPr>
          <w:rFonts w:asciiTheme="minorEastAsia" w:hAnsiTheme="minorEastAsia" w:cs="Times New Roman"/>
          <w:sz w:val="24"/>
          <w:szCs w:val="24"/>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Theme="minorEastAsia" w:hAnsiTheme="minorEastAsia" w:cs="Times New Roman" w:hint="eastAsia"/>
          <w:b/>
          <w:sz w:val="24"/>
          <w:szCs w:val="24"/>
        </w:rPr>
        <w:t>填写说明：</w:t>
      </w:r>
    </w:p>
    <w:p>
      <w:pPr>
        <w:ind w:firstLine="420" w:firstLineChars="200"/>
        <w:rPr>
          <w:b/>
          <w:sz w:val="24"/>
        </w:rPr>
      </w:pPr>
      <w:r>
        <w:rPr>
          <w:rFonts w:hint="eastAsia"/>
          <w:b/>
          <w:sz w:val="24"/>
        </w:rPr>
        <w:t>1、技术要求偏离表的序号、货物名称、招标技术要求等栏目</w:t>
      </w:r>
      <w:bookmarkStart w:id="28" w:name="_Hlk72094407"/>
      <w:r>
        <w:rPr>
          <w:rFonts w:hint="eastAsia"/>
          <w:b/>
          <w:sz w:val="24"/>
        </w:rPr>
        <w:t>对应“用户需求书”中的“技术要求部分”章节</w:t>
      </w:r>
      <w:bookmarkEnd w:id="28"/>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29" w:name="_Hlk72096106"/>
      <w:r>
        <w:rPr>
          <w:rFonts w:hint="eastAsia"/>
          <w:b/>
          <w:sz w:val="24"/>
        </w:rPr>
        <w:t>证明资料条款响应要求</w:t>
      </w:r>
      <w:bookmarkEnd w:id="29"/>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30"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1" w:name="_Hlk73558164"/>
      <w:r>
        <w:rPr>
          <w:rFonts w:hint="eastAsia"/>
          <w:b/>
          <w:sz w:val="24"/>
        </w:rPr>
        <w:t>且投标人在“偏离情况”一栏响应为“正偏离”或“无偏离”的，经评审委员会认定，将判定为负偏离。</w:t>
      </w:r>
      <w:bookmarkEnd w:id="30"/>
      <w:bookmarkEnd w:id="31"/>
    </w:p>
    <w:p>
      <w:pPr>
        <w:ind w:firstLine="420" w:firstLineChars="200"/>
        <w:rPr>
          <w:b/>
          <w:sz w:val="24"/>
        </w:rPr>
      </w:pPr>
      <w:r>
        <w:rPr>
          <w:rFonts w:hint="eastAsia"/>
          <w:b/>
          <w:sz w:val="24"/>
        </w:rPr>
        <w:t>6、评审委员会有权对投标人是否存在虚假响应予以认定，并视情况经招标机构报主管部门进行处理；</w:t>
      </w:r>
    </w:p>
    <w:p>
      <w:pPr>
        <w:ind w:firstLine="420" w:firstLineChars="200"/>
        <w:rPr>
          <w:b/>
          <w:sz w:val="24"/>
        </w:rPr>
      </w:pPr>
      <w:r>
        <w:rPr>
          <w:rFonts w:hint="eastAsia"/>
          <w:b/>
          <w:sz w:val="24"/>
        </w:rPr>
        <w:t>7、除招标文件另有注明外，投标文件其它位置如出现与本表中投标参数不一致的信息，均以本表信息为准。</w:t>
      </w:r>
    </w:p>
    <w:p>
      <w:pPr>
        <w:widowControl/>
        <w:jc w:val="center"/>
        <w:outlineLvl w:val="3"/>
        <w:rPr>
          <w:rFonts w:ascii="黑体" w:eastAsia="黑体" w:hAnsi="宋体"/>
          <w:kern w:val="0"/>
          <w:sz w:val="24"/>
          <w:szCs w:val="20"/>
        </w:rPr>
      </w:pPr>
      <w:r>
        <w:br w:type="page"/>
      </w:r>
      <w:r>
        <w:rPr>
          <w:rFonts w:ascii="宋体" w:eastAsia="宋体" w:hAnsi="宋体" w:cs="Times New Roman" w:hint="eastAsia"/>
          <w:b/>
          <w:bCs/>
          <w:kern w:val="0"/>
          <w:sz w:val="24"/>
          <w:szCs w:val="20"/>
        </w:rPr>
        <w:t>5.政府采购违法行为风险知悉确认书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spacing w:val="-4"/>
                <w:kern w:val="0"/>
                <w:szCs w:val="21"/>
              </w:rPr>
            </w:pPr>
          </w:p>
        </w:tc>
      </w:tr>
    </w:tbl>
    <w:p>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p>
    <w:p>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p>
    <w:p>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p>
    <w:p>
      <w:pPr>
        <w:widowControl/>
        <w:wordWrap w:val="0"/>
        <w:autoSpaceDE w:val="0"/>
        <w:autoSpaceDN w:val="0"/>
        <w:spacing w:line="400" w:lineRule="exact"/>
        <w:ind w:right="1414" w:firstLine="420" w:firstLineChars="200"/>
        <w:jc w:val="right"/>
        <w:rPr>
          <w:rFonts w:ascii="宋体" w:hAnsi="宋体"/>
          <w:spacing w:val="-4"/>
          <w:kern w:val="0"/>
          <w:szCs w:val="21"/>
        </w:rPr>
      </w:pPr>
    </w:p>
    <w:p>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color w:val="FF0000"/>
          <w:spacing w:val="-4"/>
          <w:kern w:val="0"/>
          <w:szCs w:val="21"/>
        </w:rPr>
      </w:pPr>
      <w:r>
        <w:rPr>
          <w:rFonts w:ascii="宋体" w:hAnsi="宋体" w:hint="eastAsia"/>
          <w:b/>
          <w:bCs/>
          <w:color w:val="FF0000"/>
          <w:spacing w:val="-4"/>
          <w:kern w:val="0"/>
          <w:szCs w:val="21"/>
        </w:rPr>
        <w:t>2.投标供应商负责人或投标授权代表签字并加盖单位公章后，扫描上传至投标文件一并提交。</w:t>
      </w: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rPr>
          <w:rFonts w:ascii="Arial" w:eastAsia="宋体" w:hAnsi="Arial" w:cs="Times New Roman"/>
          <w:sz w:val="24"/>
          <w:szCs w:val="24"/>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pPr>
        <w:widowControl/>
        <w:jc w:val="center"/>
        <w:rPr>
          <w:rFonts w:ascii="宋体" w:eastAsia="黑体" w:hAnsi="宋体" w:cs="Times New Roman"/>
          <w:bCs/>
          <w:kern w:val="44"/>
          <w:sz w:val="28"/>
          <w:szCs w:val="44"/>
        </w:rPr>
      </w:pPr>
      <w:bookmarkStart w:id="32" w:name="_Hlk72574405"/>
      <w:r>
        <w:rPr>
          <w:rFonts w:hint="eastAsia"/>
          <w:b/>
          <w:sz w:val="24"/>
        </w:rPr>
        <w:t>（仅供参考，具体以项目需求及采购结果为准）</w:t>
      </w:r>
      <w:bookmarkEnd w:id="32"/>
    </w:p>
    <w:p>
      <w:pPr>
        <w:snapToGrid w:val="0"/>
        <w:spacing w:line="300" w:lineRule="auto"/>
        <w:jc w:val="center"/>
        <w:rPr>
          <w:rFonts w:ascii="仿宋" w:eastAsia="仿宋" w:hAnsi="仿宋" w:cs="Times New Roman"/>
          <w:sz w:val="28"/>
          <w:szCs w:val="28"/>
        </w:rPr>
      </w:pPr>
    </w:p>
    <w:p>
      <w:pPr>
        <w:rPr>
          <w:rFonts w:ascii="宋体" w:hAnsi="宋体"/>
          <w:b/>
          <w:bCs/>
          <w:szCs w:val="21"/>
        </w:rPr>
      </w:pPr>
      <w:r>
        <w:rPr>
          <w:rFonts w:ascii="宋体" w:hAnsi="宋体" w:hint="eastAsia"/>
          <w:b/>
          <w:bCs/>
          <w:szCs w:val="21"/>
        </w:rPr>
        <w:t>甲方：</w:t>
      </w:r>
    </w:p>
    <w:p>
      <w:pPr>
        <w:rPr>
          <w:rFonts w:ascii="宋体" w:hAnsi="宋体"/>
          <w:szCs w:val="21"/>
        </w:rPr>
      </w:pPr>
      <w:bookmarkStart w:id="33" w:name="_Hlk75014453"/>
      <w:r>
        <w:rPr>
          <w:rFonts w:ascii="宋体" w:hAnsi="宋体" w:hint="eastAsia"/>
          <w:szCs w:val="21"/>
        </w:rPr>
        <w:t>地址：</w:t>
      </w:r>
    </w:p>
    <w:p>
      <w:pPr>
        <w:rPr>
          <w:rFonts w:ascii="宋体" w:hAnsi="宋体"/>
          <w:szCs w:val="21"/>
        </w:rPr>
      </w:pPr>
      <w:r>
        <w:rPr>
          <w:rFonts w:ascii="宋体" w:hAnsi="宋体" w:hint="eastAsia"/>
          <w:szCs w:val="21"/>
        </w:rPr>
        <w:t>联系人：</w:t>
      </w:r>
    </w:p>
    <w:p>
      <w:pPr>
        <w:rPr>
          <w:rFonts w:ascii="宋体" w:hAnsi="宋体"/>
          <w:b/>
          <w:bCs/>
          <w:szCs w:val="21"/>
        </w:rPr>
      </w:pPr>
      <w:r>
        <w:rPr>
          <w:rFonts w:ascii="宋体" w:hAnsi="宋体" w:hint="eastAsia"/>
          <w:szCs w:val="21"/>
        </w:rPr>
        <w:t>联系电话：</w:t>
      </w:r>
      <w:bookmarkEnd w:id="33"/>
    </w:p>
    <w:p>
      <w:pPr>
        <w:rPr>
          <w:rFonts w:ascii="宋体" w:hAnsi="宋体"/>
          <w:b/>
          <w:bCs/>
          <w:szCs w:val="21"/>
        </w:rPr>
      </w:pP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p>
    <w:p>
      <w:pPr>
        <w:rPr>
          <w:rFonts w:ascii="宋体" w:hAnsi="宋体"/>
          <w:szCs w:val="21"/>
        </w:rPr>
      </w:pPr>
      <w:r>
        <w:rPr>
          <w:rFonts w:ascii="宋体" w:hAnsi="宋体" w:hint="eastAsia"/>
          <w:szCs w:val="21"/>
        </w:rPr>
        <w:t>联系电话：</w:t>
      </w:r>
    </w:p>
    <w:p>
      <w:pPr>
        <w:rPr>
          <w:rFonts w:ascii="宋体" w:hAnsi="宋体"/>
          <w:szCs w:val="21"/>
        </w:rPr>
      </w:pPr>
    </w:p>
    <w:p>
      <w:pPr>
        <w:spacing w:line="360" w:lineRule="auto"/>
        <w:ind w:firstLine="560"/>
        <w:jc w:val="left"/>
        <w:rPr>
          <w:szCs w:val="21"/>
        </w:rPr>
      </w:pPr>
      <w:bookmarkStart w:id="34" w:name="_Hlk72574434"/>
      <w:r>
        <w:rPr>
          <w:rFonts w:hint="eastAsia"/>
          <w:szCs w:val="21"/>
        </w:rPr>
        <w:t>根据深圳公共资源交易中心（深圳交易集团有限公司*</w:t>
      </w:r>
      <w:r>
        <w:rPr>
          <w:szCs w:val="21"/>
        </w:rPr>
        <w:t>**</w:t>
      </w:r>
      <w:r>
        <w:rPr>
          <w:rFonts w:hint="eastAsia"/>
          <w:szCs w:val="21"/>
        </w:rPr>
        <w:t>分公司）号项目结果，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4"/>
      <w:r>
        <w:rPr>
          <w:rFonts w:hint="eastAsia"/>
          <w:szCs w:val="21"/>
        </w:rPr>
        <w:t>按照《中华人民共和国民法典》（第三编 合同）和《深圳经济特区政府采购条例》，经深圳市（以下简称甲方）和单位（以下简称乙方）协商，达成以下合同条款：</w:t>
      </w:r>
    </w:p>
    <w:p>
      <w:pPr>
        <w:spacing w:line="360" w:lineRule="auto"/>
        <w:ind w:firstLine="560"/>
        <w:jc w:val="left"/>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p>
    <w:p>
      <w:pPr>
        <w:spacing w:line="360" w:lineRule="auto"/>
        <w:ind w:firstLine="560"/>
        <w:jc w:val="left"/>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本合同项下总价款为（大写）人民币，分项价款详见。本合同总价款已包括乙方为履行本合同义务所发生的一切费用，系固定不变价格，且不随通货膨胀的影响而波动。</w:t>
      </w:r>
    </w:p>
    <w:p>
      <w:pPr>
        <w:numPr>
          <w:ilvl w:val="0"/>
          <w:numId w:val="6"/>
        </w:numPr>
        <w:spacing w:line="360" w:lineRule="auto"/>
        <w:ind w:firstLine="560"/>
        <w:jc w:val="left"/>
        <w:rPr>
          <w:b/>
          <w:szCs w:val="21"/>
        </w:rPr>
      </w:pPr>
      <w:r>
        <w:rPr>
          <w:rFonts w:hint="eastAsia"/>
          <w:b/>
          <w:szCs w:val="21"/>
        </w:rPr>
        <w:t xml:space="preserve"> 履行期限</w:t>
      </w:r>
    </w:p>
    <w:p>
      <w:pPr>
        <w:spacing w:line="360" w:lineRule="auto"/>
        <w:ind w:firstLine="630" w:firstLineChars="300"/>
        <w:rPr>
          <w:rFonts w:ascii="宋体" w:hAnsi="宋体"/>
          <w:szCs w:val="21"/>
        </w:rPr>
      </w:pPr>
      <w:r>
        <w:rPr>
          <w:rFonts w:ascii="宋体" w:hAnsi="宋体" w:hint="eastAsia"/>
          <w:szCs w:val="21"/>
        </w:rPr>
        <w:t>乙方应于本合同签订之日其日内将符合要求的产品向甲方交付（含安装调试），但乙方交付前应向书面通知甲方并征得甲方同意。</w:t>
      </w:r>
    </w:p>
    <w:p>
      <w:pPr>
        <w:numPr>
          <w:ilvl w:val="0"/>
          <w:numId w:val="6"/>
        </w:numPr>
        <w:spacing w:line="360" w:lineRule="auto"/>
        <w:ind w:firstLine="560"/>
        <w:jc w:val="left"/>
        <w:rPr>
          <w:b/>
          <w:szCs w:val="21"/>
        </w:rPr>
      </w:pPr>
      <w:r>
        <w:rPr>
          <w:rFonts w:hint="eastAsia"/>
          <w:b/>
          <w:szCs w:val="21"/>
        </w:rPr>
        <w:t>权利保证</w:t>
      </w:r>
    </w:p>
    <w:p>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rPr>
          <w:b/>
          <w:szCs w:val="21"/>
        </w:rPr>
      </w:pPr>
      <w:r>
        <w:rPr>
          <w:rFonts w:hint="eastAsia"/>
          <w:b/>
          <w:szCs w:val="21"/>
        </w:rPr>
        <w:t>第五条  质量保证</w:t>
      </w:r>
    </w:p>
    <w:p>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pPr>
        <w:spacing w:line="360" w:lineRule="auto"/>
        <w:ind w:firstLine="560"/>
        <w:jc w:val="left"/>
        <w:rPr>
          <w:b/>
          <w:szCs w:val="21"/>
        </w:rPr>
      </w:pPr>
      <w:r>
        <w:rPr>
          <w:rFonts w:hint="eastAsia"/>
          <w:b/>
          <w:szCs w:val="21"/>
        </w:rPr>
        <w:t>第七条  保修及其他服务</w:t>
      </w:r>
    </w:p>
    <w:p>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spacing w:line="360" w:lineRule="auto"/>
        <w:ind w:firstLine="560"/>
        <w:jc w:val="left"/>
        <w:rPr>
          <w:b/>
          <w:szCs w:val="21"/>
        </w:rPr>
      </w:pPr>
      <w:r>
        <w:rPr>
          <w:rFonts w:hint="eastAsia"/>
          <w:b/>
          <w:szCs w:val="21"/>
        </w:rPr>
        <w:t>第八条 保密条款</w:t>
      </w:r>
    </w:p>
    <w:p>
      <w:pPr>
        <w:spacing w:line="360" w:lineRule="auto"/>
        <w:ind w:firstLine="630" w:firstLineChars="300"/>
      </w:pPr>
      <w:r>
        <w:t>1</w:t>
      </w:r>
      <w:r>
        <w:rPr>
          <w:rFonts w:hint="eastAsia"/>
        </w:rPr>
        <w:t>、乙方对在本合同履行中获取或者知悉甲方提供的资料、信息负有保密义务。</w:t>
      </w:r>
    </w:p>
    <w:p>
      <w:pPr>
        <w:spacing w:line="360" w:lineRule="auto"/>
        <w:ind w:firstLine="630" w:firstLineChars="3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630" w:firstLineChars="300"/>
        <w:rPr>
          <w:b/>
        </w:rPr>
      </w:pPr>
      <w:r>
        <w:t>3</w:t>
      </w:r>
      <w:r>
        <w:rPr>
          <w:rFonts w:hint="eastAsia"/>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rPr>
          <w:b/>
          <w:szCs w:val="21"/>
        </w:rPr>
      </w:pPr>
      <w:r>
        <w:rPr>
          <w:rFonts w:hint="eastAsia"/>
          <w:b/>
          <w:szCs w:val="21"/>
        </w:rPr>
        <w:t>第九条  履约保证金</w:t>
      </w:r>
    </w:p>
    <w:p>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pPr>
        <w:spacing w:line="360" w:lineRule="auto"/>
        <w:ind w:firstLine="420" w:firstLineChars="200"/>
        <w:jc w:val="left"/>
        <w:rPr>
          <w:b/>
          <w:szCs w:val="21"/>
        </w:rPr>
      </w:pPr>
      <w:r>
        <w:rPr>
          <w:rFonts w:hint="eastAsia"/>
          <w:b/>
          <w:szCs w:val="21"/>
        </w:rPr>
        <w:t>第十条  货款支付</w:t>
      </w:r>
    </w:p>
    <w:p>
      <w:r>
        <w:rPr>
          <w:rFonts w:hint="eastAsia"/>
          <w:b/>
          <w:szCs w:val="21"/>
          <w:u w:val="single"/>
        </w:rPr>
        <w:t>（详见商务要求）</w:t>
      </w:r>
    </w:p>
    <w:p>
      <w:pPr>
        <w:spacing w:line="360" w:lineRule="auto"/>
        <w:ind w:firstLine="560"/>
        <w:jc w:val="left"/>
        <w:rPr>
          <w:szCs w:val="21"/>
        </w:rPr>
      </w:pPr>
    </w:p>
    <w:p>
      <w:pPr>
        <w:spacing w:line="360" w:lineRule="auto"/>
        <w:ind w:firstLine="420" w:firstLineChars="200"/>
        <w:jc w:val="left"/>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ascii="宋体" w:hAnsi="宋体" w:hint="eastAsia"/>
          <w:szCs w:val="21"/>
        </w:rPr>
        <w:t>6.</w:t>
      </w:r>
      <w:bookmarkStart w:id="35"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5"/>
    </w:p>
    <w:p>
      <w:pPr>
        <w:spacing w:line="360" w:lineRule="auto"/>
        <w:ind w:firstLine="560"/>
        <w:jc w:val="left"/>
        <w:rPr>
          <w:rFonts w:ascii="宋体" w:hAnsi="宋体"/>
          <w:szCs w:val="21"/>
        </w:rPr>
      </w:pPr>
      <w:r>
        <w:rPr>
          <w:rFonts w:ascii="宋体" w:hAnsi="宋体" w:hint="eastAsia"/>
          <w:szCs w:val="21"/>
        </w:rPr>
        <w:t>7、</w:t>
      </w:r>
      <w:bookmarkStart w:id="36"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6"/>
    </w:p>
    <w:p>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rPr>
          <w:b/>
          <w:szCs w:val="21"/>
        </w:rPr>
      </w:pPr>
      <w:r>
        <w:rPr>
          <w:rFonts w:hint="eastAsia"/>
          <w:b/>
          <w:szCs w:val="21"/>
        </w:rPr>
        <w:t>第十二条    合同的变更和终止</w:t>
      </w:r>
    </w:p>
    <w:p>
      <w:pPr>
        <w:spacing w:line="360" w:lineRule="auto"/>
        <w:ind w:firstLine="560"/>
        <w:jc w:val="left"/>
        <w:rPr>
          <w:rFonts w:ascii="宋体" w:hAnsi="宋体"/>
          <w:szCs w:val="21"/>
        </w:rPr>
      </w:pPr>
      <w:r>
        <w:rPr>
          <w:rFonts w:ascii="宋体" w:hAnsi="宋体" w:hint="eastAsia"/>
          <w:szCs w:val="21"/>
        </w:rPr>
        <w:t>除</w:t>
      </w:r>
      <w:bookmarkStart w:id="37" w:name="_Hlk75015119"/>
      <w:r>
        <w:rPr>
          <w:rFonts w:ascii="宋体" w:hAnsi="宋体" w:hint="eastAsia"/>
          <w:szCs w:val="21"/>
        </w:rPr>
        <w:t>《深圳经济特区政府采购条例》第40条、</w:t>
      </w:r>
      <w:bookmarkEnd w:id="37"/>
      <w:r>
        <w:rPr>
          <w:rFonts w:ascii="宋体" w:hAnsi="宋体" w:hint="eastAsia"/>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rPr>
          <w:b/>
          <w:szCs w:val="21"/>
        </w:rPr>
      </w:pPr>
      <w:r>
        <w:rPr>
          <w:rFonts w:hint="eastAsia"/>
          <w:b/>
          <w:szCs w:val="21"/>
        </w:rPr>
        <w:t>第十三条   争议的解决</w:t>
      </w:r>
    </w:p>
    <w:p>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rPr>
          <w:b/>
          <w:szCs w:val="21"/>
        </w:rPr>
      </w:pPr>
      <w:r>
        <w:rPr>
          <w:rFonts w:hint="eastAsia"/>
          <w:b/>
          <w:szCs w:val="21"/>
        </w:rPr>
        <w:t>第十四条   合同生效及其他</w:t>
      </w:r>
    </w:p>
    <w:p>
      <w:pPr>
        <w:spacing w:line="360" w:lineRule="auto"/>
        <w:ind w:firstLine="560"/>
        <w:jc w:val="left"/>
        <w:rPr>
          <w:rFonts w:ascii="宋体" w:hAnsi="宋体"/>
          <w:szCs w:val="21"/>
        </w:rPr>
      </w:pPr>
      <w:r>
        <w:rPr>
          <w:rFonts w:ascii="宋体" w:hAnsi="宋体" w:hint="eastAsia"/>
          <w:szCs w:val="21"/>
        </w:rPr>
        <w:t>1、下列文件均为本合同的组成部分：</w:t>
      </w:r>
    </w:p>
    <w:p>
      <w:pPr>
        <w:spacing w:line="360" w:lineRule="auto"/>
        <w:ind w:firstLine="560"/>
        <w:jc w:val="left"/>
        <w:rPr>
          <w:rFonts w:ascii="宋体" w:hAnsi="宋体"/>
          <w:szCs w:val="21"/>
        </w:rPr>
      </w:pPr>
      <w:r>
        <w:rPr>
          <w:rFonts w:ascii="宋体" w:hAnsi="宋体" w:hint="eastAsia"/>
          <w:szCs w:val="21"/>
        </w:rPr>
        <w:t>（1）号招标文件、答疑及补充通知；</w:t>
      </w:r>
    </w:p>
    <w:p>
      <w:pPr>
        <w:spacing w:line="360" w:lineRule="auto"/>
        <w:ind w:firstLine="560"/>
        <w:jc w:val="left"/>
        <w:rPr>
          <w:rFonts w:ascii="宋体" w:hAnsi="宋体"/>
          <w:szCs w:val="21"/>
        </w:rPr>
      </w:pPr>
      <w:r>
        <w:rPr>
          <w:rFonts w:ascii="宋体" w:hAnsi="宋体" w:hint="eastAsia"/>
          <w:szCs w:val="21"/>
        </w:rPr>
        <w:t>（2）乙方的投标文件；</w:t>
      </w:r>
    </w:p>
    <w:p>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525" w:firstLineChars="250"/>
        <w:rPr>
          <w:rFonts w:ascii="宋体" w:hAnsi="宋体"/>
          <w:b/>
          <w:szCs w:val="21"/>
        </w:rPr>
      </w:pPr>
      <w:r>
        <w:rPr>
          <w:rFonts w:ascii="宋体" w:hAnsi="宋体" w:hint="eastAsia"/>
          <w:szCs w:val="21"/>
        </w:rPr>
        <w:t>日期：   年     月    日         日期：   年     月    日</w:t>
      </w:r>
    </w:p>
    <w:p>
      <w:pPr>
        <w:widowControl/>
        <w:jc w:val="left"/>
        <w:rPr>
          <w:rFonts w:ascii="Arial" w:eastAsia="宋体" w:hAnsi="Arial" w:cs="Times New Roman"/>
          <w:color w:val="FF0000"/>
          <w:szCs w:val="24"/>
        </w:rPr>
      </w:pPr>
    </w:p>
    <w:p>
      <w:pPr>
        <w:widowControl/>
        <w:jc w:val="left"/>
        <w:rPr>
          <w:rFonts w:ascii="宋体" w:eastAsia="黑体" w:hAnsi="宋体" w:cs="Times New Roman"/>
          <w:b/>
          <w:bCs/>
          <w:color w:val="0000FF"/>
          <w:kern w:val="44"/>
          <w:sz w:val="36"/>
          <w:szCs w:val="44"/>
        </w:rPr>
      </w:pPr>
      <w:r>
        <w:br w:type="page"/>
      </w:r>
    </w:p>
    <w:p>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  通用条款（公开招标）</w:t>
      </w:r>
    </w:p>
    <w:p>
      <w:pPr>
        <w:keepNext/>
        <w:keepLines/>
        <w:numPr>
          <w:ilvl w:val="0"/>
          <w:numId w:val="7"/>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8" w:name="_Hlk72399513"/>
      <w:r>
        <w:rPr>
          <w:rFonts w:asciiTheme="majorHAnsi" w:eastAsiaTheme="majorEastAsia" w:hAnsiTheme="majorHAnsi" w:cstheme="majorBidi" w:hint="eastAsia"/>
          <w:b/>
          <w:bCs/>
          <w:sz w:val="28"/>
          <w:szCs w:val="28"/>
        </w:rPr>
        <w:t>总则</w:t>
      </w:r>
      <w:bookmarkEnd w:id="38"/>
    </w:p>
    <w:p>
      <w:pPr>
        <w:rPr>
          <w:rFonts w:ascii="黑体" w:eastAsia="黑体" w:hAnsi="宋体"/>
          <w:sz w:val="24"/>
        </w:rPr>
      </w:pPr>
      <w:bookmarkStart w:id="39" w:name="_Hlk7243970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0" w:name="_Hlk72399729"/>
      <w:r>
        <w:rPr>
          <w:rFonts w:ascii="宋体" w:hAnsi="宋体" w:hint="eastAsia"/>
          <w:szCs w:val="21"/>
        </w:rPr>
        <w:t>如有需要，政府集中采购机构可以对通用条款的内容进行补充。</w:t>
      </w:r>
      <w:bookmarkEnd w:id="4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1"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p>
    <w:p>
      <w:pPr>
        <w:ind w:left="420" w:firstLine="412" w:leftChars="200" w:firstLineChars="196"/>
        <w:rPr>
          <w:rFonts w:ascii="宋体" w:hAnsi="宋体"/>
        </w:rPr>
      </w:pPr>
      <w:r>
        <w:rPr>
          <w:rFonts w:ascii="宋体" w:hAnsi="宋体" w:hint="eastAsia"/>
        </w:rPr>
        <w:t>1、具有独立承担民事责任的能力；</w:t>
      </w:r>
    </w:p>
    <w:p>
      <w:pPr>
        <w:ind w:left="420" w:firstLine="412" w:firstLineChars="196"/>
        <w:rPr>
          <w:rFonts w:ascii="宋体" w:hAnsi="宋体"/>
        </w:rPr>
      </w:pPr>
      <w:r>
        <w:rPr>
          <w:rFonts w:ascii="宋体" w:hAnsi="宋体" w:hint="eastAsia"/>
        </w:rPr>
        <w:t>2、有良好的商业信誉和健全的财务会计制度；</w:t>
      </w:r>
    </w:p>
    <w:p>
      <w:pPr>
        <w:ind w:left="420" w:firstLine="412" w:leftChars="200" w:firstLineChars="196"/>
        <w:rPr>
          <w:rFonts w:ascii="宋体" w:hAnsi="宋体"/>
        </w:rPr>
      </w:pPr>
      <w:r>
        <w:rPr>
          <w:rFonts w:ascii="宋体" w:hAnsi="宋体" w:hint="eastAsia"/>
        </w:rPr>
        <w:t>3、具有履行合同所必需的设备和专业技术能力；</w:t>
      </w:r>
    </w:p>
    <w:p>
      <w:pPr>
        <w:ind w:left="420" w:firstLine="412" w:leftChars="200" w:firstLineChars="196"/>
        <w:rPr>
          <w:rFonts w:ascii="宋体" w:hAnsi="宋体"/>
        </w:rPr>
      </w:pPr>
      <w:r>
        <w:rPr>
          <w:rFonts w:ascii="宋体" w:hAnsi="宋体" w:hint="eastAsia"/>
        </w:rPr>
        <w:t>4、有依法缴纳税收和社会保障资金的良好记录；</w:t>
      </w:r>
    </w:p>
    <w:p>
      <w:pPr>
        <w:ind w:left="420" w:firstLine="412" w:leftChars="200" w:firstLineChars="196"/>
        <w:rPr>
          <w:rFonts w:ascii="宋体" w:hAnsi="宋体"/>
        </w:rPr>
      </w:pPr>
      <w:r>
        <w:rPr>
          <w:rFonts w:ascii="宋体" w:hAnsi="宋体" w:hint="eastAsia"/>
        </w:rPr>
        <w:t>5、参加政府采购活动前三年内，在经营活动中没有重大违法记录；</w:t>
      </w:r>
    </w:p>
    <w:p>
      <w:pPr>
        <w:ind w:left="420" w:firstLine="412" w:leftChars="200" w:firstLineChars="196"/>
        <w:rPr>
          <w:rFonts w:ascii="宋体" w:hAnsi="宋体"/>
        </w:rPr>
      </w:pPr>
      <w:r>
        <w:rPr>
          <w:rFonts w:ascii="宋体" w:hAnsi="宋体" w:hint="eastAsia"/>
        </w:rPr>
        <w:t>6、法律、行政法规规定的其他条件。</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4投标人</w:t>
      </w:r>
      <w:bookmarkStart w:id="42"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2"/>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1"/>
    </w:p>
    <w:p>
      <w:pPr>
        <w:ind w:firstLine="412" w:firstLineChars="196"/>
        <w:rPr>
          <w:rFonts w:ascii="宋体" w:hAnsi="宋体"/>
        </w:rPr>
      </w:pPr>
    </w:p>
    <w:p>
      <w:pPr>
        <w:pStyle w:val="Heading2"/>
        <w:numPr>
          <w:ilvl w:val="0"/>
          <w:numId w:val="7"/>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3"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第四章 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3"/>
    </w:p>
    <w:p>
      <w:pPr>
        <w:rPr>
          <w:rFonts w:ascii="宋体" w:hAnsi="宋体"/>
          <w:szCs w:val="21"/>
        </w:rPr>
      </w:pPr>
    </w:p>
    <w:p>
      <w:pPr>
        <w:pStyle w:val="Heading2"/>
        <w:numPr>
          <w:ilvl w:val="0"/>
          <w:numId w:val="7"/>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44"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4"/>
    </w:p>
    <w:p>
      <w:pPr>
        <w:rPr>
          <w:rFonts w:ascii="黑体" w:eastAsia="黑体" w:hAnsi="宋体"/>
          <w:sz w:val="24"/>
        </w:rPr>
      </w:pPr>
      <w:r>
        <w:rPr>
          <w:rFonts w:ascii="黑体" w:eastAsia="黑体" w:hAnsi="宋体" w:hint="eastAsia"/>
          <w:sz w:val="24"/>
        </w:rPr>
        <w:t>15．</w:t>
      </w:r>
      <w:bookmarkStart w:id="45"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45"/>
    </w:p>
    <w:p>
      <w:pPr>
        <w:rPr>
          <w:rFonts w:ascii="黑体" w:eastAsia="黑体" w:hAnsi="宋体"/>
          <w:sz w:val="24"/>
        </w:rPr>
      </w:pPr>
      <w:r>
        <w:rPr>
          <w:rFonts w:ascii="黑体" w:eastAsia="黑体" w:hAnsi="宋体" w:hint="eastAsia"/>
          <w:sz w:val="24"/>
        </w:rPr>
        <w:t>18．</w:t>
      </w:r>
      <w:bookmarkStart w:id="46"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6"/>
    </w:p>
    <w:p>
      <w:pPr>
        <w:rPr>
          <w:rFonts w:ascii="黑体" w:eastAsia="黑体" w:hAnsi="宋体"/>
          <w:sz w:val="24"/>
        </w:rPr>
      </w:pPr>
      <w:r>
        <w:rPr>
          <w:rFonts w:ascii="黑体" w:eastAsia="黑体" w:hAnsi="宋体" w:hint="eastAsia"/>
          <w:sz w:val="24"/>
        </w:rPr>
        <w:t>19．</w:t>
      </w:r>
      <w:bookmarkStart w:id="47" w:name="_Hlk72402034"/>
      <w:r>
        <w:rPr>
          <w:rFonts w:ascii="黑体" w:eastAsia="黑体" w:hAnsi="宋体" w:hint="eastAsia"/>
          <w:sz w:val="24"/>
        </w:rPr>
        <w:t>投标文件其他证明文件的要求</w:t>
      </w:r>
    </w:p>
    <w:p>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8" w:name="_Hlk71407299"/>
      <w:bookmarkEnd w:id="48"/>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47"/>
    </w:p>
    <w:p>
      <w:pPr>
        <w:ind w:firstLine="412" w:firstLineChars="196"/>
        <w:rPr>
          <w:rFonts w:ascii="宋体" w:hAnsi="宋体"/>
          <w:szCs w:val="21"/>
        </w:rPr>
      </w:pPr>
      <w:bookmarkStart w:id="49"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9"/>
    </w:p>
    <w:p>
      <w:pPr>
        <w:rPr>
          <w:rFonts w:ascii="黑体" w:eastAsia="黑体" w:hAnsi="宋体"/>
          <w:sz w:val="24"/>
        </w:rPr>
      </w:pPr>
      <w:r>
        <w:rPr>
          <w:rFonts w:ascii="黑体" w:eastAsia="黑体" w:hAnsi="宋体" w:hint="eastAsia"/>
          <w:sz w:val="24"/>
        </w:rPr>
        <w:t>21．</w:t>
      </w:r>
      <w:bookmarkStart w:id="50"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50"/>
    </w:p>
    <w:p>
      <w:pPr>
        <w:rPr>
          <w:rFonts w:ascii="黑体" w:eastAsia="黑体" w:hAnsi="宋体"/>
          <w:sz w:val="24"/>
        </w:rPr>
      </w:pPr>
      <w:r>
        <w:rPr>
          <w:rFonts w:ascii="黑体" w:eastAsia="黑体" w:hAnsi="宋体" w:hint="eastAsia"/>
          <w:sz w:val="24"/>
        </w:rPr>
        <w:t>23．</w:t>
      </w:r>
      <w:bookmarkStart w:id="51"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1"/>
    </w:p>
    <w:p>
      <w:pPr>
        <w:ind w:firstLine="412" w:firstLineChars="196"/>
        <w:rPr>
          <w:rFonts w:ascii="宋体" w:hAnsi="宋体"/>
          <w:szCs w:val="21"/>
        </w:rPr>
      </w:pPr>
    </w:p>
    <w:p>
      <w:pPr>
        <w:pStyle w:val="Heading2"/>
        <w:numPr>
          <w:ilvl w:val="0"/>
          <w:numId w:val="7"/>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52"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深圳公共资源交易中心（深圳交易集团有限公司宝安分公司）</w:t>
      </w:r>
      <w:r>
        <w:rPr>
          <w:rFonts w:ascii="宋体" w:hAnsi="宋体" w:hint="eastAsia"/>
          <w:b/>
          <w:bCs/>
        </w:rPr>
        <w:t>一楼服务大厅（地址：深圳市宝安区湖滨东路40号）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52"/>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3"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3"/>
    </w:p>
    <w:p>
      <w:pPr>
        <w:pStyle w:val="Heading2"/>
        <w:numPr>
          <w:ilvl w:val="0"/>
          <w:numId w:val="7"/>
        </w:numPr>
        <w:spacing w:before="156" w:beforeLines="50" w:after="156"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7"/>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54"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4"/>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7"/>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55"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5"/>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56" w:name="_Toc73518151"/>
      <w:bookmarkStart w:id="57" w:name="_Toc73521669"/>
      <w:bookmarkStart w:id="58" w:name="_Toc73521581"/>
      <w:bookmarkStart w:id="59" w:name="_Toc73517673"/>
      <w:bookmarkStart w:id="60" w:name="_Toc100052400"/>
      <w:r>
        <w:rPr>
          <w:rFonts w:ascii="黑体" w:eastAsia="黑体" w:hAnsi="宋体" w:hint="eastAsia"/>
          <w:sz w:val="24"/>
        </w:rPr>
        <w:t>34．错误的修正</w:t>
      </w:r>
      <w:bookmarkEnd w:id="56"/>
      <w:bookmarkEnd w:id="57"/>
      <w:bookmarkEnd w:id="58"/>
      <w:bookmarkEnd w:id="59"/>
      <w:bookmarkEnd w:id="60"/>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1"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1"/>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7"/>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62"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3" w:name="_Hlk73821177"/>
      <w:r>
        <w:rPr>
          <w:rFonts w:ascii="ˎ̥" w:hAnsi="ˎ̥" w:hint="eastAsia"/>
        </w:rPr>
        <w:t>唯一候选中标供应商</w:t>
      </w:r>
      <w:bookmarkEnd w:id="63"/>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为唯一候选中标供应商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如“专用条款”中另有规定的以“专用条款”相关规定内容为准）。如唯一候选中标供应商被认定投标或中标无效，采购人应当重新开展采购活动。</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4"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5"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4"/>
      <w:bookmarkEnd w:id="65"/>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62"/>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6"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6"/>
      <w:bookmarkStart w:id="67"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7"/>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8"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8"/>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69" w:name="_Hlk71407340"/>
      <w:r>
        <w:rPr>
          <w:rFonts w:ascii="宋体" w:hAnsi="宋体" w:hint="eastAsia"/>
          <w:szCs w:val="21"/>
        </w:rPr>
        <w:t>41.3因质疑投诉或其它原因导致项目结果变更或采购终止的，政府集中采购机构有权吊销中标通知书。</w:t>
      </w:r>
      <w:bookmarkEnd w:id="69"/>
    </w:p>
    <w:p>
      <w:pPr>
        <w:ind w:firstLine="412" w:firstLineChars="196"/>
        <w:rPr>
          <w:rFonts w:ascii="宋体" w:hAnsi="宋体"/>
          <w:szCs w:val="21"/>
        </w:rPr>
      </w:pPr>
    </w:p>
    <w:p>
      <w:pPr>
        <w:pStyle w:val="Heading2"/>
        <w:numPr>
          <w:ilvl w:val="0"/>
          <w:numId w:val="7"/>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7"/>
        </w:numPr>
        <w:spacing w:before="156" w:beforeLines="50" w:after="156" w:afterLines="50"/>
        <w:ind w:left="562" w:hanging="562"/>
        <w:rPr>
          <w:sz w:val="28"/>
          <w:szCs w:val="28"/>
        </w:rPr>
      </w:pPr>
      <w:bookmarkStart w:id="70" w:name="_Hlk72439043"/>
      <w:r>
        <w:rPr>
          <w:rFonts w:hint="eastAsia"/>
          <w:sz w:val="28"/>
          <w:szCs w:val="28"/>
        </w:rPr>
        <w:t>合同的授予与备案</w:t>
      </w:r>
      <w:bookmarkEnd w:id="70"/>
    </w:p>
    <w:p>
      <w:pPr>
        <w:rPr>
          <w:rFonts w:ascii="黑体" w:eastAsia="黑体" w:hAnsi="宋体"/>
          <w:sz w:val="24"/>
        </w:rPr>
      </w:pPr>
      <w:bookmarkStart w:id="71" w:name="_Toc73521674"/>
      <w:bookmarkStart w:id="72" w:name="_Toc73521586"/>
      <w:bookmarkStart w:id="73" w:name="_Toc73518157"/>
      <w:bookmarkStart w:id="74" w:name="_Toc100052408"/>
      <w:bookmarkStart w:id="75" w:name="_Toc73517679"/>
      <w:bookmarkStart w:id="76" w:name="_Hlk72439088"/>
      <w:r>
        <w:rPr>
          <w:rFonts w:ascii="黑体" w:eastAsia="黑体" w:hAnsi="宋体" w:hint="eastAsia"/>
          <w:sz w:val="24"/>
        </w:rPr>
        <w:t>43．合同授予标准</w:t>
      </w:r>
      <w:bookmarkEnd w:id="71"/>
      <w:bookmarkEnd w:id="72"/>
      <w:bookmarkEnd w:id="73"/>
      <w:bookmarkEnd w:id="74"/>
      <w:bookmarkEnd w:id="75"/>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7" w:name="_Toc73521675"/>
      <w:bookmarkStart w:id="78" w:name="_Toc100052409"/>
      <w:bookmarkStart w:id="79" w:name="_Toc73518158"/>
      <w:bookmarkStart w:id="80" w:name="_Toc73517680"/>
      <w:bookmarkStart w:id="81" w:name="_Toc73521587"/>
      <w:r>
        <w:rPr>
          <w:rFonts w:ascii="黑体" w:eastAsia="黑体" w:hAnsi="宋体" w:hint="eastAsia"/>
          <w:sz w:val="24"/>
        </w:rPr>
        <w:t>44．</w:t>
      </w:r>
      <w:bookmarkEnd w:id="77"/>
      <w:bookmarkEnd w:id="78"/>
      <w:bookmarkEnd w:id="79"/>
      <w:bookmarkEnd w:id="80"/>
      <w:bookmarkEnd w:id="81"/>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2" w:name="_Toc100052410"/>
      <w:bookmarkStart w:id="83" w:name="_Toc73521589"/>
      <w:bookmarkStart w:id="84" w:name="_Toc73521677"/>
      <w:bookmarkStart w:id="85" w:name="_Toc73518160"/>
      <w:bookmarkStart w:id="86" w:name="_Toc73517682"/>
      <w:r>
        <w:rPr>
          <w:rFonts w:ascii="黑体" w:eastAsia="黑体" w:hAnsi="宋体" w:hint="eastAsia"/>
          <w:sz w:val="24"/>
        </w:rPr>
        <w:t>45．合同的签订</w:t>
      </w:r>
      <w:bookmarkEnd w:id="82"/>
      <w:bookmarkEnd w:id="83"/>
      <w:bookmarkEnd w:id="84"/>
      <w:bookmarkEnd w:id="85"/>
      <w:bookmarkEnd w:id="86"/>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7" w:name="_Toc73521590"/>
      <w:bookmarkStart w:id="88" w:name="_Toc73517683"/>
      <w:bookmarkStart w:id="89" w:name="_Toc100052411"/>
      <w:bookmarkStart w:id="90" w:name="_Toc73518161"/>
      <w:bookmarkStart w:id="91" w:name="_Toc73521678"/>
      <w:r>
        <w:rPr>
          <w:rFonts w:ascii="黑体" w:eastAsia="黑体" w:hAnsi="宋体" w:hint="eastAsia"/>
          <w:sz w:val="24"/>
        </w:rPr>
        <w:t>46．履约担保</w:t>
      </w:r>
      <w:bookmarkEnd w:id="87"/>
      <w:bookmarkEnd w:id="88"/>
      <w:bookmarkEnd w:id="89"/>
      <w:bookmarkEnd w:id="90"/>
      <w:bookmarkEnd w:id="91"/>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黑体" w:eastAsia="黑体" w:hAnsi="宋体"/>
          <w:sz w:val="24"/>
        </w:rPr>
      </w:pPr>
      <w:r>
        <w:rPr>
          <w:rFonts w:ascii="宋体" w:eastAsia="宋体" w:hAnsi="宋体" w:cs="Times New Roman" w:hint="eastAsia"/>
          <w:szCs w:val="21"/>
        </w:rPr>
        <w:t>采购人与中标供应商自中标通知书发出之日起10个工作日内签订政府采购合同，并按财政部门规定提交备案。</w:t>
      </w: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92" w:name="_Hlk72440769"/>
      <w:r>
        <w:rPr>
          <w:rFonts w:ascii="宋体" w:hAnsi="宋体" w:hint="eastAsia"/>
          <w:szCs w:val="21"/>
        </w:rPr>
        <w:t>政府集中采购机构或采购人不予退还其交纳的谈判保证金，情节严重的，并由主管部门</w:t>
      </w:r>
      <w:bookmarkEnd w:id="92"/>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6"/>
    </w:p>
    <w:p>
      <w:pPr>
        <w:pStyle w:val="Heading2"/>
        <w:numPr>
          <w:ilvl w:val="0"/>
          <w:numId w:val="7"/>
        </w:numPr>
        <w:spacing w:before="156" w:beforeLines="50" w:after="156" w:afterLines="50"/>
        <w:ind w:left="562" w:hanging="562"/>
        <w:rPr>
          <w:sz w:val="28"/>
          <w:szCs w:val="28"/>
        </w:rPr>
      </w:pPr>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93" w:name="_Hlk75374941"/>
      <w:r>
        <w:rPr>
          <w:rFonts w:ascii="宋体" w:hAnsi="宋体" w:hint="eastAsia"/>
          <w:szCs w:val="21"/>
        </w:rPr>
        <w:t>以联合体形式参与的，质疑应当由组成联合体的所有成员共同提出</w:t>
      </w:r>
      <w:bookmarkEnd w:id="93"/>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39"/>
    </w:p>
    <w:p>
      <w:pPr>
        <w:rPr>
          <w:b/>
          <w:color w:val="FF0000"/>
          <w:sz w:val="52"/>
          <w:szCs w:val="52"/>
        </w:rPr>
      </w:pPr>
    </w:p>
    <w:p>
      <w:pPr>
        <w:rPr>
          <w:rFonts w:ascii="宋体" w:eastAsia="黑体" w:hAnsi="宋体" w:cs="Times New Roman"/>
          <w:b/>
          <w:bCs/>
          <w:color w:val="0000FF"/>
          <w:kern w:val="44"/>
          <w:sz w:val="36"/>
          <w:szCs w:val="44"/>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等线">
    <w:altName w:val="Arial Unicode MS"/>
    <w:panose1 w:val="00000000000000000000"/>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richText/>
    </w:sdtPr>
    <w:sdtContent>
      <w:p>
        <w:pPr>
          <w:pStyle w:val="Footer"/>
          <w:jc w:val="center"/>
        </w:pPr>
        <w:r>
          <w:fldChar w:fldCharType="begin"/>
        </w:r>
        <w:r>
          <w:instrText xml:space="preserve"> PAGE   \* MERGEFORMAT </w:instrText>
        </w:r>
        <w:r>
          <w:fldChar w:fldCharType="separate"/>
        </w:r>
        <w:r>
          <w:rPr>
            <w:lang w:val="zh-CN"/>
          </w:rPr>
          <w:t>16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15AB212"/>
    <w:multiLevelType w:val="multilevel"/>
    <w:tmpl w:val="A15AB212"/>
    <w:lvl w:ilvl="0">
      <w:start w:val="1"/>
      <w:numFmt w:val="decimal"/>
      <w:suff w:val="nothing"/>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nsid w:val="F6B87123"/>
    <w:multiLevelType w:val="multilevel"/>
    <w:tmpl w:val="F6B87123"/>
    <w:lvl w:ilvl="0">
      <w:start w:val="1"/>
      <w:numFmt w:val="decimal"/>
      <w:suff w:val="nothing"/>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nsid w:val="175A0FCA"/>
    <w:multiLevelType w:val="multilevel"/>
    <w:tmpl w:val="175A0FCA"/>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428C46F0"/>
    <w:multiLevelType w:val="singleLevel"/>
    <w:tmpl w:val="428C46F0"/>
    <w:lvl w:ilvl="0">
      <w:start w:val="3"/>
      <w:numFmt w:val="chineseCounting"/>
      <w:suff w:val="space"/>
      <w:lvlText w:val="第%1条"/>
      <w:lvlJc w:val="left"/>
      <w:rPr>
        <w:rFonts w:hint="eastAsia"/>
      </w:rPr>
    </w:lvl>
  </w:abstractNum>
  <w:abstractNum w:abstractNumId="4">
    <w:nsid w:val="6782409F"/>
    <w:multiLevelType w:val="multilevel"/>
    <w:tmpl w:val="6782409F"/>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6CEC6FB8"/>
    <w:multiLevelType w:val="multilevel"/>
    <w:tmpl w:val="6CEC6F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77B95033"/>
    <w:multiLevelType w:val="multilevel"/>
    <w:tmpl w:val="77B95033"/>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 w:numId="3">
    <w:abstractNumId w:val="4"/>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kZWU2NTk4OWM1ZjFhOTI5YTRhM2U3NjRhZmZjM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qFormat/>
    <w:pPr>
      <w:ind w:firstLine="420"/>
    </w:pPr>
    <w:rPr>
      <w:szCs w:val="20"/>
    </w:rPr>
  </w:style>
  <w:style w:type="paragraph" w:styleId="DocumentMap">
    <w:name w:val="Document Map"/>
    <w:basedOn w:val="Normal"/>
    <w:uiPriority w:val="99"/>
    <w:semiHidden/>
    <w:unhideWhenUsed/>
    <w:qFormat/>
    <w:rPr>
      <w:rFonts w:ascii="宋体" w:eastAsia="宋体"/>
      <w:sz w:val="18"/>
      <w:szCs w:val="18"/>
    </w:rPr>
  </w:style>
  <w:style w:type="paragraph" w:styleId="CommentText">
    <w:name w:val="annotation text"/>
    <w:basedOn w:val="Normal"/>
    <w:uiPriority w:val="99"/>
    <w:unhideWhenUsed/>
    <w:qFormat/>
    <w:pPr>
      <w:jc w:val="left"/>
    </w:pPr>
  </w:style>
  <w:style w:type="paragraph" w:styleId="BodyText">
    <w:name w:val="Body Text"/>
    <w:basedOn w:val="Normal"/>
    <w:autoRedefine/>
    <w:qFormat/>
    <w:pPr>
      <w:spacing w:line="360" w:lineRule="auto"/>
    </w:pPr>
    <w:rPr>
      <w:b/>
      <w:bCs/>
      <w:sz w:val="24"/>
    </w:rPr>
  </w:style>
  <w:style w:type="paragraph" w:styleId="BalloonText">
    <w:name w:val="Balloon Text"/>
    <w:basedOn w:val="Normal"/>
    <w:uiPriority w:val="99"/>
    <w:semiHidden/>
    <w:unhideWhenUsed/>
    <w:qFormat/>
    <w:rPr>
      <w:sz w:val="18"/>
      <w:szCs w:val="18"/>
    </w:rPr>
  </w:style>
  <w:style w:type="paragraph" w:styleId="BodyText2">
    <w:name w:val="Body Text 2"/>
    <w:basedOn w:val="Normal"/>
    <w:qFormat/>
    <w:pPr>
      <w:spacing w:line="360" w:lineRule="auto"/>
    </w:pPr>
    <w:rPr>
      <w:sz w:val="24"/>
    </w:rPr>
  </w:style>
  <w:style w:type="paragraph" w:styleId="NormalWeb">
    <w:name w:val="Normal (Web)"/>
    <w:basedOn w:val="Normal"/>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autoRedefine/>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paragraph" w:customStyle="1" w:styleId="Heading1">
    <w:name w:val="Heading 1"/>
    <w:basedOn w:val="Normal"/>
    <w:next w:val="Normal"/>
    <w:link w:val="1Char"/>
    <w:qFormat/>
    <w:pPr>
      <w:keepNext/>
      <w:keepLines/>
      <w:spacing w:before="340" w:afterLines="25" w:line="578" w:lineRule="auto"/>
      <w:outlineLvl w:val="0"/>
    </w:pPr>
    <w:rPr>
      <w:rFonts w:ascii="Arial" w:eastAsia="宋体" w:hAnsi="Arial" w:cs="Times New Roman"/>
      <w:b/>
      <w:bCs/>
      <w:kern w:val="44"/>
      <w:sz w:val="44"/>
      <w:szCs w:val="44"/>
    </w:rPr>
  </w:style>
  <w:style w:type="paragraph" w:customStyle="1" w:styleId="Heading2">
    <w:name w:val="Heading 2"/>
    <w:basedOn w:val="Heading3"/>
    <w:next w:val="Heading4"/>
    <w:link w:val="2Char"/>
    <w:autoRedefine/>
    <w:uiPriority w:val="9"/>
    <w:semiHidden/>
    <w:unhideWhenUsed/>
    <w:qFormat/>
    <w:pPr>
      <w:spacing w:line="416" w:lineRule="auto"/>
      <w:outlineLvl w:val="1"/>
    </w:pPr>
    <w:rPr>
      <w:rFonts w:asciiTheme="majorHAnsi" w:eastAsiaTheme="majorEastAsia" w:hAnsiTheme="majorHAnsi" w:cstheme="majorBidi"/>
      <w:sz w:val="32"/>
    </w:rPr>
  </w:style>
  <w:style w:type="paragraph" w:customStyle="1" w:styleId="Heading3">
    <w:name w:val="Heading 3"/>
    <w:basedOn w:val="Heading4"/>
    <w:next w:val="Normal"/>
    <w:uiPriority w:val="9"/>
    <w:qFormat/>
    <w:pPr>
      <w:spacing w:before="260" w:after="260" w:line="240" w:lineRule="auto"/>
      <w:outlineLvl w:val="2"/>
    </w:pPr>
    <w:rPr>
      <w:rFonts w:ascii="宋体" w:eastAsia="宋体" w:hAnsi="宋体"/>
      <w:szCs w:val="32"/>
    </w:rPr>
  </w:style>
  <w:style w:type="paragraph" w:customStyle="1" w:styleId="Heading4">
    <w:name w:val="Heading 4"/>
    <w:basedOn w:val="Normal"/>
    <w:next w:val="Normal"/>
    <w:uiPriority w:val="9"/>
    <w:qFormat/>
    <w:pPr>
      <w:keepNext/>
      <w:keepLines/>
      <w:spacing w:before="280" w:after="290" w:line="376" w:lineRule="auto"/>
      <w:outlineLvl w:val="3"/>
    </w:pPr>
    <w:rPr>
      <w:rFonts w:ascii="Arial" w:eastAsia="黑体" w:hAnsi="Arial"/>
      <w:b/>
      <w:bCs/>
      <w:sz w:val="28"/>
      <w:szCs w:val="28"/>
    </w:rPr>
  </w:style>
  <w:style w:type="paragraph" w:customStyle="1" w:styleId="Footer">
    <w:name w:val="Footer"/>
    <w:basedOn w:val="Normal"/>
    <w:uiPriority w:val="99"/>
    <w:unhideWhenUsed/>
    <w:qFormat/>
    <w:pPr>
      <w:tabs>
        <w:tab w:val="center" w:pos="4153"/>
        <w:tab w:val="right" w:pos="8306"/>
      </w:tabs>
      <w:snapToGrid w:val="0"/>
      <w:jc w:val="left"/>
    </w:pPr>
    <w:rPr>
      <w:sz w:val="18"/>
      <w:szCs w:val="18"/>
    </w:rPr>
  </w:style>
  <w:style w:type="paragraph" w:customStyle="1" w:styleId="Header">
    <w:name w:val="Header"/>
    <w:basedOn w:val="Normal"/>
    <w:uiPriority w:val="99"/>
    <w:semiHidden/>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uiPriority w:val="99"/>
    <w:semiHidden/>
    <w:qFormat/>
    <w:rPr>
      <w:sz w:val="18"/>
      <w:szCs w:val="18"/>
    </w:rPr>
  </w:style>
  <w:style w:type="character" w:customStyle="1" w:styleId="Char0">
    <w:name w:val="页脚 Char"/>
    <w:basedOn w:val="DefaultParagraphFont"/>
    <w:uiPriority w:val="99"/>
    <w:qFormat/>
    <w:rPr>
      <w:sz w:val="18"/>
      <w:szCs w:val="18"/>
    </w:rPr>
  </w:style>
  <w:style w:type="character" w:customStyle="1" w:styleId="Char1">
    <w:name w:val="批注框文本 Char"/>
    <w:basedOn w:val="DefaultParagraphFont"/>
    <w:uiPriority w:val="99"/>
    <w:semiHidden/>
    <w:qFormat/>
    <w:rPr>
      <w:sz w:val="18"/>
      <w:szCs w:val="18"/>
    </w:rPr>
  </w:style>
  <w:style w:type="character" w:customStyle="1" w:styleId="Char2">
    <w:name w:val="普通(网站) Char"/>
    <w:uiPriority w:val="99"/>
    <w:qFormat/>
    <w:rPr>
      <w:rFonts w:ascii="宋体" w:hAnsi="宋体"/>
      <w:sz w:val="24"/>
      <w:szCs w:val="24"/>
    </w:rPr>
  </w:style>
  <w:style w:type="character" w:customStyle="1" w:styleId="1Char">
    <w:name w:val="标题 1 Char"/>
    <w:basedOn w:val="DefaultParagraphFont"/>
    <w:link w:val="Heading1"/>
    <w:qFormat/>
    <w:rPr>
      <w:rFonts w:ascii="Arial" w:eastAsia="宋体" w:hAnsi="Arial" w:cs="Times New Roman"/>
      <w:b/>
      <w:bCs/>
      <w:kern w:val="44"/>
      <w:sz w:val="44"/>
      <w:szCs w:val="44"/>
    </w:rPr>
  </w:style>
  <w:style w:type="paragraph" w:styleId="ListParagraph">
    <w:name w:val="List Paragraph"/>
    <w:basedOn w:val="Normal"/>
    <w:autoRedefine/>
    <w:uiPriority w:val="34"/>
    <w:qFormat/>
    <w:pPr>
      <w:ind w:firstLine="420" w:firstLineChars="200"/>
    </w:pPr>
  </w:style>
  <w:style w:type="character" w:customStyle="1" w:styleId="Char3">
    <w:name w:val="文档结构图 Char"/>
    <w:basedOn w:val="DefaultParagraphFont"/>
    <w:uiPriority w:val="99"/>
    <w:semiHidden/>
    <w:qFormat/>
    <w:rPr>
      <w:rFonts w:ascii="宋体" w:eastAsia="宋体"/>
      <w:sz w:val="18"/>
      <w:szCs w:val="18"/>
    </w:rPr>
  </w:style>
  <w:style w:type="character" w:customStyle="1" w:styleId="2Char">
    <w:name w:val="标题 2 Char"/>
    <w:basedOn w:val="DefaultParagraphFont"/>
    <w:link w:val="Heading2"/>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style>
  <w:style w:type="character" w:customStyle="1" w:styleId="3Char">
    <w:name w:val="标题 3 Char"/>
    <w:autoRedefine/>
    <w:qFormat/>
    <w:rPr>
      <w:rFonts w:ascii="黑体" w:eastAsia="黑体"/>
      <w:bCs/>
      <w:sz w:val="30"/>
    </w:rPr>
  </w:style>
  <w:style w:type="character" w:customStyle="1" w:styleId="Char5">
    <w:name w:val="批注主题 Char"/>
    <w:basedOn w:val="Char4"/>
    <w:uiPriority w:val="99"/>
    <w:semiHidden/>
    <w:qFormat/>
    <w:rPr>
      <w:b/>
      <w:bCs/>
    </w:rPr>
  </w:style>
  <w:style w:type="table" w:customStyle="1" w:styleId="1">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网格型2"/>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13</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2024-01-17T08:37:18Z</dcterms:modified>
  <cp:revision>426</cp:revision>
</cp:coreProperties>
</file>

<file path=customXml/itemProps1.xml><?xml version="1.0" encoding="utf-8"?>
<ds:datastoreItem xmlns:ds="http://schemas.openxmlformats.org/officeDocument/2006/customXml" ds:itemID="{4D68B79A-ADC1-40A7-BF88-5998CCC415F5}">
  <ds:schemaRefs/>
</ds:datastoreItem>
</file>

<file path=customXml/itemProps2.xml><?xml version="1.0" encoding="utf-8"?>
<ds:datastoreItem xmlns:ds="http://schemas.openxmlformats.org/officeDocument/2006/customXml" ds:itemID="{0A0EC206-4EAE-4662-801D-AFFAEEFC46BB}">
  <ds:schemaRefs/>
</ds:datastoreItem>
</file>

<file path=customXml/itemProps3.xml><?xml version="1.0" encoding="utf-8"?>
<ds:datastoreItem xmlns:ds="http://schemas.openxmlformats.org/officeDocument/2006/customXml" ds:itemID="{EA1B9A97-CF3F-413A-BF35-AEEFEE88A4D0}">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61</Pages>
  <Words>7934</Words>
  <Characters>45224</Characters>
  <Application>Microsoft Office Word</Application>
  <DocSecurity>0</DocSecurity>
  <Lines>376</Lines>
  <Paragraphs>106</Paragraphs>
  <ScaleCrop>false</ScaleCrop>
  <Company>Microsoft</Company>
  <LinksUpToDate>false</LinksUpToDate>
  <CharactersWithSpaces>53052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647</cp:revision>
  <cp:lastPrinted>2021-01-15T01:17:00Z</cp:lastPrinted>
  <dcterms:created xsi:type="dcterms:W3CDTF">2021-03-03T00:56:00Z</dcterms:created>
  <dcterms:modified xsi:type="dcterms:W3CDTF">2024-03-12T08:00:53Z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5626B888FD20474782C2D3D4D6F359A9_13</vt:lpwstr>
  </property>
  <property fmtid="{D5CDD505-2E9C-101B-9397-08002B2CF9AE}" pid="3" name="KSOProductBuildVer">
    <vt:lpwstr>2052-12.1.0.16388</vt:lpwstr>
  </property>
</Properties>
</file>