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Hlk7145690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rPr>
          <w:rFonts w:hint="eastAsia"/>
          <w:lang w:val="en-US" w:eastAsia="zh-CN"/>
        </w:rPr>
      </w:pPr>
    </w:p>
    <w:p>
      <w:pPr>
        <w:rPr>
          <w:rFonts w:hint="eastAsi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r>
        <w:rPr>
          <w:rFonts w:ascii="黑体" w:eastAsia="黑体" w:hAnsi="宋体" w:cs="黑体" w:hint="eastAsia"/>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rPr>
                <w:sz w:val="30"/>
                <w:szCs w:val="30"/>
              </w:rPr>
            </w:pPr>
            <w:r>
              <w:rPr>
                <w:rFonts w:hint="eastAsia"/>
                <w:sz w:val="30"/>
                <w:szCs w:val="30"/>
              </w:rPr>
              <w:t>BACG2025000218</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rPr>
                <w:sz w:val="30"/>
                <w:szCs w:val="30"/>
              </w:rPr>
            </w:pPr>
            <w:r>
              <w:rPr>
                <w:rFonts w:hint="eastAsia"/>
                <w:sz w:val="30"/>
                <w:szCs w:val="30"/>
              </w:rPr>
              <w:t>深圳市宝安区黄田实验学校生物实验考试设备采购项目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r>
              <w:rPr>
                <w:szCs w:val="21"/>
                <w:highlight w:val="yellow"/>
              </w:rPr>
              <w:t>综合评分法，</w:t>
            </w:r>
            <w:r>
              <w:rPr>
                <w:rFonts w:hint="eastAsia"/>
                <w:szCs w:val="21"/>
                <w:highlight w:val="yellow"/>
              </w:rPr>
              <w:t>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57</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eastAsia="宋体" w:hAnsi="宋体" w:cs="宋体" w:hint="eastAsia"/>
                <w:b/>
                <w:kern w:val="2"/>
                <w:sz w:val="21"/>
                <w:szCs w:val="21"/>
                <w:lang w:val="en-US" w:eastAsia="zh-CN" w:bidi="ar-SA"/>
              </w:rPr>
            </w:pPr>
            <w:r>
              <w:rPr>
                <w:rFonts w:ascii="宋体" w:eastAsia="宋体" w:hAnsi="宋体" w:hint="eastAsia"/>
                <w:bCs/>
                <w:szCs w:val="21"/>
              </w:rPr>
              <w:t>“▲”参数响应</w:t>
            </w:r>
            <w:r>
              <w:rPr>
                <w:rFonts w:ascii="宋体" w:eastAsia="宋体" w:hAnsi="宋体" w:hint="default"/>
                <w:bCs/>
                <w:szCs w:val="21"/>
              </w:rPr>
              <w:t>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default"/>
                <w:szCs w:val="21"/>
                <w:lang w:val="en-US" w:eastAsia="zh-CN"/>
              </w:rPr>
            </w:pPr>
            <w:r>
              <w:rPr>
                <w:rFonts w:hint="eastAsia"/>
                <w:szCs w:val="21"/>
                <w:lang w:val="en-US" w:eastAsia="zh-CN"/>
              </w:rPr>
              <w:t>30</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snapToGrid w:val="0"/>
              <w:rPr>
                <w:rFonts w:ascii="宋体" w:eastAsia="宋体" w:hAnsi="宋体" w:cs="宋体" w:hint="eastAsia"/>
                <w:color w:val="auto"/>
                <w:kern w:val="0"/>
                <w:szCs w:val="21"/>
                <w:highlight w:val="none"/>
                <w:lang w:eastAsia="zh-CN"/>
              </w:rPr>
            </w:pPr>
            <w:r>
              <w:rPr>
                <w:rFonts w:ascii="宋体" w:eastAsia="宋体" w:hAnsi="宋体" w:cs="宋体" w:hint="eastAsia"/>
                <w:color w:val="auto"/>
                <w:kern w:val="0"/>
                <w:szCs w:val="21"/>
                <w:highlight w:val="none"/>
              </w:rPr>
              <w:t>（一）评审内容：</w:t>
            </w:r>
          </w:p>
          <w:p>
            <w:pPr>
              <w:snapToGrid w:val="0"/>
              <w:rPr>
                <w:rFonts w:ascii="宋体" w:eastAsia="宋体" w:hAnsi="宋体" w:cs="宋体" w:hint="eastAsia"/>
                <w:color w:val="auto"/>
                <w:kern w:val="0"/>
                <w:szCs w:val="21"/>
                <w:highlight w:val="none"/>
                <w:lang w:eastAsia="zh-CN"/>
              </w:rPr>
            </w:pPr>
            <w:r>
              <w:rPr>
                <w:rFonts w:ascii="宋体" w:eastAsia="宋体" w:hAnsi="宋体" w:cs="宋体" w:hint="eastAsia"/>
                <w:color w:val="auto"/>
                <w:kern w:val="0"/>
                <w:szCs w:val="21"/>
                <w:highlight w:val="none"/>
              </w:rPr>
              <w:t>考察投标人对招标文件</w:t>
            </w:r>
            <w:r>
              <w:rPr>
                <w:rFonts w:ascii="宋体" w:eastAsia="宋体" w:hAnsi="宋体" w:cs="宋体" w:hint="eastAsia"/>
                <w:b/>
                <w:bCs/>
                <w:color w:val="auto"/>
                <w:kern w:val="0"/>
                <w:szCs w:val="21"/>
                <w:highlight w:val="none"/>
              </w:rPr>
              <w:t>《第一册 专用条款 第三章 用户需求书：</w:t>
            </w:r>
            <w:r>
              <w:rPr>
                <w:rFonts w:ascii="宋体" w:hAnsi="宋体" w:cs="宋体" w:hint="eastAsia"/>
                <w:b/>
                <w:bCs/>
                <w:color w:val="auto"/>
                <w:kern w:val="0"/>
                <w:szCs w:val="21"/>
                <w:highlight w:val="none"/>
                <w:lang w:val="en-US" w:eastAsia="zh-CN"/>
              </w:rPr>
              <w:t>四</w:t>
            </w:r>
            <w:r>
              <w:rPr>
                <w:rFonts w:ascii="宋体" w:eastAsia="宋体" w:hAnsi="宋体" w:cs="宋体" w:hint="eastAsia"/>
                <w:b/>
                <w:bCs/>
                <w:color w:val="auto"/>
                <w:kern w:val="0"/>
                <w:szCs w:val="21"/>
                <w:highlight w:val="none"/>
              </w:rPr>
              <w:t>、技术要求》</w:t>
            </w:r>
            <w:r>
              <w:rPr>
                <w:rFonts w:ascii="宋体" w:eastAsia="宋体" w:hAnsi="宋体" w:cs="宋体" w:hint="eastAsia"/>
                <w:color w:val="auto"/>
                <w:kern w:val="0"/>
                <w:szCs w:val="21"/>
                <w:highlight w:val="none"/>
              </w:rPr>
              <w:t>内容中的</w:t>
            </w:r>
            <w:r>
              <w:rPr>
                <w:rFonts w:ascii="宋体" w:eastAsia="宋体" w:hAnsi="宋体" w:cs="宋体" w:hint="eastAsia"/>
                <w:b/>
                <w:bCs/>
                <w:color w:val="auto"/>
                <w:kern w:val="0"/>
                <w:szCs w:val="21"/>
                <w:highlight w:val="none"/>
              </w:rPr>
              <w:t>“▲”参数响应</w:t>
            </w:r>
            <w:r>
              <w:rPr>
                <w:rFonts w:ascii="宋体" w:eastAsia="宋体" w:hAnsi="宋体" w:cs="宋体" w:hint="eastAsia"/>
                <w:color w:val="auto"/>
                <w:kern w:val="0"/>
                <w:szCs w:val="21"/>
                <w:highlight w:val="none"/>
              </w:rPr>
              <w:t>情况。</w:t>
            </w:r>
          </w:p>
          <w:p>
            <w:pPr>
              <w:snapToGrid w:val="0"/>
              <w:rPr>
                <w:rFonts w:ascii="宋体" w:eastAsia="宋体" w:hAnsi="宋体" w:cs="宋体" w:hint="eastAsia"/>
                <w:color w:val="0000FF"/>
                <w:kern w:val="0"/>
                <w:szCs w:val="21"/>
                <w:highlight w:val="none"/>
                <w:lang w:eastAsia="zh-CN"/>
              </w:rPr>
            </w:pPr>
            <w:r>
              <w:rPr>
                <w:rFonts w:ascii="宋体" w:eastAsia="宋体" w:hAnsi="宋体" w:cs="宋体" w:hint="eastAsia"/>
                <w:color w:val="0000FF"/>
                <w:kern w:val="0"/>
                <w:szCs w:val="21"/>
                <w:highlight w:val="none"/>
              </w:rPr>
              <w:t>（二）评审依据：</w:t>
            </w:r>
          </w:p>
          <w:p>
            <w:pPr>
              <w:snapToGrid w:val="0"/>
              <w:rPr>
                <w:rFonts w:ascii="宋体" w:eastAsia="宋体" w:hAnsi="宋体" w:cs="宋体" w:hint="eastAsia"/>
                <w:kern w:val="2"/>
                <w:sz w:val="21"/>
                <w:szCs w:val="21"/>
                <w:lang w:val="en-US" w:eastAsia="zh-CN" w:bidi="ar-SA"/>
              </w:rPr>
            </w:pPr>
            <w:r>
              <w:rPr>
                <w:rFonts w:ascii="宋体" w:eastAsia="宋体" w:hAnsi="宋体" w:cs="宋体" w:hint="eastAsia"/>
                <w:color w:val="0000FF"/>
                <w:kern w:val="0"/>
                <w:szCs w:val="21"/>
                <w:highlight w:val="none"/>
              </w:rPr>
              <w:t>以投标文件《技术要求偏离表》为评审依据，完全符合招标要求的，得100分。</w:t>
            </w:r>
            <w:r>
              <w:rPr>
                <w:rFonts w:ascii="宋体" w:hAnsi="宋体" w:cs="宋体" w:hint="eastAsia"/>
                <w:color w:val="0000FF"/>
                <w:kern w:val="0"/>
                <w:szCs w:val="21"/>
                <w:highlight w:val="none"/>
                <w:lang w:val="en-US" w:eastAsia="zh-CN"/>
              </w:rPr>
              <w:t>每</w:t>
            </w:r>
            <w:r>
              <w:rPr>
                <w:rFonts w:ascii="宋体" w:eastAsia="宋体" w:hAnsi="宋体" w:cs="宋体" w:hint="eastAsia"/>
                <w:color w:val="0000FF"/>
                <w:kern w:val="0"/>
                <w:szCs w:val="21"/>
                <w:highlight w:val="none"/>
              </w:rPr>
              <w:t>1项“▲”参数不符合招标要求（或缺漏）的扣</w:t>
            </w:r>
            <w:r>
              <w:rPr>
                <w:rFonts w:ascii="宋体" w:hAnsi="宋体" w:cs="宋体" w:hint="eastAsia"/>
                <w:color w:val="0000FF"/>
                <w:kern w:val="0"/>
                <w:szCs w:val="21"/>
                <w:highlight w:val="yellow"/>
                <w:lang w:val="en-US" w:eastAsia="zh-CN"/>
              </w:rPr>
              <w:t>20</w:t>
            </w:r>
            <w:r>
              <w:rPr>
                <w:rFonts w:ascii="宋体" w:eastAsia="宋体" w:hAnsi="宋体" w:cs="宋体" w:hint="eastAsia"/>
                <w:color w:val="0000FF"/>
                <w:kern w:val="0"/>
                <w:szCs w:val="21"/>
                <w:highlight w:val="none"/>
              </w:rPr>
              <w:t>分，最低得0分。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eastAsia="宋体" w:hAnsi="宋体" w:cs="宋体" w:hint="eastAsia"/>
                <w:kern w:val="2"/>
                <w:sz w:val="21"/>
                <w:szCs w:val="21"/>
                <w:lang w:val="en-US" w:eastAsia="zh-CN" w:bidi="ar-SA"/>
              </w:rPr>
            </w:pPr>
            <w:r>
              <w:rPr>
                <w:rFonts w:ascii="宋体" w:eastAsia="宋体" w:hAnsi="宋体" w:hint="eastAsia"/>
                <w:szCs w:val="21"/>
              </w:rPr>
              <w:t>非“</w:t>
            </w:r>
            <w:r>
              <w:rPr>
                <w:rFonts w:ascii="宋体" w:eastAsia="宋体" w:hAnsi="宋体" w:hint="eastAsia"/>
                <w:bCs/>
                <w:szCs w:val="21"/>
              </w:rPr>
              <w:t>▲”参数</w:t>
            </w:r>
            <w:r>
              <w:rPr>
                <w:rFonts w:ascii="宋体" w:eastAsia="宋体" w:hAnsi="宋体" w:hint="eastAsia"/>
                <w:szCs w:val="21"/>
              </w:rPr>
              <w:t>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default"/>
                <w:szCs w:val="21"/>
                <w:lang w:val="en-US" w:eastAsia="zh-CN"/>
              </w:rPr>
            </w:pPr>
            <w:r>
              <w:rPr>
                <w:rFonts w:hint="eastAsia"/>
                <w:szCs w:val="21"/>
                <w:lang w:val="en-US" w:eastAsia="zh-CN"/>
              </w:rPr>
              <w:t>15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spacing w:before="0" w:beforeAutospacing="0" w:after="0" w:afterAutospacing="0" w:line="300" w:lineRule="exact"/>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（一）评审内容：</w:t>
            </w:r>
          </w:p>
          <w:p>
            <w:pPr>
              <w:keepNext w:val="0"/>
              <w:keepLines w:val="0"/>
              <w:widowControl/>
              <w:suppressLineNumbers w:val="0"/>
              <w:spacing w:before="0" w:beforeAutospacing="0" w:after="0" w:afterAutospacing="0" w:line="300" w:lineRule="exact"/>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考察投标人对招标文件</w:t>
            </w:r>
            <w:r>
              <w:rPr>
                <w:rFonts w:ascii="宋体" w:eastAsia="宋体" w:hAnsi="宋体" w:cs="宋体" w:hint="eastAsia"/>
                <w:b/>
                <w:bCs/>
                <w:kern w:val="0"/>
                <w:szCs w:val="21"/>
                <w:highlight w:val="none"/>
              </w:rPr>
              <w:t>《第一册 专用条款 第三章 用户需求书：</w:t>
            </w:r>
            <w:r>
              <w:rPr>
                <w:rFonts w:ascii="宋体" w:hAnsi="宋体" w:cs="宋体" w:hint="eastAsia"/>
                <w:b/>
                <w:bCs/>
                <w:color w:val="auto"/>
                <w:kern w:val="0"/>
                <w:szCs w:val="21"/>
                <w:highlight w:val="none"/>
                <w:lang w:val="en-US" w:eastAsia="zh-CN"/>
              </w:rPr>
              <w:t>四</w:t>
            </w:r>
            <w:r>
              <w:rPr>
                <w:rFonts w:ascii="宋体" w:eastAsia="宋体" w:hAnsi="宋体" w:cs="宋体" w:hint="eastAsia"/>
                <w:b/>
                <w:bCs/>
                <w:color w:val="auto"/>
                <w:kern w:val="0"/>
                <w:szCs w:val="21"/>
                <w:highlight w:val="none"/>
              </w:rPr>
              <w:t>、技术要求</w:t>
            </w:r>
            <w:r>
              <w:rPr>
                <w:rFonts w:ascii="宋体" w:eastAsia="宋体" w:hAnsi="宋体" w:cs="宋体" w:hint="eastAsia"/>
                <w:b/>
                <w:bCs/>
                <w:kern w:val="0"/>
                <w:szCs w:val="21"/>
                <w:highlight w:val="none"/>
              </w:rPr>
              <w:t>》</w:t>
            </w:r>
            <w:r>
              <w:rPr>
                <w:rFonts w:ascii="宋体" w:eastAsia="宋体" w:hAnsi="宋体" w:cs="宋体" w:hint="eastAsia"/>
                <w:kern w:val="0"/>
                <w:szCs w:val="21"/>
                <w:highlight w:val="none"/>
              </w:rPr>
              <w:t>内容中的</w:t>
            </w:r>
            <w:r>
              <w:rPr>
                <w:rFonts w:ascii="宋体" w:eastAsia="宋体" w:hAnsi="宋体" w:cs="宋体" w:hint="eastAsia"/>
                <w:b/>
                <w:kern w:val="0"/>
                <w:szCs w:val="21"/>
                <w:highlight w:val="none"/>
              </w:rPr>
              <w:t>非“▲”参数响应</w:t>
            </w:r>
            <w:r>
              <w:rPr>
                <w:rFonts w:ascii="宋体" w:eastAsia="宋体" w:hAnsi="宋体" w:cs="宋体" w:hint="eastAsia"/>
                <w:kern w:val="0"/>
                <w:szCs w:val="21"/>
                <w:highlight w:val="none"/>
              </w:rPr>
              <w:t>情况。</w:t>
            </w:r>
          </w:p>
          <w:p>
            <w:pPr>
              <w:keepNext w:val="0"/>
              <w:keepLines w:val="0"/>
              <w:suppressLineNumbers w:val="0"/>
              <w:spacing w:before="0" w:beforeAutospacing="0" w:after="0" w:afterAutospacing="0" w:line="300" w:lineRule="exact"/>
              <w:ind w:left="0" w:right="0"/>
              <w:rPr>
                <w:rFonts w:ascii="宋体" w:eastAsia="宋体" w:hAnsi="宋体" w:cs="宋体" w:hint="default"/>
                <w:color w:val="0000FF"/>
                <w:szCs w:val="21"/>
                <w:highlight w:val="none"/>
              </w:rPr>
            </w:pPr>
            <w:r>
              <w:rPr>
                <w:rFonts w:ascii="宋体" w:eastAsia="宋体" w:hAnsi="宋体" w:cs="宋体" w:hint="eastAsia"/>
                <w:color w:val="0000FF"/>
                <w:szCs w:val="21"/>
                <w:highlight w:val="none"/>
              </w:rPr>
              <w:t>（二）评审依据：</w:t>
            </w:r>
          </w:p>
          <w:p>
            <w:pPr>
              <w:autoSpaceDE w:val="0"/>
              <w:autoSpaceDN w:val="0"/>
              <w:adjustRightInd w:val="0"/>
              <w:spacing w:line="300" w:lineRule="exact"/>
              <w:jc w:val="left"/>
              <w:rPr>
                <w:rFonts w:ascii="宋体" w:eastAsia="宋体" w:hAnsi="宋体" w:cs="宋体" w:hint="eastAsia"/>
                <w:kern w:val="2"/>
                <w:sz w:val="21"/>
                <w:szCs w:val="21"/>
                <w:lang w:val="en-US" w:eastAsia="zh-CN" w:bidi="ar-SA"/>
              </w:rPr>
            </w:pPr>
            <w:r>
              <w:rPr>
                <w:rFonts w:ascii="宋体" w:eastAsia="宋体" w:hAnsi="宋体" w:cs="宋体" w:hint="eastAsia"/>
                <w:color w:val="0000FF"/>
                <w:kern w:val="0"/>
                <w:szCs w:val="21"/>
                <w:highlight w:val="none"/>
              </w:rPr>
              <w:t>以投标文件《技术</w:t>
            </w:r>
            <w:r>
              <w:rPr>
                <w:rFonts w:ascii="宋体" w:eastAsia="宋体" w:hAnsi="宋体" w:cs="宋体" w:hint="eastAsia"/>
                <w:color w:val="0000FF"/>
                <w:kern w:val="0"/>
                <w:szCs w:val="21"/>
                <w:highlight w:val="none"/>
                <w:lang w:val="en-US" w:eastAsia="zh-CN"/>
              </w:rPr>
              <w:t>要求</w:t>
            </w:r>
            <w:r>
              <w:rPr>
                <w:rFonts w:ascii="宋体" w:eastAsia="宋体" w:hAnsi="宋体" w:cs="宋体" w:hint="eastAsia"/>
                <w:color w:val="0000FF"/>
                <w:kern w:val="0"/>
                <w:szCs w:val="21"/>
                <w:highlight w:val="none"/>
              </w:rPr>
              <w:t>偏离表》为评审依据，完全符合招标要求的，得100分。</w:t>
            </w:r>
            <w:r>
              <w:rPr>
                <w:rFonts w:ascii="宋体" w:hAnsi="宋体" w:cs="宋体" w:hint="eastAsia"/>
                <w:color w:val="0000FF"/>
                <w:kern w:val="0"/>
                <w:szCs w:val="21"/>
                <w:highlight w:val="none"/>
                <w:lang w:val="en-US" w:eastAsia="zh-CN"/>
              </w:rPr>
              <w:t>每</w:t>
            </w:r>
            <w:r>
              <w:rPr>
                <w:rFonts w:ascii="宋体" w:eastAsia="宋体" w:hAnsi="宋体" w:cs="宋体" w:hint="eastAsia"/>
                <w:color w:val="0000FF"/>
                <w:kern w:val="0"/>
                <w:szCs w:val="21"/>
                <w:highlight w:val="none"/>
              </w:rPr>
              <w:t>1项非“▲”参数不符合招标要求（或缺漏）的扣</w:t>
            </w:r>
            <w:r>
              <w:rPr>
                <w:rFonts w:ascii="宋体" w:hAnsi="宋体" w:cs="宋体" w:hint="eastAsia"/>
                <w:color w:val="0000FF"/>
                <w:kern w:val="0"/>
                <w:szCs w:val="21"/>
                <w:highlight w:val="yellow"/>
                <w:lang w:val="en-US" w:eastAsia="zh-CN"/>
              </w:rPr>
              <w:t>1.12</w:t>
            </w:r>
            <w:r>
              <w:rPr>
                <w:rFonts w:ascii="宋体" w:eastAsia="宋体" w:hAnsi="宋体" w:cs="宋体" w:hint="eastAsia"/>
                <w:color w:val="0000FF"/>
                <w:kern w:val="0"/>
                <w:szCs w:val="21"/>
                <w:highlight w:val="none"/>
              </w:rPr>
              <w:t>分，最低得0分。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政府采购节能环保产品</w:t>
            </w:r>
            <w:r>
              <w:rPr>
                <w:rFonts w:ascii="宋体" w:eastAsia="宋体" w:hAnsi="宋体" w:cs="宋体" w:hint="eastAsia"/>
                <w:sz w:val="21"/>
                <w:szCs w:val="21"/>
                <w:lang w:val="en-US" w:eastAsia="zh-CN"/>
              </w:rPr>
              <w:t>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default"/>
                <w:szCs w:val="21"/>
                <w:lang w:val="en-US" w:eastAsia="zh-CN"/>
              </w:rPr>
            </w:pPr>
            <w:r>
              <w:rPr>
                <w:rFonts w:hint="eastAsia"/>
                <w:szCs w:val="21"/>
                <w:lang w:val="en-US" w:eastAsia="zh-CN"/>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spacing w:before="0" w:beforeAutospacing="0" w:after="0" w:afterAutospacing="0" w:line="300" w:lineRule="exact"/>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（一）评审内容：</w:t>
            </w:r>
          </w:p>
          <w:p>
            <w:pPr>
              <w:keepNext w:val="0"/>
              <w:keepLines w:val="0"/>
              <w:suppressLineNumbers w:val="0"/>
              <w:spacing w:before="0" w:beforeAutospacing="0" w:after="0" w:afterAutospacing="0" w:line="300" w:lineRule="exact"/>
              <w:ind w:left="0" w:right="0"/>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根据《关于印发节能产品政府采购品目清单的通知》（财库〔2019〕19号）以及《关于印发环境标志产品政府采购品目清单的通知》（财库〔2019〕18号）的要求，投标人所投任一产品（以第三章 用户需求书 二、货物需求明细中“货物名称”为准）被列入节能产品政府采购品目清单（政府强制采购产品除外）或环境标志产品政府采购品目清单的得100分。</w:t>
            </w:r>
          </w:p>
          <w:p>
            <w:pPr>
              <w:keepNext w:val="0"/>
              <w:keepLines w:val="0"/>
              <w:suppressLineNumbers w:val="0"/>
              <w:spacing w:before="0" w:beforeAutospacing="0" w:after="0" w:afterAutospacing="0" w:line="300" w:lineRule="exact"/>
              <w:ind w:left="0" w:right="0"/>
              <w:rPr>
                <w:rFonts w:ascii="宋体" w:eastAsia="宋体" w:hAnsi="宋体" w:cs="宋体" w:hint="eastAsia"/>
                <w:kern w:val="2"/>
                <w:sz w:val="21"/>
                <w:szCs w:val="21"/>
                <w:lang w:val="en-US" w:eastAsia="zh-CN" w:bidi="ar-SA"/>
              </w:rPr>
            </w:pPr>
            <w:r>
              <w:rPr>
                <w:rFonts w:ascii="宋体" w:eastAsia="宋体" w:hAnsi="宋体" w:cs="宋体" w:hint="eastAsia"/>
                <w:color w:val="0000FF"/>
                <w:szCs w:val="21"/>
                <w:highlight w:val="none"/>
              </w:rPr>
              <w:t>（二）评审依据：</w:t>
            </w:r>
          </w:p>
          <w:p>
            <w:pPr>
              <w:snapToGrid w:val="0"/>
              <w:ind w:firstLine="420" w:firstLineChars="200"/>
              <w:jc w:val="both"/>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需提供依据《市场监管总局关于发布参与实施政府采购节能产品、环境标志产品认证机构名录的公告》（2019年第16号）确定的认证机构出具的、处于有效期之内的节能产品、环境标志产品认证证书扫描件，原件备查。未提供或不符合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lang w:val="en-US" w:eastAsia="zh-CN"/>
              </w:rPr>
            </w:pPr>
            <w:r>
              <w:rPr>
                <w:rFonts w:ascii="宋体" w:hAnsi="宋体" w:cs="宋体" w:hint="eastAsia"/>
                <w:kern w:val="0"/>
                <w:szCs w:val="21"/>
                <w:lang w:val="en-US" w:eastAsia="zh-CN"/>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绿色采购</w:t>
            </w:r>
            <w:r>
              <w:rPr>
                <w:rFonts w:ascii="宋体" w:eastAsia="宋体" w:hAnsi="宋体" w:cs="宋体" w:hint="eastAsia"/>
                <w:sz w:val="21"/>
                <w:szCs w:val="21"/>
                <w:lang w:val="en-US" w:eastAsia="zh-CN"/>
              </w:rPr>
              <w:t>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int="default"/>
                <w:szCs w:val="21"/>
                <w:lang w:val="en-US" w:eastAsia="zh-CN"/>
              </w:rPr>
            </w:pPr>
            <w:r>
              <w:rPr>
                <w:rFonts w:hint="eastAsia"/>
                <w:szCs w:val="21"/>
                <w:lang w:val="en-US" w:eastAsia="zh-CN"/>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spacing w:before="0" w:beforeAutospacing="0" w:after="0" w:afterAutospacing="0" w:line="300" w:lineRule="exact"/>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（一）评审内容：</w:t>
            </w:r>
          </w:p>
          <w:p>
            <w:pPr>
              <w:snapToGrid w:val="0"/>
              <w:ind w:firstLine="420" w:firstLineChars="200"/>
              <w:jc w:val="both"/>
              <w:rPr>
                <w:rFonts w:hint="eastAsia"/>
                <w:szCs w:val="21"/>
              </w:rPr>
            </w:pPr>
            <w:r>
              <w:rPr>
                <w:rFonts w:hint="eastAsia"/>
                <w:szCs w:val="21"/>
              </w:rPr>
              <w:t>项目采购内容中包含需要对相关产品需要进行商品包装和快递包装的，投标人承诺所进行的商品包装和快递包装满足财政部《商品包装政府采购需求标准（试行）》《快递包装政府采购需求标准（试行）》（财办库〔2020〕123号）的要求，采用环保材料进行包装。</w:t>
            </w:r>
          </w:p>
          <w:p>
            <w:pPr>
              <w:keepNext w:val="0"/>
              <w:keepLines w:val="0"/>
              <w:suppressLineNumbers w:val="0"/>
              <w:spacing w:before="0" w:beforeAutospacing="0" w:after="0" w:afterAutospacing="0" w:line="300" w:lineRule="exact"/>
              <w:ind w:left="0" w:right="0"/>
              <w:rPr>
                <w:rFonts w:ascii="宋体" w:eastAsia="宋体" w:hAnsi="宋体" w:cs="宋体" w:hint="default"/>
                <w:kern w:val="0"/>
                <w:szCs w:val="21"/>
                <w:highlight w:val="none"/>
              </w:rPr>
            </w:pPr>
            <w:r>
              <w:rPr>
                <w:rFonts w:ascii="宋体" w:eastAsia="宋体" w:hAnsi="宋体" w:cs="宋体" w:hint="eastAsia"/>
                <w:color w:val="0000FF"/>
                <w:szCs w:val="21"/>
                <w:highlight w:val="none"/>
              </w:rPr>
              <w:t>（二）评审依据：</w:t>
            </w:r>
          </w:p>
          <w:p>
            <w:pPr>
              <w:snapToGrid w:val="0"/>
              <w:ind w:firstLine="420" w:firstLineChars="200"/>
              <w:jc w:val="both"/>
              <w:rPr>
                <w:rFonts w:ascii="宋体" w:eastAsia="宋体" w:hAnsi="宋体" w:cs="宋体" w:hint="eastAsia"/>
                <w:color w:val="0000FF"/>
                <w:szCs w:val="21"/>
                <w:highlight w:val="none"/>
              </w:rPr>
            </w:pPr>
            <w:r>
              <w:rPr>
                <w:rFonts w:ascii="宋体" w:eastAsia="宋体" w:hAnsi="宋体" w:cs="宋体" w:hint="eastAsia"/>
                <w:color w:val="0000FF"/>
                <w:szCs w:val="21"/>
                <w:highlight w:val="none"/>
              </w:rPr>
              <w:t>投标人提供符合相关要求的承诺函</w:t>
            </w:r>
            <w:r>
              <w:rPr>
                <w:rFonts w:ascii="宋体" w:eastAsia="宋体" w:hAnsi="宋体" w:cs="宋体" w:hint="eastAsia"/>
                <w:color w:val="0000FF"/>
                <w:szCs w:val="21"/>
                <w:highlight w:val="none"/>
                <w:lang w:val="en-US" w:eastAsia="zh-CN"/>
              </w:rPr>
              <w:t>得100分</w:t>
            </w:r>
            <w:r>
              <w:rPr>
                <w:rFonts w:ascii="宋体" w:eastAsia="宋体" w:hAnsi="宋体" w:cs="宋体" w:hint="eastAsia"/>
                <w:color w:val="0000FF"/>
                <w:szCs w:val="21"/>
                <w:highlight w:val="none"/>
              </w:rPr>
              <w:t>（格式自定，</w:t>
            </w:r>
            <w:r>
              <w:rPr>
                <w:rFonts w:ascii="宋体" w:eastAsia="宋体" w:hAnsi="宋体" w:cs="宋体" w:hint="eastAsia"/>
                <w:color w:val="0000FF"/>
                <w:szCs w:val="21"/>
                <w:highlight w:val="none"/>
                <w:lang w:val="en-US" w:eastAsia="zh-CN"/>
              </w:rPr>
              <w:t>应在《政府采购投标及履约承诺函》外另起承诺函）可视为符合规定，</w:t>
            </w:r>
            <w:r>
              <w:rPr>
                <w:rFonts w:ascii="宋体" w:eastAsia="宋体" w:hAnsi="宋体" w:cs="宋体" w:hint="eastAsia"/>
                <w:color w:val="0000FF"/>
                <w:szCs w:val="21"/>
                <w:highlight w:val="none"/>
              </w:rPr>
              <w:t>无需提供检测报告、认证报告。未提供或不符合的不得分。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default"/>
                <w:kern w:val="0"/>
                <w:szCs w:val="21"/>
                <w:lang w:val="en-US" w:eastAsia="zh-CN"/>
              </w:rPr>
            </w:pPr>
            <w:r>
              <w:rPr>
                <w:rFonts w:ascii="宋体" w:hAnsi="宋体" w:cs="宋体" w:hint="eastAsia"/>
                <w:kern w:val="0"/>
                <w:szCs w:val="21"/>
                <w:lang w:val="en-US" w:eastAsia="zh-CN"/>
              </w:rPr>
              <w:t>5</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lang w:val="en-US" w:eastAsia="zh-CN"/>
              </w:rPr>
              <w:t>售后服务评价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hint="default"/>
                <w:szCs w:val="21"/>
                <w:lang w:val="en-US" w:eastAsia="zh-CN"/>
              </w:rPr>
            </w:pPr>
            <w:r>
              <w:rPr>
                <w:rFonts w:hint="eastAsia"/>
                <w:szCs w:val="21"/>
                <w:lang w:val="en-US" w:eastAsia="zh-CN"/>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（一）评审内容：</w:t>
            </w:r>
          </w:p>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投标人提供本项目的售后服务方案，方案中包含：</w:t>
            </w:r>
          </w:p>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1、服务内容；</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2、维修应急方案；</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3、培训计划；</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4、其他特色服务。</w:t>
            </w:r>
          </w:p>
          <w:p>
            <w:pPr>
              <w:pStyle w:val="NoSpacing"/>
              <w:ind w:left="0" w:firstLine="0" w:leftChars="0" w:firstLineChars="0"/>
              <w:rPr>
                <w:rFonts w:asciiTheme="minorEastAsia" w:eastAsiaTheme="minorEastAsia" w:hAnsiTheme="minorEastAsia" w:cstheme="minorEastAsia" w:hint="default"/>
                <w:kern w:val="0"/>
                <w:sz w:val="21"/>
                <w:szCs w:val="21"/>
                <w:lang w:val="en-US" w:eastAsia="zh-CN"/>
              </w:rPr>
            </w:pPr>
            <w:r>
              <w:rPr>
                <w:rFonts w:asciiTheme="minorEastAsia" w:eastAsiaTheme="minorEastAsia" w:hAnsiTheme="minorEastAsia" w:cstheme="minorEastAsia" w:hint="eastAsia"/>
                <w:kern w:val="0"/>
                <w:sz w:val="21"/>
                <w:szCs w:val="21"/>
                <w:lang w:val="en-US" w:eastAsia="zh-CN"/>
              </w:rPr>
              <w:t>（二）评审依据：</w:t>
            </w:r>
          </w:p>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方案中含有上述一个内容得15分，总计60分。在此基础上，对方案的合理性、可行性进行打分。</w:t>
            </w:r>
          </w:p>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1、售后服务方案非常详细，保障措施完善可行，得40分；</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2、售后服务方案比较具体，保障措施比较完善可行的得20分；</w:t>
            </w:r>
          </w:p>
          <w:p>
            <w:pPr>
              <w:snapToGrid w:val="0"/>
              <w:jc w:val="both"/>
              <w:rPr>
                <w:rFonts w:ascii="宋体" w:eastAsia="宋体" w:hAnsi="宋体" w:cs="宋体" w:hint="eastAsia"/>
                <w:color w:val="0000FF"/>
                <w:szCs w:val="21"/>
                <w:highlight w:val="none"/>
              </w:rPr>
            </w:pPr>
            <w:r>
              <w:rPr>
                <w:rFonts w:ascii="宋体" w:eastAsia="宋体" w:hAnsi="宋体" w:cs="宋体" w:hint="eastAsia"/>
                <w:color w:val="auto"/>
                <w:szCs w:val="21"/>
                <w:highlight w:val="none"/>
                <w:lang w:val="en-US" w:eastAsia="zh-CN"/>
              </w:rPr>
              <w:t>3、未提供售后服务方案或售后服务方案不详细、可行性较差的得0分。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lang w:val="en-US" w:eastAsia="zh-CN"/>
              </w:rPr>
            </w:pPr>
            <w:r>
              <w:rPr>
                <w:rFonts w:ascii="宋体" w:hAnsi="宋体" w:cs="宋体" w:hint="eastAsia"/>
                <w:kern w:val="0"/>
                <w:szCs w:val="21"/>
                <w:lang w:val="en-US" w:eastAsia="zh-CN"/>
              </w:rPr>
              <w:t>6</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组织实施方案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hint="eastAsia"/>
                <w:szCs w:val="21"/>
                <w:lang w:val="en-US" w:eastAsia="zh-CN"/>
              </w:rPr>
            </w:pPr>
            <w:r>
              <w:rPr>
                <w:rFonts w:hint="eastAsia"/>
                <w:szCs w:val="21"/>
                <w:lang w:val="en-US" w:eastAsia="zh-CN"/>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（一）评审内容：</w:t>
            </w:r>
          </w:p>
          <w:p>
            <w:pPr>
              <w:snapToGrid w:val="0"/>
              <w:jc w:val="both"/>
              <w:rPr>
                <w:rFonts w:ascii="宋体" w:eastAsia="宋体" w:hAnsi="宋体" w:cs="宋体" w:hint="eastAsia"/>
                <w:color w:val="auto"/>
                <w:szCs w:val="21"/>
                <w:highlight w:val="none"/>
                <w:lang w:eastAsia="zh-CN"/>
              </w:rPr>
            </w:pPr>
            <w:r>
              <w:rPr>
                <w:rFonts w:ascii="宋体" w:eastAsia="宋体" w:hAnsi="宋体" w:cs="宋体" w:hint="eastAsia"/>
                <w:color w:val="auto"/>
                <w:szCs w:val="21"/>
                <w:highlight w:val="none"/>
              </w:rPr>
              <w:t>投标人提供本项目的组织实施方案，方案中包含</w:t>
            </w:r>
            <w:r>
              <w:rPr>
                <w:rFonts w:ascii="宋体" w:eastAsia="宋体" w:hAnsi="宋体" w:cs="宋体" w:hint="eastAsia"/>
                <w:color w:val="auto"/>
                <w:szCs w:val="21"/>
                <w:highlight w:val="none"/>
                <w:lang w:eastAsia="zh-CN"/>
              </w:rPr>
              <w:t>：</w:t>
            </w:r>
          </w:p>
          <w:p>
            <w:pPr>
              <w:snapToGrid w:val="0"/>
              <w:jc w:val="both"/>
              <w:rPr>
                <w:rFonts w:ascii="宋体" w:eastAsia="宋体" w:hAnsi="宋体" w:cs="宋体" w:hint="eastAsia"/>
                <w:color w:val="auto"/>
                <w:szCs w:val="21"/>
                <w:highlight w:val="none"/>
                <w:lang w:eastAsia="zh-CN"/>
              </w:rPr>
            </w:pPr>
            <w:r>
              <w:rPr>
                <w:rFonts w:ascii="宋体" w:eastAsia="宋体" w:hAnsi="宋体" w:cs="宋体" w:hint="eastAsia"/>
                <w:color w:val="auto"/>
                <w:szCs w:val="21"/>
                <w:highlight w:val="none"/>
              </w:rPr>
              <w:t>1、项目进度计划安排</w:t>
            </w:r>
            <w:r>
              <w:rPr>
                <w:rFonts w:ascii="宋体" w:eastAsia="宋体" w:hAnsi="宋体" w:cs="宋体" w:hint="eastAsia"/>
                <w:color w:val="auto"/>
                <w:szCs w:val="21"/>
                <w:highlight w:val="none"/>
                <w:lang w:eastAsia="zh-CN"/>
              </w:rPr>
              <w:t>；</w:t>
            </w:r>
          </w:p>
          <w:p>
            <w:pPr>
              <w:snapToGrid w:val="0"/>
              <w:jc w:val="both"/>
              <w:rPr>
                <w:rFonts w:ascii="宋体" w:eastAsia="宋体" w:hAnsi="宋体" w:cs="宋体" w:hint="eastAsia"/>
                <w:color w:val="auto"/>
                <w:szCs w:val="21"/>
                <w:highlight w:val="none"/>
                <w:lang w:eastAsia="zh-CN"/>
              </w:rPr>
            </w:pPr>
            <w:r>
              <w:rPr>
                <w:rFonts w:ascii="宋体" w:eastAsia="宋体" w:hAnsi="宋体" w:cs="宋体" w:hint="eastAsia"/>
                <w:color w:val="auto"/>
                <w:szCs w:val="21"/>
                <w:highlight w:val="none"/>
              </w:rPr>
              <w:t>2、施工组织计划</w:t>
            </w:r>
            <w:r>
              <w:rPr>
                <w:rFonts w:ascii="宋体" w:eastAsia="宋体" w:hAnsi="宋体" w:cs="宋体" w:hint="eastAsia"/>
                <w:color w:val="auto"/>
                <w:szCs w:val="21"/>
                <w:highlight w:val="none"/>
                <w:lang w:eastAsia="zh-CN"/>
              </w:rPr>
              <w:t>；</w:t>
            </w:r>
          </w:p>
          <w:p>
            <w:pPr>
              <w:snapToGrid w:val="0"/>
              <w:jc w:val="both"/>
              <w:rPr>
                <w:rFonts w:ascii="宋体" w:eastAsia="宋体" w:hAnsi="宋体" w:cs="宋体" w:hint="eastAsia"/>
                <w:color w:val="auto"/>
                <w:szCs w:val="21"/>
                <w:highlight w:val="none"/>
                <w:lang w:eastAsia="zh-CN"/>
              </w:rPr>
            </w:pPr>
            <w:r>
              <w:rPr>
                <w:rFonts w:ascii="宋体" w:eastAsia="宋体" w:hAnsi="宋体" w:cs="宋体" w:hint="eastAsia"/>
                <w:color w:val="auto"/>
                <w:szCs w:val="21"/>
                <w:highlight w:val="none"/>
              </w:rPr>
              <w:t>3、验收组织计划</w:t>
            </w:r>
            <w:r>
              <w:rPr>
                <w:rFonts w:ascii="宋体" w:eastAsia="宋体" w:hAnsi="宋体" w:cs="宋体" w:hint="eastAsia"/>
                <w:color w:val="auto"/>
                <w:szCs w:val="21"/>
                <w:highlight w:val="none"/>
                <w:lang w:eastAsia="zh-CN"/>
              </w:rPr>
              <w:t>；</w:t>
            </w:r>
          </w:p>
          <w:p>
            <w:pPr>
              <w:snapToGrid w:val="0"/>
              <w:jc w:val="both"/>
              <w:rPr>
                <w:rFonts w:ascii="宋体" w:eastAsia="宋体" w:hAnsi="宋体" w:cs="宋体" w:hint="eastAsia"/>
                <w:color w:val="auto"/>
                <w:szCs w:val="21"/>
                <w:highlight w:val="none"/>
                <w:lang w:eastAsia="zh-CN"/>
              </w:rPr>
            </w:pPr>
            <w:r>
              <w:rPr>
                <w:rFonts w:ascii="宋体" w:eastAsia="宋体" w:hAnsi="宋体" w:cs="宋体" w:hint="eastAsia"/>
                <w:color w:val="auto"/>
                <w:szCs w:val="21"/>
                <w:highlight w:val="none"/>
              </w:rPr>
              <w:t>4、产品培训方案</w:t>
            </w:r>
            <w:r>
              <w:rPr>
                <w:rFonts w:ascii="宋体" w:eastAsia="宋体" w:hAnsi="宋体" w:cs="宋体" w:hint="eastAsia"/>
                <w:color w:val="auto"/>
                <w:szCs w:val="21"/>
                <w:highlight w:val="none"/>
                <w:lang w:eastAsia="zh-CN"/>
              </w:rPr>
              <w:t>。</w:t>
            </w:r>
          </w:p>
          <w:p>
            <w:pPr>
              <w:pStyle w:val="NoSpacing"/>
              <w:ind w:left="0" w:firstLine="0" w:leftChars="0" w:firstLineChars="0"/>
              <w:rPr>
                <w:rFonts w:asciiTheme="minorEastAsia" w:eastAsiaTheme="minorEastAsia" w:hAnsiTheme="minorEastAsia" w:cstheme="minorEastAsia" w:hint="default"/>
                <w:kern w:val="0"/>
                <w:sz w:val="21"/>
                <w:szCs w:val="21"/>
                <w:lang w:val="en-US" w:eastAsia="zh-CN"/>
              </w:rPr>
            </w:pPr>
            <w:r>
              <w:rPr>
                <w:rFonts w:asciiTheme="minorEastAsia" w:eastAsiaTheme="minorEastAsia" w:hAnsiTheme="minorEastAsia" w:cstheme="minorEastAsia" w:hint="eastAsia"/>
                <w:kern w:val="0"/>
                <w:sz w:val="21"/>
                <w:szCs w:val="21"/>
                <w:lang w:val="en-US" w:eastAsia="zh-CN"/>
              </w:rPr>
              <w:t>（二）评审依据：</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方案中含有上述一个内容得15分</w:t>
            </w:r>
            <w:r>
              <w:rPr>
                <w:rFonts w:ascii="宋体" w:eastAsia="宋体" w:hAnsi="宋体" w:cs="宋体" w:hint="eastAsia"/>
                <w:color w:val="auto"/>
                <w:szCs w:val="21"/>
                <w:highlight w:val="none"/>
                <w:lang w:eastAsia="zh-CN"/>
              </w:rPr>
              <w:t>，</w:t>
            </w:r>
            <w:r>
              <w:rPr>
                <w:rFonts w:ascii="宋体" w:eastAsia="宋体" w:hAnsi="宋体" w:cs="宋体" w:hint="eastAsia"/>
                <w:color w:val="auto"/>
                <w:szCs w:val="21"/>
                <w:highlight w:val="none"/>
                <w:lang w:val="en-US" w:eastAsia="zh-CN"/>
              </w:rPr>
              <w:t>总计60分</w:t>
            </w:r>
            <w:r>
              <w:rPr>
                <w:rFonts w:ascii="宋体" w:eastAsia="宋体" w:hAnsi="宋体" w:cs="宋体" w:hint="eastAsia"/>
                <w:color w:val="auto"/>
                <w:szCs w:val="21"/>
                <w:highlight w:val="none"/>
              </w:rPr>
              <w:t>。在此基础上，对方案的合理性、可行性进行打分。</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1、方案清晰周密、合理可行、表述完整、方法得当、符合相关规范要求得40分。</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2、方案基本可行表述基本完整得20分。</w:t>
            </w:r>
          </w:p>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3、</w:t>
            </w:r>
            <w:r>
              <w:rPr>
                <w:rFonts w:ascii="宋体" w:eastAsia="宋体" w:hAnsi="宋体" w:cs="宋体" w:hint="eastAsia"/>
                <w:color w:val="auto"/>
                <w:szCs w:val="21"/>
                <w:highlight w:val="none"/>
              </w:rPr>
              <w:t>未提供或方案计划不切合本项目的实际情况、合理完善性差、可行性差的不得分。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default"/>
                <w:kern w:val="0"/>
                <w:szCs w:val="21"/>
                <w:lang w:val="en-US" w:eastAsia="zh-CN"/>
              </w:rPr>
            </w:pPr>
            <w:r>
              <w:rPr>
                <w:rFonts w:ascii="宋体" w:hAnsi="宋体" w:cs="宋体" w:hint="eastAsia"/>
                <w:kern w:val="0"/>
                <w:szCs w:val="21"/>
                <w:lang w:val="en-US" w:eastAsia="zh-CN"/>
              </w:rPr>
              <w:t>7</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 w:val="21"/>
                <w:szCs w:val="21"/>
              </w:rPr>
            </w:pPr>
            <w:r>
              <w:rPr>
                <w:rFonts w:hint="eastAsia"/>
                <w:szCs w:val="21"/>
                <w:lang w:val="en-US" w:eastAsia="zh-CN"/>
              </w:rPr>
              <w:t>拟安排的实施及服务人员</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hint="default"/>
                <w:szCs w:val="21"/>
                <w:lang w:val="en-US" w:eastAsia="zh-CN"/>
              </w:rPr>
            </w:pPr>
            <w:r>
              <w:rPr>
                <w:rFonts w:hint="eastAsia"/>
                <w:szCs w:val="21"/>
                <w:lang w:val="en-US" w:eastAsia="zh-CN"/>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（一）评审内容：</w:t>
            </w:r>
          </w:p>
          <w:p>
            <w:pPr>
              <w:widowControl/>
              <w:wordWrap w:val="0"/>
              <w:jc w:val="left"/>
              <w:textAlignment w:val="top"/>
              <w:rPr>
                <w:rFonts w:hint="eastAsia"/>
                <w:szCs w:val="21"/>
              </w:rPr>
            </w:pPr>
            <w:r>
              <w:rPr>
                <w:rFonts w:hint="eastAsia"/>
                <w:szCs w:val="21"/>
                <w:lang w:val="en-US" w:eastAsia="zh-CN"/>
              </w:rPr>
              <w:t>拟安排的实施及服务人员</w:t>
            </w:r>
            <w:r>
              <w:rPr>
                <w:rFonts w:hint="eastAsia"/>
                <w:szCs w:val="21"/>
              </w:rPr>
              <w:t>须为投标人</w:t>
            </w:r>
            <w:r>
              <w:rPr>
                <w:rFonts w:hint="eastAsia"/>
                <w:szCs w:val="21"/>
                <w:lang w:val="en-US" w:eastAsia="zh-CN"/>
              </w:rPr>
              <w:t>自有</w:t>
            </w:r>
            <w:r>
              <w:rPr>
                <w:rFonts w:hint="eastAsia"/>
                <w:szCs w:val="21"/>
              </w:rPr>
              <w:t>员工</w:t>
            </w:r>
            <w:r>
              <w:rPr>
                <w:rFonts w:hint="eastAsia"/>
                <w:szCs w:val="21"/>
                <w:lang w:eastAsia="zh-CN"/>
              </w:rPr>
              <w:t>，</w:t>
            </w:r>
            <w:r>
              <w:rPr>
                <w:rFonts w:hint="eastAsia"/>
                <w:szCs w:val="21"/>
                <w:lang w:val="en-US" w:eastAsia="zh-CN"/>
              </w:rPr>
              <w:t>并进行以下评分：</w:t>
            </w:r>
          </w:p>
          <w:p>
            <w:pPr>
              <w:widowControl/>
              <w:wordWrap w:val="0"/>
              <w:jc w:val="left"/>
              <w:textAlignment w:val="top"/>
              <w:rPr>
                <w:szCs w:val="21"/>
              </w:rPr>
            </w:pPr>
            <w:r>
              <w:rPr>
                <w:rFonts w:hint="eastAsia"/>
                <w:szCs w:val="21"/>
                <w:lang w:eastAsia="zh-CN"/>
              </w:rPr>
              <w:t>（</w:t>
            </w:r>
            <w:r>
              <w:rPr>
                <w:rFonts w:hint="eastAsia"/>
                <w:szCs w:val="21"/>
                <w:lang w:val="en-US" w:eastAsia="zh-CN"/>
              </w:rPr>
              <w:t>1</w:t>
            </w:r>
            <w:r>
              <w:rPr>
                <w:rFonts w:hint="eastAsia"/>
                <w:szCs w:val="21"/>
                <w:lang w:eastAsia="zh-CN"/>
              </w:rPr>
              <w:t>）具有工业和信息化部考试中心颁发的</w:t>
            </w:r>
            <w:r>
              <w:rPr>
                <w:rFonts w:hint="eastAsia"/>
                <w:szCs w:val="21"/>
                <w:lang w:val="en-US" w:eastAsia="zh-CN"/>
              </w:rPr>
              <w:t>高级</w:t>
            </w:r>
            <w:r>
              <w:rPr>
                <w:rFonts w:hint="eastAsia"/>
                <w:szCs w:val="21"/>
                <w:lang w:eastAsia="zh-CN"/>
              </w:rPr>
              <w:t>网络信息安全工程师证书</w:t>
            </w:r>
            <w:r>
              <w:rPr>
                <w:rFonts w:hint="eastAsia"/>
                <w:szCs w:val="21"/>
                <w:lang w:val="en-US" w:eastAsia="zh-CN"/>
              </w:rPr>
              <w:t>的，每提供一人得50分，本项最高得100分</w:t>
            </w:r>
          </w:p>
          <w:p>
            <w:pPr>
              <w:pStyle w:val="NoSpacing"/>
              <w:ind w:left="0" w:firstLine="0" w:leftChars="0" w:firstLineChars="0"/>
              <w:rPr>
                <w:rFonts w:asciiTheme="minorEastAsia" w:eastAsiaTheme="minorEastAsia" w:hAnsiTheme="minorEastAsia" w:cstheme="minorEastAsia" w:hint="default"/>
                <w:kern w:val="0"/>
                <w:sz w:val="21"/>
                <w:szCs w:val="21"/>
                <w:lang w:val="en-US" w:eastAsia="zh-CN"/>
              </w:rPr>
            </w:pPr>
            <w:r>
              <w:rPr>
                <w:rFonts w:asciiTheme="minorEastAsia" w:eastAsiaTheme="minorEastAsia" w:hAnsiTheme="minorEastAsia" w:cstheme="minorEastAsia" w:hint="eastAsia"/>
                <w:kern w:val="0"/>
                <w:sz w:val="21"/>
                <w:szCs w:val="21"/>
                <w:lang w:val="en-US" w:eastAsia="zh-CN"/>
              </w:rPr>
              <w:t>（二）评审依据：</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1</w:t>
            </w:r>
            <w:r>
              <w:rPr>
                <w:rFonts w:ascii="宋体" w:eastAsia="宋体" w:hAnsi="宋体" w:cs="宋体" w:hint="eastAsia"/>
                <w:color w:val="auto"/>
                <w:szCs w:val="21"/>
                <w:highlight w:val="none"/>
              </w:rPr>
              <w:t>、</w:t>
            </w:r>
            <w:r>
              <w:rPr>
                <w:rFonts w:ascii="宋体" w:eastAsia="宋体" w:hAnsi="宋体" w:cs="宋体" w:hint="eastAsia"/>
                <w:color w:val="auto"/>
                <w:szCs w:val="21"/>
                <w:highlight w:val="none"/>
                <w:lang w:val="en-US" w:eastAsia="zh-CN"/>
              </w:rPr>
              <w:t>涉及证书的，</w:t>
            </w:r>
            <w:r>
              <w:rPr>
                <w:rFonts w:ascii="宋体" w:eastAsia="宋体" w:hAnsi="宋体" w:cs="宋体" w:hint="eastAsia"/>
                <w:color w:val="auto"/>
                <w:szCs w:val="21"/>
                <w:highlight w:val="none"/>
              </w:rPr>
              <w:t>提供</w:t>
            </w:r>
            <w:r>
              <w:rPr>
                <w:rFonts w:ascii="宋体" w:eastAsia="宋体" w:hAnsi="宋体" w:cs="宋体" w:hint="eastAsia"/>
                <w:color w:val="auto"/>
                <w:szCs w:val="21"/>
                <w:highlight w:val="none"/>
                <w:lang w:val="en-US" w:eastAsia="zh-CN"/>
              </w:rPr>
              <w:t>相关证书扫描件。</w:t>
            </w:r>
          </w:p>
          <w:p>
            <w:pPr>
              <w:snapToGrid w:val="0"/>
              <w:jc w:val="both"/>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2、提供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如为退休返聘人员则提供劳动合同或返聘协议，无需提供相关社保证明材料；</w:t>
            </w:r>
          </w:p>
          <w:p>
            <w:pPr>
              <w:snapToGrid w:val="0"/>
              <w:jc w:val="both"/>
              <w:rPr>
                <w:rFonts w:ascii="宋体" w:eastAsia="宋体" w:hAnsi="宋体" w:cs="宋体" w:hint="eastAsia"/>
                <w:color w:val="0000FF"/>
                <w:szCs w:val="21"/>
                <w:highlight w:val="none"/>
              </w:rPr>
            </w:pPr>
            <w:r>
              <w:rPr>
                <w:rFonts w:ascii="宋体" w:eastAsia="宋体" w:hAnsi="宋体" w:cs="宋体" w:hint="eastAsia"/>
                <w:color w:val="auto"/>
                <w:szCs w:val="21"/>
                <w:highlight w:val="none"/>
                <w:lang w:val="en-US" w:eastAsia="zh-CN"/>
              </w:rPr>
              <w:t>3、未按要求提供相关证明材料（或相关证明材料无法判断是否符合评分要求）的不计得分，原件备查。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8</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eastAsia"/>
                <w:szCs w:val="21"/>
                <w:lang w:val="en-US" w:eastAsia="zh-CN"/>
              </w:rPr>
            </w:pPr>
            <w:r>
              <w:rPr>
                <w:rFonts w:hint="eastAsia"/>
                <w:szCs w:val="21"/>
                <w:lang w:val="en-US" w:eastAsia="zh-CN"/>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经验评价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eastAsia"/>
                <w:szCs w:val="21"/>
                <w:lang w:val="en-US" w:eastAsia="zh-CN"/>
              </w:rPr>
            </w:pPr>
            <w:r>
              <w:rPr>
                <w:rFonts w:hint="eastAsia"/>
                <w:szCs w:val="21"/>
                <w:lang w:val="en-US" w:eastAsia="zh-CN"/>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（一）评审内容：</w:t>
            </w:r>
          </w:p>
          <w:p>
            <w:pPr>
              <w:snapToGrid w:val="0"/>
              <w:jc w:val="both"/>
              <w:rPr>
                <w:b/>
                <w:bCs/>
                <w:szCs w:val="21"/>
              </w:rPr>
            </w:pPr>
            <w:r>
              <w:rPr>
                <w:rFonts w:ascii="宋体" w:eastAsia="宋体" w:hAnsi="宋体" w:cs="宋体" w:hint="eastAsia"/>
                <w:color w:val="auto"/>
                <w:szCs w:val="21"/>
                <w:highlight w:val="none"/>
              </w:rPr>
              <w:t>2022年1月1日</w:t>
            </w:r>
            <w:r>
              <w:rPr>
                <w:rFonts w:ascii="宋体" w:eastAsia="宋体" w:hAnsi="宋体" w:cs="宋体" w:hint="eastAsia"/>
                <w:color w:val="auto"/>
                <w:szCs w:val="21"/>
                <w:highlight w:val="none"/>
                <w:lang w:val="en-US" w:eastAsia="zh-CN"/>
              </w:rPr>
              <w:t>以来</w:t>
            </w:r>
            <w:r>
              <w:rPr>
                <w:rFonts w:ascii="宋体" w:eastAsia="宋体" w:hAnsi="宋体" w:cs="宋体" w:hint="eastAsia"/>
                <w:color w:val="auto"/>
                <w:szCs w:val="21"/>
                <w:highlight w:val="none"/>
              </w:rPr>
              <w:t>（以合同签订日期为准），投标人具有理化生实验考试设备类项目销售或供货业绩且履约评价为优或满意（或同等评价）</w:t>
            </w:r>
            <w:r>
              <w:rPr>
                <w:rFonts w:ascii="宋体" w:eastAsia="宋体" w:hAnsi="宋体" w:cs="宋体" w:hint="eastAsia"/>
                <w:color w:val="auto"/>
                <w:szCs w:val="21"/>
                <w:highlight w:val="none"/>
                <w:lang w:val="en-US" w:eastAsia="zh-CN"/>
              </w:rPr>
              <w:t>的</w:t>
            </w:r>
            <w:r>
              <w:rPr>
                <w:rFonts w:ascii="宋体" w:eastAsia="宋体" w:hAnsi="宋体" w:cs="宋体" w:hint="eastAsia"/>
                <w:color w:val="auto"/>
                <w:szCs w:val="21"/>
                <w:highlight w:val="none"/>
              </w:rPr>
              <w:t>，每提供一个得25分，最高得100分。</w:t>
            </w:r>
          </w:p>
          <w:p>
            <w:pPr>
              <w:pStyle w:val="NoSpacing"/>
              <w:ind w:left="0" w:firstLine="0" w:leftChars="0" w:firstLineChars="0"/>
              <w:rPr>
                <w:rFonts w:asciiTheme="minorEastAsia" w:eastAsiaTheme="minorEastAsia" w:hAnsiTheme="minorEastAsia" w:cstheme="minorEastAsia" w:hint="default"/>
                <w:kern w:val="0"/>
                <w:sz w:val="21"/>
                <w:szCs w:val="21"/>
                <w:lang w:val="en-US" w:eastAsia="zh-CN"/>
              </w:rPr>
            </w:pPr>
            <w:r>
              <w:rPr>
                <w:rFonts w:asciiTheme="minorEastAsia" w:eastAsiaTheme="minorEastAsia" w:hAnsiTheme="minorEastAsia" w:cstheme="minorEastAsia" w:hint="eastAsia"/>
                <w:kern w:val="0"/>
                <w:sz w:val="21"/>
                <w:szCs w:val="21"/>
                <w:lang w:val="en-US" w:eastAsia="zh-CN"/>
              </w:rPr>
              <w:t>（二）评审依据：</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1、同时提供合同关键页（包括但不限于合同项目名称、采购内容、签订日期、合同签字盖章页等）、设备配置清单和加盖甲方（合同相对方）公章（或业务章）的履约评价为优或满意（或同等评价）。</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2、通过合同关键信息无法判断是否得分的，还须同时提供能证明得分的其它证明资料，如甲方（合同相对方）出具并加盖甲方（合同相对方）公章（或业务章）的证明文件等。</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3、同一项目续签合同的不重复计分；每个项目须单独开具评价证明。如涉及到需要判断是否为同一项目续签的情形，如项目名称相同、出具评价证明单位相同的，投标人应提供能判别为不属同一项目续签的相关证明材料（如中标通知书或能反映不属同一项目续签的合同关键页），如不能判别，评标委员会有权对投标人作出不利判断。项目名称相同、出具服务评价证明单位相同，但是经过重新组织招标、招标编号不同的，不属同一项目续签。</w:t>
            </w:r>
          </w:p>
          <w:p>
            <w:pPr>
              <w:snapToGrid w:val="0"/>
              <w:jc w:val="both"/>
            </w:pPr>
            <w:r>
              <w:rPr>
                <w:rFonts w:ascii="宋体" w:eastAsia="宋体" w:hAnsi="宋体" w:cs="宋体" w:hint="eastAsia"/>
                <w:color w:val="auto"/>
                <w:szCs w:val="21"/>
                <w:highlight w:val="none"/>
              </w:rPr>
              <w:t>4、未按要求提供相关证明材料（或相关证明材料无法判断是否符合评分要求）的不计得分，原件备查。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eastAsia"/>
                <w:szCs w:val="21"/>
                <w:lang w:val="en-US" w:eastAsia="zh-CN"/>
              </w:rPr>
            </w:pPr>
            <w:r>
              <w:rPr>
                <w:rFonts w:hint="eastAsia"/>
                <w:szCs w:val="21"/>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体系认证情况评价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eastAsia"/>
                <w:szCs w:val="21"/>
                <w:lang w:val="en-US" w:eastAsia="zh-CN"/>
              </w:rPr>
            </w:pPr>
            <w:r>
              <w:rPr>
                <w:rFonts w:hint="eastAsia"/>
                <w:szCs w:val="21"/>
                <w:lang w:val="en-US" w:eastAsia="zh-CN"/>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（一）评审内容：</w:t>
            </w:r>
          </w:p>
          <w:p>
            <w:pPr>
              <w:widowControl/>
              <w:wordWrap w:val="0"/>
              <w:jc w:val="left"/>
              <w:textAlignment w:val="top"/>
              <w:rPr>
                <w:rFonts w:hint="eastAsia"/>
                <w:szCs w:val="21"/>
                <w:lang w:val="en-US" w:eastAsia="zh-CN"/>
              </w:rPr>
            </w:pPr>
            <w:r>
              <w:rPr>
                <w:rFonts w:hint="eastAsia"/>
                <w:szCs w:val="21"/>
              </w:rPr>
              <w:t>投标人具有</w:t>
            </w:r>
            <w:r>
              <w:rPr>
                <w:rFonts w:hint="eastAsia"/>
                <w:szCs w:val="21"/>
                <w:lang w:val="en-US" w:eastAsia="zh-CN"/>
              </w:rPr>
              <w:t>每</w:t>
            </w:r>
            <w:r>
              <w:rPr>
                <w:rFonts w:hint="eastAsia"/>
                <w:szCs w:val="21"/>
              </w:rPr>
              <w:t>通过一项</w:t>
            </w:r>
            <w:r>
              <w:rPr>
                <w:rFonts w:hint="eastAsia"/>
                <w:szCs w:val="21"/>
                <w:lang w:val="en-US" w:eastAsia="zh-CN"/>
              </w:rPr>
              <w:t>以下</w:t>
            </w:r>
            <w:r>
              <w:rPr>
                <w:rFonts w:hint="eastAsia"/>
                <w:szCs w:val="21"/>
              </w:rPr>
              <w:t>有效认证的</w:t>
            </w:r>
            <w:r>
              <w:rPr>
                <w:rFonts w:hint="eastAsia"/>
                <w:szCs w:val="21"/>
                <w:lang w:eastAsia="zh-CN"/>
              </w:rPr>
              <w:t>，</w:t>
            </w:r>
            <w:r>
              <w:rPr>
                <w:rFonts w:hint="eastAsia"/>
                <w:szCs w:val="21"/>
                <w:lang w:val="en-US" w:eastAsia="zh-CN"/>
              </w:rPr>
              <w:t>得34分，本项最高得100分：</w:t>
            </w:r>
          </w:p>
          <w:p>
            <w:pPr>
              <w:widowControl/>
              <w:numPr>
                <w:ilvl w:val="0"/>
                <w:numId w:val="7"/>
              </w:numPr>
              <w:wordWrap w:val="0"/>
              <w:jc w:val="left"/>
              <w:textAlignment w:val="top"/>
              <w:rPr>
                <w:rFonts w:hint="eastAsia"/>
                <w:szCs w:val="21"/>
              </w:rPr>
            </w:pPr>
            <w:r>
              <w:rPr>
                <w:rFonts w:hint="eastAsia"/>
                <w:szCs w:val="21"/>
              </w:rPr>
              <w:t>职业健康管理体系认证证书；</w:t>
            </w:r>
          </w:p>
          <w:p>
            <w:pPr>
              <w:widowControl/>
              <w:numPr>
                <w:ilvl w:val="0"/>
                <w:numId w:val="7"/>
              </w:numPr>
              <w:wordWrap w:val="0"/>
              <w:jc w:val="left"/>
              <w:textAlignment w:val="top"/>
              <w:rPr>
                <w:szCs w:val="21"/>
              </w:rPr>
            </w:pPr>
            <w:r>
              <w:rPr>
                <w:rFonts w:hint="eastAsia"/>
                <w:szCs w:val="21"/>
              </w:rPr>
              <w:t>环境管理体系认证证书；</w:t>
            </w:r>
          </w:p>
          <w:p>
            <w:pPr>
              <w:widowControl/>
              <w:numPr>
                <w:ilvl w:val="0"/>
                <w:numId w:val="7"/>
              </w:numPr>
              <w:wordWrap w:val="0"/>
              <w:jc w:val="left"/>
              <w:textAlignment w:val="top"/>
              <w:rPr>
                <w:szCs w:val="21"/>
              </w:rPr>
            </w:pPr>
            <w:r>
              <w:rPr>
                <w:rFonts w:hint="eastAsia"/>
                <w:szCs w:val="21"/>
              </w:rPr>
              <w:t>质量管理体系认证证书。</w:t>
            </w:r>
          </w:p>
          <w:p>
            <w:pPr>
              <w:pStyle w:val="NoSpacing"/>
              <w:ind w:left="0" w:firstLine="0" w:leftChars="0" w:firstLineChars="0"/>
              <w:rPr>
                <w:rFonts w:asciiTheme="minorEastAsia" w:eastAsiaTheme="minorEastAsia" w:hAnsiTheme="minorEastAsia" w:cstheme="minorEastAsia" w:hint="default"/>
                <w:kern w:val="0"/>
                <w:sz w:val="21"/>
                <w:szCs w:val="21"/>
                <w:lang w:val="en-US" w:eastAsia="zh-CN"/>
              </w:rPr>
            </w:pPr>
            <w:r>
              <w:rPr>
                <w:rFonts w:asciiTheme="minorEastAsia" w:eastAsiaTheme="minorEastAsia" w:hAnsiTheme="minorEastAsia" w:cstheme="minorEastAsia" w:hint="eastAsia"/>
                <w:kern w:val="0"/>
                <w:sz w:val="21"/>
                <w:szCs w:val="21"/>
                <w:lang w:val="en-US" w:eastAsia="zh-CN"/>
              </w:rPr>
              <w:t>（二）评审依据：</w:t>
            </w:r>
          </w:p>
          <w:p>
            <w:pPr>
              <w:snapToGrid w:val="0"/>
              <w:jc w:val="both"/>
              <w:rPr>
                <w:rFonts w:ascii="宋体" w:eastAsia="宋体" w:hAnsi="宋体" w:cs="宋体" w:hint="eastAsia"/>
                <w:color w:val="auto"/>
                <w:szCs w:val="21"/>
                <w:highlight w:val="none"/>
              </w:rPr>
            </w:pPr>
            <w:r>
              <w:rPr>
                <w:rFonts w:ascii="宋体" w:eastAsia="宋体" w:hAnsi="宋体" w:cs="宋体" w:hint="eastAsia"/>
                <w:color w:val="auto"/>
                <w:szCs w:val="21"/>
                <w:highlight w:val="none"/>
              </w:rPr>
              <w:t>1.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pPr>
              <w:snapToGrid w:val="0"/>
              <w:jc w:val="both"/>
              <w:rPr>
                <w:szCs w:val="21"/>
              </w:rPr>
            </w:pPr>
            <w:r>
              <w:rPr>
                <w:rFonts w:ascii="宋体" w:eastAsia="宋体" w:hAnsi="宋体" w:cs="宋体" w:hint="eastAsia"/>
                <w:color w:val="auto"/>
                <w:szCs w:val="21"/>
                <w:highlight w:val="none"/>
              </w:rPr>
              <w:t>2.</w:t>
            </w:r>
            <w:r>
              <w:rPr>
                <w:rFonts w:ascii="宋体" w:eastAsia="宋体" w:hAnsi="宋体" w:cs="宋体" w:hint="eastAsia"/>
                <w:color w:val="auto"/>
                <w:szCs w:val="21"/>
                <w:highlight w:val="none"/>
                <w:lang w:val="en-US" w:eastAsia="zh-CN"/>
              </w:rPr>
              <w:t>未按要求提供证明材料（或证明材料无法判断是否符合评分要求）的不得分，原件备查。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val="en-US" w:eastAsia="zh-CN"/>
              </w:rPr>
            </w:pPr>
            <w:r>
              <w:rPr>
                <w:rFonts w:hint="eastAsia"/>
                <w:b/>
                <w:bCs/>
                <w:color w:val="0000FF"/>
                <w:sz w:val="24"/>
                <w:lang w:val="en-US" w:eastAsia="zh-CN"/>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bookmarkEnd w:id="2"/>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p>
      <w:pPr>
        <w:widowControl/>
        <w:jc w:val="center"/>
      </w:pPr>
      <w:bookmarkEnd w:id="3"/>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4"/>
      <w:bookmarkStart w:id="6" w:name="bt项目管理班子配备情况"/>
      <w:bookmarkEnd w:id="6"/>
      <w:bookmarkStart w:id="7" w:name="bt其他资料2"/>
      <w:bookmarkEnd w:id="7"/>
      <w:bookmarkStart w:id="8" w:name="bt合同条款及格式"/>
      <w:bookmarkEnd w:id="8"/>
      <w:bookmarkStart w:id="9" w:name="合同格式"/>
      <w:bookmarkEnd w:id="9"/>
      <w:bookmarkStart w:id="10" w:name="bt合同格式"/>
      <w:bookmarkEnd w:id="10"/>
      <w:bookmarkStart w:id="11" w:name="bt投标函"/>
      <w:bookmarkEnd w:id="11"/>
      <w:bookmarkStart w:id="12" w:name="bt其他资料由投标人自定"/>
      <w:bookmarkEnd w:id="12"/>
      <w:bookmarkStart w:id="13" w:name="bt投标人情况介绍"/>
      <w:bookmarkEnd w:id="13"/>
      <w:bookmarkStart w:id="14" w:name="bt投标人须知"/>
      <w:bookmarkEnd w:id="14"/>
      <w:bookmarkStart w:id="15" w:name="bt说明"/>
      <w:bookmarkEnd w:id="15"/>
      <w:bookmarkStart w:id="16" w:name="bt技术标投标文件格式"/>
      <w:bookmarkEnd w:id="16"/>
      <w:bookmarkStart w:id="17" w:name="bt投标文件签署授权委托书"/>
      <w:bookmarkEnd w:id="17"/>
      <w:bookmarkStart w:id="18" w:name="bt投标报价汇总表"/>
      <w:bookmarkEnd w:id="18"/>
      <w:bookmarkStart w:id="19" w:name="bt开标一览表"/>
      <w:bookmarkEnd w:id="19"/>
      <w:bookmarkStart w:id="20" w:name="bt本工程承诺书"/>
      <w:bookmarkEnd w:id="20"/>
      <w:bookmarkStart w:id="21" w:name="bt合同条款"/>
      <w:bookmarkEnd w:id="21"/>
      <w:bookmarkStart w:id="22" w:name="bt商务标投标文件格式"/>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420" w:firstLineChars="200"/>
        <w:rPr>
          <w:rFonts w:ascii="宋体" w:hAnsi="宋体" w:cs="宋体"/>
          <w:kern w:val="0"/>
          <w:szCs w:val="21"/>
          <w:highlight w:val="yellow"/>
        </w:rPr>
      </w:pPr>
      <w:r>
        <w:rPr>
          <w:rFonts w:ascii="宋体" w:hAnsi="宋体" w:cs="宋体" w:hint="eastAsia"/>
          <w:color w:val="FF0000"/>
          <w:kern w:val="0"/>
          <w:szCs w:val="21"/>
          <w:highlight w:val="yellow"/>
        </w:rPr>
        <w:t>2.本项目不接受联合体投标，不接受投标人选用进口产品参与投标（由供应商在《政府采购投标及履约承诺函》中作出声明；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hint="eastAsia"/>
          <w:lang w:eastAsia="zh-CN"/>
        </w:rPr>
      </w:pPr>
      <w:r>
        <w:rPr>
          <w:rFonts w:ascii="宋体" w:hAnsi="宋体" w:cs="宋体" w:hint="eastAsia"/>
          <w:color w:val="FF0000"/>
          <w:kern w:val="0"/>
          <w:szCs w:val="21"/>
          <w:lang w:val="en-US" w:eastAsia="zh-CN"/>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highlight w:val="yellow"/>
          <w:lang w:eastAsia="zh-CN"/>
        </w:rPr>
      </w:pPr>
      <w:r>
        <w:rPr>
          <w:rFonts w:ascii="宋体" w:hAnsi="宋体" w:cs="宋体" w:hint="eastAsia"/>
          <w:kern w:val="0"/>
          <w:szCs w:val="21"/>
          <w:highlight w:val="yellow"/>
          <w:lang w:val="en-US" w:eastAsia="zh-CN"/>
        </w:rPr>
        <w:t>9</w:t>
      </w:r>
      <w:r>
        <w:rPr>
          <w:rFonts w:ascii="宋体" w:hAnsi="宋体" w:cs="宋体" w:hint="eastAsia"/>
          <w:kern w:val="0"/>
          <w:szCs w:val="21"/>
          <w:highlight w:val="yellow"/>
        </w:rPr>
        <w:t>.本项目</w:t>
      </w:r>
      <w:r>
        <w:rPr>
          <w:rFonts w:ascii="宋体" w:hAnsi="宋体" w:cs="宋体" w:hint="eastAsia"/>
          <w:kern w:val="0"/>
          <w:szCs w:val="21"/>
          <w:highlight w:val="yellow"/>
          <w:lang w:val="en-US" w:eastAsia="zh-CN"/>
        </w:rPr>
        <w:t>全部</w:t>
      </w:r>
      <w:r>
        <w:rPr>
          <w:rFonts w:ascii="宋体" w:hAnsi="宋体" w:cs="宋体" w:hint="eastAsia"/>
          <w:kern w:val="0"/>
          <w:szCs w:val="21"/>
          <w:highlight w:val="yellow"/>
        </w:rPr>
        <w:t>专门面向中小企业采购：否</w:t>
      </w:r>
      <w:r>
        <w:rPr>
          <w:rFonts w:ascii="宋体" w:hAnsi="宋体" w:cs="宋体" w:hint="eastAsia"/>
          <w:kern w:val="0"/>
          <w:szCs w:val="21"/>
          <w:highlight w:val="yellow"/>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3" w:name="_Hlk71926094"/>
      <w:r>
        <w:rPr>
          <w:rFonts w:hint="eastAsia"/>
          <w:sz w:val="28"/>
          <w:szCs w:val="28"/>
        </w:rPr>
        <w:t>对通用条款的补充内容及其他关键信息</w:t>
      </w:r>
      <w:bookmarkEnd w:id="23"/>
    </w:p>
    <w:p>
      <w:pPr>
        <w:pStyle w:val="Heading2"/>
        <w:spacing w:before="120" w:beforeLines="50" w:after="120" w:afterLines="50"/>
        <w:rPr>
          <w:szCs w:val="24"/>
        </w:rPr>
      </w:pPr>
      <w:bookmarkStart w:id="24" w:name="_Toc73517639"/>
      <w:bookmarkStart w:id="25" w:name="_Toc73521547"/>
      <w:bookmarkStart w:id="26" w:name="_Toc101074876"/>
      <w:bookmarkStart w:id="27" w:name="_Toc73518117"/>
      <w:bookmarkStart w:id="28" w:name="_Toc60560625"/>
      <w:bookmarkStart w:id="29" w:name="_Toc73521635"/>
      <w:bookmarkStart w:id="30" w:name="_Toc100052364"/>
      <w:bookmarkStart w:id="31" w:name="_Toc60631620"/>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b/>
                <w:bCs/>
              </w:rPr>
            </w:pPr>
            <w:bookmarkEnd w:id="24"/>
            <w:bookmarkEnd w:id="25"/>
            <w:bookmarkEnd w:id="26"/>
            <w:bookmarkEnd w:id="27"/>
            <w:bookmarkEnd w:id="28"/>
            <w:bookmarkEnd w:id="29"/>
            <w:bookmarkEnd w:id="30"/>
            <w:bookmarkEnd w:id="31"/>
            <w:bookmarkStart w:id="32" w:name="_Hlk72218097"/>
            <w:r>
              <w:rPr>
                <w:rFonts w:ascii="宋体" w:hAnsi="宋体" w:hint="eastAsia"/>
                <w:b/>
                <w:bCs/>
              </w:rPr>
              <w:t>通用条款序号</w:t>
            </w:r>
          </w:p>
        </w:tc>
        <w:tc>
          <w:tcPr>
            <w:tcW w:w="2409" w:type="dxa"/>
            <w:noWrap w:val="0"/>
            <w:vAlign w:val="center"/>
          </w:tcPr>
          <w:p>
            <w:pPr>
              <w:jc w:val="center"/>
              <w:rPr>
                <w:rFonts w:ascii="宋体" w:hAnsi="宋体"/>
                <w:b/>
                <w:bCs/>
              </w:rPr>
            </w:pPr>
            <w:r>
              <w:rPr>
                <w:rFonts w:ascii="宋体" w:hAnsi="宋体" w:hint="eastAsia"/>
                <w:b/>
                <w:bCs/>
              </w:rPr>
              <w:t>涉及事项</w:t>
            </w:r>
          </w:p>
        </w:tc>
        <w:tc>
          <w:tcPr>
            <w:tcW w:w="4980" w:type="dxa"/>
            <w:noWrap w:val="0"/>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.1</w:t>
            </w:r>
          </w:p>
        </w:tc>
        <w:tc>
          <w:tcPr>
            <w:tcW w:w="2409" w:type="dxa"/>
            <w:noWrap w:val="0"/>
            <w:vAlign w:val="center"/>
          </w:tcPr>
          <w:p>
            <w:pPr>
              <w:jc w:val="center"/>
            </w:pPr>
            <w:r>
              <w:rPr>
                <w:rFonts w:hint="eastAsia"/>
              </w:rPr>
              <w:t>采购人</w:t>
            </w:r>
          </w:p>
        </w:tc>
        <w:tc>
          <w:tcPr>
            <w:tcW w:w="4980" w:type="dxa"/>
            <w:noWrap w:val="0"/>
            <w:vAlign w:val="center"/>
          </w:tcPr>
          <w:p>
            <w:pPr>
              <w:jc w:val="center"/>
              <w:rPr>
                <w:rFonts w:ascii="宋体" w:hAnsi="宋体"/>
              </w:rPr>
            </w:pPr>
            <w:r>
              <w:rPr>
                <w:rFonts w:ascii="宋体" w:hAnsi="宋体" w:hint="eastAsia"/>
              </w:rPr>
              <w:t>深圳市宝安区黄田实验学校</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.2</w:t>
            </w:r>
          </w:p>
        </w:tc>
        <w:tc>
          <w:tcPr>
            <w:tcW w:w="2409" w:type="dxa"/>
            <w:noWrap w:val="0"/>
            <w:vAlign w:val="center"/>
          </w:tcPr>
          <w:p>
            <w:pPr>
              <w:jc w:val="center"/>
              <w:rPr>
                <w:rFonts w:ascii="宋体" w:hAnsi="宋体"/>
              </w:rPr>
            </w:pPr>
            <w:r>
              <w:rPr>
                <w:rFonts w:ascii="宋体" w:hAnsi="宋体" w:hint="eastAsia"/>
              </w:rPr>
              <w:t>政府集中采购机构</w:t>
            </w:r>
          </w:p>
        </w:tc>
        <w:tc>
          <w:tcPr>
            <w:tcW w:w="4980" w:type="dxa"/>
            <w:noWrap w:val="0"/>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9</w:t>
            </w:r>
          </w:p>
        </w:tc>
        <w:tc>
          <w:tcPr>
            <w:tcW w:w="2409" w:type="dxa"/>
            <w:noWrap w:val="0"/>
            <w:vAlign w:val="center"/>
          </w:tcPr>
          <w:p>
            <w:pPr>
              <w:jc w:val="center"/>
              <w:rPr>
                <w:rFonts w:ascii="宋体" w:hAnsi="宋体"/>
              </w:rPr>
            </w:pPr>
            <w:r>
              <w:rPr>
                <w:rFonts w:ascii="宋体" w:hAnsi="宋体" w:hint="eastAsia"/>
              </w:rPr>
              <w:t>踏勘现场</w:t>
            </w:r>
          </w:p>
        </w:tc>
        <w:tc>
          <w:tcPr>
            <w:tcW w:w="4980" w:type="dxa"/>
            <w:noWrap w:val="0"/>
            <w:vAlign w:val="center"/>
          </w:tcPr>
          <w:p>
            <w:pPr>
              <w:jc w:val="center"/>
              <w:rPr>
                <w:rFonts w:ascii="宋体" w:hAnsi="宋体"/>
              </w:rPr>
            </w:pPr>
            <w:r>
              <w:rPr>
                <w:rFonts w:hint="default"/>
                <w:lang w:val="en-US" w:eastAsia="zh-CN"/>
              </w:rPr>
              <w:t>组织，</w:t>
            </w:r>
            <w:r>
              <w:rPr>
                <w:rFonts w:ascii="宋体" w:eastAsia="宋体" w:hAnsi="宋体" w:cs="Arial" w:hint="eastAsia"/>
                <w:color w:val="000000"/>
                <w:szCs w:val="21"/>
                <w:highlight w:val="none"/>
              </w:rPr>
              <w:t>具体要求详见“二、其他关键信息”。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0</w:t>
            </w:r>
          </w:p>
        </w:tc>
        <w:tc>
          <w:tcPr>
            <w:tcW w:w="2409" w:type="dxa"/>
            <w:noWrap w:val="0"/>
            <w:vAlign w:val="center"/>
          </w:tcPr>
          <w:p>
            <w:pPr>
              <w:jc w:val="center"/>
              <w:rPr>
                <w:rFonts w:ascii="宋体" w:hAnsi="宋体"/>
              </w:rPr>
            </w:pPr>
            <w:r>
              <w:rPr>
                <w:rFonts w:ascii="宋体" w:hAnsi="宋体" w:hint="eastAsia"/>
              </w:rPr>
              <w:t>标前会议</w:t>
            </w:r>
          </w:p>
        </w:tc>
        <w:tc>
          <w:tcPr>
            <w:tcW w:w="4980" w:type="dxa"/>
            <w:noWrap w:val="0"/>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noWrap w:val="0"/>
            <w:vAlign w:val="center"/>
          </w:tcPr>
          <w:p>
            <w:pPr>
              <w:jc w:val="center"/>
              <w:rPr>
                <w:rFonts w:ascii="宋体" w:hAnsi="宋体"/>
              </w:rPr>
            </w:pPr>
            <w:r>
              <w:rPr>
                <w:rFonts w:ascii="宋体" w:hAnsi="宋体" w:hint="eastAsia"/>
              </w:rPr>
              <w:t>招标文件的澄清和修改</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0</w:t>
            </w:r>
          </w:p>
        </w:tc>
        <w:tc>
          <w:tcPr>
            <w:tcW w:w="2409" w:type="dxa"/>
            <w:noWrap w:val="0"/>
            <w:vAlign w:val="center"/>
          </w:tcPr>
          <w:p>
            <w:pPr>
              <w:jc w:val="center"/>
              <w:rPr>
                <w:rFonts w:ascii="宋体" w:hAnsi="宋体"/>
              </w:rPr>
            </w:pPr>
            <w:r>
              <w:rPr>
                <w:rFonts w:ascii="宋体" w:hAnsi="宋体" w:hint="eastAsia"/>
              </w:rPr>
              <w:t>投标有效期</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2</w:t>
            </w:r>
          </w:p>
        </w:tc>
        <w:tc>
          <w:tcPr>
            <w:tcW w:w="2409" w:type="dxa"/>
            <w:noWrap w:val="0"/>
            <w:vAlign w:val="center"/>
          </w:tcPr>
          <w:p>
            <w:pPr>
              <w:jc w:val="center"/>
              <w:rPr>
                <w:rFonts w:ascii="宋体" w:hAnsi="宋体"/>
              </w:rPr>
            </w:pPr>
            <w:r>
              <w:rPr>
                <w:rFonts w:ascii="宋体" w:hAnsi="宋体" w:hint="eastAsia"/>
              </w:rPr>
              <w:t>投标人的替代方案</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5</w:t>
            </w:r>
          </w:p>
        </w:tc>
        <w:tc>
          <w:tcPr>
            <w:tcW w:w="2409" w:type="dxa"/>
            <w:noWrap w:val="0"/>
            <w:vAlign w:val="center"/>
          </w:tcPr>
          <w:p>
            <w:pPr>
              <w:jc w:val="center"/>
              <w:rPr>
                <w:rFonts w:ascii="宋体" w:hAnsi="宋体"/>
              </w:rPr>
            </w:pPr>
            <w:r>
              <w:rPr>
                <w:rFonts w:ascii="宋体" w:hAnsi="宋体" w:hint="eastAsia"/>
              </w:rPr>
              <w:t>投标文件的大小</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6</w:t>
            </w:r>
          </w:p>
        </w:tc>
        <w:tc>
          <w:tcPr>
            <w:tcW w:w="2409" w:type="dxa"/>
            <w:noWrap w:val="0"/>
            <w:vAlign w:val="center"/>
          </w:tcPr>
          <w:p>
            <w:pPr>
              <w:jc w:val="center"/>
              <w:rPr>
                <w:rFonts w:ascii="宋体" w:hAnsi="宋体"/>
              </w:rPr>
            </w:pPr>
            <w:bookmarkStart w:id="33" w:name="_Hlk71664860"/>
            <w:r>
              <w:rPr>
                <w:rFonts w:ascii="宋体" w:hAnsi="宋体" w:hint="eastAsia"/>
              </w:rPr>
              <w:t>样品、现场演示、方案讲解</w:t>
            </w:r>
            <w:bookmarkEnd w:id="33"/>
          </w:p>
        </w:tc>
        <w:tc>
          <w:tcPr>
            <w:tcW w:w="4980" w:type="dxa"/>
            <w:noWrap w:val="0"/>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7</w:t>
            </w:r>
          </w:p>
        </w:tc>
        <w:tc>
          <w:tcPr>
            <w:tcW w:w="2409" w:type="dxa"/>
            <w:noWrap w:val="0"/>
            <w:vAlign w:val="center"/>
          </w:tcPr>
          <w:p>
            <w:pPr>
              <w:jc w:val="center"/>
              <w:rPr>
                <w:rFonts w:ascii="宋体" w:hAnsi="宋体"/>
              </w:rPr>
            </w:pPr>
            <w:r>
              <w:rPr>
                <w:rFonts w:ascii="宋体" w:hAnsi="宋体" w:hint="eastAsia"/>
              </w:rPr>
              <w:t>评审方法</w:t>
            </w:r>
          </w:p>
        </w:tc>
        <w:tc>
          <w:tcPr>
            <w:tcW w:w="4980" w:type="dxa"/>
            <w:noWrap w:val="0"/>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8</w:t>
            </w:r>
          </w:p>
        </w:tc>
        <w:tc>
          <w:tcPr>
            <w:tcW w:w="2409" w:type="dxa"/>
            <w:noWrap w:val="0"/>
            <w:vAlign w:val="center"/>
          </w:tcPr>
          <w:p>
            <w:pPr>
              <w:jc w:val="center"/>
              <w:rPr>
                <w:rFonts w:ascii="宋体" w:hAnsi="宋体"/>
              </w:rPr>
            </w:pPr>
            <w:r>
              <w:rPr>
                <w:rFonts w:ascii="宋体" w:hAnsi="宋体" w:hint="eastAsia"/>
              </w:rPr>
              <w:t>定标方法</w:t>
            </w:r>
          </w:p>
        </w:tc>
        <w:tc>
          <w:tcPr>
            <w:tcW w:w="4980" w:type="dxa"/>
            <w:noWrap w:val="0"/>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4</w:t>
            </w:r>
            <w:r>
              <w:rPr>
                <w:rFonts w:ascii="宋体" w:hAnsi="宋体"/>
              </w:rPr>
              <w:t>6</w:t>
            </w:r>
          </w:p>
        </w:tc>
        <w:tc>
          <w:tcPr>
            <w:tcW w:w="2409" w:type="dxa"/>
            <w:noWrap w:val="0"/>
            <w:vAlign w:val="center"/>
          </w:tcPr>
          <w:p>
            <w:pPr>
              <w:jc w:val="center"/>
              <w:rPr>
                <w:rFonts w:ascii="宋体" w:hAnsi="宋体"/>
              </w:rPr>
            </w:pPr>
            <w:r>
              <w:rPr>
                <w:rFonts w:ascii="宋体" w:hAnsi="宋体" w:hint="eastAsia"/>
              </w:rPr>
              <w:t>履约担保</w:t>
            </w:r>
          </w:p>
        </w:tc>
        <w:tc>
          <w:tcPr>
            <w:tcW w:w="4980" w:type="dxa"/>
            <w:noWrap w:val="0"/>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2"/>
      <w:bookmarkStart w:id="34" w:name="_Hlk72218117"/>
      <w:r>
        <w:rPr>
          <w:rFonts w:hint="eastAsia"/>
          <w:szCs w:val="24"/>
        </w:rPr>
        <w:t>二、其他关键信息</w:t>
      </w:r>
    </w:p>
    <w:p>
      <w:pPr>
        <w:ind w:firstLine="420" w:firstLineChars="200"/>
        <w:rPr>
          <w:b/>
          <w:bCs/>
        </w:rPr>
      </w:pPr>
      <w:bookmarkStart w:id="35" w:name="_Hlk72579427"/>
      <w:r>
        <w:rPr>
          <w:rFonts w:hint="eastAsia"/>
          <w:b/>
          <w:bCs/>
        </w:rPr>
        <w:t>（一）与“对通用条款的补充内容”章节相关的事项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noWrap w:val="0"/>
            <w:vAlign w:val="top"/>
          </w:tcPr>
          <w:p>
            <w:pPr>
              <w:jc w:val="center"/>
            </w:pPr>
            <w:r>
              <w:rPr>
                <w:rFonts w:hint="eastAsia"/>
              </w:rPr>
              <w:t>评标方法</w:t>
            </w:r>
          </w:p>
        </w:tc>
        <w:tc>
          <w:tcPr>
            <w:tcW w:w="3235" w:type="dxa"/>
            <w:noWrap w:val="0"/>
            <w:vAlign w:val="top"/>
          </w:tcPr>
          <w:p>
            <w:pPr>
              <w:jc w:val="center"/>
              <w:rPr>
                <w:rFonts w:eastAsia="宋体" w:hint="default"/>
                <w:lang w:val="en-US" w:eastAsia="zh-CN"/>
              </w:rPr>
            </w:pPr>
            <w:r>
              <w:rPr>
                <w:rFonts w:ascii="Wingdings" w:hAnsi="Wingdings" w:hint="eastAsia"/>
              </w:rPr>
              <w:t>þ</w:t>
            </w:r>
            <w:r>
              <w:rPr>
                <w:rFonts w:hint="eastAsia"/>
              </w:rPr>
              <w:t>综合评分法</w:t>
            </w:r>
          </w:p>
        </w:tc>
        <w:tc>
          <w:tcPr>
            <w:tcW w:w="2450" w:type="dxa"/>
            <w:noWrap w:val="0"/>
            <w:vAlign w:val="top"/>
          </w:tcPr>
          <w:p>
            <w:pPr>
              <w:jc w:val="center"/>
              <w:rPr>
                <w:rFonts w:hint="eastAsia"/>
              </w:rPr>
            </w:pPr>
            <w:r>
              <w:rPr>
                <w:rFonts w:ascii="Wingdings" w:eastAsia="宋体" w:hAnsi="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noWrap w:val="0"/>
            <w:vAlign w:val="top"/>
          </w:tcPr>
          <w:p>
            <w:pPr>
              <w:jc w:val="center"/>
            </w:pPr>
            <w:r>
              <w:rPr>
                <w:rFonts w:hint="eastAsia"/>
              </w:rPr>
              <w:t>候选中标供应商家数</w:t>
            </w:r>
          </w:p>
        </w:tc>
        <w:tc>
          <w:tcPr>
            <w:tcW w:w="3235" w:type="dxa"/>
            <w:noWrap w:val="0"/>
            <w:vAlign w:val="top"/>
          </w:tcPr>
          <w:p>
            <w:pPr>
              <w:jc w:val="center"/>
              <w:rPr>
                <w:rFonts w:eastAsia="宋体" w:hint="default"/>
                <w:lang w:val="en-US" w:eastAsia="zh-CN"/>
              </w:rPr>
            </w:pPr>
            <w:r>
              <w:rPr>
                <w:rFonts w:hint="eastAsia"/>
              </w:rPr>
              <w:t>1</w:t>
            </w:r>
          </w:p>
        </w:tc>
        <w:tc>
          <w:tcPr>
            <w:tcW w:w="2450" w:type="dxa"/>
            <w:noWrap w:val="0"/>
            <w:vAlign w:val="top"/>
          </w:tcPr>
          <w:p>
            <w:pPr>
              <w:jc w:val="center"/>
              <w:rPr>
                <w:rFonts w:hint="eastAsia"/>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noWrap w:val="0"/>
            <w:vAlign w:val="top"/>
          </w:tcPr>
          <w:p>
            <w:pPr>
              <w:jc w:val="center"/>
            </w:pPr>
            <w:r>
              <w:rPr>
                <w:rFonts w:hint="eastAsia"/>
              </w:rPr>
              <w:t>中标供应商家数</w:t>
            </w:r>
          </w:p>
        </w:tc>
        <w:tc>
          <w:tcPr>
            <w:tcW w:w="3235" w:type="dxa"/>
            <w:noWrap w:val="0"/>
            <w:vAlign w:val="top"/>
          </w:tcPr>
          <w:p>
            <w:pPr>
              <w:jc w:val="center"/>
            </w:pPr>
            <w:r>
              <w:rPr>
                <w:rFonts w:hint="eastAsia"/>
              </w:rPr>
              <w:t>1</w:t>
            </w:r>
          </w:p>
        </w:tc>
        <w:tc>
          <w:tcPr>
            <w:tcW w:w="2450" w:type="dxa"/>
            <w:noWrap w:val="0"/>
            <w:vAlign w:val="top"/>
          </w:tcPr>
          <w:p>
            <w:pPr>
              <w:jc w:val="center"/>
              <w:rPr>
                <w:rFonts w:hint="eastAsia"/>
              </w:rPr>
            </w:pPr>
            <w:r>
              <w:rPr>
                <w:rFonts w:hint="eastAsia"/>
              </w:rPr>
              <w:t>1</w:t>
            </w:r>
          </w:p>
        </w:tc>
      </w:tr>
    </w:tbl>
    <w:p>
      <w:pPr>
        <w:numPr>
          <w:ilvl w:val="0"/>
          <w:numId w:val="0"/>
        </w:numPr>
        <w:tabs>
          <w:tab w:val="left" w:pos="720"/>
        </w:tabs>
        <w:rPr>
          <w:rFonts w:ascii="黑体" w:eastAsia="黑体" w:hAnsi="宋体" w:hint="eastAsia"/>
          <w:sz w:val="24"/>
          <w:highlight w:val="yellow"/>
          <w:lang w:val="en-US" w:eastAsia="zh-CN"/>
        </w:rPr>
      </w:pPr>
      <w:r>
        <w:rPr>
          <w:rFonts w:ascii="黑体" w:eastAsia="黑体" w:hAnsi="宋体" w:hint="eastAsia"/>
          <w:sz w:val="24"/>
          <w:highlight w:val="yellow"/>
          <w:lang w:val="en-US" w:eastAsia="zh-CN"/>
        </w:rPr>
        <w:t>2、踏勘现场要求</w:t>
      </w:r>
    </w:p>
    <w:p>
      <w:pPr>
        <w:pStyle w:val="CommentText"/>
        <w:ind w:firstLine="420" w:firstLineChars="200"/>
        <w:rPr>
          <w:rFonts w:ascii="宋体" w:eastAsia="宋体" w:hAnsi="宋体" w:cs="Times New Roman" w:hint="default"/>
          <w:kern w:val="2"/>
          <w:sz w:val="21"/>
          <w:szCs w:val="21"/>
          <w:lang w:val="en-US" w:eastAsia="zh-CN" w:bidi="ar-SA"/>
        </w:rPr>
      </w:pPr>
      <w:r>
        <w:rPr>
          <w:rFonts w:ascii="宋体" w:eastAsia="宋体" w:hAnsi="宋体" w:cs="Times New Roman" w:hint="eastAsia"/>
          <w:kern w:val="2"/>
          <w:sz w:val="21"/>
          <w:szCs w:val="21"/>
          <w:lang w:val="en-US" w:eastAsia="zh-CN" w:bidi="ar-SA"/>
        </w:rPr>
        <w:t>（1）</w:t>
      </w:r>
      <w:r>
        <w:rPr>
          <w:rFonts w:ascii="宋体" w:eastAsia="宋体" w:hAnsi="宋体" w:cs="Times New Roman" w:hint="default"/>
          <w:kern w:val="2"/>
          <w:sz w:val="21"/>
          <w:szCs w:val="21"/>
          <w:lang w:val="en-US" w:eastAsia="zh-CN" w:bidi="ar-SA"/>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numPr>
          <w:ilvl w:val="0"/>
          <w:numId w:val="0"/>
        </w:numPr>
        <w:tabs>
          <w:tab w:val="left" w:pos="720"/>
        </w:tabs>
        <w:ind w:firstLine="420" w:firstLineChars="200"/>
        <w:rPr>
          <w:rFonts w:hint="eastAsia"/>
          <w:b/>
          <w:highlight w:val="yellow"/>
        </w:rPr>
      </w:pPr>
      <w:r>
        <w:rPr>
          <w:rFonts w:ascii="宋体" w:hAnsi="宋体" w:hint="eastAsia"/>
          <w:szCs w:val="21"/>
          <w:highlight w:val="yellow"/>
          <w:lang w:eastAsia="zh-CN"/>
        </w:rPr>
        <w:t>（</w:t>
      </w:r>
      <w:r>
        <w:rPr>
          <w:rFonts w:ascii="宋体" w:hAnsi="宋体" w:hint="eastAsia"/>
          <w:szCs w:val="21"/>
          <w:highlight w:val="yellow"/>
          <w:lang w:val="en-US" w:eastAsia="zh-CN"/>
        </w:rPr>
        <w:t>2</w:t>
      </w:r>
      <w:r>
        <w:rPr>
          <w:rFonts w:ascii="宋体" w:hAnsi="宋体" w:hint="eastAsia"/>
          <w:szCs w:val="21"/>
          <w:highlight w:val="yellow"/>
          <w:lang w:eastAsia="zh-CN"/>
        </w:rPr>
        <w:t>）</w:t>
      </w:r>
      <w:r>
        <w:rPr>
          <w:rFonts w:ascii="宋体" w:hAnsi="宋体" w:hint="eastAsia"/>
          <w:szCs w:val="21"/>
          <w:highlight w:val="yellow"/>
        </w:rPr>
        <w:t>本项目定于</w:t>
      </w:r>
      <w:r>
        <w:rPr>
          <w:rFonts w:ascii="宋体" w:hAnsi="宋体" w:hint="eastAsia"/>
          <w:szCs w:val="21"/>
          <w:highlight w:val="yellow"/>
          <w:lang w:val="en-US" w:eastAsia="zh-CN"/>
        </w:rPr>
        <w:t>2025</w:t>
      </w:r>
      <w:r>
        <w:rPr>
          <w:rFonts w:ascii="宋体" w:hAnsi="宋体" w:hint="eastAsia"/>
          <w:szCs w:val="21"/>
          <w:highlight w:val="yellow"/>
        </w:rPr>
        <w:t>年</w:t>
      </w:r>
      <w:r>
        <w:rPr>
          <w:rFonts w:ascii="宋体" w:hAnsi="宋体" w:hint="eastAsia"/>
          <w:szCs w:val="21"/>
          <w:highlight w:val="yellow"/>
          <w:lang w:val="en-US" w:eastAsia="zh-CN"/>
        </w:rPr>
        <w:t>8</w:t>
      </w:r>
      <w:r>
        <w:rPr>
          <w:rFonts w:ascii="宋体" w:hAnsi="宋体" w:hint="eastAsia"/>
          <w:szCs w:val="21"/>
          <w:highlight w:val="yellow"/>
        </w:rPr>
        <w:t>月</w:t>
      </w:r>
      <w:r>
        <w:rPr>
          <w:rFonts w:ascii="宋体" w:hAnsi="宋体" w:hint="eastAsia"/>
          <w:szCs w:val="21"/>
          <w:highlight w:val="yellow"/>
          <w:lang w:val="en-US" w:eastAsia="zh-CN"/>
        </w:rPr>
        <w:t>31</w:t>
      </w:r>
      <w:r>
        <w:rPr>
          <w:rFonts w:ascii="宋体" w:hAnsi="宋体" w:hint="eastAsia"/>
          <w:szCs w:val="21"/>
          <w:highlight w:val="yellow"/>
        </w:rPr>
        <w:t>日上午09：30在深圳市宝安区航城街道黄田实验学校集中，统一组织踏勘现场，请各投标人准时参加（参与现场踏勘的投标人代表携带授权委托书及身份证原件），逾期不再单独安排；联系人：徐增钦，联系电话：13751132895。</w:t>
      </w:r>
    </w:p>
    <w:p>
      <w:pPr>
        <w:ind w:firstLine="420" w:firstLineChars="200"/>
        <w:rPr>
          <w:b/>
        </w:rPr>
      </w:pPr>
      <w:r>
        <w:rPr>
          <w:rFonts w:hint="eastAsia"/>
          <w:b/>
        </w:rPr>
        <w:t>（二）其他事项</w:t>
      </w:r>
      <w:bookmarkEnd w:id="35"/>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6"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6"/>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以招标文件第一册第三章用户需求书“货物清单明细”的“标的所属行业”一栏为准</w:t>
      </w:r>
      <w:r>
        <w:rPr>
          <w:rFonts w:asciiTheme="minorEastAsia" w:eastAsiaTheme="minorEastAsia" w:hAnsiTheme="minorEastAsia" w:cstheme="minorEastAsia" w:hint="eastAsia"/>
          <w:b/>
          <w:bCs/>
          <w:color w:val="FF0000"/>
          <w:sz w:val="21"/>
          <w:szCs w:val="21"/>
        </w:rPr>
        <w:t>。</w:t>
      </w:r>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、本项目为代理服务项目，将向中标（成交）供应商收取代理服务费。</w:t>
      </w:r>
    </w:p>
    <w:p>
      <w:pPr>
        <w:ind w:firstLine="420" w:firstLineChars="200"/>
      </w:pP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供应商在领取《中标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通知书》之前须向深圳公共资源交易中心（深圳交易集团有限公司</w:t>
      </w:r>
      <w:r>
        <w:rPr>
          <w:rFonts w:hint="eastAsia"/>
          <w:lang w:eastAsia="zh-CN"/>
        </w:rPr>
        <w:t>宝安分公司</w:t>
      </w:r>
      <w:r>
        <w:rPr>
          <w:rFonts w:hint="eastAsia"/>
        </w:rPr>
        <w:t>）交纳代理服务费。若因中标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ascii="Times New Roman" w:eastAsia="宋体" w:hint="eastAsia"/>
          <w:lang w:val="en-US" w:eastAsia="zh-CN"/>
        </w:rPr>
        <w:t>下列</w:t>
      </w:r>
      <w:r>
        <w:rPr>
          <w:rFonts w:hint="eastAsia"/>
        </w:rPr>
        <w:t>标准收取。</w:t>
      </w:r>
      <w:r>
        <w:rPr>
          <w:rFonts w:hint="eastAsia"/>
          <w:b/>
          <w:color w:val="FF0000"/>
        </w:rPr>
        <w:t>本项目类型为</w:t>
      </w:r>
      <w:r>
        <w:rPr>
          <w:rFonts w:hint="eastAsia"/>
          <w:b/>
          <w:color w:val="FF0000"/>
          <w:lang w:val="en-US" w:eastAsia="zh-CN"/>
        </w:rPr>
        <w:t>货物</w:t>
      </w:r>
      <w:r>
        <w:rPr>
          <w:rFonts w:hint="eastAsia"/>
          <w:b/>
          <w:color w:val="FF0000"/>
        </w:rPr>
        <w:t>采购：</w:t>
      </w:r>
    </w:p>
    <w:p>
      <w:pPr>
        <w:ind w:firstLine="420" w:firstLineChars="200"/>
      </w:pPr>
      <w:r>
        <w:rPr>
          <w:rFonts w:hint="eastAsia"/>
        </w:rPr>
        <w:t>（</w:t>
      </w:r>
      <w:r>
        <w:rPr>
          <w:rFonts w:ascii="Times New Roman" w:eastAsia="宋体"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ascii="Times New Roman" w:eastAsia="宋体" w:hint="eastAsia"/>
          <w:lang w:val="en-US" w:eastAsia="zh-CN"/>
        </w:rPr>
        <w:t>中标（</w:t>
      </w:r>
      <w:r>
        <w:rPr>
          <w:rFonts w:hint="eastAsia"/>
        </w:rPr>
        <w:t>成交</w:t>
      </w:r>
      <w:r>
        <w:rPr>
          <w:rFonts w:eastAsia="宋体" w:hint="eastAsia"/>
          <w:lang w:eastAsia="zh-CN"/>
        </w:rPr>
        <w:t>）</w:t>
      </w:r>
      <w:r>
        <w:rPr>
          <w:rFonts w:hint="eastAsia"/>
        </w:rPr>
        <w:t>金额作为计算基数，按差额定率累进法计算。</w:t>
      </w:r>
    </w:p>
    <w:p>
      <w:pPr>
        <w:ind w:firstLine="420" w:firstLineChars="200"/>
      </w:pPr>
      <w:r>
        <w:rPr>
          <w:rFonts w:hint="eastAsia"/>
        </w:rPr>
        <w:t>（</w:t>
      </w:r>
      <w:r>
        <w:rPr>
          <w:rFonts w:ascii="Times New Roman" w:eastAsia="宋体"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ascii="Times New Roman" w:eastAsia="宋体"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ascii="Times New Roman" w:eastAsia="宋体" w:hint="eastAsia"/>
          <w:lang w:val="en-US" w:eastAsia="zh-CN"/>
        </w:rPr>
        <w:t>5</w:t>
      </w:r>
      <w:r>
        <w:rPr>
          <w:rFonts w:hint="eastAsia"/>
        </w:rPr>
        <w:t>000 元；</w:t>
      </w:r>
    </w:p>
    <w:p>
      <w:pPr>
        <w:ind w:firstLine="420" w:firstLineChars="200"/>
        <w:rPr>
          <w:rFonts w:eastAsia="宋体" w:hint="eastAsia"/>
          <w:lang w:eastAsia="zh-CN"/>
        </w:rPr>
      </w:pPr>
      <w:r>
        <w:rPr>
          <w:rFonts w:hint="eastAsia"/>
        </w:rPr>
        <w:t>2.对于报总价的采购类项目，中标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p>
    <w:p>
      <w:pPr>
        <w:ind w:firstLine="420" w:firstLineChars="200"/>
      </w:pPr>
      <w:r>
        <w:rPr>
          <w:rFonts w:hint="eastAsia"/>
        </w:rPr>
        <w:t>如某货物采购项目，中标（成交）金额为600万元，总共交纳的代理服务费的具体计算过程如下：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b/>
        </w:rPr>
      </w:pPr>
      <w:r>
        <w:rPr>
          <w:rFonts w:hint="eastAsia"/>
        </w:rPr>
        <w:t>（</w:t>
      </w:r>
      <w:r>
        <w:rPr>
          <w:rFonts w:ascii="Times New Roman" w:eastAsia="宋体"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ascii="Times New Roman" w:eastAsia="宋体" w:hint="eastAsia"/>
          <w:lang w:val="en-US" w:eastAsia="zh-CN"/>
        </w:rPr>
        <w:t>付款</w:t>
      </w:r>
      <w:r>
        <w:rPr>
          <w:rFonts w:eastAsia="宋体" w:hint="eastAsia"/>
          <w:lang w:eastAsia="zh-CN"/>
        </w:rPr>
        <w:t>）</w:t>
      </w:r>
      <w:r>
        <w:rPr>
          <w:rFonts w:hint="eastAsia"/>
        </w:rPr>
        <w:t>通知书执行。</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eastAsia="宋体" w:hAnsi="Times New Roman" w:cs="Times New Roman"/>
          <w:highlight w:val="none"/>
        </w:r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w:t>
      </w:r>
      <w:r>
        <w:rPr>
          <w:rFonts w:ascii="Times New Roman" w:eastAsia="宋体" w:hAnsi="Times New Roman" w:cs="Times New Roman"/>
          <w:highlight w:val="none"/>
        </w:rPr>
        <w:fldChar w:fldCharType="begin"/>
      </w:r>
      <w:r>
        <w:rPr>
          <w:rFonts w:ascii="Times New Roman" w:eastAsia="宋体" w:hAnsi="Times New Roman" w:cs="Times New Roman"/>
          <w:highlight w:val="none"/>
        </w:rPr>
        <w:instrText xml:space="preserve"> HYPERLINK "https://www.szzfcg.cn/portal/documentView.do?method=view&amp;id=597167584）。" </w:instrText>
      </w:r>
      <w:r>
        <w:rPr>
          <w:rFonts w:ascii="Times New Roman" w:eastAsia="宋体" w:hAnsi="Times New Roman" w:cs="Times New Roman"/>
          <w:highlight w:val="none"/>
        </w:rPr>
        <w:fldChar w:fldCharType="separate"/>
      </w:r>
      <w:r>
        <w:rPr>
          <w:rStyle w:val="Hyperlink"/>
          <w:rFonts w:ascii="Times New Roman" w:eastAsia="宋体" w:hAnsi="Times New Roman" w:cs="Times New Roman"/>
          <w:highlight w:val="none"/>
        </w:rPr>
        <w:t>https://www.szzfcg.cn/portal/documentView.do?method=view&amp;id=597167584）。</w:t>
      </w:r>
      <w:r>
        <w:rPr>
          <w:rFonts w:ascii="Times New Roman" w:eastAsia="宋体" w:hAnsi="Times New Roman" w:cs="Times New Roman"/>
          <w:highlight w:val="none"/>
        </w:rPr>
        <w:fldChar w:fldCharType="end"/>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宋体" w:hint="eastAsia"/>
          <w:b/>
          <w:lang w:eastAsia="zh-CN"/>
        </w:rPr>
        <w:sectPr>
          <w:pgSz w:w="11907" w:h="16840"/>
          <w:pgMar w:top="1440" w:right="1797" w:bottom="1440" w:left="1797" w:header="851" w:footer="992" w:gutter="0"/>
          <w:cols w:num="1" w:space="425"/>
          <w:titlePg/>
          <w:docGrid w:linePitch="462" w:charSpace="0"/>
        </w:sectPr>
      </w:pPr>
      <w:r>
        <w:rPr>
          <w:rFonts w:ascii="Times New Roman" w:eastAsia="宋体" w:hAnsi="Times New Roman" w:cs="Times New Roman" w:hint="eastAsia"/>
          <w:highlight w:val="none"/>
        </w:rPr>
        <w:t>4.投标供应商严格核实所提交检测报告的真实性，除通过国家市场监督管理总局的全国认证认可信息公共服务平台核实报告编号、出县机构等基础信息外,还应尽可能通过检测报告出县机构的官网、邮箱、电话等可靠途径查询所提交捡测报告县体内容的真实性(不可轻信检测报告上载明的网址、电话、二维码等)，并留存核实过程证据备查，避免因未尽核实义务在投标文件中提交伪造，变造的虚假检测报告而被相关部门予以行政处罚</w:t>
      </w:r>
      <w:r>
        <w:rPr>
          <w:rFonts w:ascii="Times New Roman" w:eastAsia="宋体" w:hAnsi="Times New Roman" w:cs="Times New Roman" w:hint="eastAsia"/>
          <w:highlight w:val="none"/>
          <w:lang w:eastAsia="zh-CN"/>
        </w:rPr>
        <w:t>。</w:t>
      </w:r>
    </w:p>
    <w:p>
      <w:pPr>
        <w:pStyle w:val="Heading2"/>
        <w:rPr>
          <w:sz w:val="28"/>
          <w:szCs w:val="28"/>
        </w:rPr>
      </w:pPr>
      <w:bookmarkEnd w:id="34"/>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trHeight w:val="0"/>
          <w:jc w:val="center"/>
        </w:trPr>
        <w:tc>
          <w:tcPr>
            <w:tcW w:w="413" w:type="dxa"/>
            <w:vAlign w:val="center"/>
          </w:tcPr>
          <w:p>
            <w:pPr>
              <w:jc w:val="center"/>
              <w:rPr>
                <w:bCs/>
                <w:color w:val="FF0000"/>
                <w:szCs w:val="21"/>
              </w:rPr>
            </w:pPr>
            <w:r>
              <w:rPr>
                <w:rFonts w:hint="eastAsia"/>
                <w:bCs/>
                <w:color w:val="FF0000"/>
                <w:szCs w:val="21"/>
              </w:rPr>
              <w:t>1</w:t>
            </w:r>
          </w:p>
        </w:tc>
        <w:tc>
          <w:tcPr>
            <w:tcW w:w="2603" w:type="dxa"/>
            <w:vAlign w:val="center"/>
          </w:tcPr>
          <w:p>
            <w:pPr>
              <w:jc w:val="center"/>
              <w:rPr>
                <w:bCs/>
                <w:color w:val="FF0000"/>
                <w:szCs w:val="21"/>
              </w:rPr>
            </w:pPr>
            <w:r>
              <w:rPr>
                <w:rFonts w:hint="default"/>
                <w:bCs/>
                <w:color w:val="FF0000"/>
                <w:szCs w:val="21"/>
                <w:lang w:val="en-US" w:eastAsia="zh-CN"/>
              </w:rPr>
              <w:t>PLAN-2025-440306000-112052-08348</w:t>
            </w:r>
          </w:p>
        </w:tc>
        <w:tc>
          <w:tcPr>
            <w:tcW w:w="3158" w:type="dxa"/>
            <w:vAlign w:val="center"/>
          </w:tcPr>
          <w:p>
            <w:pPr>
              <w:jc w:val="center"/>
              <w:rPr>
                <w:b/>
                <w:bCs/>
                <w:color w:val="FF0000"/>
                <w:szCs w:val="21"/>
              </w:rPr>
            </w:pPr>
            <w:r>
              <w:rPr>
                <w:rFonts w:hint="eastAsia"/>
                <w:b/>
                <w:bCs/>
                <w:color w:val="FF0000"/>
                <w:szCs w:val="21"/>
              </w:rPr>
              <w:t>深圳市宝安区黄田实验学校生物实验考试设备采购项目</w:t>
            </w:r>
          </w:p>
        </w:tc>
        <w:tc>
          <w:tcPr>
            <w:tcW w:w="2355" w:type="dxa"/>
            <w:vAlign w:val="center"/>
          </w:tcPr>
          <w:p>
            <w:pPr>
              <w:jc w:val="center"/>
              <w:rPr>
                <w:bCs/>
                <w:color w:val="FF0000"/>
                <w:szCs w:val="21"/>
              </w:rPr>
            </w:pPr>
            <w:r>
              <w:rPr>
                <w:rFonts w:hint="default"/>
                <w:bCs/>
                <w:color w:val="FF0000"/>
                <w:szCs w:val="21"/>
                <w:lang w:val="en-US" w:eastAsia="zh-CN"/>
              </w:rPr>
              <w:t>450000.00</w:t>
            </w:r>
          </w:p>
        </w:tc>
      </w:tr>
      <w:tr>
        <w:tblPrEx>
          <w:tblW w:w="8529" w:type="dxa"/>
          <w:jc w:val="center"/>
          <w:tblLayout w:type="fixed"/>
          <w:tblCellMar>
            <w:top w:w="0" w:type="dxa"/>
            <w:left w:w="108" w:type="dxa"/>
            <w:bottom w:w="0" w:type="dxa"/>
            <w:right w:w="108" w:type="dxa"/>
          </w:tblCellMar>
        </w:tblPrEx>
        <w:trPr>
          <w:trHeight w:val="0"/>
          <w:jc w:val="center"/>
        </w:trPr>
        <w:tc>
          <w:tcPr>
            <w:tcW w:w="6174" w:type="dxa"/>
            <w:gridSpan w:val="3"/>
            <w:vAlign w:val="center"/>
          </w:tcPr>
          <w:p>
            <w:pPr>
              <w:jc w:val="center"/>
              <w:rPr>
                <w:b/>
                <w:bCs/>
                <w:color w:val="FF0000"/>
                <w:szCs w:val="21"/>
              </w:rPr>
            </w:pPr>
            <w:r>
              <w:rPr>
                <w:b/>
                <w:bCs/>
                <w:color w:val="FF0000"/>
                <w:szCs w:val="21"/>
              </w:rPr>
              <w:t>合计</w:t>
            </w:r>
          </w:p>
        </w:tc>
        <w:tc>
          <w:tcPr>
            <w:tcW w:w="2355" w:type="dxa"/>
            <w:vAlign w:val="center"/>
          </w:tcPr>
          <w:p>
            <w:pPr>
              <w:jc w:val="center"/>
              <w:rPr>
                <w:bCs/>
                <w:color w:val="FF0000"/>
                <w:szCs w:val="21"/>
              </w:rPr>
            </w:pPr>
            <w:r>
              <w:rPr>
                <w:rFonts w:hint="default"/>
                <w:bCs/>
                <w:color w:val="FF0000"/>
                <w:szCs w:val="21"/>
                <w:lang w:val="en-US" w:eastAsia="zh-CN"/>
              </w:rPr>
              <w:t>450000.00</w:t>
            </w:r>
          </w:p>
        </w:tc>
      </w:tr>
    </w:tbl>
    <w:p>
      <w:pPr>
        <w:pStyle w:val="Heading2"/>
        <w:spacing w:before="120" w:beforeLines="50" w:after="120" w:afterLines="50"/>
        <w:rPr>
          <w:szCs w:val="24"/>
        </w:rPr>
      </w:pPr>
      <w:bookmarkStart w:id="37" w:name="_Hlk72258617"/>
      <w:r>
        <w:rPr>
          <w:rFonts w:hint="eastAsia"/>
          <w:szCs w:val="24"/>
        </w:rPr>
        <w:t>二、</w:t>
      </w:r>
      <w:bookmarkStart w:id="38" w:name="_Hlk72073432"/>
      <w:r>
        <w:rPr>
          <w:rFonts w:hint="eastAsia"/>
          <w:szCs w:val="24"/>
        </w:rPr>
        <w:t>货物需求明细</w:t>
      </w:r>
      <w:bookmarkEnd w:id="38"/>
    </w:p>
    <w:tbl>
      <w:tblPr>
        <w:tblStyle w:val="TableNormal"/>
        <w:tblW w:w="52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69"/>
        <w:gridCol w:w="1664"/>
        <w:gridCol w:w="2304"/>
        <w:gridCol w:w="671"/>
        <w:gridCol w:w="732"/>
        <w:gridCol w:w="901"/>
        <w:gridCol w:w="1091"/>
        <w:gridCol w:w="864"/>
      </w:tblGrid>
      <w:tr>
        <w:tblPrEx>
          <w:tblW w:w="52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序号</w:t>
            </w:r>
          </w:p>
        </w:tc>
        <w:tc>
          <w:tcPr>
            <w:tcW w:w="935" w:type="pct"/>
            <w:vAlign w:val="center"/>
          </w:tcPr>
          <w:p>
            <w:pPr>
              <w:jc w:val="center"/>
              <w:rPr>
                <w:bCs/>
                <w:szCs w:val="21"/>
              </w:rPr>
            </w:pPr>
            <w:r>
              <w:rPr>
                <w:rFonts w:hint="eastAsia"/>
                <w:szCs w:val="21"/>
              </w:rPr>
              <w:t>采购计划编号</w:t>
            </w:r>
          </w:p>
        </w:tc>
        <w:tc>
          <w:tcPr>
            <w:tcW w:w="1294" w:type="pct"/>
            <w:vAlign w:val="center"/>
          </w:tcPr>
          <w:p>
            <w:pPr>
              <w:jc w:val="center"/>
              <w:rPr>
                <w:bCs/>
                <w:szCs w:val="21"/>
              </w:rPr>
            </w:pPr>
            <w:r>
              <w:rPr>
                <w:rFonts w:hint="eastAsia"/>
                <w:bCs/>
                <w:szCs w:val="21"/>
              </w:rPr>
              <w:t>货物名称（标的名称）</w:t>
            </w:r>
          </w:p>
        </w:tc>
        <w:tc>
          <w:tcPr>
            <w:tcW w:w="377" w:type="pct"/>
            <w:vAlign w:val="center"/>
          </w:tcPr>
          <w:p>
            <w:pPr>
              <w:jc w:val="center"/>
              <w:rPr>
                <w:bCs/>
                <w:szCs w:val="21"/>
              </w:rPr>
            </w:pPr>
            <w:r>
              <w:rPr>
                <w:rFonts w:hint="eastAsia"/>
                <w:bCs/>
                <w:szCs w:val="21"/>
              </w:rPr>
              <w:t>数量</w:t>
            </w:r>
          </w:p>
        </w:tc>
        <w:tc>
          <w:tcPr>
            <w:tcW w:w="411" w:type="pct"/>
            <w:vAlign w:val="center"/>
          </w:tcPr>
          <w:p>
            <w:pPr>
              <w:jc w:val="center"/>
              <w:rPr>
                <w:bCs/>
                <w:szCs w:val="21"/>
              </w:rPr>
            </w:pPr>
            <w:r>
              <w:rPr>
                <w:rFonts w:hint="eastAsia"/>
                <w:bCs/>
                <w:szCs w:val="21"/>
              </w:rPr>
              <w:t>单位</w:t>
            </w:r>
          </w:p>
        </w:tc>
        <w:tc>
          <w:tcPr>
            <w:tcW w:w="506" w:type="pct"/>
            <w:vAlign w:val="center"/>
          </w:tcPr>
          <w:p>
            <w:pPr>
              <w:jc w:val="center"/>
              <w:rPr>
                <w:rFonts w:eastAsia="宋体" w:hint="default"/>
                <w:b/>
                <w:bCs/>
                <w:color w:val="FF0000"/>
                <w:szCs w:val="21"/>
                <w:lang w:val="en-US" w:eastAsia="zh-CN"/>
              </w:rPr>
            </w:pPr>
            <w:r>
              <w:rPr>
                <w:rFonts w:hint="eastAsia"/>
                <w:b/>
                <w:bCs/>
                <w:color w:val="FF0000"/>
                <w:szCs w:val="21"/>
                <w:lang w:val="en-US" w:eastAsia="zh-CN"/>
              </w:rPr>
              <w:t>是否接受进口</w:t>
            </w:r>
          </w:p>
        </w:tc>
        <w:tc>
          <w:tcPr>
            <w:tcW w:w="613" w:type="pct"/>
            <w:vAlign w:val="center"/>
          </w:tcPr>
          <w:p>
            <w:pPr>
              <w:jc w:val="center"/>
              <w:rPr>
                <w:rFonts w:hint="default"/>
                <w:b/>
                <w:bCs/>
                <w:color w:val="FF0000"/>
                <w:szCs w:val="21"/>
                <w:lang w:val="en-US" w:eastAsia="zh-CN"/>
              </w:rPr>
            </w:pPr>
            <w:r>
              <w:rPr>
                <w:rFonts w:hint="eastAsia"/>
                <w:b/>
                <w:bCs/>
                <w:color w:val="FF0000"/>
                <w:szCs w:val="21"/>
                <w:lang w:val="en-US" w:eastAsia="zh-CN"/>
              </w:rPr>
              <w:t>是否专门面向中小企业</w:t>
            </w:r>
          </w:p>
        </w:tc>
        <w:tc>
          <w:tcPr>
            <w:tcW w:w="485" w:type="pct"/>
            <w:vAlign w:val="center"/>
          </w:tcPr>
          <w:p>
            <w:pPr>
              <w:jc w:val="center"/>
              <w:rPr>
                <w:rFonts w:hint="default"/>
                <w:b/>
                <w:bCs/>
                <w:color w:val="FF0000"/>
                <w:szCs w:val="21"/>
                <w:lang w:val="en-US" w:eastAsia="zh-CN"/>
              </w:rPr>
            </w:pPr>
            <w:r>
              <w:rPr>
                <w:rFonts w:hint="eastAsia"/>
                <w:b/>
                <w:bCs/>
                <w:color w:val="FF0000"/>
                <w:szCs w:val="21"/>
                <w:lang w:val="en-US" w:eastAsia="zh-CN"/>
              </w:rPr>
              <w:t>标的所属行业</w:t>
            </w: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1</w:t>
            </w:r>
          </w:p>
        </w:tc>
        <w:tc>
          <w:tcPr>
            <w:tcW w:w="935" w:type="pct"/>
            <w:vMerge w:val="restart"/>
            <w:vAlign w:val="center"/>
          </w:tcPr>
          <w:p>
            <w:pPr>
              <w:jc w:val="center"/>
              <w:rPr>
                <w:bCs/>
                <w:szCs w:val="21"/>
              </w:rPr>
            </w:pPr>
            <w:r>
              <w:rPr>
                <w:rFonts w:hint="default"/>
                <w:bCs/>
                <w:color w:val="FF0000"/>
                <w:szCs w:val="21"/>
                <w:lang w:val="en-US" w:eastAsia="zh-CN"/>
              </w:rPr>
              <w:t>PLAN-2025-440306000-112052-08348</w:t>
            </w: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校级管理平台</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套</w:t>
            </w:r>
          </w:p>
        </w:tc>
        <w:tc>
          <w:tcPr>
            <w:tcW w:w="506" w:type="pct"/>
            <w:vMerge w:val="restart"/>
            <w:vAlign w:val="center"/>
          </w:tcPr>
          <w:p>
            <w:pPr>
              <w:jc w:val="center"/>
              <w:rPr>
                <w:b/>
                <w:bCs/>
                <w:color w:val="FF0000"/>
                <w:szCs w:val="21"/>
              </w:rPr>
            </w:pPr>
            <w:r>
              <w:rPr>
                <w:rFonts w:hint="eastAsia"/>
                <w:b/>
                <w:bCs/>
                <w:szCs w:val="21"/>
              </w:rPr>
              <w:t>拒绝进口</w:t>
            </w:r>
          </w:p>
        </w:tc>
        <w:tc>
          <w:tcPr>
            <w:tcW w:w="613" w:type="pct"/>
            <w:vMerge w:val="restart"/>
            <w:vAlign w:val="center"/>
          </w:tcPr>
          <w:p>
            <w:pPr>
              <w:jc w:val="center"/>
              <w:rPr>
                <w:rFonts w:eastAsia="宋体" w:hint="eastAsia"/>
                <w:b/>
                <w:bCs/>
                <w:color w:val="FF0000"/>
                <w:szCs w:val="21"/>
                <w:lang w:val="en-US" w:eastAsia="zh-CN"/>
              </w:rPr>
            </w:pPr>
            <w:r>
              <w:rPr>
                <w:rFonts w:hint="eastAsia"/>
                <w:b/>
                <w:bCs/>
                <w:color w:val="FF0000"/>
                <w:szCs w:val="21"/>
                <w:lang w:val="en-US" w:eastAsia="zh-CN"/>
              </w:rPr>
              <w:t>否</w:t>
            </w:r>
          </w:p>
        </w:tc>
        <w:tc>
          <w:tcPr>
            <w:tcW w:w="485" w:type="pct"/>
            <w:vMerge w:val="restart"/>
            <w:vAlign w:val="center"/>
          </w:tcPr>
          <w:p>
            <w:pPr>
              <w:jc w:val="center"/>
              <w:rPr>
                <w:rFonts w:eastAsia="宋体" w:hint="eastAsia"/>
                <w:b/>
                <w:bCs/>
                <w:color w:val="FF0000"/>
                <w:szCs w:val="21"/>
                <w:lang w:val="en-US" w:eastAsia="zh-CN"/>
              </w:rPr>
            </w:pPr>
            <w:r>
              <w:rPr>
                <w:rFonts w:hint="eastAsia"/>
                <w:b/>
                <w:bCs/>
                <w:color w:val="FF0000"/>
                <w:szCs w:val="21"/>
                <w:lang w:val="en-US" w:eastAsia="zh-CN"/>
              </w:rPr>
              <w:t>工业</w:t>
            </w: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2</w:t>
            </w:r>
          </w:p>
        </w:tc>
        <w:tc>
          <w:tcPr>
            <w:tcW w:w="935" w:type="pct"/>
            <w:vMerge/>
            <w:vAlign w:val="center"/>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考试专用处理主机</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color w:val="FF0000"/>
                <w:szCs w:val="21"/>
              </w:rPr>
            </w:pPr>
          </w:p>
        </w:tc>
        <w:tc>
          <w:tcPr>
            <w:tcW w:w="613" w:type="pct"/>
            <w:vMerge/>
            <w:vAlign w:val="center"/>
          </w:tcPr>
          <w:p>
            <w:pPr>
              <w:jc w:val="center"/>
              <w:rPr>
                <w:rFonts w:hint="eastAsia"/>
                <w:b/>
                <w:bCs/>
                <w:color w:val="FF0000"/>
                <w:szCs w:val="21"/>
              </w:rPr>
            </w:pPr>
          </w:p>
        </w:tc>
        <w:tc>
          <w:tcPr>
            <w:tcW w:w="485" w:type="pct"/>
            <w:vMerge/>
            <w:vAlign w:val="center"/>
          </w:tcPr>
          <w:p>
            <w:pPr>
              <w:jc w:val="center"/>
              <w:rPr>
                <w:rFonts w:hint="eastAsia"/>
                <w:b/>
                <w:bCs/>
                <w:color w:val="FF0000"/>
                <w:szCs w:val="21"/>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3</w:t>
            </w:r>
          </w:p>
        </w:tc>
        <w:tc>
          <w:tcPr>
            <w:tcW w:w="935" w:type="pct"/>
            <w:vMerge/>
            <w:vAlign w:val="center"/>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实验信息采集终端</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25</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rPr>
            </w:pPr>
          </w:p>
        </w:tc>
        <w:tc>
          <w:tcPr>
            <w:tcW w:w="613" w:type="pct"/>
            <w:vMerge/>
            <w:vAlign w:val="center"/>
          </w:tcPr>
          <w:p>
            <w:pPr>
              <w:jc w:val="center"/>
              <w:rPr>
                <w:rFonts w:hint="eastAsia"/>
                <w:b/>
                <w:bCs/>
                <w:szCs w:val="21"/>
              </w:rPr>
            </w:pPr>
          </w:p>
        </w:tc>
        <w:tc>
          <w:tcPr>
            <w:tcW w:w="485" w:type="pct"/>
            <w:vMerge/>
            <w:vAlign w:val="center"/>
          </w:tcPr>
          <w:p>
            <w:pPr>
              <w:jc w:val="center"/>
              <w:rPr>
                <w:rFonts w:hint="eastAsia"/>
                <w:b/>
                <w:bCs/>
                <w:szCs w:val="21"/>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4</w:t>
            </w:r>
          </w:p>
        </w:tc>
        <w:tc>
          <w:tcPr>
            <w:tcW w:w="935" w:type="pct"/>
            <w:vMerge/>
            <w:vAlign w:val="center"/>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电子目镜（生物考场用）</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25</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color w:val="FF0000"/>
                <w:szCs w:val="21"/>
              </w:rPr>
            </w:pPr>
          </w:p>
        </w:tc>
        <w:tc>
          <w:tcPr>
            <w:tcW w:w="613" w:type="pct"/>
            <w:vMerge/>
            <w:vAlign w:val="center"/>
          </w:tcPr>
          <w:p>
            <w:pPr>
              <w:jc w:val="center"/>
              <w:rPr>
                <w:rFonts w:hint="eastAsia"/>
                <w:b/>
                <w:bCs/>
                <w:szCs w:val="21"/>
              </w:rPr>
            </w:pPr>
          </w:p>
        </w:tc>
        <w:tc>
          <w:tcPr>
            <w:tcW w:w="485" w:type="pct"/>
            <w:vMerge/>
            <w:vAlign w:val="center"/>
          </w:tcPr>
          <w:p>
            <w:pPr>
              <w:jc w:val="center"/>
              <w:rPr>
                <w:rFonts w:hint="eastAsia"/>
                <w:b/>
                <w:bCs/>
                <w:szCs w:val="21"/>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5</w:t>
            </w:r>
          </w:p>
        </w:tc>
        <w:tc>
          <w:tcPr>
            <w:tcW w:w="935" w:type="pct"/>
            <w:vMerge/>
            <w:vAlign w:val="center"/>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实验操作台桌垫</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25</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长</w:t>
            </w:r>
          </w:p>
        </w:tc>
        <w:tc>
          <w:tcPr>
            <w:tcW w:w="506" w:type="pct"/>
            <w:vMerge/>
            <w:vAlign w:val="center"/>
          </w:tcPr>
          <w:p>
            <w:pPr>
              <w:jc w:val="center"/>
              <w:rPr>
                <w:b/>
                <w:bCs/>
                <w:color w:val="FF0000"/>
                <w:szCs w:val="21"/>
                <w:highlight w:val="yellow"/>
              </w:rPr>
            </w:pPr>
          </w:p>
        </w:tc>
        <w:tc>
          <w:tcPr>
            <w:tcW w:w="613" w:type="pct"/>
            <w:vMerge/>
            <w:vAlign w:val="center"/>
          </w:tcPr>
          <w:p>
            <w:pPr>
              <w:jc w:val="center"/>
              <w:rPr>
                <w:b/>
                <w:bCs/>
                <w:color w:val="FF0000"/>
                <w:szCs w:val="21"/>
                <w:highlight w:val="yellow"/>
              </w:rPr>
            </w:pPr>
          </w:p>
        </w:tc>
        <w:tc>
          <w:tcPr>
            <w:tcW w:w="485" w:type="pct"/>
            <w:vMerge/>
            <w:vAlign w:val="center"/>
          </w:tcPr>
          <w:p>
            <w:pPr>
              <w:jc w:val="center"/>
              <w:rPr>
                <w:b/>
                <w:bCs/>
                <w:color w:val="FF0000"/>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6</w:t>
            </w:r>
          </w:p>
        </w:tc>
        <w:tc>
          <w:tcPr>
            <w:tcW w:w="935" w:type="pct"/>
            <w:vMerge/>
            <w:vAlign w:val="center"/>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考场监考管理主机</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7</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考场交换机</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8</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光纤模块</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bCs/>
                <w:szCs w:val="21"/>
              </w:rPr>
            </w:pPr>
            <w:r>
              <w:rPr>
                <w:rFonts w:hint="eastAsia"/>
                <w:bCs/>
                <w:szCs w:val="21"/>
              </w:rPr>
              <w:t>9</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机柜</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rFonts w:eastAsia="宋体" w:hint="default"/>
                <w:bCs/>
                <w:szCs w:val="21"/>
                <w:lang w:val="en-US" w:eastAsia="zh-CN"/>
              </w:rPr>
            </w:pPr>
            <w:r>
              <w:rPr>
                <w:rFonts w:hint="eastAsia"/>
                <w:bCs/>
                <w:szCs w:val="21"/>
                <w:lang w:val="en-US" w:eastAsia="zh-CN"/>
              </w:rPr>
              <w:t>10</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视频存储</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rFonts w:eastAsia="宋体" w:hint="default"/>
                <w:bCs/>
                <w:szCs w:val="21"/>
                <w:lang w:val="en-US" w:eastAsia="zh-CN"/>
              </w:rPr>
            </w:pPr>
            <w:r>
              <w:rPr>
                <w:rFonts w:hint="eastAsia"/>
                <w:bCs/>
                <w:szCs w:val="21"/>
                <w:lang w:val="en-US" w:eastAsia="zh-CN"/>
              </w:rPr>
              <w:t>11</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机房摄像机</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rFonts w:eastAsia="宋体" w:hint="default"/>
                <w:bCs/>
                <w:szCs w:val="21"/>
                <w:lang w:val="en-US" w:eastAsia="zh-CN"/>
              </w:rPr>
            </w:pPr>
            <w:r>
              <w:rPr>
                <w:rFonts w:hint="eastAsia"/>
                <w:bCs/>
                <w:szCs w:val="21"/>
                <w:lang w:val="en-US" w:eastAsia="zh-CN"/>
              </w:rPr>
              <w:t>12</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UPS主机</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rFonts w:eastAsia="宋体" w:hint="default"/>
                <w:bCs/>
                <w:szCs w:val="21"/>
                <w:lang w:val="en-US" w:eastAsia="zh-CN"/>
              </w:rPr>
            </w:pPr>
            <w:r>
              <w:rPr>
                <w:rFonts w:hint="eastAsia"/>
                <w:bCs/>
                <w:szCs w:val="21"/>
                <w:lang w:val="en-US" w:eastAsia="zh-CN"/>
              </w:rPr>
              <w:t>13</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考点视频监控设备</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2</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r>
        <w:tblPrEx>
          <w:tblW w:w="5215" w:type="pct"/>
          <w:jc w:val="center"/>
          <w:tblCellMar>
            <w:top w:w="0" w:type="dxa"/>
            <w:left w:w="108" w:type="dxa"/>
            <w:bottom w:w="0" w:type="dxa"/>
            <w:right w:w="108" w:type="dxa"/>
          </w:tblCellMar>
        </w:tblPrEx>
        <w:trPr>
          <w:trHeight w:val="0"/>
          <w:jc w:val="center"/>
        </w:trPr>
        <w:tc>
          <w:tcPr>
            <w:tcW w:w="376" w:type="pct"/>
            <w:vAlign w:val="center"/>
          </w:tcPr>
          <w:p>
            <w:pPr>
              <w:jc w:val="center"/>
              <w:rPr>
                <w:rFonts w:eastAsia="宋体" w:hint="default"/>
                <w:bCs/>
                <w:szCs w:val="21"/>
                <w:lang w:val="en-US" w:eastAsia="zh-CN"/>
              </w:rPr>
            </w:pPr>
            <w:r>
              <w:rPr>
                <w:rFonts w:hint="eastAsia"/>
                <w:bCs/>
                <w:szCs w:val="21"/>
                <w:lang w:val="en-US" w:eastAsia="zh-CN"/>
              </w:rPr>
              <w:t>14</w:t>
            </w:r>
          </w:p>
        </w:tc>
        <w:tc>
          <w:tcPr>
            <w:tcW w:w="935" w:type="pct"/>
            <w:vMerge/>
          </w:tcPr>
          <w:p>
            <w:pPr>
              <w:jc w:val="center"/>
              <w:rPr>
                <w:bCs/>
                <w:szCs w:val="21"/>
              </w:rPr>
            </w:pPr>
          </w:p>
        </w:tc>
        <w:tc>
          <w:tcPr>
            <w:tcW w:w="1294" w:type="pct"/>
            <w:vAlign w:val="center"/>
          </w:tcPr>
          <w:p>
            <w:pPr>
              <w:widowControl/>
              <w:jc w:val="left"/>
              <w:textAlignment w:val="center"/>
              <w:rPr>
                <w:bCs/>
                <w:szCs w:val="21"/>
              </w:rPr>
            </w:pPr>
            <w:r>
              <w:rPr>
                <w:rFonts w:ascii="宋体" w:hAnsi="宋体" w:cs="宋体" w:hint="eastAsia"/>
                <w:color w:val="000000"/>
                <w:kern w:val="0"/>
                <w:sz w:val="22"/>
                <w:szCs w:val="22"/>
              </w:rPr>
              <w:t>考务室摄像机</w:t>
            </w:r>
          </w:p>
        </w:tc>
        <w:tc>
          <w:tcPr>
            <w:tcW w:w="377" w:type="pct"/>
            <w:vAlign w:val="center"/>
          </w:tcPr>
          <w:p>
            <w:pPr>
              <w:widowControl/>
              <w:jc w:val="center"/>
              <w:textAlignment w:val="center"/>
              <w:rPr>
                <w:bCs/>
                <w:szCs w:val="21"/>
              </w:rPr>
            </w:pPr>
            <w:r>
              <w:rPr>
                <w:rFonts w:ascii="宋体" w:hAnsi="宋体" w:cs="宋体" w:hint="eastAsia"/>
                <w:color w:val="000000"/>
                <w:kern w:val="0"/>
                <w:sz w:val="22"/>
                <w:szCs w:val="22"/>
              </w:rPr>
              <w:t>1</w:t>
            </w:r>
          </w:p>
        </w:tc>
        <w:tc>
          <w:tcPr>
            <w:tcW w:w="411" w:type="pct"/>
            <w:vAlign w:val="center"/>
          </w:tcPr>
          <w:p>
            <w:pPr>
              <w:widowControl/>
              <w:jc w:val="center"/>
              <w:textAlignment w:val="center"/>
              <w:rPr>
                <w:bCs/>
                <w:szCs w:val="21"/>
              </w:rPr>
            </w:pPr>
            <w:r>
              <w:rPr>
                <w:rFonts w:ascii="宋体" w:hAnsi="宋体" w:cs="宋体" w:hint="eastAsia"/>
                <w:color w:val="000000"/>
                <w:kern w:val="0"/>
                <w:sz w:val="22"/>
                <w:szCs w:val="22"/>
              </w:rPr>
              <w:t>台</w:t>
            </w:r>
          </w:p>
        </w:tc>
        <w:tc>
          <w:tcPr>
            <w:tcW w:w="506" w:type="pct"/>
            <w:vMerge/>
            <w:vAlign w:val="center"/>
          </w:tcPr>
          <w:p>
            <w:pPr>
              <w:jc w:val="center"/>
              <w:rPr>
                <w:b/>
                <w:bCs/>
                <w:szCs w:val="21"/>
                <w:highlight w:val="yellow"/>
              </w:rPr>
            </w:pPr>
          </w:p>
        </w:tc>
        <w:tc>
          <w:tcPr>
            <w:tcW w:w="613" w:type="pct"/>
            <w:vMerge/>
            <w:vAlign w:val="center"/>
          </w:tcPr>
          <w:p>
            <w:pPr>
              <w:jc w:val="center"/>
              <w:rPr>
                <w:b/>
                <w:bCs/>
                <w:szCs w:val="21"/>
                <w:highlight w:val="yellow"/>
              </w:rPr>
            </w:pPr>
          </w:p>
        </w:tc>
        <w:tc>
          <w:tcPr>
            <w:tcW w:w="485" w:type="pct"/>
            <w:vMerge/>
            <w:vAlign w:val="center"/>
          </w:tcPr>
          <w:p>
            <w:pPr>
              <w:jc w:val="center"/>
              <w:rPr>
                <w:b/>
                <w:bCs/>
                <w:szCs w:val="21"/>
                <w:highlight w:val="yellow"/>
              </w:rPr>
            </w:pPr>
          </w:p>
        </w:tc>
      </w:tr>
    </w:tbl>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numPr>
          <w:ilvl w:val="0"/>
          <w:numId w:val="8"/>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numPr>
          <w:ilvl w:val="0"/>
          <w:numId w:val="8"/>
        </w:numPr>
        <w:ind w:firstLine="420" w:firstLineChars="200"/>
        <w:rPr>
          <w:rFonts w:ascii="宋体" w:eastAsia="宋体" w:hAnsi="宋体" w:cs="Times New Roman" w:hint="eastAsia"/>
          <w:b/>
          <w:color w:val="FF0000"/>
          <w:szCs w:val="21"/>
        </w:rPr>
      </w:pPr>
      <w:r>
        <w:rPr>
          <w:rFonts w:ascii="宋体" w:eastAsia="宋体" w:hAnsi="宋体" w:cs="Times New Roman" w:hint="eastAsia"/>
          <w:b/>
          <w:color w:val="FF0000"/>
          <w:szCs w:val="21"/>
          <w:lang w:val="en-US" w:eastAsia="zh-CN"/>
        </w:rPr>
        <w:t>★</w:t>
      </w:r>
      <w:r>
        <w:rPr>
          <w:rFonts w:ascii="宋体" w:eastAsia="宋体" w:hAnsi="宋体" w:cs="Times New Roman" w:hint="eastAsia"/>
          <w:b/>
          <w:color w:val="FF0000"/>
          <w:szCs w:val="21"/>
        </w:rPr>
        <w:t>如注明有单价控制金额的产品，投标人对该产品的报价不得超过控制金额，否则将作投标无效处理。</w:t>
      </w:r>
    </w:p>
    <w:p>
      <w:pPr>
        <w:numPr>
          <w:ilvl w:val="0"/>
          <w:numId w:val="8"/>
        </w:numPr>
        <w:ind w:firstLine="420" w:firstLineChars="200"/>
        <w:rPr>
          <w:rFonts w:ascii="宋体" w:eastAsia="宋体" w:hAnsi="宋体" w:cs="Times New Roman" w:hint="eastAsia"/>
          <w:b/>
          <w:color w:val="FF0000"/>
          <w:szCs w:val="21"/>
        </w:rPr>
      </w:pPr>
      <w:r>
        <w:rPr>
          <w:rFonts w:ascii="宋体" w:eastAsia="宋体" w:hAnsi="宋体" w:cs="Times New Roman" w:hint="eastAsia"/>
          <w:b/>
          <w:color w:val="FF0000"/>
          <w:szCs w:val="21"/>
          <w:lang w:val="en-US" w:eastAsia="zh-CN"/>
        </w:rPr>
        <w:t>根据《政府采购货物和服务招标投标管理办法》（财政部令第87号）第三十一条规定，单一产品项目或非单一产品项目中的核心产品均应明确品牌，如未填报品牌信息的，所造成的后果由供应商自行承担。</w:t>
      </w:r>
    </w:p>
    <w:p>
      <w:pPr>
        <w:ind w:firstLine="420" w:firstLineChars="200"/>
      </w:pPr>
      <w:r>
        <w:rPr>
          <w:rFonts w:ascii="宋体" w:hAnsi="宋体" w:hint="eastAsia"/>
          <w:b/>
          <w:color w:val="FF0000"/>
          <w:szCs w:val="21"/>
          <w:lang w:val="en-US" w:eastAsia="zh-CN"/>
        </w:rPr>
        <w:t>5</w:t>
      </w:r>
      <w:r>
        <w:rPr>
          <w:rFonts w:ascii="宋体" w:hAnsi="宋体" w:hint="eastAsia"/>
          <w:b/>
          <w:color w:val="FF0000"/>
          <w:szCs w:val="21"/>
        </w:rPr>
        <w:t>、本项目核心产品为：</w:t>
      </w:r>
      <w:r>
        <w:rPr>
          <w:rFonts w:ascii="宋体" w:hAnsi="宋体" w:hint="eastAsia"/>
          <w:b/>
          <w:color w:val="FF0000"/>
          <w:szCs w:val="21"/>
          <w:u w:val="single"/>
        </w:rPr>
        <w:t xml:space="preserve">   实验信息采集终端</w:t>
      </w:r>
      <w:r>
        <w:rPr>
          <w:rFonts w:ascii="宋体" w:hAnsi="宋体" w:hint="eastAsia"/>
          <w:b/>
          <w:color w:val="FF0000"/>
          <w:szCs w:val="21"/>
          <w:u w:val="single"/>
          <w:lang w:val="en-US" w:eastAsia="zh-CN"/>
        </w:rPr>
        <w:t xml:space="preserve">  </w:t>
      </w:r>
      <w:r>
        <w:rPr>
          <w:rFonts w:ascii="宋体" w:hAnsi="宋体" w:hint="eastAsia"/>
          <w:b/>
          <w:color w:val="FF0000"/>
          <w:szCs w:val="21"/>
          <w:u w:val="single"/>
        </w:rPr>
        <w:t xml:space="preserve"> </w:t>
      </w:r>
      <w:r>
        <w:rPr>
          <w:rFonts w:ascii="宋体" w:hAnsi="宋体" w:hint="eastAsia"/>
          <w:b/>
          <w:color w:val="FF0000"/>
          <w:szCs w:val="21"/>
        </w:rPr>
        <w:t>。</w:t>
      </w:r>
      <w:bookmarkEnd w:id="37"/>
    </w:p>
    <w:p>
      <w:pPr>
        <w:pStyle w:val="Heading2"/>
        <w:spacing w:before="120" w:beforeLines="50" w:after="120" w:afterLines="50"/>
        <w:rPr>
          <w:sz w:val="28"/>
          <w:szCs w:val="28"/>
        </w:rPr>
      </w:pPr>
      <w:bookmarkStart w:id="39" w:name="_Toc128884461"/>
      <w:r>
        <w:rPr>
          <w:rFonts w:hint="eastAsia"/>
          <w:sz w:val="28"/>
          <w:szCs w:val="28"/>
        </w:rPr>
        <w:t>三、实质性条款</w:t>
      </w:r>
    </w:p>
    <w:tbl>
      <w:tblPr>
        <w:tblStyle w:val="TableNormal"/>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7832"/>
      </w:tblGrid>
      <w:tr>
        <w:tblPrEx>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14"/>
          <w:jc w:val="center"/>
        </w:trPr>
        <w:tc>
          <w:tcPr>
            <w:tcW w:w="705" w:type="dxa"/>
            <w:noWrap w:val="0"/>
            <w:vAlign w:val="center"/>
          </w:tcPr>
          <w:p>
            <w:r>
              <w:rPr>
                <w:rFonts w:hint="eastAsia"/>
              </w:rPr>
              <w:t>序号</w:t>
            </w:r>
          </w:p>
        </w:tc>
        <w:tc>
          <w:tcPr>
            <w:tcW w:w="7832" w:type="dxa"/>
            <w:noWrap w:val="0"/>
            <w:vAlign w:val="center"/>
          </w:tcPr>
          <w:p>
            <w:pPr>
              <w:jc w:val="center"/>
            </w:pPr>
            <w:r>
              <w:rPr>
                <w:rFonts w:hint="eastAsia"/>
              </w:rPr>
              <w:t>实质性条款具体内容</w:t>
            </w:r>
          </w:p>
        </w:tc>
      </w:tr>
      <w:tr>
        <w:tblPrEx>
          <w:tblW w:w="8537" w:type="dxa"/>
          <w:jc w:val="center"/>
          <w:tblCellMar>
            <w:top w:w="0" w:type="dxa"/>
            <w:left w:w="108" w:type="dxa"/>
            <w:bottom w:w="0" w:type="dxa"/>
            <w:right w:w="108" w:type="dxa"/>
          </w:tblCellMar>
        </w:tblPrEx>
        <w:trPr>
          <w:jc w:val="center"/>
        </w:trPr>
        <w:tc>
          <w:tcPr>
            <w:tcW w:w="705" w:type="dxa"/>
            <w:noWrap w:val="0"/>
            <w:vAlign w:val="top"/>
          </w:tcPr>
          <w:p>
            <w:pPr>
              <w:jc w:val="center"/>
            </w:pPr>
            <w:r>
              <w:rPr>
                <w:rFonts w:hint="eastAsia"/>
              </w:rPr>
              <w:t>1</w:t>
            </w:r>
          </w:p>
        </w:tc>
        <w:tc>
          <w:tcPr>
            <w:tcW w:w="7832" w:type="dxa"/>
            <w:noWrap w:val="0"/>
            <w:vAlign w:val="top"/>
          </w:tcPr>
          <w:p>
            <w:pPr>
              <w:jc w:val="center"/>
              <w:rPr>
                <w:rFonts w:eastAsia="宋体" w:hint="eastAsia"/>
                <w:lang w:eastAsia="zh-CN"/>
              </w:rPr>
            </w:pPr>
            <w:r>
              <w:rPr>
                <w:rFonts w:hint="eastAsia"/>
              </w:rPr>
              <w:t>本项目招标文件中所有带★号条款</w:t>
            </w:r>
            <w:r>
              <w:rPr>
                <w:rFonts w:hint="eastAsia"/>
                <w:lang w:val="en-US" w:eastAsia="zh-CN"/>
              </w:rPr>
              <w:t>内容</w:t>
            </w:r>
          </w:p>
        </w:tc>
      </w:tr>
    </w:tbl>
    <w:p>
      <w:r>
        <w:rPr>
          <w:rFonts w:hint="eastAsia"/>
          <w:b/>
          <w:color w:val="FF0000"/>
        </w:rPr>
        <w:t>注</w:t>
      </w:r>
      <w:r>
        <w:rPr>
          <w:rFonts w:hint="eastAsia"/>
        </w:rPr>
        <w:t>：</w:t>
      </w:r>
      <w:r>
        <w:rPr>
          <w:rFonts w:hint="eastAsia"/>
          <w:b/>
          <w:color w:val="FF0000"/>
        </w:rPr>
        <w:t>上表所列内容为不可负偏离条款，负偏离将视为未实质性满足招标文件要求</w:t>
      </w:r>
      <w:r>
        <w:rPr>
          <w:rFonts w:hint="eastAsia"/>
          <w:b/>
          <w:color w:val="FF0000"/>
          <w:lang w:eastAsia="zh-CN"/>
        </w:rPr>
        <w:t>，</w:t>
      </w:r>
      <w:r>
        <w:rPr>
          <w:rFonts w:hint="eastAsia"/>
          <w:b/>
          <w:color w:val="FF0000"/>
        </w:rPr>
        <w:t>作投标无效处理。投标人是否满足</w:t>
      </w:r>
      <w:r>
        <w:rPr>
          <w:rFonts w:hint="eastAsia"/>
          <w:b/>
          <w:color w:val="FF0000"/>
          <w:lang w:val="en-US" w:eastAsia="zh-CN"/>
        </w:rPr>
        <w:t>以上实质性</w:t>
      </w:r>
      <w:r>
        <w:rPr>
          <w:rFonts w:hint="eastAsia"/>
          <w:b/>
          <w:color w:val="FF0000"/>
        </w:rPr>
        <w:t>条款要求，</w:t>
      </w:r>
      <w:r>
        <w:rPr>
          <w:rFonts w:hint="eastAsia"/>
          <w:b/>
          <w:color w:val="FF0000"/>
          <w:lang w:val="en-US" w:eastAsia="zh-CN"/>
        </w:rPr>
        <w:t>以</w:t>
      </w:r>
      <w:r>
        <w:rPr>
          <w:rFonts w:hint="eastAsia"/>
          <w:b/>
          <w:color w:val="FF0000"/>
          <w:lang w:eastAsia="zh-CN"/>
        </w:rPr>
        <w:t>《</w:t>
      </w:r>
      <w:r>
        <w:rPr>
          <w:rFonts w:hint="eastAsia"/>
          <w:b/>
          <w:color w:val="FF0000"/>
        </w:rPr>
        <w:t>实质性条款响应情况表</w:t>
      </w:r>
      <w:r>
        <w:rPr>
          <w:rFonts w:hint="eastAsia"/>
          <w:b/>
          <w:color w:val="FF0000"/>
          <w:lang w:eastAsia="zh-CN"/>
        </w:rPr>
        <w:t>》</w:t>
      </w:r>
      <w:r>
        <w:rPr>
          <w:rFonts w:hint="eastAsia"/>
          <w:b/>
          <w:color w:val="FF0000"/>
          <w:lang w:val="en-US" w:eastAsia="zh-CN"/>
        </w:rPr>
        <w:t>响应为准。</w:t>
      </w:r>
      <w:r>
        <w:rPr>
          <w:rFonts w:hint="eastAsia"/>
          <w:b/>
          <w:color w:val="FF0000"/>
        </w:rPr>
        <w:t>如投标人中标后被发现不能满足</w:t>
      </w:r>
      <w:r>
        <w:rPr>
          <w:rFonts w:hint="eastAsia"/>
          <w:b/>
          <w:color w:val="FF0000"/>
          <w:lang w:val="en-US" w:eastAsia="zh-CN"/>
        </w:rPr>
        <w:t>以上实质性</w:t>
      </w:r>
      <w:r>
        <w:rPr>
          <w:rFonts w:hint="eastAsia"/>
          <w:b/>
          <w:color w:val="FF0000"/>
        </w:rPr>
        <w:t>条款要求的，采购单位有权拒绝签订合同，一切后果由投标人承担。</w:t>
      </w:r>
      <w:bookmarkEnd w:id="39"/>
    </w:p>
    <w:p>
      <w:pPr>
        <w:pStyle w:val="Heading2"/>
        <w:spacing w:before="120" w:beforeLines="50" w:after="120" w:afterLines="50"/>
        <w:rPr>
          <w:sz w:val="28"/>
          <w:szCs w:val="28"/>
        </w:rPr>
      </w:pPr>
      <w:r>
        <w:rPr>
          <w:rFonts w:hint="eastAsia"/>
          <w:sz w:val="28"/>
          <w:szCs w:val="28"/>
          <w:lang w:val="en-US" w:eastAsia="zh-CN"/>
        </w:rPr>
        <w:t>四</w:t>
      </w:r>
      <w:r>
        <w:rPr>
          <w:rFonts w:hint="eastAsia"/>
          <w:sz w:val="28"/>
          <w:szCs w:val="28"/>
        </w:rPr>
        <w:t>、技术要求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Times New Roman"/>
          <w:b/>
          <w:color w:val="FF0000"/>
          <w:szCs w:val="21"/>
          <w:highlight w:val="none"/>
        </w:rPr>
      </w:pPr>
      <w:r>
        <w:rPr>
          <w:rFonts w:ascii="宋体" w:eastAsia="宋体" w:hAnsi="宋体" w:cs="Times New Roman" w:hint="eastAsia"/>
          <w:b/>
          <w:color w:val="FF0000"/>
          <w:szCs w:val="21"/>
          <w:highlight w:val="none"/>
        </w:rPr>
        <w:t>说明：</w:t>
      </w:r>
      <w:r>
        <w:rPr>
          <w:b/>
          <w:szCs w:val="21"/>
        </w:rPr>
        <w:t xml:space="preserve"> </w:t>
      </w:r>
      <w:bookmarkStart w:id="40" w:name="_Hlk72585069"/>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w:t>
      </w:r>
      <w:r>
        <w:rPr>
          <w:rFonts w:ascii="宋体" w:eastAsia="宋体" w:hAnsi="宋体" w:cs="Times New Roman" w:hint="eastAsia"/>
          <w:b/>
          <w:color w:val="FF0000"/>
          <w:szCs w:val="21"/>
          <w:highlight w:val="none"/>
        </w:rPr>
        <w:t>，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额外</w:t>
      </w:r>
      <w:r>
        <w:rPr>
          <w:rFonts w:ascii="Calibri" w:eastAsia="宋体" w:hAnsi="Calibri" w:cs="Times New Roman"/>
          <w:color w:val="FF0000"/>
          <w:szCs w:val="21"/>
          <w:highlight w:val="none"/>
        </w:rPr>
        <w:t>设备</w:t>
      </w:r>
      <w:r>
        <w:rPr>
          <w:rFonts w:ascii="Calibri" w:eastAsia="宋体" w:hAnsi="Calibri" w:cs="Times New Roman" w:hint="eastAsia"/>
          <w:color w:val="FF0000"/>
          <w:szCs w:val="21"/>
          <w:highlight w:val="none"/>
        </w:rPr>
        <w:t>或</w:t>
      </w:r>
      <w:r>
        <w:rPr>
          <w:rFonts w:ascii="Calibri" w:eastAsia="宋体" w:hAnsi="Calibri" w:cs="Times New Roman"/>
          <w:color w:val="FF0000"/>
          <w:szCs w:val="21"/>
          <w:highlight w:val="none"/>
        </w:rPr>
        <w:t>系统</w:t>
      </w:r>
      <w:r>
        <w:rPr>
          <w:rFonts w:ascii="Calibri" w:eastAsia="宋体" w:hAnsi="Calibri" w:cs="Times New Roman" w:hint="eastAsia"/>
          <w:color w:val="FF0000"/>
          <w:szCs w:val="21"/>
          <w:highlight w:val="none"/>
        </w:rPr>
        <w:t>，</w:t>
      </w:r>
      <w:r>
        <w:rPr>
          <w:rFonts w:ascii="Calibri" w:eastAsia="宋体" w:hAnsi="Calibri" w:cs="Times New Roman"/>
          <w:color w:val="FF0000"/>
          <w:szCs w:val="21"/>
          <w:highlight w:val="none"/>
        </w:rPr>
        <w:t>使用本项目中的设备或</w:t>
      </w:r>
      <w:r>
        <w:rPr>
          <w:rFonts w:ascii="Calibri" w:eastAsia="宋体" w:hAnsi="Calibri" w:cs="Times New Roman" w:hint="eastAsia"/>
          <w:color w:val="FF0000"/>
          <w:szCs w:val="21"/>
          <w:highlight w:val="none"/>
        </w:rPr>
        <w:t>系统</w:t>
      </w:r>
      <w:r>
        <w:rPr>
          <w:rFonts w:ascii="Calibri" w:eastAsia="宋体" w:hAnsi="Calibri" w:cs="Times New Roman"/>
          <w:color w:val="FF0000"/>
          <w:szCs w:val="21"/>
          <w:highlight w:val="none"/>
        </w:rPr>
        <w:t>即能实现</w:t>
      </w:r>
      <w:r>
        <w:rPr>
          <w:rFonts w:ascii="Calibri" w:eastAsia="宋体" w:hAnsi="Calibri" w:cs="Times New Roman" w:hint="eastAsia"/>
          <w:color w:val="FF0000"/>
          <w:szCs w:val="21"/>
          <w:highlight w:val="none"/>
        </w:rPr>
        <w:t>相应功能</w:t>
      </w:r>
      <w:r>
        <w:rPr>
          <w:rFonts w:ascii="Calibri" w:eastAsia="宋体" w:hAnsi="Calibri" w:cs="Times New Roman"/>
          <w:color w:val="FF0000"/>
          <w:szCs w:val="21"/>
          <w:highlight w:val="none"/>
        </w:rPr>
        <w:t>或</w:t>
      </w:r>
      <w:r>
        <w:rPr>
          <w:rFonts w:ascii="Calibri" w:eastAsia="宋体" w:hAnsi="Calibri" w:cs="Times New Roman" w:hint="eastAsia"/>
          <w:color w:val="FF0000"/>
          <w:szCs w:val="21"/>
          <w:highlight w:val="none"/>
        </w:rPr>
        <w:t>满足相关</w:t>
      </w:r>
      <w:r>
        <w:rPr>
          <w:rFonts w:ascii="Calibri" w:eastAsia="宋体" w:hAnsi="Calibri" w:cs="Times New Roman"/>
          <w:color w:val="FF0000"/>
          <w:szCs w:val="21"/>
          <w:highlight w:val="none"/>
        </w:rPr>
        <w:t>要求。</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highlight w:val="none"/>
          <w:lang w:val="en-US" w:eastAsia="zh-CN"/>
        </w:rPr>
      </w:pPr>
      <w:r>
        <w:rPr>
          <w:rFonts w:ascii="Calibri" w:eastAsia="宋体" w:hAnsi="Calibri" w:cs="Times New Roman" w:hint="eastAsia"/>
          <w:color w:val="FF0000"/>
          <w:szCs w:val="21"/>
          <w:highlight w:val="none"/>
          <w:shd w:val="clear" w:color="auto" w:fill="FFFF00"/>
          <w:lang w:val="en-US" w:eastAsia="zh-CN"/>
        </w:rPr>
        <w:t>4、</w:t>
      </w:r>
      <w:r>
        <w:rPr>
          <w:rFonts w:ascii="Calibri" w:eastAsia="宋体" w:hAnsi="Calibri" w:cs="Times New Roman" w:hint="eastAsia"/>
          <w:color w:val="FF0000"/>
          <w:szCs w:val="21"/>
          <w:highlight w:val="none"/>
          <w:shd w:val="clear" w:color="auto" w:fill="FFFF00"/>
        </w:rPr>
        <w:t>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eastAsia"/>
          <w:color w:val="FF0000"/>
          <w:szCs w:val="21"/>
          <w:highlight w:val="none"/>
          <w:lang w:val="en-US" w:eastAsia="zh-CN"/>
        </w:rPr>
        <w:t>5</w:t>
      </w:r>
      <w:r>
        <w:rPr>
          <w:rFonts w:ascii="Calibri" w:eastAsia="宋体" w:hAnsi="Calibri" w:cs="Times New Roman" w:hint="default"/>
          <w:color w:val="FF0000"/>
          <w:szCs w:val="21"/>
          <w:highlight w:val="none"/>
          <w:lang w:val="en-US" w:eastAsia="zh-CN"/>
        </w:rPr>
        <w:t>、针对招标文件产品技术参数如涉及相关既定值、</w:t>
      </w:r>
      <w:r>
        <w:rPr>
          <w:rFonts w:ascii="Calibri" w:eastAsia="宋体" w:hAnsi="Calibri" w:cs="Times New Roman" w:hint="default"/>
          <w:color w:val="FF0000"/>
          <w:szCs w:val="21"/>
          <w:lang w:val="en-US" w:eastAsia="zh-CN"/>
        </w:rPr>
        <w:t>单向范围值、区间范围值的，投标技术参数响应方式举例说明如下：</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（1）涉及相关既定值的，例：招标技术参数要求值为“20L”，投标技术参数响应值与“20L”不一致的，均视为负偏离；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5”或“＞5”等）或投标技术参数响应值为招标技术参数要求范围值内的任意值的（如响应为“7m”或“6.5m”等）均视为符合要求，投标技术参数响应值小于招标技术参数要求的（如响应为"＜6m"或“＜5m”或“5m”等）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b/>
          <w:szCs w:val="21"/>
        </w:rPr>
      </w:pPr>
      <w:r>
        <w:rPr>
          <w:rFonts w:ascii="Calibri" w:eastAsia="宋体" w:hAnsi="Calibri" w:cs="Times New Roman" w:hint="default"/>
          <w:color w:val="FF0000"/>
          <w:szCs w:val="21"/>
          <w:lang w:val="en-US" w:eastAsia="zh-CN"/>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tbl>
      <w:tblPr>
        <w:tblStyle w:val="TableNormal"/>
        <w:tblW w:w="8911"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40"/>
        <w:gridCol w:w="1786"/>
        <w:gridCol w:w="6485"/>
      </w:tblGrid>
      <w:tr>
        <w:tblPrEx>
          <w:tblW w:w="8911"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640" w:type="dxa"/>
            <w:vAlign w:val="center"/>
          </w:tcPr>
          <w:p>
            <w:pPr>
              <w:jc w:val="center"/>
              <w:rPr>
                <w:color w:val="000000" w:themeColor="text1"/>
                <w:szCs w:val="21"/>
                <w14:textFill>
                  <w14:solidFill>
                    <w14:schemeClr w14:val="tx1"/>
                  </w14:solidFill>
                </w14:textFill>
              </w:rPr>
            </w:pPr>
            <w:bookmarkEnd w:id="40"/>
            <w:bookmarkStart w:id="41" w:name="_Hlk70236148"/>
            <w:r>
              <w:rPr>
                <w:color w:val="000000" w:themeColor="text1"/>
                <w:szCs w:val="21"/>
                <w14:textFill>
                  <w14:solidFill>
                    <w14:schemeClr w14:val="tx1"/>
                  </w14:solidFill>
                </w14:textFill>
              </w:rPr>
              <w:t>序号</w:t>
            </w:r>
          </w:p>
        </w:tc>
        <w:tc>
          <w:tcPr>
            <w:tcW w:w="1786" w:type="dxa"/>
            <w:vAlign w:val="center"/>
          </w:tcPr>
          <w:p>
            <w:pPr>
              <w:widowControl/>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货物名称</w:t>
            </w:r>
          </w:p>
        </w:tc>
        <w:tc>
          <w:tcPr>
            <w:tcW w:w="6485" w:type="dxa"/>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restart"/>
            <w:vAlign w:val="top"/>
          </w:tcPr>
          <w:p>
            <w:pPr>
              <w:jc w:val="center"/>
              <w:rPr>
                <w:color w:val="000000" w:themeColor="text1"/>
                <w:szCs w:val="21"/>
                <w14:textFill>
                  <w14:solidFill>
                    <w14:schemeClr w14:val="tx1"/>
                  </w14:solidFill>
                </w14:textFill>
              </w:rPr>
            </w:pPr>
            <w:r>
              <w:rPr>
                <w:rFonts w:ascii="宋体" w:hAnsi="宋体" w:cs="宋体" w:hint="eastAsia"/>
                <w:color w:val="000000"/>
                <w:szCs w:val="21"/>
              </w:rPr>
              <w:t>1</w:t>
            </w:r>
          </w:p>
        </w:tc>
        <w:tc>
          <w:tcPr>
            <w:tcW w:w="1786" w:type="dxa"/>
            <w:vMerge w:val="restart"/>
            <w:vAlign w:val="center"/>
          </w:tcPr>
          <w:p>
            <w:pPr>
              <w:widowControl/>
              <w:jc w:val="left"/>
              <w:textAlignment w:val="center"/>
              <w:rPr>
                <w:color w:val="000000" w:themeColor="text1"/>
                <w:szCs w:val="21"/>
                <w14:textFill>
                  <w14:solidFill>
                    <w14:schemeClr w14:val="tx1"/>
                  </w14:solidFill>
                </w14:textFill>
              </w:rPr>
            </w:pPr>
            <w:r>
              <w:rPr>
                <w:rFonts w:ascii="宋体" w:hAnsi="宋体" w:cs="宋体" w:hint="eastAsia"/>
                <w:color w:val="000000"/>
                <w:kern w:val="0"/>
                <w:sz w:val="22"/>
                <w:szCs w:val="22"/>
              </w:rPr>
              <w:t>校级管理平台</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w:t>
            </w:r>
            <w:r>
              <w:rPr>
                <w:rFonts w:ascii="宋体" w:hAnsi="宋体" w:cs="宋体" w:hint="eastAsia"/>
                <w:color w:val="000000"/>
                <w:kern w:val="0"/>
                <w:sz w:val="22"/>
                <w:szCs w:val="22"/>
              </w:rPr>
              <w:t>学校管理：对校内理化实验操作考试统一管理，可增删改查；学校信息包括学校名称、学校地址、学校编码、理化实验操作考场数、联系人及联系电话等。</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tc>
        <w:tc>
          <w:tcPr>
            <w:tcW w:w="1786" w:type="dxa"/>
            <w:vMerge/>
            <w:vAlign w:val="center"/>
          </w:tc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w:t>
            </w:r>
            <w:r>
              <w:rPr>
                <w:rFonts w:ascii="宋体" w:hAnsi="宋体" w:cs="宋体" w:hint="eastAsia"/>
                <w:color w:val="000000"/>
                <w:kern w:val="0"/>
                <w:sz w:val="22"/>
                <w:szCs w:val="22"/>
              </w:rPr>
              <w:t>排考管理：支持所有考生统一排考，理化生三科场地同时使用。</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w:t>
            </w:r>
            <w:r>
              <w:rPr>
                <w:rFonts w:ascii="宋体" w:hAnsi="宋体" w:cs="宋体" w:hint="eastAsia"/>
                <w:color w:val="000000"/>
                <w:kern w:val="0"/>
                <w:sz w:val="22"/>
                <w:szCs w:val="22"/>
              </w:rPr>
              <w:t>考试任务管理：展示考试任务一览表，能增、删、改、查考试任务，设置选取考试试题、考试时长、评卷方式（集中评卷、现场评卷）。</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w:t>
            </w:r>
            <w:r>
              <w:rPr>
                <w:rFonts w:ascii="宋体" w:hAnsi="宋体" w:cs="宋体" w:hint="eastAsia"/>
                <w:color w:val="000000"/>
                <w:kern w:val="0"/>
                <w:sz w:val="22"/>
                <w:szCs w:val="22"/>
              </w:rPr>
              <w:t>试题管理：按科目从题库中选取当次考试的多道试题，生成供监考机联网自动下载的加密试题包，可关联对应试题的评分项，并可查看、新增、删除、修改试题评分项；支持生成可直接打印的PDF和Word格式的试题、评分细则文件，可选择某次考试任务或某道试题导出。</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w:t>
            </w:r>
            <w:r>
              <w:rPr>
                <w:rFonts w:ascii="宋体" w:hAnsi="宋体" w:cs="宋体" w:hint="eastAsia"/>
                <w:color w:val="000000"/>
                <w:kern w:val="0"/>
                <w:sz w:val="22"/>
                <w:szCs w:val="22"/>
              </w:rPr>
              <w:t>用户及权限管理：基于角色的权限控制管理。</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w:t>
            </w:r>
            <w:r>
              <w:rPr>
                <w:rFonts w:ascii="宋体" w:hAnsi="宋体" w:cs="宋体" w:hint="eastAsia"/>
                <w:color w:val="000000"/>
                <w:kern w:val="0"/>
                <w:sz w:val="22"/>
                <w:szCs w:val="22"/>
              </w:rPr>
              <w:t>通讯设置：设置本监考机连接的流媒体存储、平板电脑、IPC、NVR的网址、账号密码，以便通信。</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w:t>
            </w:r>
            <w:r>
              <w:rPr>
                <w:rFonts w:ascii="宋体" w:hAnsi="宋体" w:cs="宋体" w:hint="eastAsia"/>
                <w:color w:val="000000"/>
                <w:kern w:val="0"/>
                <w:sz w:val="22"/>
                <w:szCs w:val="22"/>
              </w:rPr>
              <w:t>考生管理：支持管理考生信息，支持增/删/改/查，支持批量导入，提供批量导入excel模板。</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w:t>
            </w:r>
            <w:r>
              <w:rPr>
                <w:rFonts w:ascii="宋体" w:hAnsi="宋体" w:cs="宋体" w:hint="eastAsia"/>
                <w:color w:val="000000"/>
                <w:kern w:val="0"/>
                <w:sz w:val="22"/>
                <w:szCs w:val="22"/>
              </w:rPr>
              <w:t>考生人脸照片管理：导入考生相片的人脸相片进行质量检测，自动判断相片是否满足人脸比对要求，在相片入库前对人脸相片按照标准采集要求进行自动质量检测，并反馈不符合要求的原因，提醒用户重新采集相片或者对人脸相片进一步图像处理。</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w:t>
            </w:r>
            <w:r>
              <w:rPr>
                <w:rFonts w:ascii="宋体" w:hAnsi="宋体" w:cs="宋体" w:hint="eastAsia"/>
                <w:color w:val="000000"/>
                <w:kern w:val="0"/>
                <w:sz w:val="22"/>
                <w:szCs w:val="22"/>
              </w:rPr>
              <w:t>评分页面：评卷页面具有低延时、按比例显示、平铺显示、多分辨率布局切换等功能。视频播放器兼容HTML5，实现跨终端跨平台各浏览器兼容的视频播放；支持清晰度无缝切换、码率自适应、低卡顿率、多倍速播放（支持单倍速、2倍速、3倍速、4倍速）、进度拖动等功能特性。</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10.</w:t>
            </w:r>
            <w:r>
              <w:rPr>
                <w:rFonts w:ascii="宋体" w:hAnsi="宋体" w:cs="宋体" w:hint="eastAsia"/>
                <w:color w:val="000000"/>
                <w:kern w:val="0"/>
                <w:sz w:val="22"/>
                <w:szCs w:val="22"/>
              </w:rPr>
              <w:t>座位排题及抽签：根据相邻座位不同试题的原则，可自动或手动为每个座位安排试题；在每一场考试开始前，监考员在软件上点击抽签，现场为每一个考生安排座位和题目；且在抽签以前数据库不会生成任何的考生和考题对应数据，防止泄露；系统预先将每个座位考试的题目编排好，这样便于学校准备实验材料，快速安排考试，实现相邻座位不同考题，保证考试的公平性。</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11.</w:t>
            </w:r>
            <w:r>
              <w:rPr>
                <w:rFonts w:ascii="宋体" w:hAnsi="宋体" w:cs="宋体" w:hint="eastAsia"/>
                <w:color w:val="000000"/>
                <w:kern w:val="0"/>
                <w:sz w:val="22"/>
                <w:szCs w:val="22"/>
              </w:rPr>
              <w:t>考试过程管理：考生的过程状态包括：签到、已验证、正在考试、考试完毕，可管控每个考试流程步骤；监考员可以查看考生信息及考试视频，包括考生姓名、准考证号、座位号、入座现场照片、实时视频等，对于刷脸不通过的考生，监考员可人工核验考生身份。</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12.</w:t>
            </w:r>
            <w:r>
              <w:rPr>
                <w:rFonts w:ascii="宋体" w:hAnsi="宋体" w:cs="宋体" w:hint="eastAsia"/>
                <w:color w:val="000000"/>
                <w:kern w:val="0"/>
                <w:sz w:val="22"/>
                <w:szCs w:val="22"/>
              </w:rPr>
              <w:t>考前视频检测：轮询检查考场内的每路视频，报告视频不合要求的座位，便于监考员调整摄像头或调整考生考试座位。检测连通性和图像质量，包括连通性、取流异常、信号丢失、图像模糊、对比度、图像过亮、图像过暗、图像偏色、噪声干扰、条纹干扰、黑白图像、画面冻结、视频剧变、视频抖动、场景变更、视频遮挡等常见问题；</w:t>
            </w:r>
          </w:p>
        </w:tc>
      </w:tr>
      <w:tr>
        <w:tblPrEx>
          <w:tblW w:w="8911" w:type="dxa"/>
          <w:tblInd w:w="-162" w:type="dxa"/>
          <w:tblLayout w:type="fixed"/>
          <w:tblCellMar>
            <w:top w:w="0" w:type="dxa"/>
            <w:left w:w="108" w:type="dxa"/>
            <w:bottom w:w="0" w:type="dxa"/>
            <w:right w:w="108" w:type="dxa"/>
          </w:tblCellMar>
        </w:tblPrEx>
        <w:trPr>
          <w:trHeight w:val="57"/>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13.</w:t>
            </w:r>
            <w:r>
              <w:rPr>
                <w:rFonts w:ascii="宋体" w:hAnsi="宋体" w:cs="宋体" w:hint="eastAsia"/>
                <w:color w:val="000000"/>
                <w:kern w:val="0"/>
                <w:sz w:val="22"/>
                <w:szCs w:val="22"/>
              </w:rPr>
              <w:t>成绩导出与统计：系统管理员可对学校和科目统计参加考试人数、各分数段人数和累计人数、满分人数、平均分、满分率、优秀率、及格率、参考率；系统管理员可对自己添加的考试任务进行成绩导出和统计导出为Excel格式文件。</w:t>
            </w:r>
          </w:p>
        </w:tc>
      </w:tr>
      <w:tr>
        <w:tblPrEx>
          <w:tblW w:w="8911" w:type="dxa"/>
          <w:tblInd w:w="-162" w:type="dxa"/>
          <w:tblLayout w:type="fixed"/>
          <w:tblCellMar>
            <w:top w:w="0" w:type="dxa"/>
            <w:left w:w="108" w:type="dxa"/>
            <w:bottom w:w="0" w:type="dxa"/>
            <w:right w:w="108" w:type="dxa"/>
          </w:tblCellMar>
        </w:tblPrEx>
        <w:trPr>
          <w:trHeight w:val="57"/>
        </w:trPr>
        <w:tc>
          <w:tcPr>
            <w:tcW w:w="640" w:type="dxa"/>
            <w:vMerge/>
            <w:vAlign w:val="center"/>
          </w:tcPr>
          <w:p/>
        </w:tc>
        <w:tc>
          <w:tcPr>
            <w:tcW w:w="1786" w:type="dxa"/>
            <w:vMerge/>
            <w:vAlign w:val="center"/>
          </w:tc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14.</w:t>
            </w:r>
            <w:r>
              <w:rPr>
                <w:rFonts w:ascii="宋体" w:hAnsi="宋体" w:cs="宋体" w:hint="eastAsia"/>
                <w:color w:val="000000"/>
                <w:kern w:val="0"/>
                <w:sz w:val="22"/>
                <w:szCs w:val="22"/>
              </w:rPr>
              <w:t>通讯心跳检测：主界面显眼位置实时显示本机与流媒体存储、本考场各考试平板电脑的通讯是否正常。</w:t>
            </w:r>
          </w:p>
        </w:tc>
      </w:tr>
      <w:tr>
        <w:tblPrEx>
          <w:tblW w:w="8911" w:type="dxa"/>
          <w:tblInd w:w="-162" w:type="dxa"/>
          <w:tblLayout w:type="fixed"/>
          <w:tblCellMar>
            <w:top w:w="0" w:type="dxa"/>
            <w:left w:w="108" w:type="dxa"/>
            <w:bottom w:w="0" w:type="dxa"/>
            <w:right w:w="108" w:type="dxa"/>
          </w:tblCellMar>
        </w:tblPrEx>
        <w:trPr>
          <w:trHeight w:val="57"/>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15.</w:t>
            </w:r>
            <w:r>
              <w:rPr>
                <w:rFonts w:ascii="宋体" w:hAnsi="宋体" w:cs="宋体" w:hint="eastAsia"/>
                <w:color w:val="000000"/>
                <w:kern w:val="0"/>
                <w:sz w:val="22"/>
                <w:szCs w:val="22"/>
              </w:rPr>
              <w:t>保存考试视频：支持高清视频同时写入；采用实时流传输协议RTSP，直接从各考场正在考试的IPC获取指定格式编码的音视频复合流，一式两份同时写入流媒体服务器和NVR。考生考试视频文件名为考试科目编号、摄像头编号、考生号、场次关联，文件名及文件属性（大小、创建时间、修改时间）写入日志，以便校验数据一致性。</w:t>
            </w:r>
          </w:p>
        </w:tc>
      </w:tr>
      <w:tr>
        <w:tblPrEx>
          <w:tblW w:w="8911" w:type="dxa"/>
          <w:tblInd w:w="-162" w:type="dxa"/>
          <w:tblLayout w:type="fixed"/>
          <w:tblCellMar>
            <w:top w:w="0" w:type="dxa"/>
            <w:left w:w="108" w:type="dxa"/>
            <w:bottom w:w="0" w:type="dxa"/>
            <w:right w:w="108" w:type="dxa"/>
          </w:tblCellMar>
        </w:tblPrEx>
        <w:trPr>
          <w:trHeight w:val="57"/>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16.</w:t>
            </w:r>
            <w:r>
              <w:rPr>
                <w:rFonts w:ascii="宋体" w:hAnsi="宋体" w:cs="宋体" w:hint="eastAsia"/>
                <w:color w:val="000000"/>
                <w:kern w:val="0"/>
                <w:sz w:val="22"/>
                <w:szCs w:val="22"/>
              </w:rPr>
              <w:t>视频实时预览及存储：可实时远程调用考场座位摄像头查看现场视频，并可投放到大屏，支持1/4/9窗格等多画面同时预览。考生的实验操作视频按照3重视频异地备份机制进行备份，确保考试全程录像及考生操作过程录像的安全可靠。</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17.</w:t>
            </w:r>
            <w:r>
              <w:rPr>
                <w:rFonts w:ascii="宋体" w:hAnsi="宋体" w:cs="宋体" w:hint="eastAsia"/>
                <w:color w:val="000000"/>
                <w:kern w:val="0"/>
                <w:sz w:val="22"/>
                <w:szCs w:val="22"/>
              </w:rPr>
              <w:t>重考编排及申请仲裁：对于受到设备或实验器材故障等影响的考生，监考员可安排考生到指定场次的相同题目座位进行重考，也可新增场次安排重考；监考员在不能确认是否应该安排考生重考时，可向仲裁小组申请仲裁，由仲裁小组查看考生视频后决定是否安排重考。</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18.</w:t>
            </w:r>
            <w:r>
              <w:rPr>
                <w:rFonts w:ascii="宋体" w:hAnsi="宋体" w:cs="宋体" w:hint="eastAsia"/>
                <w:color w:val="000000"/>
                <w:kern w:val="0"/>
                <w:sz w:val="22"/>
                <w:szCs w:val="22"/>
              </w:rPr>
              <w:t>考试数据检查：考试结束时，系统自动对考生数据及视频进行检查，检查数据是否完整、损坏，并生成数据检查报告。应仔细检查报告内容，并与人工考场记录进行核对，确保数据万无一失。</w:t>
            </w:r>
          </w:p>
        </w:tc>
      </w:tr>
      <w:tr>
        <w:tblPrEx>
          <w:tblW w:w="8911" w:type="dxa"/>
          <w:tblInd w:w="-162" w:type="dxa"/>
          <w:tblLayout w:type="fixed"/>
          <w:tblCellMar>
            <w:top w:w="0" w:type="dxa"/>
            <w:left w:w="108" w:type="dxa"/>
            <w:bottom w:w="0" w:type="dxa"/>
            <w:right w:w="108" w:type="dxa"/>
          </w:tblCellMar>
        </w:tblPrEx>
        <w:trPr>
          <w:trHeight w:val="40"/>
        </w:trPr>
        <w:tc>
          <w:tcPr>
            <w:tcW w:w="640" w:type="dxa"/>
            <w:vMerge w:val="restart"/>
            <w:vAlign w:val="center"/>
          </w:tcPr>
          <w:p>
            <w:pPr>
              <w:jc w:val="center"/>
              <w:rPr>
                <w:color w:val="000000" w:themeColor="text1"/>
                <w:szCs w:val="21"/>
                <w14:textFill>
                  <w14:solidFill>
                    <w14:schemeClr w14:val="tx1"/>
                  </w14:solidFill>
                </w14:textFill>
              </w:rPr>
            </w:pPr>
            <w:r>
              <w:rPr>
                <w:rFonts w:ascii="宋体" w:hAnsi="宋体" w:cs="宋体" w:hint="eastAsia"/>
                <w:color w:val="000000"/>
                <w:szCs w:val="21"/>
              </w:rPr>
              <w:t>2</w:t>
            </w:r>
          </w:p>
        </w:tc>
        <w:tc>
          <w:tcPr>
            <w:tcW w:w="1786" w:type="dxa"/>
            <w:vMerge w:val="restart"/>
            <w:vAlign w:val="center"/>
          </w:tcPr>
          <w:p>
            <w:pPr>
              <w:widowControl/>
              <w:jc w:val="left"/>
              <w:textAlignment w:val="center"/>
              <w:rPr>
                <w:color w:val="000000" w:themeColor="text1"/>
                <w:szCs w:val="21"/>
                <w14:textFill>
                  <w14:solidFill>
                    <w14:schemeClr w14:val="tx1"/>
                  </w14:solidFill>
                </w14:textFill>
              </w:rPr>
            </w:pPr>
            <w:r>
              <w:rPr>
                <w:rFonts w:ascii="宋体" w:hAnsi="宋体" w:cs="宋体" w:hint="eastAsia"/>
                <w:color w:val="000000"/>
                <w:kern w:val="0"/>
                <w:sz w:val="22"/>
                <w:szCs w:val="22"/>
              </w:rPr>
              <w:t>考试专用处理主机</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19.</w:t>
            </w:r>
            <w:r>
              <w:rPr>
                <w:rFonts w:ascii="宋体" w:hAnsi="宋体" w:cs="宋体" w:hint="eastAsia"/>
                <w:color w:val="000000"/>
                <w:kern w:val="0"/>
                <w:sz w:val="22"/>
                <w:szCs w:val="22"/>
              </w:rPr>
              <w:t>处理器：不低于8核，频率≥3.0GHz；</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tc>
        <w:tc>
          <w:tcPr>
            <w:tcW w:w="1786" w:type="dxa"/>
            <w:vMerge/>
            <w:vAlign w:val="center"/>
          </w:tc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20.</w:t>
            </w:r>
            <w:r>
              <w:rPr>
                <w:rFonts w:ascii="宋体" w:hAnsi="宋体" w:cs="宋体" w:hint="eastAsia"/>
                <w:color w:val="000000"/>
                <w:kern w:val="0"/>
                <w:sz w:val="22"/>
                <w:szCs w:val="22"/>
              </w:rPr>
              <w:t>内存：≥64G DDR4；</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21.</w:t>
            </w:r>
            <w:r>
              <w:rPr>
                <w:rFonts w:ascii="宋体" w:hAnsi="宋体" w:cs="宋体" w:hint="eastAsia"/>
                <w:color w:val="000000"/>
                <w:kern w:val="0"/>
                <w:sz w:val="22"/>
                <w:szCs w:val="22"/>
              </w:rPr>
              <w:t>硬盘：SSD 3.84T×1（4盘位，无 RAID）；</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22.</w:t>
            </w:r>
            <w:r>
              <w:rPr>
                <w:rFonts w:ascii="宋体" w:hAnsi="宋体" w:cs="宋体" w:hint="eastAsia"/>
                <w:color w:val="000000"/>
                <w:kern w:val="0"/>
                <w:sz w:val="22"/>
                <w:szCs w:val="22"/>
              </w:rPr>
              <w:t>SAS+HBA(适配8盘位)；</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23.</w:t>
            </w:r>
            <w:r>
              <w:rPr>
                <w:rFonts w:ascii="宋体" w:hAnsi="宋体" w:cs="宋体" w:hint="eastAsia"/>
                <w:color w:val="000000"/>
                <w:kern w:val="0"/>
                <w:sz w:val="22"/>
                <w:szCs w:val="22"/>
              </w:rPr>
              <w:t>接口：1GbE(电)×2+10GbE*2（多模光）；</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rPr>
                <w:color w:val="000000" w:themeColor="text1"/>
                <w:szCs w:val="21"/>
                <w14:textFill>
                  <w14:solidFill>
                    <w14:schemeClr w14:val="tx1"/>
                  </w14:solidFill>
                </w14:textFill>
              </w:rPr>
            </w:pPr>
          </w:p>
        </w:tc>
        <w:tc>
          <w:tcPr>
            <w:tcW w:w="1786" w:type="dxa"/>
            <w:vMerge/>
            <w:vAlign w:val="center"/>
          </w:tcPr>
          <w:p>
            <w:pP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24.</w:t>
            </w:r>
            <w:r>
              <w:rPr>
                <w:rFonts w:ascii="宋体" w:hAnsi="宋体" w:cs="宋体" w:hint="eastAsia"/>
                <w:color w:val="000000"/>
                <w:kern w:val="0"/>
                <w:sz w:val="22"/>
                <w:szCs w:val="22"/>
              </w:rPr>
              <w:t>电源：配置350W高效单电源；</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restart"/>
            <w:vAlign w:val="center"/>
          </w:tcPr>
          <w:p>
            <w:pPr>
              <w:jc w:val="center"/>
              <w:rPr>
                <w:color w:val="000000" w:themeColor="text1"/>
                <w:szCs w:val="21"/>
                <w14:textFill>
                  <w14:solidFill>
                    <w14:schemeClr w14:val="tx1"/>
                  </w14:solidFill>
                </w14:textFill>
              </w:rPr>
            </w:pPr>
            <w:r>
              <w:rPr>
                <w:rFonts w:ascii="宋体" w:hAnsi="宋体" w:cs="宋体" w:hint="eastAsia"/>
                <w:color w:val="000000"/>
                <w:szCs w:val="21"/>
              </w:rPr>
              <w:t>3</w:t>
            </w:r>
          </w:p>
        </w:tc>
        <w:tc>
          <w:tcPr>
            <w:tcW w:w="1786" w:type="dxa"/>
            <w:vMerge w:val="restart"/>
            <w:vAlign w:val="center"/>
          </w:tcPr>
          <w:p>
            <w:pPr>
              <w:widowControl/>
              <w:jc w:val="left"/>
              <w:textAlignment w:val="center"/>
              <w:rPr>
                <w:color w:val="000000" w:themeColor="text1"/>
                <w:szCs w:val="21"/>
                <w14:textFill>
                  <w14:solidFill>
                    <w14:schemeClr w14:val="tx1"/>
                  </w14:solidFill>
                </w14:textFill>
              </w:rPr>
            </w:pPr>
            <w:r>
              <w:rPr>
                <w:rFonts w:ascii="宋体" w:hAnsi="宋体" w:cs="宋体" w:hint="eastAsia"/>
                <w:color w:val="000000"/>
                <w:kern w:val="0"/>
                <w:sz w:val="22"/>
                <w:szCs w:val="22"/>
              </w:rPr>
              <w:t>实验信息采集终端</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25.</w:t>
            </w:r>
            <w:r>
              <w:rPr>
                <w:rFonts w:ascii="宋体" w:hAnsi="宋体" w:cs="宋体" w:hint="eastAsia"/>
                <w:color w:val="000000"/>
                <w:kern w:val="0"/>
                <w:sz w:val="22"/>
                <w:szCs w:val="22"/>
              </w:rPr>
              <w:t>CPU≥4核64位，主频≥1.8GHz；</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26.</w:t>
            </w:r>
            <w:r>
              <w:rPr>
                <w:rFonts w:ascii="宋体" w:hAnsi="宋体" w:cs="宋体" w:hint="eastAsia"/>
                <w:color w:val="000000"/>
                <w:kern w:val="0"/>
                <w:sz w:val="22"/>
                <w:szCs w:val="22"/>
              </w:rPr>
              <w:t>内存≥4GB；存储≥64GB；</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27.</w:t>
            </w:r>
            <w:r>
              <w:rPr>
                <w:rFonts w:ascii="宋体" w:hAnsi="宋体" w:cs="宋体" w:hint="eastAsia"/>
                <w:color w:val="000000"/>
                <w:kern w:val="0"/>
                <w:sz w:val="22"/>
                <w:szCs w:val="22"/>
              </w:rPr>
              <w:t>终端操作系统：内置开机自启动的开放互联的操作系统；</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28.</w:t>
            </w:r>
            <w:r>
              <w:rPr>
                <w:rFonts w:ascii="宋体" w:hAnsi="宋体" w:cs="宋体" w:hint="eastAsia"/>
                <w:color w:val="000000"/>
                <w:kern w:val="0"/>
                <w:sz w:val="22"/>
                <w:szCs w:val="22"/>
              </w:rPr>
              <w:t>电容式触摸屏，支持多点（10点）触控，屏幕尺寸≥10英寸，分辨率≥1920×1080。</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29.</w:t>
            </w:r>
            <w:r>
              <w:rPr>
                <w:rFonts w:ascii="宋体" w:hAnsi="宋体" w:cs="宋体" w:hint="eastAsia"/>
                <w:color w:val="000000"/>
                <w:kern w:val="0"/>
                <w:sz w:val="22"/>
                <w:szCs w:val="22"/>
              </w:rPr>
              <w:t>支持RJ45连接，支持100M网口；</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30.</w:t>
            </w:r>
            <w:r>
              <w:rPr>
                <w:rFonts w:ascii="宋体" w:hAnsi="宋体" w:cs="宋体" w:hint="eastAsia"/>
                <w:color w:val="000000"/>
                <w:kern w:val="0"/>
                <w:sz w:val="22"/>
                <w:szCs w:val="22"/>
              </w:rPr>
              <w:t>自带状态显示，异常状态反馈准确及时，便于考场监考老师查看设备状态；可用于标准实验桌，底座具备固定功能；外设接口≥1个USB2.0或3.0接口；可接入电子目镜或数码显微镜图像。</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31.</w:t>
            </w:r>
            <w:r>
              <w:rPr>
                <w:rFonts w:ascii="宋体" w:hAnsi="宋体" w:cs="宋体" w:hint="eastAsia"/>
                <w:color w:val="000000"/>
                <w:kern w:val="0"/>
                <w:sz w:val="22"/>
                <w:szCs w:val="22"/>
              </w:rPr>
              <w:t>视频采集摄像头：自动白平衡；支持多码流传输；其中一个俯视角摄像头需能在一个画面内拍摄整个实验台，其中一个侧视角摄像头需支持拍摄核心操作区内操作和刻度细节；帧率≥25fps；2个镜头视频清晰度不低于1080P；各摄像头视频同步偏差≤80ms；能完整录制俯视角、侧视角中所有实验操作过程和评分点细节；支持H.265/H.264/MJPEG视频压缩编码，标准的mp4格式；支持宽动态，宽动态范围≥90dB；单个5分钟时长的视频应不大于200MB；答题卡图像标准的JPG格式，像素≥200万像素，单张图片大小不大于5MB，支持4:3长宽比。</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32.</w:t>
            </w:r>
            <w:r>
              <w:rPr>
                <w:rFonts w:ascii="宋体" w:hAnsi="宋体" w:cs="宋体" w:hint="eastAsia"/>
                <w:color w:val="000000"/>
                <w:kern w:val="0"/>
                <w:sz w:val="22"/>
                <w:szCs w:val="22"/>
              </w:rPr>
              <w:t>一体化支架:使用过程中应稳定维持固定拍摄角度，不可自由伸缩和旋转；支架底座具备固定功能。</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33.</w:t>
            </w:r>
            <w:r>
              <w:rPr>
                <w:rFonts w:ascii="宋体" w:hAnsi="宋体" w:cs="宋体" w:hint="eastAsia"/>
                <w:color w:val="000000"/>
                <w:kern w:val="0"/>
                <w:sz w:val="22"/>
                <w:szCs w:val="22"/>
              </w:rPr>
              <w:t>当摄像机检测到视频画面被遮盖时，可在客户端给出的报警提示并可设置上传中心、上传FTP、发送邮件及联动录像。同时支持语音播报提示，数据显示屏亮红灯并显示故障码；</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34.</w:t>
            </w:r>
            <w:r>
              <w:rPr>
                <w:rFonts w:ascii="宋体" w:hAnsi="宋体" w:cs="宋体" w:hint="eastAsia"/>
                <w:color w:val="000000"/>
                <w:kern w:val="0"/>
                <w:sz w:val="22"/>
                <w:szCs w:val="22"/>
              </w:rPr>
              <w:t>支架线材不可完全外露；可用于标准实验桌，宜支持折叠收纳；两路摄像头均支持自动白平衡、自动曝光、3D数字降噪，支持多码流传输，支持宽动态，宽动态范围≥90dB。</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35.</w:t>
            </w:r>
            <w:r>
              <w:rPr>
                <w:rFonts w:ascii="宋体" w:hAnsi="宋体" w:cs="宋体" w:hint="eastAsia"/>
                <w:color w:val="000000"/>
                <w:kern w:val="0"/>
                <w:sz w:val="22"/>
                <w:szCs w:val="22"/>
              </w:rPr>
              <w:t>支持逆光补偿功能，当补偿模式为自动时，设备可根据不同逆光场景自动补偿逆光的区域；</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36.</w:t>
            </w:r>
            <w:r>
              <w:rPr>
                <w:rFonts w:ascii="宋体" w:hAnsi="宋体" w:cs="宋体" w:hint="eastAsia"/>
                <w:color w:val="000000"/>
                <w:kern w:val="0"/>
                <w:sz w:val="22"/>
                <w:szCs w:val="22"/>
              </w:rPr>
              <w:t>支持将视频图像保存至PC、SD卡、eMMC、存储服务器等；SD卡支持热插拔，支持容量≥512GB的SD卡；断网情况下，支持录像存储到本地存储卡，网络恢复后自动上传；</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37.</w:t>
            </w:r>
            <w:r>
              <w:rPr>
                <w:rFonts w:ascii="宋体" w:hAnsi="宋体" w:cs="宋体" w:hint="eastAsia"/>
                <w:color w:val="000000"/>
                <w:kern w:val="0"/>
                <w:sz w:val="22"/>
                <w:szCs w:val="22"/>
              </w:rPr>
              <w:t>设备自带数码显示屏，可显示设备的异常运行状态码；</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38.</w:t>
            </w:r>
            <w:r>
              <w:rPr>
                <w:rFonts w:ascii="宋体" w:hAnsi="宋体" w:cs="宋体" w:hint="eastAsia"/>
                <w:color w:val="000000"/>
                <w:kern w:val="0"/>
                <w:sz w:val="22"/>
                <w:szCs w:val="22"/>
              </w:rPr>
              <w:t>设备内置扬声器，当设备异常时，可实时播报设备的异常状态描述，如网络断开、IP地址冲突、视频遮挡等；</w:t>
            </w:r>
          </w:p>
        </w:tc>
      </w:tr>
      <w:tr>
        <w:tblPrEx>
          <w:tblW w:w="8911" w:type="dxa"/>
          <w:tblInd w:w="-162" w:type="dxa"/>
          <w:tblLayout w:type="fixed"/>
          <w:tblCellMar>
            <w:top w:w="0" w:type="dxa"/>
            <w:left w:w="108" w:type="dxa"/>
            <w:bottom w:w="0" w:type="dxa"/>
            <w:right w:w="108" w:type="dxa"/>
          </w:tblCellMar>
        </w:tblPrEx>
        <w:trPr>
          <w:trHeight w:val="15"/>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39.</w:t>
            </w:r>
            <w:r>
              <w:rPr>
                <w:rFonts w:ascii="宋体" w:hAnsi="宋体" w:cs="宋体" w:hint="eastAsia"/>
                <w:color w:val="000000"/>
                <w:kern w:val="0"/>
                <w:sz w:val="22"/>
                <w:szCs w:val="22"/>
              </w:rPr>
              <w:t>具有非金属外壳（含包装），经受甲烷或天然气火焰燃烧，火焰直径9.5mm，蓝色火焰高度20mm，烧5次，每次5s，不应烧着起火。水泥地跌落高度2000mm，垂直跌落2次，试验后功能正常。</w:t>
            </w:r>
          </w:p>
        </w:tc>
      </w:tr>
      <w:tr>
        <w:tblPrEx>
          <w:tblW w:w="8911" w:type="dxa"/>
          <w:tblInd w:w="-162" w:type="dxa"/>
          <w:tblLayout w:type="fixed"/>
          <w:tblCellMar>
            <w:top w:w="0" w:type="dxa"/>
            <w:left w:w="108" w:type="dxa"/>
            <w:bottom w:w="0" w:type="dxa"/>
            <w:right w:w="108" w:type="dxa"/>
          </w:tblCellMar>
        </w:tblPrEx>
        <w:trPr>
          <w:trHeight w:val="115"/>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4</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电子目镜（生物考场用）</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40.</w:t>
            </w:r>
            <w:r>
              <w:rPr>
                <w:rFonts w:ascii="宋体" w:hAnsi="宋体" w:cs="宋体" w:hint="eastAsia"/>
                <w:color w:val="000000"/>
                <w:kern w:val="0"/>
                <w:sz w:val="22"/>
                <w:szCs w:val="22"/>
              </w:rPr>
              <w:t>图像传感器像素：≥200万；</w:t>
            </w:r>
          </w:p>
        </w:tc>
      </w:tr>
      <w:tr>
        <w:tblPrEx>
          <w:tblW w:w="8911" w:type="dxa"/>
          <w:tblInd w:w="-162" w:type="dxa"/>
          <w:tblLayout w:type="fixed"/>
          <w:tblCellMar>
            <w:top w:w="0" w:type="dxa"/>
            <w:left w:w="108" w:type="dxa"/>
            <w:bottom w:w="0" w:type="dxa"/>
            <w:right w:w="108" w:type="dxa"/>
          </w:tblCellMar>
        </w:tblPrEx>
        <w:trPr>
          <w:trHeight w:val="247"/>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41.</w:t>
            </w:r>
            <w:r>
              <w:rPr>
                <w:rFonts w:ascii="宋体" w:hAnsi="宋体" w:cs="宋体" w:hint="eastAsia"/>
                <w:color w:val="000000"/>
                <w:kern w:val="0"/>
                <w:sz w:val="22"/>
                <w:szCs w:val="22"/>
              </w:rPr>
              <w:t>使用标准USB接口。</w:t>
            </w:r>
          </w:p>
        </w:tc>
      </w:tr>
      <w:tr>
        <w:tblPrEx>
          <w:tblW w:w="8911" w:type="dxa"/>
          <w:tblInd w:w="-162" w:type="dxa"/>
          <w:tblLayout w:type="fixed"/>
          <w:tblCellMar>
            <w:top w:w="0" w:type="dxa"/>
            <w:left w:w="108" w:type="dxa"/>
            <w:bottom w:w="0" w:type="dxa"/>
            <w:right w:w="108" w:type="dxa"/>
          </w:tblCellMar>
        </w:tblPrEx>
        <w:trPr>
          <w:trHeight w:val="115"/>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5</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实验操作台桌垫</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42.</w:t>
            </w:r>
            <w:r>
              <w:rPr>
                <w:rFonts w:ascii="宋体" w:hAnsi="宋体" w:cs="宋体" w:hint="eastAsia"/>
                <w:color w:val="000000"/>
                <w:kern w:val="0"/>
                <w:sz w:val="22"/>
                <w:szCs w:val="22"/>
              </w:rPr>
              <w:t>尺寸：600*400mm（±5%）；</w:t>
            </w:r>
          </w:p>
        </w:tc>
      </w:tr>
      <w:tr>
        <w:tblPrEx>
          <w:tblW w:w="8911" w:type="dxa"/>
          <w:tblInd w:w="-162" w:type="dxa"/>
          <w:tblLayout w:type="fixed"/>
          <w:tblCellMar>
            <w:top w:w="0" w:type="dxa"/>
            <w:left w:w="108" w:type="dxa"/>
            <w:bottom w:w="0" w:type="dxa"/>
            <w:right w:w="108" w:type="dxa"/>
          </w:tblCellMar>
        </w:tblPrEx>
        <w:trPr>
          <w:trHeight w:val="115"/>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43.</w:t>
            </w:r>
            <w:r>
              <w:rPr>
                <w:rFonts w:ascii="宋体" w:hAnsi="宋体" w:cs="宋体" w:hint="eastAsia"/>
                <w:color w:val="000000"/>
                <w:kern w:val="0"/>
                <w:sz w:val="22"/>
                <w:szCs w:val="22"/>
              </w:rPr>
              <w:t>带操作分区标识。</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6</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考场监考管理主机</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44.</w:t>
            </w:r>
            <w:r>
              <w:rPr>
                <w:rFonts w:ascii="宋体" w:hAnsi="宋体" w:cs="宋体" w:hint="eastAsia"/>
                <w:color w:val="000000"/>
                <w:kern w:val="0"/>
                <w:sz w:val="22"/>
                <w:szCs w:val="22"/>
              </w:rPr>
              <w:t>CPU：不小于6核/2.9 GHz x1</w:t>
            </w:r>
            <w:r>
              <w:rPr>
                <w:rFonts w:ascii="宋体" w:hAnsi="宋体" w:cs="宋体" w:hint="eastAsia"/>
                <w:color w:val="000000"/>
                <w:kern w:val="0"/>
                <w:sz w:val="22"/>
                <w:szCs w:val="22"/>
                <w:lang w:eastAsia="zh-CN"/>
              </w:rPr>
              <w:t>；</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45.</w:t>
            </w:r>
            <w:r>
              <w:rPr>
                <w:rFonts w:ascii="宋体" w:hAnsi="宋体" w:cs="宋体" w:hint="eastAsia"/>
                <w:color w:val="000000"/>
                <w:kern w:val="0"/>
                <w:sz w:val="22"/>
                <w:szCs w:val="22"/>
              </w:rPr>
              <w:t>内存：16GB 3200MHz x1</w:t>
            </w:r>
            <w:r>
              <w:rPr>
                <w:rFonts w:ascii="宋体" w:hAnsi="宋体" w:cs="宋体" w:hint="eastAsia"/>
                <w:color w:val="000000"/>
                <w:kern w:val="0"/>
                <w:sz w:val="22"/>
                <w:szCs w:val="22"/>
                <w:lang w:eastAsia="zh-CN"/>
              </w:rPr>
              <w:t>；</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46.</w:t>
            </w:r>
            <w:r>
              <w:rPr>
                <w:rFonts w:ascii="宋体" w:hAnsi="宋体" w:cs="宋体" w:hint="eastAsia"/>
                <w:color w:val="000000"/>
                <w:kern w:val="0"/>
                <w:sz w:val="22"/>
                <w:szCs w:val="22"/>
              </w:rPr>
              <w:t>硬盘1-SSD：512G SATA SSD x1</w:t>
            </w:r>
            <w:r>
              <w:rPr>
                <w:rFonts w:ascii="宋体" w:hAnsi="宋体" w:cs="宋体" w:hint="eastAsia"/>
                <w:color w:val="000000"/>
                <w:kern w:val="0"/>
                <w:sz w:val="22"/>
                <w:szCs w:val="22"/>
                <w:lang w:eastAsia="zh-CN"/>
              </w:rPr>
              <w:t>；</w:t>
            </w:r>
            <w:r>
              <w:rPr>
                <w:rFonts w:ascii="宋体" w:hAnsi="宋体" w:cs="宋体" w:hint="eastAsia"/>
                <w:color w:val="000000"/>
                <w:kern w:val="0"/>
                <w:sz w:val="22"/>
                <w:szCs w:val="22"/>
              </w:rPr>
              <w:t>硬盘2-HDD：1T HDD 5400转 x1</w:t>
            </w:r>
            <w:r>
              <w:rPr>
                <w:rFonts w:ascii="宋体" w:hAnsi="宋体" w:cs="宋体" w:hint="eastAsia"/>
                <w:color w:val="000000"/>
                <w:kern w:val="0"/>
                <w:sz w:val="22"/>
                <w:szCs w:val="22"/>
                <w:lang w:eastAsia="zh-CN"/>
              </w:rPr>
              <w:t>；</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47.</w:t>
            </w:r>
            <w:r>
              <w:rPr>
                <w:rFonts w:ascii="宋体" w:hAnsi="宋体" w:cs="宋体" w:hint="eastAsia"/>
                <w:color w:val="000000"/>
                <w:kern w:val="0"/>
                <w:sz w:val="22"/>
                <w:szCs w:val="22"/>
              </w:rPr>
              <w:t>显卡：集显 x1</w:t>
            </w:r>
            <w:r>
              <w:rPr>
                <w:rFonts w:ascii="宋体" w:hAnsi="宋体" w:cs="宋体" w:hint="eastAsia"/>
                <w:color w:val="000000"/>
                <w:kern w:val="0"/>
                <w:sz w:val="22"/>
                <w:szCs w:val="22"/>
                <w:lang w:eastAsia="zh-CN"/>
              </w:rPr>
              <w:t>；</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48.</w:t>
            </w:r>
            <w:r>
              <w:rPr>
                <w:rFonts w:ascii="宋体" w:hAnsi="宋体" w:cs="宋体" w:hint="eastAsia"/>
                <w:color w:val="000000"/>
                <w:kern w:val="0"/>
                <w:sz w:val="22"/>
                <w:szCs w:val="22"/>
              </w:rPr>
              <w:t>显示器：配套 x1</w:t>
            </w:r>
            <w:r>
              <w:rPr>
                <w:rFonts w:ascii="宋体" w:hAnsi="宋体" w:cs="宋体" w:hint="eastAsia"/>
                <w:color w:val="000000"/>
                <w:kern w:val="0"/>
                <w:sz w:val="22"/>
                <w:szCs w:val="22"/>
                <w:lang w:eastAsia="zh-CN"/>
              </w:rPr>
              <w:t>；</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49.</w:t>
            </w:r>
            <w:r>
              <w:rPr>
                <w:rFonts w:ascii="宋体" w:hAnsi="宋体" w:cs="宋体" w:hint="eastAsia"/>
                <w:color w:val="000000"/>
                <w:kern w:val="0"/>
                <w:sz w:val="22"/>
                <w:szCs w:val="22"/>
              </w:rPr>
              <w:t>电源：200W ATX x1</w:t>
            </w:r>
            <w:r>
              <w:rPr>
                <w:rFonts w:ascii="宋体" w:hAnsi="宋体" w:cs="宋体" w:hint="eastAsia"/>
                <w:color w:val="000000"/>
                <w:kern w:val="0"/>
                <w:sz w:val="22"/>
                <w:szCs w:val="22"/>
                <w:lang w:eastAsia="zh-CN"/>
              </w:rPr>
              <w:t>；</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7</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考场交换机</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50.</w:t>
            </w:r>
            <w:r>
              <w:rPr>
                <w:rFonts w:ascii="宋体" w:hAnsi="宋体" w:cs="宋体" w:hint="eastAsia"/>
                <w:color w:val="000000"/>
                <w:kern w:val="0"/>
                <w:sz w:val="22"/>
                <w:szCs w:val="22"/>
              </w:rPr>
              <w:t>交换容量≥432G。包转发率≥144Mpps。</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51.</w:t>
            </w:r>
            <w:r>
              <w:rPr>
                <w:rFonts w:ascii="宋体" w:hAnsi="宋体" w:cs="宋体" w:hint="eastAsia"/>
                <w:color w:val="000000"/>
                <w:kern w:val="0"/>
                <w:sz w:val="22"/>
                <w:szCs w:val="22"/>
              </w:rPr>
              <w:t>支持风扇调速及风扇故障告警功能，支持温度告警功能；</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52.</w:t>
            </w:r>
            <w:r>
              <w:rPr>
                <w:rFonts w:ascii="宋体" w:hAnsi="宋体" w:cs="宋体" w:hint="eastAsia"/>
                <w:color w:val="000000"/>
                <w:kern w:val="0"/>
                <w:sz w:val="22"/>
                <w:szCs w:val="22"/>
              </w:rPr>
              <w:t>绿色节能：要求支持高效节能以太网特性。端口如果在连续一段时间之内空闲，系统会将该端口设置为节能模式，当有报文收发时再通过定时发送的监听码流唤醒端口恢复业务，达到节能的效果；</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53.</w:t>
            </w:r>
            <w:r>
              <w:rPr>
                <w:rFonts w:ascii="宋体" w:hAnsi="宋体" w:cs="宋体" w:hint="eastAsia"/>
                <w:color w:val="000000"/>
                <w:kern w:val="0"/>
                <w:sz w:val="22"/>
                <w:szCs w:val="22"/>
              </w:rPr>
              <w:t>为满足工作场所的耐高温要求，要求设备具备0~50°的宽温设计；</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54.</w:t>
            </w:r>
            <w:r>
              <w:rPr>
                <w:rFonts w:ascii="宋体" w:hAnsi="宋体" w:cs="宋体" w:hint="eastAsia"/>
                <w:color w:val="000000"/>
                <w:kern w:val="0"/>
                <w:sz w:val="22"/>
                <w:szCs w:val="22"/>
              </w:rPr>
              <w:t>固化10/100/1000M以太网端口≥48个，固化10G/1G SFP+光接口≥4个。</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55.</w:t>
            </w:r>
            <w:r>
              <w:rPr>
                <w:rFonts w:ascii="宋体" w:hAnsi="宋体" w:cs="宋体" w:hint="eastAsia"/>
                <w:color w:val="000000"/>
                <w:kern w:val="0"/>
                <w:sz w:val="22"/>
                <w:szCs w:val="22"/>
              </w:rPr>
              <w:t>支持生成树协议STP(IEEE 802.1d)，RSTP(IEEE 802.1w)和MSTP(IEEE 802.1s)。</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56.</w:t>
            </w:r>
            <w:r>
              <w:rPr>
                <w:rFonts w:ascii="宋体" w:hAnsi="宋体" w:cs="宋体" w:hint="eastAsia"/>
                <w:color w:val="000000"/>
                <w:kern w:val="0"/>
                <w:sz w:val="22"/>
                <w:szCs w:val="22"/>
              </w:rPr>
              <w:t>为保证设备在受到外界机械碰撞时能够正常运行，要求所投交换机IK防护测试级别至少达到IK05。</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57.</w:t>
            </w:r>
            <w:r>
              <w:rPr>
                <w:rFonts w:ascii="宋体" w:hAnsi="宋体" w:cs="宋体" w:hint="eastAsia"/>
                <w:color w:val="000000"/>
                <w:kern w:val="0"/>
                <w:sz w:val="22"/>
                <w:szCs w:val="22"/>
              </w:rPr>
              <w:t>支持N:1虚拟化功能，可将多台物理设备虚拟化为一台逻辑设备统一管理，简化管理；</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58.</w:t>
            </w:r>
            <w:r>
              <w:rPr>
                <w:rFonts w:ascii="宋体" w:hAnsi="宋体" w:cs="宋体" w:hint="eastAsia"/>
                <w:color w:val="000000"/>
                <w:kern w:val="0"/>
                <w:sz w:val="22"/>
                <w:szCs w:val="22"/>
              </w:rPr>
              <w:t>支持IPV4/IPV6静态路由。</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59.</w:t>
            </w:r>
            <w:r>
              <w:rPr>
                <w:rFonts w:ascii="宋体" w:hAnsi="宋体" w:cs="宋体" w:hint="eastAsia"/>
                <w:color w:val="000000"/>
                <w:kern w:val="0"/>
                <w:sz w:val="22"/>
                <w:szCs w:val="22"/>
              </w:rPr>
              <w:t>支持特有的CPU保护策略，对发往CPU的数据流，进行流区分和优先级队列分级处理，并根据需要实施带宽限速，充分保护CPU不被非法流量占用、恶意攻击和资源消耗。</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60.</w:t>
            </w:r>
            <w:r>
              <w:rPr>
                <w:rFonts w:ascii="宋体" w:hAnsi="宋体" w:cs="宋体" w:hint="eastAsia"/>
                <w:color w:val="000000"/>
                <w:kern w:val="0"/>
                <w:sz w:val="22"/>
                <w:szCs w:val="22"/>
              </w:rPr>
              <w:t>支持基础网络保护策略，限制用户向网络中发送ARP报文、ICMP请求报文、DHCP请求报文的数率，对超过限速阈值的报文进行丢弃处理，能够识别攻击行为，对有攻击行为的用户进行隔离。</w:t>
            </w:r>
          </w:p>
        </w:tc>
      </w:tr>
      <w:tr>
        <w:tblPrEx>
          <w:tblW w:w="8911" w:type="dxa"/>
          <w:tblInd w:w="-162" w:type="dxa"/>
          <w:tblLayout w:type="fixed"/>
          <w:tblCellMar>
            <w:top w:w="0" w:type="dxa"/>
            <w:left w:w="108" w:type="dxa"/>
            <w:bottom w:w="0" w:type="dxa"/>
            <w:right w:w="108" w:type="dxa"/>
          </w:tblCellMar>
        </w:tblPrEx>
        <w:trPr>
          <w:trHeight w:val="19"/>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61.</w:t>
            </w:r>
            <w:r>
              <w:rPr>
                <w:rFonts w:ascii="宋体" w:hAnsi="宋体" w:cs="宋体" w:hint="eastAsia"/>
                <w:color w:val="000000"/>
                <w:kern w:val="0"/>
                <w:sz w:val="22"/>
                <w:szCs w:val="22"/>
              </w:rPr>
              <w:t>支持快速链路检测协议，可快速检测链路的通断和光纤链路的单向性，并支持端口下的环路检测功能，防止端口下因私接Hub等设备形成的环路而导致网络故障的现象。</w:t>
            </w:r>
          </w:p>
        </w:tc>
      </w:tr>
      <w:tr>
        <w:tblPrEx>
          <w:tblW w:w="8911" w:type="dxa"/>
          <w:tblInd w:w="-162" w:type="dxa"/>
          <w:tblLayout w:type="fixed"/>
          <w:tblCellMar>
            <w:top w:w="0" w:type="dxa"/>
            <w:left w:w="108" w:type="dxa"/>
            <w:bottom w:w="0" w:type="dxa"/>
            <w:right w:w="108" w:type="dxa"/>
          </w:tblCellMar>
        </w:tblPrEx>
        <w:trPr>
          <w:trHeight w:val="15"/>
        </w:trPr>
        <w:tc>
          <w:tcPr>
            <w:tcW w:w="640" w:type="dxa"/>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8</w:t>
            </w:r>
          </w:p>
        </w:tc>
        <w:tc>
          <w:tcPr>
            <w:tcW w:w="1786" w:type="dxa"/>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光纤模块</w:t>
            </w:r>
          </w:p>
        </w:tc>
        <w:tc>
          <w:tcPr>
            <w:tcW w:w="6485"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62.</w:t>
            </w:r>
            <w:r>
              <w:rPr>
                <w:rFonts w:ascii="宋体" w:hAnsi="宋体" w:cs="宋体" w:hint="eastAsia"/>
                <w:color w:val="000000"/>
                <w:kern w:val="0"/>
                <w:sz w:val="22"/>
                <w:szCs w:val="22"/>
              </w:rPr>
              <w:t>交换机配套光纤模块；</w:t>
            </w:r>
          </w:p>
        </w:tc>
      </w:tr>
      <w:tr>
        <w:tblPrEx>
          <w:tblW w:w="8911" w:type="dxa"/>
          <w:tblInd w:w="-162" w:type="dxa"/>
          <w:tblLayout w:type="fixed"/>
          <w:tblCellMar>
            <w:top w:w="0" w:type="dxa"/>
            <w:left w:w="108" w:type="dxa"/>
            <w:bottom w:w="0" w:type="dxa"/>
            <w:right w:w="108" w:type="dxa"/>
          </w:tblCellMar>
        </w:tblPrEx>
        <w:trPr>
          <w:trHeight w:val="15"/>
        </w:trPr>
        <w:tc>
          <w:tcPr>
            <w:tcW w:w="640" w:type="dxa"/>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9</w:t>
            </w:r>
          </w:p>
        </w:tc>
        <w:tc>
          <w:tcPr>
            <w:tcW w:w="1786" w:type="dxa"/>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机柜</w:t>
            </w:r>
          </w:p>
        </w:tc>
        <w:tc>
          <w:tcPr>
            <w:tcW w:w="6485"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63.</w:t>
            </w:r>
            <w:r>
              <w:rPr>
                <w:rFonts w:ascii="宋体" w:hAnsi="宋体" w:cs="宋体" w:hint="eastAsia"/>
                <w:color w:val="000000"/>
                <w:kern w:val="0"/>
                <w:sz w:val="22"/>
                <w:szCs w:val="22"/>
              </w:rPr>
              <w:t>标准19英寸32U服务器机柜。</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10</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视频存储</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64.</w:t>
            </w:r>
            <w:r>
              <w:rPr>
                <w:rFonts w:ascii="宋体" w:hAnsi="宋体" w:cs="宋体" w:hint="eastAsia"/>
                <w:color w:val="000000"/>
                <w:kern w:val="0"/>
                <w:sz w:val="22"/>
                <w:szCs w:val="22"/>
              </w:rPr>
              <w:t>2U机架式≥9盘位嵌入式网络硬盘录像机，整机采用短机箱设计，搭载高性能ATX电源；</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65.</w:t>
            </w:r>
            <w:r>
              <w:rPr>
                <w:rFonts w:ascii="宋体" w:hAnsi="宋体" w:cs="宋体" w:hint="eastAsia"/>
                <w:color w:val="000000"/>
                <w:kern w:val="0"/>
                <w:sz w:val="22"/>
                <w:szCs w:val="22"/>
              </w:rPr>
              <w:t>存储接口：≥9个SATA接口；视频接口：≥2×HDMI，≥2×VGA；网络接口：≥2×RJ45 10/100/1000Mbps自适应以太网口；</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66.</w:t>
            </w:r>
            <w:r>
              <w:rPr>
                <w:rFonts w:ascii="宋体" w:hAnsi="宋体" w:cs="宋体" w:hint="eastAsia"/>
                <w:color w:val="000000"/>
                <w:kern w:val="0"/>
                <w:sz w:val="22"/>
                <w:szCs w:val="22"/>
              </w:rPr>
              <w:t>报警接口：≥16路报警输入，≥9路报警输出（其中第9路支持CTRL 12V）；反向供电：≥1路DC12V 1A；串行接口：≥1路RS-232接口，≥1路全双工RS-485接口；USB接口：≥2×USB 2.0，2×USB 3.0；</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67.</w:t>
            </w:r>
            <w:r>
              <w:rPr>
                <w:rFonts w:ascii="宋体" w:hAnsi="宋体" w:cs="宋体" w:hint="eastAsia"/>
                <w:color w:val="000000"/>
                <w:kern w:val="0"/>
                <w:sz w:val="22"/>
                <w:szCs w:val="22"/>
              </w:rPr>
              <w:t>输入带宽：≥320Mbps（开启RAID后为200Mbps）；输出带宽：≥256Mbps（开启RAID后为200Mbps）；</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68.</w:t>
            </w:r>
            <w:r>
              <w:rPr>
                <w:rFonts w:ascii="宋体" w:hAnsi="宋体" w:cs="宋体" w:hint="eastAsia"/>
                <w:color w:val="000000"/>
                <w:kern w:val="0"/>
                <w:sz w:val="22"/>
                <w:szCs w:val="22"/>
              </w:rPr>
              <w:t>接入能力：≥32路H.264、H.265格式高清码流接入；解码能力：支持≥32×1080P；显示能力：最大支持8K+1080P、2×4K异源输出；</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69.</w:t>
            </w:r>
            <w:r>
              <w:rPr>
                <w:rFonts w:ascii="宋体" w:hAnsi="宋体" w:cs="宋体" w:hint="eastAsia"/>
                <w:color w:val="000000"/>
                <w:kern w:val="0"/>
                <w:sz w:val="22"/>
                <w:szCs w:val="22"/>
              </w:rPr>
              <w:t>整机搭载高性能AI引擎，支持独立配置目标识别、文搜、图搜等引擎模式；</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70.</w:t>
            </w:r>
            <w:r>
              <w:rPr>
                <w:rFonts w:ascii="宋体" w:hAnsi="宋体" w:cs="宋体" w:hint="eastAsia"/>
                <w:color w:val="000000"/>
                <w:kern w:val="0"/>
                <w:sz w:val="22"/>
                <w:szCs w:val="22"/>
              </w:rPr>
              <w:t>目标识别应用：支持目标抓拍、比对报警；目标名单库：支持≥16个名单库，总库容≥5万张；目标抓拍：≥4路视频流（2MP）；目标比对：≥16路图片流；</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71.</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设备支持文搜功能，可通过文字语义描述，快速检索目标对象或内容；支持对人体、车辆、非机动车、物品、动物、基础事件等类型的检索；并可基于文搜快速检索的结果，对目标进行图搜的二次精准检索定位；设备支持独立的智能文搜应用模块，应用内置文搜高频热词，如：人的上衣颜色、下装颜色、随身物品、性别；车的颜色、类型、品牌；其他的抽烟、打电话、玩手机等；</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72.</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支持独立的文搜应用展示界面，默认支持全通道录像检索，且通道和时间范围可设；支持自定义选择时间范围，可快速选择1天、3天、7天；支持将搜索内容添加到历史记录，历史检索词条保持最近10条，通过直接点击该高频热词或历史记录可直接进行重复检索；</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r>
      <w:tr>
        <w:tblPrEx>
          <w:tblW w:w="8911" w:type="dxa"/>
          <w:tblInd w:w="-162" w:type="dxa"/>
          <w:tblLayout w:type="fixed"/>
          <w:tblCellMar>
            <w:top w:w="0" w:type="dxa"/>
            <w:left w:w="108" w:type="dxa"/>
            <w:bottom w:w="0" w:type="dxa"/>
            <w:right w:w="108" w:type="dxa"/>
          </w:tblCellMar>
        </w:tblPrEx>
        <w:trPr>
          <w:trHeight w:val="2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73.</w:t>
            </w:r>
            <w:r>
              <w:rPr>
                <w:rFonts w:ascii="宋体" w:hAnsi="宋体" w:cs="宋体" w:hint="eastAsia"/>
                <w:color w:val="000000"/>
                <w:kern w:val="0"/>
                <w:sz w:val="22"/>
                <w:szCs w:val="22"/>
              </w:rPr>
              <w:t>内置图文搜索引擎，支持开放式语义检索，输入文字描述即可查找人、车、非机动车及附属物等目标；支持搜索结果按相似度排序展示，根据搜索结果，可一键关联录像片段及以图搜图；以文搜图能力：≥32路；以图搜图能力：≥32路；</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11</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机房摄像机</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74.</w:t>
            </w:r>
            <w:r>
              <w:rPr>
                <w:rFonts w:ascii="宋体" w:hAnsi="宋体" w:cs="宋体" w:hint="eastAsia"/>
                <w:color w:val="000000"/>
                <w:kern w:val="0"/>
                <w:sz w:val="22"/>
                <w:szCs w:val="22"/>
              </w:rPr>
              <w:t>内置1.5TOPS算力的芯片，支持烟火检测、值岗状态检测（离岗、睡岗、玩手机）、危险行为检测（抽烟、打电话）、电梯危险物品检测（电瓶车、煤气罐）、呼救识别、周界入侵检测（移动侦测、区域入侵、越界侦测）、遮挡检测同时启用，各类智能事件可以正常检测和报警；</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75.</w:t>
            </w:r>
            <w:r>
              <w:rPr>
                <w:rFonts w:ascii="宋体" w:hAnsi="宋体" w:cs="宋体" w:hint="eastAsia"/>
                <w:color w:val="000000"/>
                <w:kern w:val="0"/>
                <w:sz w:val="22"/>
                <w:szCs w:val="22"/>
              </w:rPr>
              <w:t>设备应具备高温报警功能，支持设定0℃~120℃高温报警阈值，1~600s温度报警时间阈值，当环境温度超过设定高温报警阈值和时间阈值时，触发设备高温报警，视频画面叠加高温报警信息，同时录像及上传抓拍图片，报警指示灯自动点亮；</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76.</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设备应具备温度突升、突降的差温报警功能，支持设定1℃~120℃温度突升或突降的差温报警阈值，1~30s温度突升或者突降报警时间阈值，当环境温度满足设定高温报警阈值和时间阈值时，触发设备温度突升或突降差温报警，视频画面叠加温度突升/突降报警信息，同时录像及上传抓拍图片，报警指示灯自动点亮；将设备固定在恒定温箱（40℃~55℃）并稳定运行1h，查看设备实时感温数据，误差不超过±2℃；可在10s内探测到距离设备50m处面积为0.1㎡的火盘中燃烧的火焰并报警；设备可通过DC12V反向为烟感探测器供电，烟感探测器检测到烟雾、温度异常时，设备可通过报警输入接收烟感报警信息，触发输入报警、同时录像及上传抓拍图片，报警指示灯自动点亮；支持配置各个报警指示灯状态，包括开、关、闪烁以及闪烁频率；</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77.</w:t>
            </w:r>
            <w:r>
              <w:rPr>
                <w:rFonts w:ascii="宋体" w:hAnsi="宋体" w:cs="宋体" w:hint="eastAsia"/>
                <w:color w:val="000000"/>
                <w:kern w:val="0"/>
                <w:sz w:val="22"/>
                <w:szCs w:val="22"/>
              </w:rPr>
              <w:t>分辨率：≥2688×1520；温度异常检测：支持高温/差温报警；</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78.</w:t>
            </w:r>
            <w:r>
              <w:rPr>
                <w:rFonts w:ascii="宋体" w:hAnsi="宋体" w:cs="宋体" w:hint="eastAsia"/>
                <w:color w:val="000000"/>
                <w:kern w:val="0"/>
                <w:sz w:val="22"/>
                <w:szCs w:val="22"/>
              </w:rPr>
              <w:t>可在IE浏览器上设置4个检测区域、4个屏蔽区域，支持最大检出尺寸、最小检出尺寸配置，支持单独开启电瓶车检测、煤气罐检测，触发报警时间：1~4s可配置、5级灵敏度调节，布防时间可配置，当设定的侦测区域内有电瓶车、煤气罐出现时，该区域内边框将变为红色，并可联动报警、启动录像、报警上传中心和SD卡、声音播报，报警指示灯自动点亮；</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79.</w:t>
            </w:r>
            <w:r>
              <w:rPr>
                <w:rFonts w:ascii="宋体" w:hAnsi="宋体" w:cs="宋体" w:hint="eastAsia"/>
                <w:color w:val="000000"/>
                <w:kern w:val="0"/>
                <w:sz w:val="22"/>
                <w:szCs w:val="22"/>
              </w:rPr>
              <w:t>内置1个感温传感器；内置1个扬声器、1个麦克风、1个音频输入接口、1个音频输出接口、2个报警输入接口、2个报警输出接口、1个DC12V电源输出接口、2颗补光灯、3个状态指示灯；</w:t>
            </w:r>
          </w:p>
        </w:tc>
      </w:tr>
      <w:tr>
        <w:tblPrEx>
          <w:tblW w:w="8911" w:type="dxa"/>
          <w:tblInd w:w="-162" w:type="dxa"/>
          <w:tblLayout w:type="fixed"/>
          <w:tblCellMar>
            <w:top w:w="0" w:type="dxa"/>
            <w:left w:w="108" w:type="dxa"/>
            <w:bottom w:w="0" w:type="dxa"/>
            <w:right w:w="108" w:type="dxa"/>
          </w:tblCellMar>
        </w:tblPrEx>
        <w:trPr>
          <w:trHeight w:val="77"/>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12</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UPS主机</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80.</w:t>
            </w:r>
            <w:r>
              <w:rPr>
                <w:rFonts w:ascii="宋体" w:hAnsi="宋体" w:cs="宋体" w:hint="eastAsia"/>
                <w:color w:val="000000"/>
                <w:kern w:val="0"/>
                <w:sz w:val="22"/>
                <w:szCs w:val="22"/>
              </w:rPr>
              <w:t>后备≥1小时，≥6KVA，高频塔式采用数字化控制技术、三电平技术和高频电源变换技术具有体积小、性能高、可靠性高等特点；额定容量：≥6000VA/5400W ；输入电压范围：≥110～300Vac；相数：单相三线；输入频率范围：≥50/60±10%（自适应）；输入功率因数：≥0.99（满载）；输出电压：≥208/220/230/240±1%；输出频率：市电模式：与电网同步；</w:t>
            </w:r>
          </w:p>
        </w:tc>
      </w:tr>
      <w:tr>
        <w:tblPrEx>
          <w:tblW w:w="8911" w:type="dxa"/>
          <w:tblInd w:w="-162" w:type="dxa"/>
          <w:tblLayout w:type="fixed"/>
          <w:tblCellMar>
            <w:top w:w="0" w:type="dxa"/>
            <w:left w:w="108" w:type="dxa"/>
            <w:bottom w:w="0" w:type="dxa"/>
            <w:right w:w="108" w:type="dxa"/>
          </w:tblCellMar>
        </w:tblPrEx>
        <w:trPr>
          <w:trHeight w:val="77"/>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81.</w:t>
            </w:r>
            <w:r>
              <w:rPr>
                <w:rFonts w:ascii="宋体" w:hAnsi="宋体" w:cs="宋体" w:hint="eastAsia"/>
                <w:color w:val="000000"/>
                <w:kern w:val="0"/>
                <w:sz w:val="22"/>
                <w:szCs w:val="22"/>
              </w:rPr>
              <w:t>整机效率：≥95%；功率因数：≥0.9；电池电压：≥192-240V可设置（默认16节）；输出方式（塔式）：接线排；</w:t>
            </w:r>
          </w:p>
        </w:tc>
      </w:tr>
      <w:tr>
        <w:tblPrEx>
          <w:tblW w:w="8911" w:type="dxa"/>
          <w:tblInd w:w="-162" w:type="dxa"/>
          <w:tblLayout w:type="fixed"/>
          <w:tblCellMar>
            <w:top w:w="0" w:type="dxa"/>
            <w:left w:w="108" w:type="dxa"/>
            <w:bottom w:w="0" w:type="dxa"/>
            <w:right w:w="108" w:type="dxa"/>
          </w:tblCellMar>
        </w:tblPrEx>
        <w:trPr>
          <w:trHeight w:val="77"/>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82.</w:t>
            </w:r>
            <w:r>
              <w:rPr>
                <w:rFonts w:ascii="宋体" w:hAnsi="宋体" w:cs="宋体" w:hint="eastAsia"/>
                <w:color w:val="000000"/>
                <w:kern w:val="0"/>
                <w:sz w:val="22"/>
                <w:szCs w:val="22"/>
              </w:rPr>
              <w:t>告警功能：电池低压、市电异常、UPS故障、输出过载、输出短路；保护功能：电池欠压保护、过载保护、短路保护、过温保护、输入过压保护；通信功能：RS232，EPO接口；</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13</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考点视频监控设备</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83.</w:t>
            </w:r>
            <w:r>
              <w:rPr>
                <w:rFonts w:ascii="宋体" w:hAnsi="宋体" w:cs="宋体" w:hint="eastAsia"/>
                <w:color w:val="000000"/>
                <w:kern w:val="0"/>
                <w:sz w:val="22"/>
                <w:szCs w:val="22"/>
              </w:rPr>
              <w:t>400万半球型网络摄像机；</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84.</w:t>
            </w:r>
            <w:r>
              <w:rPr>
                <w:rFonts w:ascii="宋体" w:hAnsi="宋体" w:cs="宋体" w:hint="eastAsia"/>
                <w:color w:val="000000"/>
                <w:kern w:val="0"/>
                <w:sz w:val="22"/>
                <w:szCs w:val="22"/>
              </w:rPr>
              <w:t>主码流支持2560x1440，最低照度彩色不低于0.005lx；设备应支持红外补光，红外作用距离不低于30m。</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85.</w:t>
            </w:r>
            <w:r>
              <w:rPr>
                <w:rFonts w:ascii="宋体" w:hAnsi="宋体" w:cs="宋体" w:hint="eastAsia"/>
                <w:color w:val="000000"/>
                <w:kern w:val="0"/>
                <w:sz w:val="22"/>
                <w:szCs w:val="22"/>
              </w:rPr>
              <w:t>应具备区域入侵、越界入侵、人员聚集、进入区域、离开区域、快速移动、物品移除、物品遗留、徘徊智能分析功能，当以上智能分析行为达到设定的阈值时，可通过客户端软件或IE浏览器给出报警提示；</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86.</w:t>
            </w:r>
            <w:r>
              <w:rPr>
                <w:rFonts w:ascii="宋体" w:hAnsi="宋体" w:cs="宋体" w:hint="eastAsia"/>
                <w:color w:val="000000"/>
                <w:kern w:val="0"/>
                <w:sz w:val="22"/>
                <w:szCs w:val="22"/>
              </w:rPr>
              <w:t>应内置1个麦克风，具有1个RJ45网络接口，1个音频输入接口、1个音频输出接口、1个报警输入接口、1个报警输出接口、1个SD卡卡槽。</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87.</w:t>
            </w:r>
            <w:r>
              <w:rPr>
                <w:rFonts w:ascii="宋体" w:hAnsi="宋体" w:cs="宋体" w:hint="eastAsia"/>
                <w:color w:val="000000"/>
                <w:kern w:val="0"/>
                <w:sz w:val="22"/>
                <w:szCs w:val="22"/>
              </w:rPr>
              <w:t>支持DC12V或POE供电。</w:t>
            </w:r>
          </w:p>
        </w:tc>
      </w:tr>
      <w:tr>
        <w:tblPrEx>
          <w:tblW w:w="8911" w:type="dxa"/>
          <w:tblInd w:w="-162" w:type="dxa"/>
          <w:tblLayout w:type="fixed"/>
          <w:tblCellMar>
            <w:top w:w="0" w:type="dxa"/>
            <w:left w:w="108" w:type="dxa"/>
            <w:bottom w:w="0" w:type="dxa"/>
            <w:right w:w="108" w:type="dxa"/>
          </w:tblCellMar>
        </w:tblPrEx>
        <w:trPr>
          <w:trHeight w:val="38"/>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88.</w:t>
            </w:r>
            <w:r>
              <w:rPr>
                <w:rFonts w:ascii="宋体" w:hAnsi="宋体" w:cs="宋体" w:hint="eastAsia"/>
                <w:color w:val="000000"/>
                <w:kern w:val="0"/>
                <w:sz w:val="22"/>
                <w:szCs w:val="22"/>
              </w:rPr>
              <w:t>应支持IP66防尘防水。</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14</w:t>
            </w:r>
          </w:p>
        </w:tc>
        <w:tc>
          <w:tcPr>
            <w:tcW w:w="1786"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考务室摄像机</w:t>
            </w: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89.</w:t>
            </w:r>
            <w:r>
              <w:rPr>
                <w:rFonts w:ascii="宋体" w:hAnsi="宋体" w:cs="宋体" w:hint="eastAsia"/>
                <w:color w:val="000000"/>
                <w:kern w:val="0"/>
                <w:sz w:val="22"/>
                <w:szCs w:val="22"/>
              </w:rPr>
              <w:t>传感器类型 1/1.8" Progressive Scan CMOS；</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ign w:val="center"/>
          </w:tcPr>
          <w:p>
            <w:pPr>
              <w:jc w:val="center"/>
            </w:pPr>
          </w:p>
        </w:tc>
        <w:tc>
          <w:tcPr>
            <w:tcW w:w="1786" w:type="dxa"/>
            <w:vMerge/>
            <w:vAlign w:val="center"/>
          </w:tcPr>
          <w:p>
            <w:pPr>
              <w:jc w:val="cente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90.</w:t>
            </w:r>
            <w:r>
              <w:rPr>
                <w:rFonts w:ascii="宋体" w:hAnsi="宋体" w:cs="宋体" w:hint="eastAsia"/>
                <w:color w:val="000000"/>
                <w:kern w:val="0"/>
                <w:sz w:val="22"/>
                <w:szCs w:val="22"/>
              </w:rPr>
              <w:t>支持≥4倍电动变焦；</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91.</w:t>
            </w:r>
            <w:r>
              <w:rPr>
                <w:rFonts w:ascii="宋体" w:hAnsi="宋体" w:cs="宋体" w:hint="eastAsia"/>
                <w:color w:val="000000"/>
                <w:kern w:val="0"/>
                <w:sz w:val="22"/>
                <w:szCs w:val="22"/>
              </w:rPr>
              <w:t>通道1：≥3840×2160；通道2：≥1920×1080；通道3：≥1920×1080，支持≥1个RJ45 10M/100M自适应以太网口，支持POE模式，具有SD卡插槽，≥2个内置麦克风，≥1个USB接口；</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92.</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可通过本机管理已接入的外部设备，并可将已接入的视频/音频设备的视音频信息和本机的视音频信息独立或做画面拼接合成后输出；支持通过USB接口输出1920×1080、25/30fps的视频码流，可选择输出拼接或导播码流。</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93.</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可通过浏览器或客户端在同一预览界面同时预览5路视音频信息，分别为：教师全景和特写采集通道、拼接或导播通道、可自动刷新的板书通道、外接学生摄像机采集通道、外接PPT采集通道；通道一支持3路码流，第一和第二码流均为全景画面，第三路码流为教师特写画面，可跟随教师的移动过程。支持对接入的摄像机可视画面中的状态进行实时统计、分析，包括出勤人数统计、抬头率统计、空座率统计；</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94.</w:t>
            </w:r>
            <w:r>
              <w:rPr>
                <w:rFonts w:ascii="宋体" w:hAnsi="宋体" w:cs="宋体" w:hint="eastAsia"/>
                <w:color w:val="000000"/>
                <w:kern w:val="0"/>
                <w:sz w:val="22"/>
                <w:szCs w:val="22"/>
              </w:rPr>
              <w:t>支持通过USB接口输出1920×1080、25/30fps的视频码流，可选择输出拼接或导播码流。</w:t>
            </w:r>
          </w:p>
        </w:tc>
      </w:tr>
      <w:tr>
        <w:tblPrEx>
          <w:tblW w:w="8911" w:type="dxa"/>
          <w:tblInd w:w="-162" w:type="dxa"/>
          <w:tblLayout w:type="fixed"/>
          <w:tblCellMar>
            <w:top w:w="0" w:type="dxa"/>
            <w:left w:w="108" w:type="dxa"/>
            <w:bottom w:w="0" w:type="dxa"/>
            <w:right w:w="108" w:type="dxa"/>
          </w:tblCellMar>
        </w:tblPrEx>
        <w:trPr>
          <w:trHeight w:val="33"/>
        </w:trPr>
        <w:tc>
          <w:tcPr>
            <w:tcW w:w="640" w:type="dxa"/>
            <w:vMerge/>
            <w:vAlign w:val="center"/>
          </w:tcPr>
          <w:p>
            <w:pPr>
              <w:jc w:val="center"/>
              <w:rPr>
                <w:color w:val="000000" w:themeColor="text1"/>
                <w:szCs w:val="21"/>
                <w14:textFill>
                  <w14:solidFill>
                    <w14:schemeClr w14:val="tx1"/>
                  </w14:solidFill>
                </w14:textFill>
              </w:rPr>
            </w:pPr>
          </w:p>
        </w:tc>
        <w:tc>
          <w:tcPr>
            <w:tcW w:w="1786" w:type="dxa"/>
            <w:vMerge/>
            <w:vAlign w:val="center"/>
          </w:tcPr>
          <w:p>
            <w:pPr>
              <w:jc w:val="center"/>
              <w:rPr>
                <w:color w:val="000000" w:themeColor="text1"/>
                <w:szCs w:val="21"/>
                <w14:textFill>
                  <w14:solidFill>
                    <w14:schemeClr w14:val="tx1"/>
                  </w14:solidFill>
                </w14:textFill>
              </w:rPr>
            </w:pPr>
          </w:p>
        </w:tc>
        <w:tc>
          <w:tcPr>
            <w:tcW w:w="6485"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95.</w:t>
            </w:r>
            <w:r>
              <w:rPr>
                <w:rFonts w:ascii="宋体" w:hAnsi="宋体" w:cs="宋体" w:hint="eastAsia"/>
                <w:color w:val="000000"/>
                <w:kern w:val="0"/>
                <w:sz w:val="22"/>
                <w:szCs w:val="22"/>
              </w:rPr>
              <w:t>支持EPTZ控制功能；支持多种音频接入方式，包括网络音频接入、line in线性输入和MIC IN音频输入，可搭配客户端软件实现线上音视频互动；</w:t>
            </w:r>
          </w:p>
        </w:tc>
      </w:tr>
    </w:tbl>
    <w:p>
      <w:pPr>
        <w:rPr>
          <w:b/>
          <w:szCs w:val="21"/>
        </w:rPr>
      </w:pPr>
      <w:bookmarkEnd w:id="41"/>
    </w:p>
    <w:p>
      <w:pPr>
        <w:rPr>
          <w:b/>
          <w:szCs w:val="21"/>
        </w:rPr>
      </w:pPr>
    </w:p>
    <w:p>
      <w:pPr>
        <w:pStyle w:val="a"/>
      </w:pPr>
    </w:p>
    <w:p>
      <w:pPr>
        <w:pStyle w:val="Heading2"/>
        <w:spacing w:before="120" w:beforeLines="50" w:after="120" w:afterLines="50"/>
        <w:rPr>
          <w:sz w:val="28"/>
          <w:szCs w:val="28"/>
        </w:rPr>
      </w:pPr>
      <w:r>
        <w:rPr>
          <w:rFonts w:ascii="宋体" w:eastAsia="宋体" w:hAnsi="宋体" w:cs="Times New Roman" w:hint="eastAsia"/>
          <w:b/>
          <w:bCs/>
          <w:color w:val="FF0000"/>
          <w:szCs w:val="21"/>
        </w:rPr>
        <w:t>★</w:t>
      </w:r>
      <w:r>
        <w:rPr>
          <w:rFonts w:hint="eastAsia"/>
          <w:sz w:val="28"/>
          <w:szCs w:val="28"/>
        </w:rPr>
        <w:t>五、商务要求</w:t>
      </w:r>
    </w:p>
    <w:p>
      <w:pPr>
        <w:pStyle w:val="CommentText"/>
        <w:rPr>
          <w:rFonts w:hint="eastAsia"/>
          <w:b/>
          <w:szCs w:val="21"/>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tbl>
      <w:tblPr>
        <w:tblStyle w:val="TableNormal"/>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0"/>
        <w:gridCol w:w="1457"/>
        <w:gridCol w:w="6523"/>
      </w:tblGrid>
      <w:tr>
        <w:tblPrEx>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840" w:type="dxa"/>
            <w:noWrap w:val="0"/>
            <w:vAlign w:val="center"/>
          </w:tcPr>
          <w:p>
            <w:pPr>
              <w:jc w:val="center"/>
              <w:rPr>
                <w:b/>
              </w:rPr>
            </w:pPr>
            <w:r>
              <w:rPr>
                <w:rFonts w:hint="eastAsia"/>
                <w:b/>
              </w:rPr>
              <w:t>序号</w:t>
            </w:r>
          </w:p>
        </w:tc>
        <w:tc>
          <w:tcPr>
            <w:tcW w:w="1457" w:type="dxa"/>
            <w:noWrap w:val="0"/>
            <w:vAlign w:val="center"/>
          </w:tcPr>
          <w:p>
            <w:pPr>
              <w:jc w:val="center"/>
              <w:rPr>
                <w:b/>
              </w:rPr>
            </w:pPr>
            <w:r>
              <w:rPr>
                <w:rFonts w:hint="eastAsia"/>
                <w:b/>
              </w:rPr>
              <w:t>商务需求项</w:t>
            </w:r>
          </w:p>
        </w:tc>
        <w:tc>
          <w:tcPr>
            <w:tcW w:w="6523" w:type="dxa"/>
            <w:noWrap w:val="0"/>
            <w:vAlign w:val="center"/>
          </w:tcPr>
          <w:p>
            <w:pPr>
              <w:jc w:val="center"/>
              <w:rPr>
                <w:b/>
              </w:rPr>
            </w:pPr>
            <w:r>
              <w:rPr>
                <w:rFonts w:hint="eastAsia"/>
                <w:b/>
              </w:rPr>
              <w:t>招标商务要求</w:t>
            </w:r>
          </w:p>
        </w:tc>
      </w:tr>
      <w:tr>
        <w:tblPrEx>
          <w:tblW w:w="8820" w:type="dxa"/>
          <w:tblInd w:w="108" w:type="dxa"/>
          <w:tblLayout w:type="fixed"/>
          <w:tblCellMar>
            <w:top w:w="0" w:type="dxa"/>
            <w:left w:w="108" w:type="dxa"/>
            <w:bottom w:w="0" w:type="dxa"/>
            <w:right w:w="108" w:type="dxa"/>
          </w:tblCellMar>
        </w:tblPrEx>
        <w:trPr>
          <w:trHeight w:val="280"/>
        </w:trPr>
        <w:tc>
          <w:tcPr>
            <w:tcW w:w="8820" w:type="dxa"/>
            <w:gridSpan w:val="3"/>
            <w:noWrap w:val="0"/>
            <w:vAlign w:val="top"/>
          </w:tcPr>
          <w:p>
            <w:pPr>
              <w:rPr>
                <w:b/>
              </w:rPr>
            </w:pPr>
            <w:r>
              <w:rPr>
                <w:rFonts w:ascii="宋体" w:hAnsi="宋体" w:cs="宋体" w:hint="eastAsia"/>
                <w:b/>
                <w:szCs w:val="21"/>
              </w:rPr>
              <w:t>（一）免费保修期内售后服务要求</w:t>
            </w:r>
          </w:p>
        </w:tc>
      </w:tr>
      <w:tr>
        <w:tblPrEx>
          <w:tblW w:w="8820" w:type="dxa"/>
          <w:tblInd w:w="108" w:type="dxa"/>
          <w:tblLayout w:type="fixed"/>
          <w:tblCellMar>
            <w:top w:w="0" w:type="dxa"/>
            <w:left w:w="108" w:type="dxa"/>
            <w:bottom w:w="0" w:type="dxa"/>
            <w:right w:w="108" w:type="dxa"/>
          </w:tblCellMar>
        </w:tblPrEx>
        <w:trPr>
          <w:trHeight w:val="320"/>
        </w:trPr>
        <w:tc>
          <w:tcPr>
            <w:tcW w:w="840" w:type="dxa"/>
            <w:noWrap w:val="0"/>
            <w:vAlign w:val="center"/>
          </w:tcPr>
          <w:p>
            <w:pPr>
              <w:jc w:val="center"/>
              <w:rPr>
                <w:bCs/>
              </w:rPr>
            </w:pPr>
            <w:r>
              <w:rPr>
                <w:rFonts w:ascii="宋体" w:hAnsi="宋体" w:cs="宋体" w:hint="eastAsia"/>
                <w:bCs/>
                <w:szCs w:val="21"/>
              </w:rPr>
              <w:t>1</w:t>
            </w:r>
          </w:p>
        </w:tc>
        <w:tc>
          <w:tcPr>
            <w:tcW w:w="1457" w:type="dxa"/>
            <w:noWrap w:val="0"/>
            <w:vAlign w:val="top"/>
          </w:tcPr>
          <w:p>
            <w:pPr>
              <w:jc w:val="center"/>
            </w:pPr>
            <w:r>
              <w:rPr>
                <w:rFonts w:ascii="宋体" w:hAnsi="宋体" w:cs="宋体" w:hint="eastAsia"/>
                <w:szCs w:val="21"/>
              </w:rPr>
              <w:t>维修响应及故障解决时间</w:t>
            </w:r>
          </w:p>
        </w:tc>
        <w:tc>
          <w:tcPr>
            <w:tcW w:w="6523" w:type="dxa"/>
            <w:noWrap w:val="0"/>
            <w:vAlign w:val="top"/>
          </w:tcPr>
          <w:p>
            <w:pPr>
              <w:rPr>
                <w:b/>
              </w:rPr>
            </w:pPr>
            <w:r>
              <w:rPr>
                <w:rFonts w:ascii="宋体" w:hAnsi="宋体" w:cs="宋体" w:hint="eastAsia"/>
                <w:bCs/>
                <w:szCs w:val="21"/>
              </w:rPr>
              <w:t>在免费保修期内，一旦发生质量问题，中标人保证在接到通知4小时内赶到现场进行修理或更换。</w:t>
            </w:r>
          </w:p>
        </w:tc>
      </w:tr>
      <w:tr>
        <w:tblPrEx>
          <w:tblW w:w="8820" w:type="dxa"/>
          <w:tblInd w:w="108" w:type="dxa"/>
          <w:tblLayout w:type="fixed"/>
          <w:tblCellMar>
            <w:top w:w="0" w:type="dxa"/>
            <w:left w:w="108" w:type="dxa"/>
            <w:bottom w:w="0" w:type="dxa"/>
            <w:right w:w="108" w:type="dxa"/>
          </w:tblCellMar>
        </w:tblPrEx>
        <w:trPr>
          <w:trHeight w:val="320"/>
        </w:trPr>
        <w:tc>
          <w:tcPr>
            <w:tcW w:w="840" w:type="dxa"/>
            <w:vMerge w:val="restart"/>
            <w:noWrap w:val="0"/>
            <w:vAlign w:val="center"/>
          </w:tcPr>
          <w:p>
            <w:pPr>
              <w:jc w:val="center"/>
              <w:rPr>
                <w:szCs w:val="21"/>
              </w:rPr>
            </w:pPr>
            <w:r>
              <w:rPr>
                <w:rFonts w:ascii="宋体" w:hAnsi="宋体" w:cs="宋体" w:hint="eastAsia"/>
                <w:szCs w:val="21"/>
              </w:rPr>
              <w:t>2</w:t>
            </w:r>
          </w:p>
        </w:tc>
        <w:tc>
          <w:tcPr>
            <w:tcW w:w="1457" w:type="dxa"/>
            <w:vMerge w:val="restart"/>
            <w:noWrap w:val="0"/>
            <w:vAlign w:val="center"/>
          </w:tcPr>
          <w:p>
            <w:pPr>
              <w:jc w:val="center"/>
              <w:rPr>
                <w:szCs w:val="21"/>
              </w:rPr>
            </w:pPr>
            <w:r>
              <w:rPr>
                <w:rFonts w:ascii="宋体" w:hAnsi="宋体" w:cs="宋体" w:hint="eastAsia"/>
                <w:szCs w:val="21"/>
              </w:rPr>
              <w:t>免费保修期</w:t>
            </w:r>
          </w:p>
        </w:tc>
        <w:tc>
          <w:tcPr>
            <w:tcW w:w="6523" w:type="dxa"/>
            <w:noWrap w:val="0"/>
            <w:vAlign w:val="top"/>
          </w:tcPr>
          <w:p>
            <w:pPr>
              <w:rPr>
                <w:b/>
                <w:szCs w:val="21"/>
              </w:rPr>
            </w:pPr>
            <w:r>
              <w:rPr>
                <w:rFonts w:ascii="宋体" w:hAnsi="宋体" w:cs="宋体" w:hint="eastAsia"/>
                <w:bCs/>
                <w:szCs w:val="21"/>
              </w:rPr>
              <w:t>1.货物免费保修期</w:t>
            </w:r>
            <w:r>
              <w:rPr>
                <w:rFonts w:ascii="宋体" w:hAnsi="宋体" w:cs="宋体" w:hint="eastAsia"/>
                <w:bCs/>
                <w:color w:val="FF0000"/>
                <w:szCs w:val="21"/>
                <w:u w:val="single"/>
              </w:rPr>
              <w:t xml:space="preserve">  3  </w:t>
            </w:r>
            <w:r>
              <w:rPr>
                <w:rFonts w:ascii="宋体" w:hAnsi="宋体" w:cs="宋体" w:hint="eastAsia"/>
                <w:bCs/>
                <w:color w:val="FF0000"/>
                <w:szCs w:val="21"/>
              </w:rPr>
              <w:t>年，</w:t>
            </w:r>
            <w:r>
              <w:rPr>
                <w:rFonts w:ascii="宋体" w:hAnsi="宋体" w:cs="宋体" w:hint="eastAsia"/>
                <w:bCs/>
                <w:szCs w:val="21"/>
              </w:rPr>
              <w:t>时间自最终验收合格并交付使用之日起计算。</w:t>
            </w:r>
          </w:p>
        </w:tc>
      </w:tr>
      <w:tr>
        <w:tblPrEx>
          <w:tblW w:w="8820" w:type="dxa"/>
          <w:tblInd w:w="108" w:type="dxa"/>
          <w:tblLayout w:type="fixed"/>
          <w:tblCellMar>
            <w:top w:w="0" w:type="dxa"/>
            <w:left w:w="108" w:type="dxa"/>
            <w:bottom w:w="0" w:type="dxa"/>
            <w:right w:w="108" w:type="dxa"/>
          </w:tblCellMar>
        </w:tblPrEx>
        <w:trPr>
          <w:trHeight w:val="523"/>
        </w:trPr>
        <w:tc>
          <w:tcPr>
            <w:tcW w:w="840" w:type="dxa"/>
            <w:vMerge/>
            <w:noWrap w:val="0"/>
            <w:vAlign w:val="center"/>
          </w:tcPr>
          <w:p>
            <w:pPr>
              <w:jc w:val="center"/>
              <w:rPr>
                <w:b/>
              </w:rPr>
            </w:pPr>
          </w:p>
        </w:tc>
        <w:tc>
          <w:tcPr>
            <w:tcW w:w="1457" w:type="dxa"/>
            <w:vMerge/>
            <w:noWrap w:val="0"/>
            <w:vAlign w:val="center"/>
          </w:tcPr>
          <w:p/>
        </w:tc>
        <w:tc>
          <w:tcPr>
            <w:tcW w:w="6523" w:type="dxa"/>
            <w:noWrap w:val="0"/>
            <w:vAlign w:val="center"/>
          </w:tcPr>
          <w:p>
            <w:pPr>
              <w:rPr>
                <w:bCs/>
                <w:szCs w:val="21"/>
              </w:rPr>
            </w:pPr>
            <w:r>
              <w:rPr>
                <w:rFonts w:ascii="宋体" w:hAnsi="宋体" w:cs="宋体" w:hint="eastAsia"/>
                <w:bCs/>
                <w:szCs w:val="21"/>
              </w:rPr>
              <w:t>2.免费保修期内，</w:t>
            </w:r>
            <w:r>
              <w:rPr>
                <w:rFonts w:ascii="宋体" w:hAnsi="宋体" w:cs="宋体" w:hint="eastAsia"/>
                <w:color w:val="000000"/>
                <w:szCs w:val="21"/>
              </w:rPr>
              <w:t>所有服务及配件全部免费。</w:t>
            </w:r>
          </w:p>
        </w:tc>
      </w:tr>
      <w:tr>
        <w:tblPrEx>
          <w:tblW w:w="8820" w:type="dxa"/>
          <w:tblInd w:w="108" w:type="dxa"/>
          <w:tblLayout w:type="fixed"/>
          <w:tblCellMar>
            <w:top w:w="0" w:type="dxa"/>
            <w:left w:w="108" w:type="dxa"/>
            <w:bottom w:w="0" w:type="dxa"/>
            <w:right w:w="108" w:type="dxa"/>
          </w:tblCellMar>
        </w:tblPrEx>
        <w:trPr>
          <w:trHeight w:val="523"/>
        </w:trPr>
        <w:tc>
          <w:tcPr>
            <w:tcW w:w="840" w:type="dxa"/>
            <w:noWrap w:val="0"/>
            <w:vAlign w:val="center"/>
          </w:tcPr>
          <w:p>
            <w:pPr>
              <w:jc w:val="center"/>
              <w:rPr>
                <w:b/>
              </w:rPr>
            </w:pPr>
            <w:r>
              <w:rPr>
                <w:rFonts w:ascii="宋体" w:hAnsi="宋体" w:cs="宋体" w:hint="eastAsia"/>
                <w:szCs w:val="21"/>
              </w:rPr>
              <w:t>3</w:t>
            </w:r>
          </w:p>
        </w:tc>
        <w:tc>
          <w:tcPr>
            <w:tcW w:w="1457" w:type="dxa"/>
            <w:noWrap w:val="0"/>
            <w:vAlign w:val="center"/>
          </w:tcPr>
          <w:p>
            <w:pPr>
              <w:jc w:val="center"/>
              <w:rPr>
                <w:b/>
              </w:rPr>
            </w:pPr>
            <w:r>
              <w:rPr>
                <w:rFonts w:ascii="宋体" w:hAnsi="宋体" w:cs="宋体" w:hint="eastAsia"/>
                <w:szCs w:val="21"/>
              </w:rPr>
              <w:t>技术文件</w:t>
            </w:r>
          </w:p>
        </w:tc>
        <w:tc>
          <w:tcPr>
            <w:tcW w:w="6523" w:type="dxa"/>
            <w:noWrap w:val="0"/>
            <w:vAlign w:val="center"/>
          </w:tcPr>
          <w:p>
            <w:pPr>
              <w:rPr>
                <w:bCs/>
              </w:rPr>
            </w:pPr>
            <w:r>
              <w:rPr>
                <w:rFonts w:ascii="宋体" w:hAnsi="宋体" w:cs="宋体" w:hint="eastAsia"/>
                <w:bCs/>
                <w:szCs w:val="21"/>
              </w:rPr>
              <w:t>供应商应提供全套、完整的书面技术资料，包括仪器说明书、操作手册、简单维修说明、图纸等。</w:t>
            </w:r>
          </w:p>
        </w:tc>
      </w:tr>
      <w:tr>
        <w:tblPrEx>
          <w:tblW w:w="8820" w:type="dxa"/>
          <w:tblInd w:w="108" w:type="dxa"/>
          <w:tblLayout w:type="fixed"/>
          <w:tblCellMar>
            <w:top w:w="0" w:type="dxa"/>
            <w:left w:w="108" w:type="dxa"/>
            <w:bottom w:w="0" w:type="dxa"/>
            <w:right w:w="108" w:type="dxa"/>
          </w:tblCellMar>
        </w:tblPrEx>
        <w:trPr>
          <w:trHeight w:val="523"/>
        </w:trPr>
        <w:tc>
          <w:tcPr>
            <w:tcW w:w="840" w:type="dxa"/>
            <w:noWrap w:val="0"/>
            <w:vAlign w:val="center"/>
          </w:tcPr>
          <w:p>
            <w:pPr>
              <w:jc w:val="center"/>
              <w:rPr>
                <w:bCs/>
              </w:rPr>
            </w:pPr>
            <w:r>
              <w:rPr>
                <w:rFonts w:ascii="宋体" w:hAnsi="宋体" w:cs="宋体" w:hint="eastAsia"/>
                <w:bCs/>
                <w:szCs w:val="21"/>
              </w:rPr>
              <w:t>4</w:t>
            </w:r>
          </w:p>
        </w:tc>
        <w:tc>
          <w:tcPr>
            <w:tcW w:w="1457" w:type="dxa"/>
            <w:noWrap w:val="0"/>
            <w:vAlign w:val="center"/>
          </w:tcPr>
          <w:p>
            <w:pPr>
              <w:jc w:val="center"/>
              <w:rPr>
                <w:bCs/>
              </w:rPr>
            </w:pPr>
            <w:r>
              <w:rPr>
                <w:rFonts w:ascii="宋体" w:hAnsi="宋体" w:cs="宋体" w:hint="eastAsia"/>
                <w:szCs w:val="21"/>
              </w:rPr>
              <w:t>安装调试</w:t>
            </w:r>
          </w:p>
        </w:tc>
        <w:tc>
          <w:tcPr>
            <w:tcW w:w="6523" w:type="dxa"/>
            <w:noWrap w:val="0"/>
            <w:vAlign w:val="center"/>
          </w:tcPr>
          <w:p>
            <w:pPr>
              <w:rPr>
                <w:bCs/>
                <w:szCs w:val="21"/>
              </w:rPr>
            </w:pPr>
            <w:r>
              <w:rPr>
                <w:rFonts w:ascii="宋体" w:hAnsi="宋体" w:cs="宋体" w:hint="eastAsia"/>
                <w:bCs/>
                <w:szCs w:val="21"/>
              </w:rPr>
              <w:t>本项目设备包含运输搬运及安装调试等服务，中标人须遵守采购人施工规范要求，并配合现场统一管理。安装维护人员须具有网络安全类相关证书。</w:t>
            </w:r>
          </w:p>
        </w:tc>
      </w:tr>
      <w:tr>
        <w:tblPrEx>
          <w:tblW w:w="8820" w:type="dxa"/>
          <w:tblInd w:w="108" w:type="dxa"/>
          <w:tblLayout w:type="fixed"/>
          <w:tblCellMar>
            <w:top w:w="0" w:type="dxa"/>
            <w:left w:w="108" w:type="dxa"/>
            <w:bottom w:w="0" w:type="dxa"/>
            <w:right w:w="108" w:type="dxa"/>
          </w:tblCellMar>
        </w:tblPrEx>
        <w:trPr>
          <w:trHeight w:val="454"/>
        </w:trPr>
        <w:tc>
          <w:tcPr>
            <w:tcW w:w="8820" w:type="dxa"/>
            <w:gridSpan w:val="3"/>
            <w:noWrap w:val="0"/>
            <w:vAlign w:val="center"/>
          </w:tcPr>
          <w:p>
            <w:pPr>
              <w:spacing w:line="360" w:lineRule="exact"/>
              <w:rPr>
                <w:rFonts w:ascii="宋体" w:hAnsi="宋体"/>
                <w:b/>
              </w:rPr>
            </w:pPr>
            <w:r>
              <w:rPr>
                <w:rFonts w:ascii="宋体" w:hAnsi="宋体" w:cs="宋体" w:hint="eastAsia"/>
                <w:b/>
                <w:szCs w:val="21"/>
              </w:rPr>
              <w:t>（二）免费保修期外售后服务要求</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hAnsi="宋体"/>
                <w:b/>
                <w:sz w:val="20"/>
                <w:szCs w:val="20"/>
              </w:rPr>
            </w:pPr>
            <w:r>
              <w:rPr>
                <w:rFonts w:ascii="宋体" w:hAnsi="宋体" w:cs="宋体" w:hint="eastAsia"/>
                <w:b/>
                <w:szCs w:val="21"/>
              </w:rPr>
              <w:t>1</w:t>
            </w:r>
          </w:p>
        </w:tc>
        <w:tc>
          <w:tcPr>
            <w:tcW w:w="1457" w:type="dxa"/>
            <w:vMerge w:val="restart"/>
            <w:noWrap w:val="0"/>
            <w:vAlign w:val="center"/>
          </w:tcPr>
          <w:p>
            <w:pPr>
              <w:spacing w:line="360" w:lineRule="exact"/>
              <w:jc w:val="center"/>
              <w:rPr>
                <w:rFonts w:ascii="宋体" w:hAnsi="宋体"/>
                <w:b/>
                <w:color w:val="000000"/>
                <w:sz w:val="20"/>
                <w:szCs w:val="20"/>
              </w:rPr>
            </w:pPr>
            <w:r>
              <w:rPr>
                <w:rStyle w:val="Strong"/>
                <w:rFonts w:ascii="宋体" w:hAnsi="宋体" w:cs="宋体" w:hint="eastAsia"/>
                <w:color w:val="000000"/>
                <w:szCs w:val="21"/>
              </w:rPr>
              <w:t>维修零配件、消耗品和延续保修合同的报价</w:t>
            </w:r>
          </w:p>
        </w:tc>
        <w:tc>
          <w:tcPr>
            <w:tcW w:w="6523" w:type="dxa"/>
            <w:noWrap w:val="0"/>
            <w:vAlign w:val="center"/>
          </w:tcPr>
          <w:p>
            <w:pPr>
              <w:spacing w:line="360" w:lineRule="exact"/>
              <w:rPr>
                <w:rFonts w:ascii="宋体" w:hAnsi="宋体"/>
                <w:b/>
                <w:color w:val="000000"/>
              </w:rPr>
            </w:pPr>
            <w:r>
              <w:rPr>
                <w:rFonts w:ascii="宋体" w:hAnsi="宋体" w:cs="宋体" w:hint="eastAsia"/>
                <w:color w:val="000000"/>
                <w:szCs w:val="21"/>
              </w:rPr>
              <w:t>1.1由设备制造商提供售后服务，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小时维修到位，并在48小时内消除故障（不可抗力情况除外）。消耗品和零配件供应及时，特殊情况下可提供备用机。在境内有相对应的零配件保税库，于中标后出具证明文件。</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b/>
              </w:rPr>
            </w:pPr>
          </w:p>
        </w:tc>
        <w:tc>
          <w:tcPr>
            <w:tcW w:w="1457" w:type="dxa"/>
            <w:vMerge/>
            <w:noWrap w:val="0"/>
            <w:vAlign w:val="center"/>
          </w:tcPr>
          <w:p>
            <w:pPr>
              <w:spacing w:line="360" w:lineRule="exact"/>
              <w:rPr>
                <w:rStyle w:val="Strong"/>
                <w:rFonts w:ascii="宋体" w:hAnsi="宋体" w:cs="宋体"/>
                <w:color w:val="000000"/>
                <w:sz w:val="20"/>
                <w:szCs w:val="20"/>
              </w:rPr>
            </w:pPr>
          </w:p>
        </w:tc>
        <w:tc>
          <w:tcPr>
            <w:tcW w:w="6523" w:type="dxa"/>
            <w:noWrap w:val="0"/>
            <w:vAlign w:val="center"/>
          </w:tcPr>
          <w:p>
            <w:pPr>
              <w:spacing w:line="360" w:lineRule="exact"/>
              <w:rPr>
                <w:rFonts w:ascii="宋体" w:hAnsi="宋体"/>
                <w:b/>
                <w:color w:val="000000"/>
              </w:rPr>
            </w:pPr>
            <w:r>
              <w:rPr>
                <w:rFonts w:ascii="宋体" w:hAnsi="宋体" w:cs="宋体" w:hint="eastAsia"/>
                <w:bCs/>
                <w:color w:val="000000"/>
                <w:szCs w:val="21"/>
              </w:rPr>
              <w:t>1.2保修期外设备维修及更换配件按市场价收费。</w:t>
            </w:r>
          </w:p>
        </w:tc>
      </w:tr>
      <w:tr>
        <w:tblPrEx>
          <w:tblW w:w="8820" w:type="dxa"/>
          <w:tblInd w:w="108" w:type="dxa"/>
          <w:tblLayout w:type="fixed"/>
          <w:tblCellMar>
            <w:top w:w="0" w:type="dxa"/>
            <w:left w:w="108" w:type="dxa"/>
            <w:bottom w:w="0" w:type="dxa"/>
            <w:right w:w="108" w:type="dxa"/>
          </w:tblCellMar>
        </w:tblPrEx>
        <w:trPr>
          <w:trHeight w:val="454"/>
        </w:trPr>
        <w:tc>
          <w:tcPr>
            <w:tcW w:w="8820" w:type="dxa"/>
            <w:gridSpan w:val="3"/>
            <w:noWrap w:val="0"/>
            <w:vAlign w:val="center"/>
          </w:tcPr>
          <w:p>
            <w:pPr>
              <w:spacing w:line="360" w:lineRule="exact"/>
              <w:rPr>
                <w:rFonts w:ascii="宋体" w:hAnsi="宋体"/>
                <w:b/>
              </w:rPr>
            </w:pPr>
            <w:r>
              <w:rPr>
                <w:rFonts w:ascii="宋体" w:hAnsi="宋体" w:cs="宋体" w:hint="eastAsia"/>
                <w:b/>
                <w:szCs w:val="21"/>
              </w:rPr>
              <w:t>（三）其他商务要求</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cs="宋体" w:hint="eastAsia"/>
                <w:b/>
                <w:szCs w:val="21"/>
              </w:rPr>
              <w:t>1</w:t>
            </w:r>
          </w:p>
        </w:tc>
        <w:tc>
          <w:tcPr>
            <w:tcW w:w="1457" w:type="dxa"/>
            <w:vMerge w:val="restart"/>
            <w:noWrap w:val="0"/>
            <w:vAlign w:val="center"/>
          </w:tcPr>
          <w:p>
            <w:pPr>
              <w:spacing w:line="360" w:lineRule="exact"/>
              <w:jc w:val="center"/>
              <w:rPr>
                <w:rFonts w:ascii="宋体" w:hAnsi="宋体" w:hint="eastAsia"/>
                <w:b/>
                <w:sz w:val="20"/>
                <w:szCs w:val="20"/>
              </w:rPr>
            </w:pPr>
            <w:r>
              <w:rPr>
                <w:rFonts w:ascii="宋体" w:hAnsi="宋体" w:cs="宋体" w:hint="eastAsia"/>
                <w:b/>
                <w:szCs w:val="21"/>
              </w:rPr>
              <w:t>违约责任</w:t>
            </w:r>
          </w:p>
        </w:tc>
        <w:tc>
          <w:tcPr>
            <w:tcW w:w="6523" w:type="dxa"/>
            <w:noWrap w:val="0"/>
            <w:vAlign w:val="top"/>
          </w:tcPr>
          <w:p>
            <w:pPr>
              <w:spacing w:line="360" w:lineRule="exact"/>
              <w:rPr>
                <w:rFonts w:ascii="宋体" w:hAnsi="宋体" w:cs="宋体" w:hint="eastAsia"/>
                <w:color w:val="000000"/>
                <w:sz w:val="20"/>
                <w:szCs w:val="20"/>
              </w:rPr>
            </w:pPr>
            <w:r>
              <w:rPr>
                <w:rFonts w:ascii="宋体" w:hAnsi="宋体" w:cs="宋体" w:hint="eastAsia"/>
                <w:color w:val="000000"/>
                <w:szCs w:val="21"/>
              </w:rPr>
              <w:t>1.1中标人不能交货的，需偿付不能交货部分货款的</w:t>
            </w:r>
            <w:r>
              <w:rPr>
                <w:rFonts w:ascii="宋体" w:hAnsi="宋体" w:cs="宋体" w:hint="eastAsia"/>
                <w:color w:val="000000"/>
                <w:szCs w:val="21"/>
                <w:u w:val="single"/>
              </w:rPr>
              <w:t xml:space="preserve">  1  </w:t>
            </w:r>
            <w:r>
              <w:rPr>
                <w:rFonts w:ascii="宋体" w:hAnsi="宋体" w:cs="宋体" w:hint="eastAsia"/>
                <w:color w:val="000000"/>
                <w:szCs w:val="21"/>
              </w:rPr>
              <w:t>%的违约金并按主管部门相关规定处理。</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hint="eastAsia"/>
                <w:b/>
                <w:sz w:val="20"/>
                <w:szCs w:val="20"/>
              </w:rPr>
            </w:pPr>
          </w:p>
        </w:tc>
        <w:tc>
          <w:tcPr>
            <w:tcW w:w="1457" w:type="dxa"/>
            <w:vMerge/>
            <w:noWrap w:val="0"/>
            <w:vAlign w:val="center"/>
          </w:tcPr>
          <w:p>
            <w:pPr>
              <w:spacing w:line="360" w:lineRule="exact"/>
              <w:jc w:val="center"/>
              <w:rPr>
                <w:rFonts w:ascii="宋体" w:hAnsi="宋体" w:hint="eastAsia"/>
                <w:b/>
                <w:sz w:val="20"/>
                <w:szCs w:val="20"/>
              </w:rPr>
            </w:pPr>
          </w:p>
        </w:tc>
        <w:tc>
          <w:tcPr>
            <w:tcW w:w="6523" w:type="dxa"/>
            <w:noWrap w:val="0"/>
            <w:vAlign w:val="top"/>
          </w:tcPr>
          <w:p>
            <w:pPr>
              <w:spacing w:line="360" w:lineRule="exact"/>
              <w:rPr>
                <w:rFonts w:ascii="宋体" w:hAnsi="宋体" w:cs="宋体" w:hint="eastAsia"/>
                <w:color w:val="000000"/>
                <w:sz w:val="20"/>
                <w:szCs w:val="20"/>
              </w:rPr>
            </w:pPr>
            <w:r>
              <w:rPr>
                <w:rFonts w:ascii="宋体" w:hAnsi="宋体" w:cs="宋体" w:hint="eastAsia"/>
                <w:color w:val="000000"/>
                <w:szCs w:val="21"/>
              </w:rPr>
              <w:t>1.2中标人逾期交货的，应当承担继续履行、采取补救措施或者赔偿损失等违约责任</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hint="eastAsia"/>
                <w:b/>
                <w:sz w:val="20"/>
                <w:szCs w:val="20"/>
              </w:rPr>
            </w:pPr>
          </w:p>
        </w:tc>
        <w:tc>
          <w:tcPr>
            <w:tcW w:w="1457" w:type="dxa"/>
            <w:vMerge/>
            <w:noWrap w:val="0"/>
            <w:vAlign w:val="center"/>
          </w:tcPr>
          <w:p>
            <w:pPr>
              <w:spacing w:line="360" w:lineRule="exact"/>
              <w:jc w:val="center"/>
              <w:rPr>
                <w:rFonts w:ascii="宋体" w:hAnsi="宋体" w:hint="eastAsia"/>
                <w:b/>
                <w:sz w:val="20"/>
                <w:szCs w:val="20"/>
              </w:rPr>
            </w:pPr>
          </w:p>
        </w:tc>
        <w:tc>
          <w:tcPr>
            <w:tcW w:w="6523" w:type="dxa"/>
            <w:noWrap w:val="0"/>
            <w:vAlign w:val="top"/>
          </w:tcPr>
          <w:p>
            <w:pPr>
              <w:spacing w:line="360" w:lineRule="exact"/>
              <w:rPr>
                <w:rFonts w:ascii="宋体" w:hAnsi="宋体" w:cs="宋体" w:hint="eastAsia"/>
                <w:color w:val="000000"/>
                <w:sz w:val="20"/>
                <w:szCs w:val="20"/>
              </w:rPr>
            </w:pPr>
            <w:r>
              <w:rPr>
                <w:rFonts w:ascii="宋体" w:hAnsi="宋体" w:cs="宋体" w:hint="eastAsia"/>
                <w:color w:val="000000"/>
                <w:szCs w:val="21"/>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bCs w:val="0"/>
                <w:sz w:val="20"/>
                <w:szCs w:val="20"/>
                <w:lang w:eastAsia="zh-CN"/>
              </w:rPr>
            </w:pPr>
            <w:r>
              <w:rPr>
                <w:rFonts w:ascii="宋体" w:hAnsi="宋体" w:cs="宋体" w:hint="eastAsia"/>
                <w:b/>
                <w:szCs w:val="21"/>
              </w:rPr>
              <w:t>2</w:t>
            </w:r>
          </w:p>
        </w:tc>
        <w:tc>
          <w:tcPr>
            <w:tcW w:w="1457" w:type="dxa"/>
            <w:vMerge w:val="restart"/>
            <w:noWrap w:val="0"/>
            <w:vAlign w:val="center"/>
          </w:tcPr>
          <w:p>
            <w:pPr>
              <w:spacing w:line="360" w:lineRule="exact"/>
              <w:jc w:val="center"/>
              <w:rPr>
                <w:rFonts w:ascii="宋体" w:eastAsia="宋体" w:hAnsi="宋体" w:hint="default"/>
                <w:b/>
                <w:bCs w:val="0"/>
                <w:sz w:val="20"/>
                <w:szCs w:val="20"/>
                <w:lang w:val="en-US" w:eastAsia="zh-CN"/>
              </w:rPr>
            </w:pPr>
            <w:r>
              <w:rPr>
                <w:rFonts w:ascii="宋体" w:hAnsi="宋体" w:cs="宋体" w:hint="eastAsia"/>
                <w:b/>
                <w:szCs w:val="21"/>
              </w:rPr>
              <w:t>交货及付款要求</w:t>
            </w:r>
          </w:p>
        </w:tc>
        <w:tc>
          <w:tcPr>
            <w:tcW w:w="6523" w:type="dxa"/>
            <w:noWrap w:val="0"/>
            <w:vAlign w:val="center"/>
          </w:tcPr>
          <w:p>
            <w:pPr>
              <w:spacing w:line="360" w:lineRule="exact"/>
              <w:rPr>
                <w:rFonts w:eastAsia="宋体" w:hint="default"/>
                <w:lang w:val="en-US" w:eastAsia="zh-CN"/>
              </w:rPr>
            </w:pPr>
            <w:r>
              <w:rPr>
                <w:rFonts w:ascii="宋体" w:hAnsi="宋体" w:cs="宋体" w:hint="eastAsia"/>
                <w:szCs w:val="21"/>
              </w:rPr>
              <w:t>2.1履约时间和地点：投标供应商在签订合同之日起30天内交货，交货地点为：深圳市宝安区黄田实验学校。</w:t>
            </w:r>
          </w:p>
        </w:tc>
      </w:tr>
      <w:tr>
        <w:tblPrEx>
          <w:tblW w:w="8820" w:type="dxa"/>
          <w:tblInd w:w="108" w:type="dxa"/>
          <w:tblLayout w:type="fixed"/>
          <w:tblCellMar>
            <w:top w:w="0" w:type="dxa"/>
            <w:left w:w="108" w:type="dxa"/>
            <w:bottom w:w="0" w:type="dxa"/>
            <w:right w:w="108" w:type="dxa"/>
          </w:tblCellMar>
        </w:tblPrEx>
        <w:trPr>
          <w:trHeight w:val="449"/>
        </w:trPr>
        <w:tc>
          <w:tcPr>
            <w:tcW w:w="840" w:type="dxa"/>
            <w:vMerge/>
            <w:noWrap w:val="0"/>
            <w:vAlign w:val="center"/>
          </w:tcPr>
          <w:p>
            <w:pPr>
              <w:spacing w:line="360" w:lineRule="exact"/>
              <w:jc w:val="center"/>
              <w:rPr>
                <w:rFonts w:ascii="宋体" w:hAnsi="宋体"/>
                <w:b/>
                <w:bCs w:val="0"/>
                <w:sz w:val="20"/>
                <w:szCs w:val="20"/>
              </w:rPr>
            </w:pPr>
          </w:p>
        </w:tc>
        <w:tc>
          <w:tcPr>
            <w:tcW w:w="1457" w:type="dxa"/>
            <w:vMerge/>
            <w:noWrap w:val="0"/>
            <w:vAlign w:val="center"/>
          </w:tcPr>
          <w:p>
            <w:pPr>
              <w:spacing w:line="360" w:lineRule="exact"/>
              <w:jc w:val="center"/>
              <w:rPr>
                <w:rFonts w:ascii="宋体" w:hAnsi="宋体"/>
                <w:b/>
                <w:bCs w:val="0"/>
                <w:sz w:val="20"/>
                <w:szCs w:val="20"/>
              </w:rPr>
            </w:pPr>
          </w:p>
        </w:tc>
        <w:tc>
          <w:tcPr>
            <w:tcW w:w="6523" w:type="dxa"/>
            <w:noWrap w:val="0"/>
            <w:vAlign w:val="center"/>
          </w:tcPr>
          <w:p>
            <w:pPr>
              <w:spacing w:line="360" w:lineRule="exact"/>
              <w:rPr>
                <w:rFonts w:eastAsia="宋体" w:hint="default"/>
                <w:lang w:val="en-US" w:eastAsia="zh-CN"/>
              </w:rPr>
            </w:pPr>
            <w:r>
              <w:rPr>
                <w:rFonts w:ascii="宋体" w:hAnsi="宋体" w:cs="宋体" w:hint="eastAsia"/>
                <w:szCs w:val="21"/>
              </w:rPr>
              <w:t>2.2付款期限和方式：</w:t>
            </w:r>
            <w:r>
              <w:rPr>
                <w:rFonts w:hint="eastAsia"/>
              </w:rPr>
              <w:t>首付款须在签订合同后10个工作日（不超过15个日历日）支付30%。</w:t>
            </w:r>
            <w:r>
              <w:rPr>
                <w:rFonts w:ascii="宋体" w:hAnsi="宋体" w:cs="宋体" w:hint="eastAsia"/>
                <w:szCs w:val="21"/>
              </w:rPr>
              <w:t>本项目完成并经验收合格后，对于满足合同约定支付条件的，中标人提供发票，收到发票后10个工作日内（不超过15日历日）采购人按照有关程序要求向中标人支付剩余70%。</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ascii="宋体" w:hAnsi="宋体" w:hint="default"/>
                <w:b/>
                <w:bCs w:val="0"/>
                <w:sz w:val="20"/>
                <w:szCs w:val="20"/>
                <w:lang w:val="en-US" w:eastAsia="zh-CN"/>
              </w:rPr>
            </w:pPr>
            <w:r>
              <w:rPr>
                <w:rFonts w:ascii="宋体" w:hAnsi="宋体" w:cs="宋体" w:hint="eastAsia"/>
                <w:b/>
                <w:szCs w:val="21"/>
              </w:rPr>
              <w:t>3</w:t>
            </w:r>
          </w:p>
        </w:tc>
        <w:tc>
          <w:tcPr>
            <w:tcW w:w="1457" w:type="dxa"/>
            <w:noWrap w:val="0"/>
            <w:vAlign w:val="center"/>
          </w:tcPr>
          <w:p>
            <w:pPr>
              <w:spacing w:line="360" w:lineRule="exact"/>
              <w:jc w:val="center"/>
              <w:rPr>
                <w:rStyle w:val="Strong"/>
                <w:rFonts w:ascii="宋体" w:hAnsi="宋体" w:cs="宋体" w:hint="eastAsia"/>
                <w:b/>
                <w:bCs w:val="0"/>
                <w:color w:val="000000"/>
                <w:sz w:val="20"/>
                <w:szCs w:val="20"/>
              </w:rPr>
            </w:pPr>
            <w:r>
              <w:rPr>
                <w:rFonts w:ascii="宋体" w:hAnsi="宋体" w:cs="宋体" w:hint="eastAsia"/>
                <w:b/>
                <w:color w:val="000000"/>
                <w:szCs w:val="21"/>
              </w:rPr>
              <w:t>验收条件</w:t>
            </w:r>
          </w:p>
        </w:tc>
        <w:tc>
          <w:tcPr>
            <w:tcW w:w="6523" w:type="dxa"/>
            <w:noWrap w:val="0"/>
            <w:vAlign w:val="center"/>
          </w:tcPr>
          <w:p>
            <w:pPr>
              <w:spacing w:line="360" w:lineRule="exact"/>
              <w:rPr>
                <w:rFonts w:ascii="宋体" w:hAnsi="宋体" w:cs="宋体" w:hint="eastAsia"/>
                <w:color w:val="000000"/>
                <w:sz w:val="20"/>
                <w:szCs w:val="20"/>
                <w:lang w:val="en-US" w:eastAsia="zh-CN"/>
              </w:rPr>
            </w:pPr>
            <w:r>
              <w:rPr>
                <w:rFonts w:ascii="宋体" w:hAnsi="宋体" w:cs="宋体" w:hint="eastAsia"/>
                <w:color w:val="000000"/>
                <w:szCs w:val="21"/>
              </w:rPr>
              <w:t>由采购单位组织验收小组进行验收，验收资料按采购人标准表格编制。上报验收报告时，除了表格中写明的材料外，还需要提交验收记录表、产品三证（产品合格证、供货凭证（含生产厂家或代理商证明）、产品检测证明（含第三方有资质检测机构出具的有效检测报告）、合同及附件；</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ascii="宋体" w:hAnsi="宋体" w:hint="default"/>
                <w:b/>
                <w:bCs w:val="0"/>
                <w:sz w:val="20"/>
                <w:szCs w:val="20"/>
                <w:lang w:val="en-US" w:eastAsia="zh-CN"/>
              </w:rPr>
            </w:pPr>
            <w:r>
              <w:rPr>
                <w:rFonts w:ascii="宋体" w:hAnsi="宋体" w:cs="宋体" w:hint="eastAsia"/>
                <w:b/>
                <w:szCs w:val="21"/>
              </w:rPr>
              <w:t>4</w:t>
            </w:r>
          </w:p>
        </w:tc>
        <w:tc>
          <w:tcPr>
            <w:tcW w:w="1457" w:type="dxa"/>
            <w:noWrap w:val="0"/>
            <w:vAlign w:val="center"/>
          </w:tcPr>
          <w:p>
            <w:pPr>
              <w:spacing w:line="360" w:lineRule="exact"/>
              <w:jc w:val="center"/>
              <w:rPr>
                <w:rStyle w:val="Strong"/>
                <w:rFonts w:ascii="宋体" w:hAnsi="宋体" w:cs="宋体" w:hint="eastAsia"/>
                <w:b/>
                <w:bCs w:val="0"/>
                <w:color w:val="000000"/>
                <w:sz w:val="20"/>
                <w:szCs w:val="20"/>
              </w:rPr>
            </w:pPr>
            <w:r>
              <w:rPr>
                <w:rFonts w:ascii="宋体" w:hAnsi="宋体" w:cs="宋体" w:hint="eastAsia"/>
                <w:b/>
                <w:color w:val="000000"/>
                <w:szCs w:val="21"/>
              </w:rPr>
              <w:t>争议解决方法</w:t>
            </w:r>
          </w:p>
        </w:tc>
        <w:tc>
          <w:tcPr>
            <w:tcW w:w="6523" w:type="dxa"/>
            <w:noWrap w:val="0"/>
            <w:vAlign w:val="center"/>
          </w:tcPr>
          <w:p>
            <w:pPr>
              <w:spacing w:line="360" w:lineRule="exact"/>
              <w:rPr>
                <w:rFonts w:ascii="宋体" w:hAnsi="宋体" w:cs="宋体" w:hint="eastAsia"/>
                <w:color w:val="000000"/>
                <w:sz w:val="20"/>
                <w:szCs w:val="20"/>
                <w:lang w:val="en-US" w:eastAsia="zh-CN"/>
              </w:rPr>
            </w:pPr>
            <w:r>
              <w:rPr>
                <w:rFonts w:ascii="宋体" w:hAnsi="宋体" w:cs="宋体" w:hint="eastAsia"/>
                <w:color w:val="000000"/>
                <w:szCs w:val="21"/>
              </w:rPr>
              <w:t>优先双方协商解决。</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ascii="宋体" w:eastAsia="宋体" w:hAnsi="宋体" w:hint="eastAsia"/>
                <w:b/>
                <w:sz w:val="20"/>
                <w:szCs w:val="20"/>
                <w:lang w:eastAsia="zh-CN"/>
              </w:rPr>
            </w:pPr>
            <w:r>
              <w:rPr>
                <w:rFonts w:ascii="宋体" w:hAnsi="宋体" w:cs="宋体" w:hint="eastAsia"/>
                <w:b/>
                <w:szCs w:val="21"/>
              </w:rPr>
              <w:t>5</w:t>
            </w:r>
          </w:p>
        </w:tc>
        <w:tc>
          <w:tcPr>
            <w:tcW w:w="1457" w:type="dxa"/>
            <w:noWrap w:val="0"/>
            <w:vAlign w:val="center"/>
          </w:tcPr>
          <w:p>
            <w:pPr>
              <w:spacing w:line="360" w:lineRule="exact"/>
              <w:jc w:val="center"/>
              <w:rPr>
                <w:rFonts w:ascii="宋体" w:hAnsi="宋体"/>
                <w:color w:val="000000"/>
                <w:sz w:val="20"/>
                <w:szCs w:val="20"/>
              </w:rPr>
            </w:pPr>
            <w:r>
              <w:rPr>
                <w:rStyle w:val="Strong"/>
                <w:rFonts w:ascii="宋体" w:hAnsi="宋体" w:cs="宋体" w:hint="eastAsia"/>
                <w:color w:val="000000"/>
                <w:szCs w:val="21"/>
              </w:rPr>
              <w:t>运输、安装条件</w:t>
            </w:r>
          </w:p>
        </w:tc>
        <w:tc>
          <w:tcPr>
            <w:tcW w:w="6523" w:type="dxa"/>
            <w:noWrap w:val="0"/>
            <w:vAlign w:val="center"/>
          </w:tcPr>
          <w:p>
            <w:pPr>
              <w:spacing w:line="360" w:lineRule="exact"/>
              <w:rPr>
                <w:rFonts w:ascii="宋体" w:hAnsi="宋体"/>
                <w:bCs/>
                <w:color w:val="000000"/>
                <w:szCs w:val="21"/>
              </w:rPr>
            </w:pPr>
            <w:r>
              <w:rPr>
                <w:rFonts w:ascii="宋体" w:hAnsi="宋体" w:cs="宋体" w:hint="eastAsia"/>
                <w:color w:val="000000"/>
                <w:szCs w:val="21"/>
              </w:rPr>
              <w:t>投标供应商须在签订合同之日起3天内向采购人提供设备的运行、安装、使用环境要求。</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cs="宋体" w:hint="eastAsia"/>
                <w:b/>
                <w:szCs w:val="21"/>
              </w:rPr>
              <w:t>6</w:t>
            </w:r>
          </w:p>
        </w:tc>
        <w:tc>
          <w:tcPr>
            <w:tcW w:w="1457" w:type="dxa"/>
            <w:vMerge w:val="restart"/>
            <w:noWrap w:val="0"/>
            <w:vAlign w:val="center"/>
          </w:tcPr>
          <w:p>
            <w:pPr>
              <w:spacing w:line="360" w:lineRule="exact"/>
              <w:jc w:val="center"/>
              <w:rPr>
                <w:rFonts w:ascii="宋体" w:hAnsi="宋体"/>
                <w:b/>
                <w:sz w:val="20"/>
                <w:szCs w:val="20"/>
              </w:rPr>
            </w:pPr>
            <w:r>
              <w:rPr>
                <w:rFonts w:ascii="宋体" w:hAnsi="宋体" w:cs="宋体" w:hint="eastAsia"/>
                <w:b/>
                <w:szCs w:val="21"/>
              </w:rPr>
              <w:t>培训</w:t>
            </w:r>
          </w:p>
        </w:tc>
        <w:tc>
          <w:tcPr>
            <w:tcW w:w="6523" w:type="dxa"/>
            <w:noWrap w:val="0"/>
            <w:vAlign w:val="top"/>
          </w:tcPr>
          <w:p>
            <w:pPr>
              <w:widowControl/>
              <w:jc w:val="left"/>
              <w:rPr>
                <w:rFonts w:ascii="宋体" w:hAnsi="宋体" w:cs="宋体"/>
                <w:color w:val="000000"/>
                <w:sz w:val="20"/>
                <w:szCs w:val="20"/>
              </w:rPr>
            </w:pPr>
            <w:r>
              <w:rPr>
                <w:rFonts w:ascii="宋体" w:hAnsi="宋体" w:cs="宋体" w:hint="eastAsia"/>
                <w:color w:val="000000"/>
                <w:szCs w:val="21"/>
              </w:rPr>
              <w:t>6.1投标供应商中标后应派专业技术人员免费对采购单位指定人员进行定期培训及指导，直至其完全掌握设备的基本故障处理技术。</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b/>
                <w:sz w:val="20"/>
                <w:szCs w:val="20"/>
              </w:rPr>
            </w:pPr>
          </w:p>
        </w:tc>
        <w:tc>
          <w:tcPr>
            <w:tcW w:w="1457" w:type="dxa"/>
            <w:vMerge/>
            <w:noWrap w:val="0"/>
            <w:vAlign w:val="center"/>
          </w:tcPr>
          <w:p>
            <w:pPr>
              <w:spacing w:line="360" w:lineRule="exact"/>
              <w:rPr>
                <w:rFonts w:ascii="宋体" w:hAnsi="宋体"/>
                <w:b/>
                <w:sz w:val="20"/>
                <w:szCs w:val="20"/>
              </w:rPr>
            </w:pPr>
          </w:p>
        </w:tc>
        <w:tc>
          <w:tcPr>
            <w:tcW w:w="6523" w:type="dxa"/>
            <w:noWrap w:val="0"/>
            <w:vAlign w:val="top"/>
          </w:tcPr>
          <w:p>
            <w:pPr>
              <w:widowControl/>
              <w:jc w:val="left"/>
              <w:rPr>
                <w:rFonts w:ascii="宋体" w:hAnsi="宋体" w:cs="宋体"/>
                <w:color w:val="000000"/>
                <w:sz w:val="20"/>
                <w:szCs w:val="20"/>
              </w:rPr>
            </w:pPr>
            <w:r>
              <w:rPr>
                <w:rFonts w:ascii="宋体" w:hAnsi="宋体" w:cs="宋体" w:hint="eastAsia"/>
                <w:color w:val="000000"/>
                <w:szCs w:val="21"/>
              </w:rPr>
              <w:t>6.2 现场培训：投标供应商应提供现场技术培训，保证使用人员正常操作设备的各种功能。</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cs="宋体" w:hint="eastAsia"/>
                <w:b/>
                <w:szCs w:val="21"/>
              </w:rPr>
              <w:t>7</w:t>
            </w:r>
          </w:p>
        </w:tc>
        <w:tc>
          <w:tcPr>
            <w:tcW w:w="1457" w:type="dxa"/>
            <w:vMerge w:val="restart"/>
            <w:noWrap w:val="0"/>
            <w:vAlign w:val="center"/>
          </w:tcPr>
          <w:p>
            <w:pPr>
              <w:spacing w:line="360" w:lineRule="exact"/>
              <w:jc w:val="center"/>
              <w:rPr>
                <w:rFonts w:ascii="宋体" w:hAnsi="宋体"/>
                <w:b/>
                <w:sz w:val="20"/>
                <w:szCs w:val="20"/>
              </w:rPr>
            </w:pPr>
            <w:r>
              <w:rPr>
                <w:rFonts w:ascii="宋体" w:hAnsi="宋体" w:cs="宋体" w:hint="eastAsia"/>
                <w:b/>
                <w:szCs w:val="21"/>
              </w:rPr>
              <w:t>知识产权</w:t>
            </w:r>
          </w:p>
        </w:tc>
        <w:tc>
          <w:tcPr>
            <w:tcW w:w="6523" w:type="dxa"/>
            <w:noWrap w:val="0"/>
            <w:vAlign w:val="top"/>
          </w:tcPr>
          <w:p>
            <w:r>
              <w:rPr>
                <w:rFonts w:ascii="宋体" w:hAnsi="宋体" w:cs="宋体" w:hint="eastAsia"/>
                <w:color w:val="000000"/>
                <w:szCs w:val="21"/>
              </w:rPr>
              <w:t>7.1涉及采购标的的知识产权归属、处理的，应约定知识产权的归属和处理方式。</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b/>
              </w:rPr>
            </w:pPr>
          </w:p>
        </w:tc>
        <w:tc>
          <w:tcPr>
            <w:tcW w:w="1457" w:type="dxa"/>
            <w:vMerge/>
            <w:noWrap w:val="0"/>
            <w:vAlign w:val="center"/>
          </w:tcPr>
          <w:p>
            <w:pPr>
              <w:spacing w:line="360" w:lineRule="exact"/>
              <w:rPr>
                <w:rFonts w:ascii="宋体" w:hAnsi="宋体"/>
                <w:b/>
              </w:rPr>
            </w:pPr>
          </w:p>
        </w:tc>
        <w:tc>
          <w:tcPr>
            <w:tcW w:w="6523" w:type="dxa"/>
            <w:noWrap w:val="0"/>
            <w:vAlign w:val="top"/>
          </w:tcPr>
          <w:p>
            <w:pPr>
              <w:widowControl/>
              <w:jc w:val="left"/>
              <w:rPr>
                <w:rFonts w:ascii="宋体" w:hAnsi="宋体" w:cs="宋体"/>
                <w:color w:val="000000"/>
                <w:sz w:val="20"/>
                <w:szCs w:val="20"/>
              </w:rPr>
            </w:pPr>
            <w:r>
              <w:rPr>
                <w:rFonts w:ascii="宋体" w:hAnsi="宋体" w:cs="宋体" w:hint="eastAsia"/>
                <w:color w:val="000000"/>
                <w:szCs w:val="21"/>
              </w:rPr>
              <w:t>7.2采购人购买产品后，有权对该产品与其他设备进行配套、整合或适当改进，而免受侵犯专利权的起诉。</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ascii="宋体" w:eastAsia="宋体" w:hAnsi="宋体" w:hint="eastAsia"/>
                <w:b/>
                <w:lang w:eastAsia="zh-CN"/>
              </w:rPr>
            </w:pPr>
            <w:r>
              <w:rPr>
                <w:rFonts w:ascii="宋体" w:hAnsi="宋体" w:cs="宋体" w:hint="eastAsia"/>
                <w:b/>
                <w:szCs w:val="21"/>
              </w:rPr>
              <w:t>8</w:t>
            </w:r>
          </w:p>
        </w:tc>
        <w:tc>
          <w:tcPr>
            <w:tcW w:w="1457" w:type="dxa"/>
            <w:noWrap w:val="0"/>
            <w:vAlign w:val="center"/>
          </w:tcPr>
          <w:p>
            <w:pPr>
              <w:spacing w:line="360" w:lineRule="exact"/>
              <w:jc w:val="center"/>
              <w:rPr>
                <w:rFonts w:ascii="宋体" w:hAnsi="宋体"/>
                <w:b/>
              </w:rPr>
            </w:pPr>
            <w:r>
              <w:rPr>
                <w:rFonts w:ascii="宋体" w:hAnsi="宋体" w:cs="宋体" w:hint="eastAsia"/>
                <w:b/>
                <w:szCs w:val="21"/>
              </w:rPr>
              <w:t>报价要求</w:t>
            </w:r>
          </w:p>
        </w:tc>
        <w:tc>
          <w:tcPr>
            <w:tcW w:w="6523" w:type="dxa"/>
            <w:noWrap w:val="0"/>
            <w:vAlign w:val="center"/>
          </w:tcPr>
          <w:p>
            <w:pPr>
              <w:spacing w:line="360" w:lineRule="exact"/>
              <w:rPr>
                <w:rFonts w:ascii="宋体" w:hAnsi="宋体" w:cs="宋体" w:hint="eastAsia"/>
                <w:color w:val="000000"/>
                <w:sz w:val="20"/>
                <w:szCs w:val="20"/>
              </w:rPr>
            </w:pPr>
            <w:r>
              <w:rPr>
                <w:rFonts w:ascii="宋体" w:hAnsi="宋体" w:cs="宋体" w:hint="eastAsia"/>
                <w:bCs/>
                <w:szCs w:val="21"/>
              </w:rPr>
              <w:t>投标报价为报投标总价。投标总价必须是完成该项目的一切费用总和，包括投标费、设备费、运输费、装卸费、保险费、技术培训费、设备安装费、调试费、检测费、国家规定的各项税费等。</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hint="eastAsia"/>
                <w:b/>
                <w:lang w:val="en-US" w:eastAsia="zh-CN"/>
              </w:rPr>
            </w:pPr>
            <w:r>
              <w:rPr>
                <w:rFonts w:ascii="宋体" w:hAnsi="宋体" w:cs="宋体" w:hint="eastAsia"/>
                <w:b/>
                <w:szCs w:val="21"/>
              </w:rPr>
              <w:t>9</w:t>
            </w:r>
          </w:p>
        </w:tc>
        <w:tc>
          <w:tcPr>
            <w:tcW w:w="1457" w:type="dxa"/>
            <w:noWrap w:val="0"/>
            <w:vAlign w:val="center"/>
          </w:tcPr>
          <w:p>
            <w:pPr>
              <w:spacing w:line="360" w:lineRule="exact"/>
              <w:jc w:val="center"/>
              <w:rPr>
                <w:rFonts w:ascii="宋体" w:hAnsi="宋体"/>
                <w:b/>
                <w:color w:val="0000FF"/>
                <w:sz w:val="20"/>
                <w:szCs w:val="20"/>
              </w:rPr>
            </w:pPr>
            <w:r>
              <w:rPr>
                <w:rFonts w:ascii="宋体" w:hAnsi="宋体" w:cs="宋体" w:hint="eastAsia"/>
                <w:b/>
                <w:color w:val="0000FF"/>
                <w:szCs w:val="21"/>
              </w:rPr>
              <w:t>其他</w:t>
            </w:r>
          </w:p>
        </w:tc>
        <w:tc>
          <w:tcPr>
            <w:tcW w:w="6523" w:type="dxa"/>
            <w:noWrap w:val="0"/>
            <w:vAlign w:val="top"/>
          </w:tcPr>
          <w:p>
            <w:pPr>
              <w:widowControl/>
              <w:jc w:val="left"/>
              <w:rPr>
                <w:rFonts w:ascii="宋体" w:hAnsi="宋体" w:cs="宋体" w:hint="eastAsia"/>
                <w:color w:val="000000"/>
                <w:sz w:val="20"/>
                <w:szCs w:val="20"/>
              </w:rPr>
            </w:pPr>
            <w:r>
              <w:rPr>
                <w:rFonts w:ascii="宋体" w:hAnsi="宋体" w:cs="宋体" w:hint="eastAsia"/>
                <w:color w:val="000000"/>
                <w:szCs w:val="21"/>
              </w:rPr>
              <w:t>投标供应商应按其投标文件中的承诺，进行其他售后服务工作。</w:t>
            </w:r>
          </w:p>
        </w:tc>
      </w:tr>
    </w:tbl>
    <w:p>
      <w:pPr>
        <w:pStyle w:val="Heading2"/>
        <w:spacing w:before="120" w:beforeLines="50" w:after="120" w:afterLines="50"/>
        <w:rPr>
          <w:sz w:val="28"/>
          <w:szCs w:val="28"/>
        </w:rPr>
      </w:pPr>
      <w:r>
        <w:rPr>
          <w:rFonts w:hint="eastAsia"/>
          <w:sz w:val="28"/>
          <w:szCs w:val="28"/>
          <w:lang w:val="en-US" w:eastAsia="zh-CN"/>
        </w:rPr>
        <w:t>六</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rPr>
          <w:rFonts w:ascii="宋体" w:hAnsi="宋体"/>
        </w:rPr>
      </w:pPr>
    </w:p>
    <w:p>
      <w:pPr>
        <w:pStyle w:val="BodyText2"/>
      </w:pP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2"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2"/>
    </w:p>
    <w:p>
      <w:pPr>
        <w:ind w:firstLine="420" w:firstLineChars="200"/>
        <w:rPr>
          <w:rFonts w:ascii="仿宋_GB2312" w:eastAsia="仿宋_GB2312"/>
          <w:sz w:val="24"/>
        </w:rPr>
      </w:pPr>
    </w:p>
    <w:p>
      <w:pPr>
        <w:rPr>
          <w:rFonts w:ascii="仿宋_GB2312" w:eastAsia="仿宋_GB2312"/>
          <w:sz w:val="24"/>
        </w:rPr>
      </w:pPr>
    </w:p>
    <w:p>
      <w:pPr>
        <w:rPr>
          <w:rFonts w:ascii="宋体" w:hAnsi="宋体"/>
          <w:sz w:val="24"/>
        </w:rPr>
      </w:pPr>
      <w:bookmarkStart w:id="43" w:name="_Hlk72263559"/>
      <w:bookmarkStart w:id="44" w:name="_Hlk72257771"/>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45" w:name="_Hlk72070784"/>
      <w:r>
        <w:rPr>
          <w:rFonts w:hint="eastAsia"/>
          <w:szCs w:val="21"/>
        </w:rPr>
        <w:t>投标函</w:t>
      </w:r>
      <w:bookmarkEnd w:id="45"/>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6" w:name="_Hlk72062521"/>
      <w:r>
        <w:rPr>
          <w:rFonts w:hint="eastAsia"/>
          <w:szCs w:val="21"/>
        </w:rPr>
        <w:t>政府采购投标及履约承诺函</w:t>
      </w:r>
      <w:bookmarkEnd w:id="46"/>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4</w:t>
      </w:r>
      <w:r>
        <w:rPr>
          <w:rFonts w:hint="eastAsia"/>
          <w:szCs w:val="21"/>
        </w:rPr>
        <w:t>）项目详细报价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5</w:t>
      </w:r>
      <w:r>
        <w:rPr>
          <w:rFonts w:hint="eastAsia"/>
          <w:szCs w:val="21"/>
        </w:rPr>
        <w:t>）经验评价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6</w:t>
      </w:r>
      <w:r>
        <w:rPr>
          <w:rFonts w:hint="eastAsia"/>
          <w:szCs w:val="21"/>
        </w:rPr>
        <w:t>）体系认证情况评价</w:t>
      </w:r>
      <w:r>
        <w:rPr>
          <w:rFonts w:hint="eastAsia"/>
          <w:szCs w:val="21"/>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技术要求偏离表</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6</w:t>
      </w:r>
      <w:r>
        <w:rPr>
          <w:rFonts w:hint="eastAsia"/>
          <w:szCs w:val="21"/>
        </w:rPr>
        <w:t>）政府采购节能环保产品</w:t>
      </w:r>
      <w:r>
        <w:rPr>
          <w:rFonts w:hint="eastAsia"/>
          <w:szCs w:val="21"/>
          <w:lang w:val="en-US" w:eastAsia="zh-CN"/>
        </w:rPr>
        <w:t>情况</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7</w:t>
      </w:r>
      <w:r>
        <w:rPr>
          <w:rFonts w:hint="eastAsia"/>
          <w:szCs w:val="21"/>
        </w:rPr>
        <w:t>）绿色采购</w:t>
      </w:r>
      <w:r>
        <w:rPr>
          <w:rFonts w:hint="eastAsia"/>
          <w:szCs w:val="21"/>
          <w:lang w:val="en-US" w:eastAsia="zh-CN"/>
        </w:rPr>
        <w:t>情况</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8</w:t>
      </w:r>
      <w:r>
        <w:rPr>
          <w:rFonts w:hint="eastAsia"/>
          <w:szCs w:val="21"/>
        </w:rPr>
        <w:t>）</w:t>
      </w:r>
      <w:r>
        <w:rPr>
          <w:rFonts w:hint="eastAsia"/>
          <w:szCs w:val="21"/>
          <w:lang w:val="en-US" w:eastAsia="zh-CN"/>
        </w:rPr>
        <w:t>售后服务评价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9</w:t>
      </w:r>
      <w:r>
        <w:rPr>
          <w:rFonts w:hint="eastAsia"/>
          <w:szCs w:val="21"/>
        </w:rPr>
        <w:t>）</w:t>
      </w:r>
      <w:r>
        <w:rPr>
          <w:rFonts w:hint="eastAsia"/>
          <w:szCs w:val="21"/>
          <w:lang w:val="en-US" w:eastAsia="zh-CN"/>
        </w:rPr>
        <w:t>组织实施方案</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10</w:t>
      </w:r>
      <w:r>
        <w:rPr>
          <w:rFonts w:hint="eastAsia"/>
          <w:szCs w:val="21"/>
        </w:rPr>
        <w:t>）</w:t>
      </w:r>
      <w:r>
        <w:rPr>
          <w:rFonts w:hint="eastAsia"/>
          <w:szCs w:val="21"/>
          <w:lang w:val="en-US" w:eastAsia="zh-CN"/>
        </w:rPr>
        <w:t>拟安排的实施及服务人员</w:t>
      </w:r>
      <w:r>
        <w:rPr>
          <w:rFonts w:hint="eastAsia"/>
          <w:szCs w:val="21"/>
          <w:lang w:eastAsia="zh-CN"/>
        </w:rPr>
        <w:t>；</w:t>
      </w:r>
    </w:p>
    <w:p>
      <w:pPr>
        <w:ind w:left="718" w:firstLine="1418" w:leftChars="342" w:firstLineChars="675"/>
        <w:rPr>
          <w:rFonts w:ascii="仿宋_GB2312" w:eastAsia="仿宋_GB2312"/>
          <w:sz w:val="24"/>
        </w:rPr>
      </w:pPr>
      <w:r>
        <w:rPr>
          <w:rFonts w:ascii="宋体" w:hAnsi="宋体" w:hint="eastAsia"/>
          <w:szCs w:val="21"/>
          <w:lang w:eastAsia="zh-CN"/>
        </w:rPr>
        <w:t>（</w:t>
      </w:r>
      <w:r>
        <w:rPr>
          <w:rFonts w:ascii="宋体" w:hAnsi="宋体" w:hint="eastAsia"/>
          <w:szCs w:val="21"/>
          <w:lang w:val="en-US" w:eastAsia="zh-CN"/>
        </w:rPr>
        <w:t>11</w:t>
      </w:r>
      <w:r>
        <w:rPr>
          <w:rFonts w:ascii="宋体" w:hAnsi="宋体" w:hint="eastAsia"/>
          <w:szCs w:val="21"/>
          <w:lang w:eastAsia="zh-CN"/>
        </w:rPr>
        <w:t>）</w:t>
      </w:r>
      <w:r>
        <w:rPr>
          <w:rFonts w:hint="eastAsia"/>
          <w:szCs w:val="21"/>
        </w:rPr>
        <w:t>投标人认为需要加以说明的其他内容</w:t>
      </w:r>
      <w:r>
        <w:rPr>
          <w:rFonts w:hint="eastAsia"/>
          <w:szCs w:val="21"/>
          <w:lang w:eastAsia="zh-CN"/>
        </w:rPr>
        <w:t>；</w:t>
      </w: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r>
        <w:rPr>
          <w:rFonts w:ascii="宋体" w:hAnsi="宋体" w:hint="eastAsia"/>
          <w:b/>
          <w:szCs w:val="21"/>
        </w:rPr>
        <w:t>2.关于填写“开标一览表”的说明：“开标一览表”中除“投标总价”外，其他信息不作评审依据</w:t>
      </w:r>
      <w:bookmarkEnd w:id="43"/>
      <w:bookmarkEnd w:id="44"/>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7"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8"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 xxx（项目编号）xxx</w:t>
      </w:r>
      <w:r>
        <w:rPr>
          <w:rFonts w:hint="eastAsia"/>
          <w:sz w:val="21"/>
          <w:szCs w:val="21"/>
          <w:u w:val="thick"/>
          <w:lang w:val="en-US" w:eastAsia="zh-CN"/>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xxx（项目名称）xxx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9" w:name="_Hlk72263588"/>
      <w:r>
        <w:rPr>
          <w:rFonts w:hint="eastAsia"/>
          <w:szCs w:val="21"/>
        </w:rPr>
        <w:t>愿意按照招标文件要求承包上述项目并修补其任何缺陷。</w:t>
      </w:r>
      <w:bookmarkEnd w:id="49"/>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0" w:name="_Hlk73819847"/>
      <w:r>
        <w:rPr>
          <w:rFonts w:ascii="宋体" w:hAnsi="宋体" w:hint="eastAsia"/>
          <w:szCs w:val="21"/>
        </w:rPr>
        <w:t>投标价格见</w:t>
      </w:r>
      <w:r>
        <w:rPr>
          <w:rFonts w:hint="eastAsia"/>
          <w:szCs w:val="21"/>
        </w:rPr>
        <w:t>投标书编制软件中《开标一览表》中填写的投标总价。</w:t>
      </w:r>
      <w:bookmarkEnd w:id="50"/>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48"/>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47"/>
      <w:r>
        <w:rPr>
          <w:rFonts w:ascii="黑体" w:eastAsia="黑体" w:hint="eastAsia"/>
          <w:b w:val="0"/>
          <w:sz w:val="24"/>
        </w:rPr>
        <w:t>二、政府采购投标及履约承诺函</w:t>
      </w:r>
    </w:p>
    <w:p>
      <w:pPr>
        <w:rPr>
          <w:rFonts w:ascii="宋体" w:hAnsi="宋体"/>
          <w:color w:val="FF0000"/>
          <w:szCs w:val="21"/>
        </w:rPr>
      </w:pPr>
      <w:bookmarkStart w:id="51"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2" w:name="_Hlk72587269"/>
      <w:bookmarkStart w:id="53"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2"/>
      <w:r>
        <w:rPr>
          <w:rFonts w:ascii="宋体" w:hAnsi="宋体" w:hint="eastAsia"/>
          <w:szCs w:val="21"/>
        </w:rPr>
        <w:t>。</w:t>
      </w:r>
    </w:p>
    <w:p>
      <w:pPr>
        <w:ind w:firstLine="420" w:firstLineChars="200"/>
        <w:rPr>
          <w:rFonts w:ascii="宋体" w:hAnsi="宋体"/>
          <w:szCs w:val="21"/>
        </w:rPr>
      </w:pPr>
      <w:bookmarkEnd w:id="53"/>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eastAsia"/>
          <w:b/>
          <w:lang w:val="en-US" w:eastAsia="zh-CN"/>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ascii="宋体" w:hAnsi="宋体" w:hint="default"/>
          <w:b/>
          <w:lang w:val="en-US" w:eastAsia="zh-CN"/>
        </w:rPr>
      </w:pPr>
      <w:r>
        <w:rPr>
          <w:rFonts w:ascii="宋体" w:hAnsi="宋体" w:hint="eastAsia"/>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1"/>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4"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5" w:name="_Hlk72257908"/>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bookmarkEnd w:id="54"/>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9"/>
        </w:numPr>
        <w:jc w:val="center"/>
        <w:outlineLvl w:val="9"/>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6"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6"/>
    </w:p>
    <w:p>
      <w:pPr>
        <w:ind w:firstLine="420" w:firstLineChars="200"/>
        <w:outlineLvl w:val="9"/>
        <w:rPr>
          <w:rFonts w:ascii="宋体" w:hAnsi="宋体"/>
          <w:bCs/>
          <w:color w:val="FF0000"/>
          <w:kern w:val="0"/>
          <w:szCs w:val="21"/>
        </w:rPr>
      </w:pPr>
    </w:p>
    <w:p/>
    <w:p>
      <w:pPr>
        <w:ind w:firstLine="420" w:firstLineChars="200"/>
      </w:pPr>
    </w:p>
    <w:p>
      <w:pPr>
        <w:jc w:val="center"/>
        <w:outlineLvl w:val="9"/>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7" w:name="_Hlk73562331"/>
      <w:bookmarkStart w:id="58"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7"/>
    </w:p>
    <w:p>
      <w:pPr>
        <w:ind w:firstLine="420" w:firstLineChars="200"/>
        <w:rPr>
          <w:rFonts w:ascii="宋体" w:hAnsi="宋体"/>
          <w:szCs w:val="21"/>
        </w:rPr>
      </w:pPr>
      <w:bookmarkEnd w:id="58"/>
    </w:p>
    <w:p>
      <w:pPr>
        <w:ind w:firstLine="420" w:firstLineChars="200"/>
        <w:rPr>
          <w:rFonts w:ascii="宋体" w:hAnsi="宋体"/>
          <w:szCs w:val="21"/>
        </w:rPr>
      </w:pPr>
    </w:p>
    <w:p>
      <w:pPr>
        <w:jc w:val="center"/>
        <w:outlineLvl w:val="9"/>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hint="eastAsia"/>
          <w:sz w:val="21"/>
          <w:szCs w:val="21"/>
        </w:rPr>
      </w:pPr>
      <w:r>
        <w:rPr>
          <w:rFonts w:ascii="宋体" w:hAnsi="宋体" w:hint="eastAsia"/>
          <w:sz w:val="21"/>
          <w:szCs w:val="21"/>
        </w:rPr>
        <w:t>附：省级以上监狱管理局、戒毒管理局（含新疆生产建设兵团）出具的监狱企业证明文件。</w:t>
      </w:r>
      <w:bookmarkEnd w:id="55"/>
    </w:p>
    <w:p>
      <w:pPr>
        <w:pStyle w:val="Heading3"/>
        <w:jc w:val="center"/>
        <w:rPr>
          <w:rFonts w:ascii="黑体" w:eastAsia="黑体"/>
          <w:b w:val="0"/>
          <w:sz w:val="24"/>
          <w:szCs w:val="24"/>
        </w:rPr>
      </w:pPr>
      <w:bookmarkStart w:id="59"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Merge w:val="restart"/>
            <w:vAlign w:val="center"/>
          </w:tcPr>
          <w:p>
            <w:pPr>
              <w:jc w:val="center"/>
              <w:rPr>
                <w:rFonts w:ascii="Times New Roman" w:eastAsia="宋体" w:hAnsi="Times New Roman" w:cs="Times New Roman"/>
                <w:bCs/>
                <w:szCs w:val="21"/>
              </w:rPr>
            </w:pPr>
            <w:r>
              <w:rPr>
                <w:rFonts w:hint="default"/>
                <w:bCs/>
                <w:color w:val="FF0000"/>
                <w:szCs w:val="21"/>
                <w:lang w:val="en-US" w:eastAsia="zh-CN"/>
              </w:rPr>
              <w:t>PLAN-2025-440306000-112052-08348</w:t>
            </w: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校级管理平台</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ascii="Times New Roman" w:eastAsia="宋体" w:hAnsi="Times New Roman" w:cs="Times New Roman" w:hint="default"/>
                <w:b/>
                <w:bCs/>
                <w:szCs w:val="21"/>
                <w:lang w:val="en-US" w:eastAsia="zh-CN"/>
              </w:rPr>
              <w:t>450000.00</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考试专用处理主机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3</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实验信息采集终端</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25</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电子目镜（生物考场用）</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25</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5</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实验操作台桌垫</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25</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长</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6</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考场监考管理主机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7</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考场交换机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8</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光纤模块</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9</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机柜</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10</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视频存储</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11</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机房摄像机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12</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UPS主机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13</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考点视频监控设备</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2</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14</w:t>
            </w:r>
          </w:p>
        </w:tc>
        <w:tc>
          <w:tcPr>
            <w:tcW w:w="1485" w:type="dxa"/>
            <w:vMerge/>
            <w:vAlign w:val="top"/>
          </w:tcPr>
          <w:p>
            <w:pPr>
              <w:jc w:val="center"/>
              <w:rPr>
                <w:rFonts w:ascii="Times New Roman" w:eastAsia="宋体" w:hAnsi="Times New Roman" w:cs="Times New Roman"/>
                <w:bCs/>
                <w:szCs w:val="21"/>
              </w:rPr>
            </w:pPr>
          </w:p>
        </w:tc>
        <w:tc>
          <w:tcPr>
            <w:tcW w:w="1147" w:type="dxa"/>
            <w:vAlign w:val="center"/>
          </w:tcPr>
          <w:p>
            <w:pPr>
              <w:widowControl/>
              <w:jc w:val="left"/>
              <w:textAlignment w:val="center"/>
              <w:rPr>
                <w:rFonts w:ascii="Times New Roman" w:eastAsia="宋体" w:hAnsi="Times New Roman" w:cs="Times New Roman"/>
                <w:bCs/>
                <w:szCs w:val="21"/>
              </w:rPr>
            </w:pPr>
            <w:r>
              <w:rPr>
                <w:rFonts w:ascii="宋体" w:hAnsi="宋体" w:cs="宋体" w:hint="eastAsia"/>
                <w:color w:val="000000"/>
                <w:kern w:val="0"/>
                <w:sz w:val="22"/>
                <w:szCs w:val="22"/>
              </w:rPr>
              <w:t>考务室摄像机</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1</w:t>
            </w:r>
          </w:p>
        </w:tc>
        <w:tc>
          <w:tcPr>
            <w:tcW w:w="427" w:type="dxa"/>
            <w:vAlign w:val="center"/>
          </w:tcPr>
          <w:p>
            <w:pPr>
              <w:widowControl/>
              <w:jc w:val="center"/>
              <w:textAlignment w:val="center"/>
              <w:rPr>
                <w:rFonts w:ascii="Times New Roman" w:eastAsia="宋体" w:hAnsi="Times New Roman" w:cs="Times New Roman"/>
                <w:bCs/>
                <w:szCs w:val="21"/>
              </w:rPr>
            </w:pPr>
            <w:r>
              <w:rPr>
                <w:rFonts w:ascii="宋体" w:hAnsi="宋体" w:cs="宋体" w:hint="eastAsia"/>
                <w:color w:val="000000"/>
                <w:kern w:val="0"/>
                <w:sz w:val="22"/>
                <w:szCs w:val="22"/>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0"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0"/>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1" w:name="_Hlk72073235"/>
      <w:r>
        <w:rPr>
          <w:rFonts w:hint="eastAsia"/>
          <w:b/>
          <w:sz w:val="24"/>
        </w:rPr>
        <w:t>投标人认为需要涉及的其他内容报价清单</w:t>
      </w:r>
      <w:bookmarkEnd w:id="61"/>
    </w:p>
    <w:p>
      <w:pPr>
        <w:pStyle w:val="Heading3"/>
        <w:jc w:val="center"/>
        <w:rPr>
          <w:rFonts w:ascii="黑体" w:eastAsia="黑体"/>
          <w:b w:val="0"/>
          <w:sz w:val="24"/>
          <w:szCs w:val="24"/>
        </w:rPr>
      </w:pPr>
      <w:r>
        <w:rPr>
          <w:rFonts w:ascii="黑体" w:eastAsia="黑体" w:hint="eastAsia"/>
          <w:b w:val="0"/>
          <w:sz w:val="24"/>
          <w:szCs w:val="24"/>
        </w:rPr>
        <w:t>五、经验评价（格式自定）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、体系认证情况评价（格式自定）</w:t>
      </w:r>
    </w:p>
    <w:p>
      <w:pPr>
        <w:pStyle w:val="BodyText"/>
        <w:rPr>
          <w:b w:val="0"/>
          <w:bCs w:val="0"/>
        </w:rPr>
      </w:pPr>
      <w:r>
        <w:rPr>
          <w:rFonts w:hint="eastAsia"/>
          <w:b w:val="0"/>
          <w:bCs w:val="0"/>
        </w:rPr>
        <w:t>（特别提示：投标人须按本招标文件评标信息中这一评审因素要求，提供证明资料）</w:t>
      </w:r>
    </w:p>
    <w:p>
      <w:pPr>
        <w:ind w:firstLine="630" w:firstLineChars="300"/>
        <w:rPr>
          <w:b/>
          <w:color w:val="FF0000"/>
          <w:sz w:val="24"/>
        </w:rPr>
      </w:pPr>
      <w:bookmarkStart w:id="62" w:name="_GoBack"/>
      <w:bookmarkEnd w:id="62"/>
      <w:r>
        <w:rPr>
          <w:rFonts w:hint="eastAsia"/>
          <w:b/>
          <w:color w:val="FF0000"/>
          <w:sz w:val="24"/>
        </w:rPr>
        <w:t>（信息公开部分的内容到此为止！以下为信息不公开部分。）</w:t>
      </w:r>
    </w:p>
    <w:p>
      <w:bookmarkEnd w:id="59"/>
      <w:r>
        <w:br w:type="page"/>
      </w:r>
    </w:p>
    <w:p>
      <w:pPr>
        <w:outlineLvl w:val="1"/>
        <w:rPr>
          <w:rFonts w:ascii="宋体" w:hAnsi="宋体"/>
          <w:b/>
          <w:color w:val="FF0000"/>
          <w:sz w:val="28"/>
          <w:szCs w:val="28"/>
        </w:rPr>
      </w:pPr>
      <w:bookmarkStart w:id="63"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lang w:val="en-US" w:eastAsia="zh-CN"/>
        </w:rPr>
        <w:t>一</w:t>
      </w:r>
      <w:r>
        <w:rPr>
          <w:rFonts w:ascii="黑体" w:eastAsia="黑体" w:hint="eastAsia"/>
          <w:b w:val="0"/>
          <w:sz w:val="24"/>
        </w:rPr>
        <w:t>、供应商基本情况表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rPr>
          <w:sz w:val="24"/>
        </w:rPr>
      </w:pPr>
    </w:p>
    <w:p>
      <w:pPr>
        <w:rPr>
          <w:rFonts w:ascii="黑体" w:eastAsia="黑体" w:hint="eastAsia"/>
          <w:b w:val="0"/>
          <w:sz w:val="24"/>
        </w:rPr>
      </w:pPr>
      <w:r>
        <w:rPr>
          <w:rFonts w:ascii="黑体" w:eastAsia="黑体" w:hint="eastAsia"/>
          <w:b w:val="0"/>
          <w:sz w:val="24"/>
        </w:rPr>
        <w:br w:type="page"/>
      </w:r>
    </w:p>
    <w:p>
      <w:pPr>
        <w:pStyle w:val="Heading3"/>
        <w:spacing w:before="120" w:after="120"/>
        <w:jc w:val="center"/>
        <w:rPr>
          <w:rFonts w:ascii="黑体" w:eastAsia="黑体"/>
          <w:b w:val="0"/>
          <w:sz w:val="24"/>
        </w:rPr>
      </w:pPr>
      <w:r>
        <w:rPr>
          <w:rFonts w:ascii="黑体" w:eastAsia="黑体" w:hint="eastAsia"/>
          <w:b w:val="0"/>
          <w:sz w:val="24"/>
        </w:rPr>
        <w:t>二、</w:t>
      </w:r>
      <w:bookmarkStart w:id="64" w:name="_Hlk72092499"/>
      <w:r>
        <w:rPr>
          <w:rFonts w:ascii="黑体" w:eastAsia="黑体" w:hint="eastAsia"/>
          <w:b w:val="0"/>
          <w:sz w:val="24"/>
        </w:rPr>
        <w:t>法定代表人（负责人）证明书</w:t>
      </w:r>
      <w:bookmarkEnd w:id="64"/>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rPr>
          <w:rFonts w:ascii="黑体" w:eastAsia="黑体" w:hint="eastAsia"/>
          <w:b w:val="0"/>
          <w:kern w:val="0"/>
          <w:sz w:val="24"/>
          <w:szCs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ind w:firstLine="420" w:firstLineChars="200"/>
        <w:rPr>
          <w:b/>
          <w:sz w:val="24"/>
          <w:szCs w:val="22"/>
        </w:rPr>
      </w:pPr>
    </w:p>
    <w:p>
      <w:pPr>
        <w:spacing w:line="360" w:lineRule="auto"/>
        <w:ind w:firstLine="420" w:firstLineChars="200"/>
        <w:rPr>
          <w:rFonts w:hint="eastAsia"/>
          <w:szCs w:val="21"/>
        </w:rPr>
      </w:pPr>
      <w:bookmarkEnd w:id="63"/>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ind w:firstLine="420" w:firstLineChars="200"/>
        <w:rPr>
          <w:b/>
          <w:sz w:val="24"/>
          <w:szCs w:val="22"/>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
      <w:pPr>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br w:type="page"/>
      </w:r>
    </w:p>
    <w:p>
      <w:pPr>
        <w:pStyle w:val="Title"/>
        <w:snapToGrid w:val="0"/>
        <w:spacing w:before="0" w:after="0" w:line="240" w:lineRule="auto"/>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四、实质性条款响应情况表</w:t>
      </w: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5"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65"/>
            <w:r>
              <w:rPr>
                <w:rFonts w:ascii="宋体" w:hAnsi="宋体" w:hint="eastAsia"/>
                <w:kern w:val="0"/>
                <w:szCs w:val="21"/>
              </w:rPr>
              <w:t>1</w:t>
            </w:r>
          </w:p>
        </w:tc>
        <w:tc>
          <w:tcPr>
            <w:tcW w:w="2664" w:type="dxa"/>
            <w:vAlign w:val="center"/>
          </w:tcPr>
          <w:p>
            <w:pPr>
              <w:adjustRightInd w:val="0"/>
              <w:snapToGrid w:val="0"/>
              <w:spacing w:line="360" w:lineRule="auto"/>
              <w:jc w:val="left"/>
              <w:rPr>
                <w:rFonts w:hAnsi="宋体"/>
                <w:kern w:val="0"/>
                <w:szCs w:val="21"/>
              </w:rPr>
            </w:pPr>
            <w:r>
              <w:rPr>
                <w:rFonts w:hAnsi="宋体" w:hint="eastAsia"/>
                <w:color w:val="FF0000"/>
                <w:kern w:val="0"/>
                <w:szCs w:val="21"/>
              </w:rPr>
              <w:t>本项目招标文件中所有带★号条款内容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rFonts w:eastAsia="宋体" w:hint="eastAsia"/>
          <w:lang w:eastAsia="zh-CN"/>
        </w:rPr>
      </w:pPr>
      <w:r>
        <w:rPr>
          <w:rFonts w:hint="eastAsia"/>
          <w:b/>
          <w:sz w:val="24"/>
          <w:szCs w:val="22"/>
        </w:rPr>
        <w:t>6.要求提供证明资料，在“说明”一栏中列明证明资料的位置,以便评审；未要求提供证明材料的，投标人可以不提供</w:t>
      </w:r>
      <w:r>
        <w:rPr>
          <w:rFonts w:hint="eastAsia"/>
          <w:b/>
          <w:sz w:val="24"/>
          <w:szCs w:val="22"/>
          <w:lang w:eastAsia="zh-CN"/>
        </w:rPr>
        <w:t>。</w:t>
      </w:r>
    </w:p>
    <w:p>
      <w:pPr>
        <w:rPr>
          <w:rFonts w:ascii="黑体" w:eastAsia="黑体" w:hint="eastAsia"/>
          <w:b w:val="0"/>
          <w:sz w:val="24"/>
          <w:szCs w:val="24"/>
          <w:lang w:val="en-US" w:eastAsia="zh-CN"/>
        </w:rPr>
      </w:pPr>
      <w:r>
        <w:rPr>
          <w:rFonts w:ascii="黑体" w:eastAsia="黑体" w:hint="eastAsia"/>
          <w:b w:val="0"/>
          <w:sz w:val="24"/>
          <w:szCs w:val="24"/>
          <w:lang w:val="en-US" w:eastAsia="zh-CN"/>
        </w:rPr>
        <w:br w:type="page"/>
      </w:r>
    </w:p>
    <w:p>
      <w:pPr>
        <w:pStyle w:val="Heading3"/>
        <w:numPr>
          <w:ilvl w:val="0"/>
          <w:numId w:val="11"/>
        </w:numPr>
        <w:jc w:val="center"/>
        <w:rPr>
          <w:rFonts w:ascii="黑体" w:eastAsia="黑体" w:hint="eastAsia"/>
          <w:b w:val="0"/>
          <w:sz w:val="24"/>
          <w:szCs w:val="24"/>
        </w:rPr>
      </w:pPr>
      <w:r>
        <w:rPr>
          <w:rFonts w:ascii="黑体" w:eastAsia="黑体" w:hint="eastAsia"/>
          <w:b w:val="0"/>
          <w:sz w:val="24"/>
          <w:szCs w:val="24"/>
        </w:rPr>
        <w:t>技术要求偏离表</w:t>
      </w:r>
    </w:p>
    <w:tbl>
      <w:tblPr>
        <w:tblStyle w:val="TableNormal"/>
        <w:tblW w:w="8856" w:type="dxa"/>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4"/>
        <w:gridCol w:w="1260"/>
        <w:gridCol w:w="4332"/>
        <w:gridCol w:w="960"/>
        <w:gridCol w:w="780"/>
        <w:gridCol w:w="840"/>
      </w:tblGrid>
      <w:tr>
        <w:tblPrEx>
          <w:tblW w:w="8856" w:type="dxa"/>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684"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序号</w:t>
            </w:r>
          </w:p>
        </w:tc>
        <w:tc>
          <w:tcPr>
            <w:tcW w:w="1260" w:type="dxa"/>
            <w:vAlign w:val="center"/>
          </w:tcPr>
          <w:p>
            <w:pPr>
              <w:widowControl/>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货物名称</w:t>
            </w:r>
          </w:p>
        </w:tc>
        <w:tc>
          <w:tcPr>
            <w:tcW w:w="4332" w:type="dxa"/>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c>
          <w:tcPr>
            <w:tcW w:w="960" w:type="dxa"/>
            <w:vAlign w:val="center"/>
          </w:tcPr>
          <w:p>
            <w:pPr>
              <w:jc w:val="center"/>
              <w:rPr>
                <w:rFonts w:hint="eastAsia"/>
                <w:color w:val="000000" w:themeColor="text1"/>
                <w:szCs w:val="21"/>
                <w14:textFill>
                  <w14:solidFill>
                    <w14:schemeClr w14:val="tx1"/>
                  </w14:solidFill>
                </w14:textFill>
              </w:rPr>
            </w:pPr>
            <w:r>
              <w:rPr>
                <w:rFonts w:hint="eastAsia"/>
                <w:sz w:val="24"/>
              </w:rPr>
              <w:t>投标技术响应</w:t>
            </w:r>
          </w:p>
        </w:tc>
        <w:tc>
          <w:tcPr>
            <w:tcW w:w="780" w:type="dxa"/>
            <w:vAlign w:val="center"/>
          </w:tcPr>
          <w:p>
            <w:pPr>
              <w:jc w:val="center"/>
              <w:rPr>
                <w:rFonts w:hint="eastAsia"/>
                <w:color w:val="000000" w:themeColor="text1"/>
                <w:szCs w:val="21"/>
                <w14:textFill>
                  <w14:solidFill>
                    <w14:schemeClr w14:val="tx1"/>
                  </w14:solidFill>
                </w14:textFill>
              </w:rPr>
            </w:pPr>
            <w:r>
              <w:rPr>
                <w:rFonts w:hint="eastAsia"/>
                <w:sz w:val="24"/>
              </w:rPr>
              <w:t>偏离情况</w:t>
            </w:r>
          </w:p>
        </w:tc>
        <w:tc>
          <w:tcPr>
            <w:tcW w:w="840" w:type="dxa"/>
            <w:vAlign w:val="center"/>
          </w:tcPr>
          <w:p>
            <w:pPr>
              <w:jc w:val="center"/>
              <w:rPr>
                <w:rFonts w:hint="eastAsia"/>
                <w:color w:val="000000" w:themeColor="text1"/>
                <w:szCs w:val="21"/>
                <w14:textFill>
                  <w14:solidFill>
                    <w14:schemeClr w14:val="tx1"/>
                  </w14:solidFill>
                </w14:textFill>
              </w:rPr>
            </w:pPr>
            <w:r>
              <w:rPr>
                <w:rFonts w:hint="eastAsia"/>
                <w:sz w:val="24"/>
              </w:rPr>
              <w:t>说明</w:t>
            </w:r>
          </w:p>
        </w:tc>
      </w:tr>
      <w:tr>
        <w:tblPrEx>
          <w:tblW w:w="8856" w:type="dxa"/>
          <w:tblInd w:w="-371" w:type="dxa"/>
          <w:tblLayout w:type="fixed"/>
          <w:tblCellMar>
            <w:top w:w="0" w:type="dxa"/>
            <w:left w:w="108" w:type="dxa"/>
            <w:bottom w:w="0" w:type="dxa"/>
            <w:right w:w="108" w:type="dxa"/>
          </w:tblCellMar>
        </w:tblPrEx>
        <w:trPr>
          <w:trHeight w:val="15"/>
        </w:trPr>
        <w:tc>
          <w:tcPr>
            <w:tcW w:w="684" w:type="dxa"/>
            <w:vMerge w:val="restart"/>
            <w:vAlign w:val="top"/>
          </w:tcPr>
          <w:p>
            <w:pPr>
              <w:jc w:val="center"/>
              <w:rPr>
                <w:color w:val="000000" w:themeColor="text1"/>
                <w:szCs w:val="21"/>
                <w14:textFill>
                  <w14:solidFill>
                    <w14:schemeClr w14:val="tx1"/>
                  </w14:solidFill>
                </w14:textFill>
              </w:rPr>
            </w:pPr>
            <w:r>
              <w:rPr>
                <w:rFonts w:ascii="宋体" w:hAnsi="宋体" w:cs="宋体" w:hint="eastAsia"/>
                <w:color w:val="000000"/>
                <w:szCs w:val="21"/>
              </w:rPr>
              <w:t>1</w:t>
            </w:r>
          </w:p>
        </w:tc>
        <w:tc>
          <w:tcPr>
            <w:tcW w:w="1260" w:type="dxa"/>
            <w:vMerge w:val="restart"/>
            <w:vAlign w:val="center"/>
          </w:tcPr>
          <w:p>
            <w:pPr>
              <w:widowControl/>
              <w:jc w:val="left"/>
              <w:textAlignment w:val="center"/>
              <w:rPr>
                <w:color w:val="000000" w:themeColor="text1"/>
                <w:szCs w:val="21"/>
                <w14:textFill>
                  <w14:solidFill>
                    <w14:schemeClr w14:val="tx1"/>
                  </w14:solidFill>
                </w14:textFill>
              </w:rPr>
            </w:pPr>
            <w:r>
              <w:rPr>
                <w:rFonts w:ascii="宋体" w:hAnsi="宋体" w:cs="宋体" w:hint="eastAsia"/>
                <w:color w:val="000000"/>
                <w:kern w:val="0"/>
                <w:sz w:val="22"/>
                <w:szCs w:val="22"/>
              </w:rPr>
              <w:t>校级管理平台</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w:t>
            </w:r>
            <w:r>
              <w:rPr>
                <w:rFonts w:ascii="宋体" w:hAnsi="宋体" w:cs="宋体" w:hint="eastAsia"/>
                <w:color w:val="000000"/>
                <w:kern w:val="0"/>
                <w:sz w:val="22"/>
                <w:szCs w:val="22"/>
              </w:rPr>
              <w:t>学校管理：对校内理化实验操作考试统一管理，可增删改查；学校信息包括学校名称、学校地址、学校编码、理化实验操作考场数、联系人及联系电话等。</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tc>
        <w:tc>
          <w:tcPr>
            <w:tcW w:w="1260" w:type="dxa"/>
            <w:vMerge/>
            <w:vAlign w:val="center"/>
          </w:tc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w:t>
            </w:r>
            <w:r>
              <w:rPr>
                <w:rFonts w:ascii="宋体" w:hAnsi="宋体" w:cs="宋体" w:hint="eastAsia"/>
                <w:color w:val="000000"/>
                <w:kern w:val="0"/>
                <w:sz w:val="22"/>
                <w:szCs w:val="22"/>
              </w:rPr>
              <w:t>排考管理：支持所有考生统一排考，理化生三科场地同时使用。</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w:t>
            </w:r>
            <w:r>
              <w:rPr>
                <w:rFonts w:ascii="宋体" w:hAnsi="宋体" w:cs="宋体" w:hint="eastAsia"/>
                <w:color w:val="000000"/>
                <w:kern w:val="0"/>
                <w:sz w:val="22"/>
                <w:szCs w:val="22"/>
              </w:rPr>
              <w:t>考试任务管理：展示考试任务一览表，能增、删、改、查考试任务，设置选取考试试题、考试时长、评卷方式（集中评卷、现场评卷）。</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w:t>
            </w:r>
            <w:r>
              <w:rPr>
                <w:rFonts w:ascii="宋体" w:hAnsi="宋体" w:cs="宋体" w:hint="eastAsia"/>
                <w:color w:val="000000"/>
                <w:kern w:val="0"/>
                <w:sz w:val="22"/>
                <w:szCs w:val="22"/>
              </w:rPr>
              <w:t>试题管理：按科目从题库中选取当次考试的多道试题，生成供监考机联网自动下载的加密试题包，可关联对应试题的评分项，并可查看、新增、删除、修改试题评分项；支持生成可直接打印的PDF和Word格式的试题、评分细则文件，可选择某次考试任务或某道试题导出。</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w:t>
            </w:r>
            <w:r>
              <w:rPr>
                <w:rFonts w:ascii="宋体" w:hAnsi="宋体" w:cs="宋体" w:hint="eastAsia"/>
                <w:color w:val="000000"/>
                <w:kern w:val="0"/>
                <w:sz w:val="22"/>
                <w:szCs w:val="22"/>
              </w:rPr>
              <w:t>用户及权限管理：基于角色的权限控制管理。</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w:t>
            </w:r>
            <w:r>
              <w:rPr>
                <w:rFonts w:ascii="宋体" w:hAnsi="宋体" w:cs="宋体" w:hint="eastAsia"/>
                <w:color w:val="000000"/>
                <w:kern w:val="0"/>
                <w:sz w:val="22"/>
                <w:szCs w:val="22"/>
              </w:rPr>
              <w:t>通讯设置：设置本监考机连接的流媒体存储、平板电脑、IPC、NVR的网址、账号密码，以便通信。</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w:t>
            </w:r>
            <w:r>
              <w:rPr>
                <w:rFonts w:ascii="宋体" w:hAnsi="宋体" w:cs="宋体" w:hint="eastAsia"/>
                <w:color w:val="000000"/>
                <w:kern w:val="0"/>
                <w:sz w:val="22"/>
                <w:szCs w:val="22"/>
              </w:rPr>
              <w:t>考生管理：支持管理考生信息，支持增/删/改/查，支持批量导入，提供批量导入excel模板。</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w:t>
            </w:r>
            <w:r>
              <w:rPr>
                <w:rFonts w:ascii="宋体" w:hAnsi="宋体" w:cs="宋体" w:hint="eastAsia"/>
                <w:color w:val="000000"/>
                <w:kern w:val="0"/>
                <w:sz w:val="22"/>
                <w:szCs w:val="22"/>
              </w:rPr>
              <w:t>考生人脸照片管理：导入考生相片的人脸相片进行质量检测，自动判断相片是否满足人脸比对要求，在相片入库前对人脸相片按照标准采集要求进行自动质量检测，并反馈不符合要求的原因，提醒用户重新采集相片或者对人脸相片进一步图像处理。</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w:t>
            </w:r>
            <w:r>
              <w:rPr>
                <w:rFonts w:ascii="宋体" w:hAnsi="宋体" w:cs="宋体" w:hint="eastAsia"/>
                <w:color w:val="000000"/>
                <w:kern w:val="0"/>
                <w:sz w:val="22"/>
                <w:szCs w:val="22"/>
              </w:rPr>
              <w:t>评分页面：评卷页面具有低延时、按比例显示、平铺显示、多分辨率布局切换等功能。视频播放器兼容HTML5，实现跨终端跨平台各浏览器兼容的视频播放；支持清晰度无缝切换、码率自适应、低卡顿率、多倍速播放（支持单倍速、2倍速、3倍速、4倍速）、进度拖动等功能特性。</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10.</w:t>
            </w:r>
            <w:r>
              <w:rPr>
                <w:rFonts w:ascii="宋体" w:hAnsi="宋体" w:cs="宋体" w:hint="eastAsia"/>
                <w:color w:val="000000"/>
                <w:kern w:val="0"/>
                <w:sz w:val="22"/>
                <w:szCs w:val="22"/>
              </w:rPr>
              <w:t>座位排题及抽签：根据相邻座位不同试题的原则，可自动或手动为每个座位安排试题；在每一场考试开始前，监考员在软件上点击抽签，现场为每一个考生安排座位和题目；且在抽签以前数据库不会生成任何的考生和考题对应数据，防止泄露；系统预先将每个座位考试的题目编排好，这样便于学校准备实验材料，快速安排考试，实现相邻座位不同考题，保证考试的公平性。</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11.</w:t>
            </w:r>
            <w:r>
              <w:rPr>
                <w:rFonts w:ascii="宋体" w:hAnsi="宋体" w:cs="宋体" w:hint="eastAsia"/>
                <w:color w:val="000000"/>
                <w:kern w:val="0"/>
                <w:sz w:val="22"/>
                <w:szCs w:val="22"/>
              </w:rPr>
              <w:t>考试过程管理：考生的过程状态包括：签到、已验证、正在考试、考试完毕，可管控每个考试流程步骤；监考员可以查看考生信息及考试视频，包括考生姓名、准考证号、座位号、入座现场照片、实时视频等，对于刷脸不通过的考生，监考员可人工核验考生身份。</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12.</w:t>
            </w:r>
            <w:r>
              <w:rPr>
                <w:rFonts w:ascii="宋体" w:hAnsi="宋体" w:cs="宋体" w:hint="eastAsia"/>
                <w:color w:val="000000"/>
                <w:kern w:val="0"/>
                <w:sz w:val="22"/>
                <w:szCs w:val="22"/>
              </w:rPr>
              <w:t>考前视频检测：轮询检查考场内的每路视频，报告视频不合要求的座位，便于监考员调整摄像头或调整考生考试座位。检测连通性和图像质量，包括连通性、取流异常、信号丢失、图像模糊、对比度、图像过亮、图像过暗、图像偏色、噪声干扰、条纹干扰、黑白图像、画面冻结、视频剧变、视频抖动、场景变更、视频遮挡等常见问题；</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57"/>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13.</w:t>
            </w:r>
            <w:r>
              <w:rPr>
                <w:rFonts w:ascii="宋体" w:hAnsi="宋体" w:cs="宋体" w:hint="eastAsia"/>
                <w:color w:val="000000"/>
                <w:kern w:val="0"/>
                <w:sz w:val="22"/>
                <w:szCs w:val="22"/>
              </w:rPr>
              <w:t>成绩导出与统计：系统管理员可对学校和科目统计参加考试人数、各分数段人数和累计人数、满分人数、平均分、满分率、优秀率、及格率、参考率；系统管理员可对自己添加的考试任务进行成绩导出和统计导出为Excel格式文件。</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57"/>
        </w:trPr>
        <w:tc>
          <w:tcPr>
            <w:tcW w:w="684" w:type="dxa"/>
            <w:vMerge/>
            <w:vAlign w:val="center"/>
          </w:tcPr>
          <w:p/>
        </w:tc>
        <w:tc>
          <w:tcPr>
            <w:tcW w:w="1260" w:type="dxa"/>
            <w:vMerge/>
            <w:vAlign w:val="center"/>
          </w:tc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14.</w:t>
            </w:r>
            <w:r>
              <w:rPr>
                <w:rFonts w:ascii="宋体" w:hAnsi="宋体" w:cs="宋体" w:hint="eastAsia"/>
                <w:color w:val="000000"/>
                <w:kern w:val="0"/>
                <w:sz w:val="22"/>
                <w:szCs w:val="22"/>
              </w:rPr>
              <w:t>通讯心跳检测：主界面显眼位置实时显示本机与流媒体存储、本考场各考试平板电脑的通讯是否正常。</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57"/>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15.</w:t>
            </w:r>
            <w:r>
              <w:rPr>
                <w:rFonts w:ascii="宋体" w:hAnsi="宋体" w:cs="宋体" w:hint="eastAsia"/>
                <w:color w:val="000000"/>
                <w:kern w:val="0"/>
                <w:sz w:val="22"/>
                <w:szCs w:val="22"/>
              </w:rPr>
              <w:t>保存考试视频：支持高清视频同时写入；采用实时流传输协议RTSP，直接从各考场正在考试的IPC获取指定格式编码的音视频复合流，一式两份同时写入流媒体服务器和NVR。考生考试视频文件名为考试科目编号、摄像头编号、考生号、场次关联，文件名及文件属性（大小、创建时间、修改时间）写入日志，以便校验数据一致性。</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57"/>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16.</w:t>
            </w:r>
            <w:r>
              <w:rPr>
                <w:rFonts w:ascii="宋体" w:hAnsi="宋体" w:cs="宋体" w:hint="eastAsia"/>
                <w:color w:val="000000"/>
                <w:kern w:val="0"/>
                <w:sz w:val="22"/>
                <w:szCs w:val="22"/>
              </w:rPr>
              <w:t>视频实时预览及存储：可实时远程调用考场座位摄像头查看现场视频，并可投放到大屏，支持1/4/9窗格等多画面同时预览。考生的实验操作视频按照3重视频异地备份机制进行备份，确保考试全程录像及考生操作过程录像的安全可靠。</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17.</w:t>
            </w:r>
            <w:r>
              <w:rPr>
                <w:rFonts w:ascii="宋体" w:hAnsi="宋体" w:cs="宋体" w:hint="eastAsia"/>
                <w:color w:val="000000"/>
                <w:kern w:val="0"/>
                <w:sz w:val="22"/>
                <w:szCs w:val="22"/>
              </w:rPr>
              <w:t>重考编排及申请仲裁：对于受到设备或实验器材故障等影响的考生，监考员可安排考生到指定场次的相同题目座位进行重考，也可新增场次安排重考；监考员在不能确认是否应该安排考生重考时，可向仲裁小组申请仲裁，由仲裁小组查看考生视频后决定是否安排重考。</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18.</w:t>
            </w:r>
            <w:r>
              <w:rPr>
                <w:rFonts w:ascii="宋体" w:hAnsi="宋体" w:cs="宋体" w:hint="eastAsia"/>
                <w:color w:val="000000"/>
                <w:kern w:val="0"/>
                <w:sz w:val="22"/>
                <w:szCs w:val="22"/>
              </w:rPr>
              <w:t>考试数据检查：考试结束时，系统自动对考生数据及视频进行检查，检查数据是否完整、损坏，并生成数据检查报告。应仔细检查报告内容，并与人工考场记录进行核对，确保数据万无一失。</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40"/>
        </w:trPr>
        <w:tc>
          <w:tcPr>
            <w:tcW w:w="684" w:type="dxa"/>
            <w:vMerge w:val="restart"/>
            <w:vAlign w:val="center"/>
          </w:tcPr>
          <w:p>
            <w:pPr>
              <w:jc w:val="center"/>
              <w:rPr>
                <w:color w:val="000000" w:themeColor="text1"/>
                <w:szCs w:val="21"/>
                <w14:textFill>
                  <w14:solidFill>
                    <w14:schemeClr w14:val="tx1"/>
                  </w14:solidFill>
                </w14:textFill>
              </w:rPr>
            </w:pPr>
            <w:r>
              <w:rPr>
                <w:rFonts w:ascii="宋体" w:hAnsi="宋体" w:cs="宋体" w:hint="eastAsia"/>
                <w:color w:val="000000"/>
                <w:szCs w:val="21"/>
              </w:rPr>
              <w:t>2</w:t>
            </w:r>
          </w:p>
        </w:tc>
        <w:tc>
          <w:tcPr>
            <w:tcW w:w="1260" w:type="dxa"/>
            <w:vMerge w:val="restart"/>
            <w:vAlign w:val="center"/>
          </w:tcPr>
          <w:p>
            <w:pPr>
              <w:widowControl/>
              <w:jc w:val="left"/>
              <w:textAlignment w:val="center"/>
              <w:rPr>
                <w:color w:val="000000" w:themeColor="text1"/>
                <w:szCs w:val="21"/>
                <w14:textFill>
                  <w14:solidFill>
                    <w14:schemeClr w14:val="tx1"/>
                  </w14:solidFill>
                </w14:textFill>
              </w:rPr>
            </w:pPr>
            <w:r>
              <w:rPr>
                <w:rFonts w:ascii="宋体" w:hAnsi="宋体" w:cs="宋体" w:hint="eastAsia"/>
                <w:color w:val="000000"/>
                <w:kern w:val="0"/>
                <w:sz w:val="22"/>
                <w:szCs w:val="22"/>
              </w:rPr>
              <w:t>考试专用处理主机</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19.</w:t>
            </w:r>
            <w:r>
              <w:rPr>
                <w:rFonts w:ascii="宋体" w:hAnsi="宋体" w:cs="宋体" w:hint="eastAsia"/>
                <w:color w:val="000000"/>
                <w:kern w:val="0"/>
                <w:sz w:val="22"/>
                <w:szCs w:val="22"/>
              </w:rPr>
              <w:t>处理器：不低于8核，频率≥3.0GHz；</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tc>
        <w:tc>
          <w:tcPr>
            <w:tcW w:w="1260" w:type="dxa"/>
            <w:vMerge/>
            <w:vAlign w:val="center"/>
          </w:tc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20.</w:t>
            </w:r>
            <w:r>
              <w:rPr>
                <w:rFonts w:ascii="宋体" w:hAnsi="宋体" w:cs="宋体" w:hint="eastAsia"/>
                <w:color w:val="000000"/>
                <w:kern w:val="0"/>
                <w:sz w:val="22"/>
                <w:szCs w:val="22"/>
              </w:rPr>
              <w:t>内存：≥64G DDR4；</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21.</w:t>
            </w:r>
            <w:r>
              <w:rPr>
                <w:rFonts w:ascii="宋体" w:hAnsi="宋体" w:cs="宋体" w:hint="eastAsia"/>
                <w:color w:val="000000"/>
                <w:kern w:val="0"/>
                <w:sz w:val="22"/>
                <w:szCs w:val="22"/>
              </w:rPr>
              <w:t>硬盘：SSD 3.84T×1（4盘位，无 RAID）；</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22.</w:t>
            </w:r>
            <w:r>
              <w:rPr>
                <w:rFonts w:ascii="宋体" w:hAnsi="宋体" w:cs="宋体" w:hint="eastAsia"/>
                <w:color w:val="000000"/>
                <w:kern w:val="0"/>
                <w:sz w:val="22"/>
                <w:szCs w:val="22"/>
              </w:rPr>
              <w:t>SAS+HBA(适配8盘位)；</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23.</w:t>
            </w:r>
            <w:r>
              <w:rPr>
                <w:rFonts w:ascii="宋体" w:hAnsi="宋体" w:cs="宋体" w:hint="eastAsia"/>
                <w:color w:val="000000"/>
                <w:kern w:val="0"/>
                <w:sz w:val="22"/>
                <w:szCs w:val="22"/>
              </w:rPr>
              <w:t>接口：1GbE(电)×2+10GbE*2（多模光）；</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rPr>
                <w:color w:val="000000" w:themeColor="text1"/>
                <w:szCs w:val="21"/>
                <w14:textFill>
                  <w14:solidFill>
                    <w14:schemeClr w14:val="tx1"/>
                  </w14:solidFill>
                </w14:textFill>
              </w:rPr>
            </w:pPr>
          </w:p>
        </w:tc>
        <w:tc>
          <w:tcPr>
            <w:tcW w:w="1260" w:type="dxa"/>
            <w:vMerge/>
            <w:vAlign w:val="center"/>
          </w:tcPr>
          <w:p>
            <w:pP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24.</w:t>
            </w:r>
            <w:r>
              <w:rPr>
                <w:rFonts w:ascii="宋体" w:hAnsi="宋体" w:cs="宋体" w:hint="eastAsia"/>
                <w:color w:val="000000"/>
                <w:kern w:val="0"/>
                <w:sz w:val="22"/>
                <w:szCs w:val="22"/>
              </w:rPr>
              <w:t>电源：配置350W高效单电源；</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restart"/>
            <w:vAlign w:val="center"/>
          </w:tcPr>
          <w:p>
            <w:pPr>
              <w:jc w:val="center"/>
              <w:rPr>
                <w:color w:val="000000" w:themeColor="text1"/>
                <w:szCs w:val="21"/>
                <w14:textFill>
                  <w14:solidFill>
                    <w14:schemeClr w14:val="tx1"/>
                  </w14:solidFill>
                </w14:textFill>
              </w:rPr>
            </w:pPr>
            <w:r>
              <w:rPr>
                <w:rFonts w:ascii="宋体" w:hAnsi="宋体" w:cs="宋体" w:hint="eastAsia"/>
                <w:color w:val="000000"/>
                <w:szCs w:val="21"/>
              </w:rPr>
              <w:t>3</w:t>
            </w:r>
          </w:p>
        </w:tc>
        <w:tc>
          <w:tcPr>
            <w:tcW w:w="1260" w:type="dxa"/>
            <w:vMerge w:val="restart"/>
            <w:vAlign w:val="center"/>
          </w:tcPr>
          <w:p>
            <w:pPr>
              <w:widowControl/>
              <w:jc w:val="left"/>
              <w:textAlignment w:val="center"/>
              <w:rPr>
                <w:color w:val="000000" w:themeColor="text1"/>
                <w:szCs w:val="21"/>
                <w14:textFill>
                  <w14:solidFill>
                    <w14:schemeClr w14:val="tx1"/>
                  </w14:solidFill>
                </w14:textFill>
              </w:rPr>
            </w:pPr>
            <w:r>
              <w:rPr>
                <w:rFonts w:ascii="宋体" w:hAnsi="宋体" w:cs="宋体" w:hint="eastAsia"/>
                <w:color w:val="000000"/>
                <w:kern w:val="0"/>
                <w:sz w:val="22"/>
                <w:szCs w:val="22"/>
              </w:rPr>
              <w:t>实验信息采集终端</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25.</w:t>
            </w:r>
            <w:r>
              <w:rPr>
                <w:rFonts w:ascii="宋体" w:hAnsi="宋体" w:cs="宋体" w:hint="eastAsia"/>
                <w:color w:val="000000"/>
                <w:kern w:val="0"/>
                <w:sz w:val="22"/>
                <w:szCs w:val="22"/>
              </w:rPr>
              <w:t>CPU≥4核64位，主频≥1.8GHz；</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26.</w:t>
            </w:r>
            <w:r>
              <w:rPr>
                <w:rFonts w:ascii="宋体" w:hAnsi="宋体" w:cs="宋体" w:hint="eastAsia"/>
                <w:color w:val="000000"/>
                <w:kern w:val="0"/>
                <w:sz w:val="22"/>
                <w:szCs w:val="22"/>
              </w:rPr>
              <w:t>内存≥4GB；存储≥64GB；</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27.</w:t>
            </w:r>
            <w:r>
              <w:rPr>
                <w:rFonts w:ascii="宋体" w:hAnsi="宋体" w:cs="宋体" w:hint="eastAsia"/>
                <w:color w:val="000000"/>
                <w:kern w:val="0"/>
                <w:sz w:val="22"/>
                <w:szCs w:val="22"/>
              </w:rPr>
              <w:t>终端操作系统：内置开机自启动的开放互联的操作系统；</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28.</w:t>
            </w:r>
            <w:r>
              <w:rPr>
                <w:rFonts w:ascii="宋体" w:hAnsi="宋体" w:cs="宋体" w:hint="eastAsia"/>
                <w:color w:val="000000"/>
                <w:kern w:val="0"/>
                <w:sz w:val="22"/>
                <w:szCs w:val="22"/>
              </w:rPr>
              <w:t>电容式触摸屏，支持多点（10点）触控，屏幕尺寸≥10英寸，分辨率≥1920×1080。</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29.</w:t>
            </w:r>
            <w:r>
              <w:rPr>
                <w:rFonts w:ascii="宋体" w:hAnsi="宋体" w:cs="宋体" w:hint="eastAsia"/>
                <w:color w:val="000000"/>
                <w:kern w:val="0"/>
                <w:sz w:val="22"/>
                <w:szCs w:val="22"/>
              </w:rPr>
              <w:t>支持RJ45连接，支持100M网口；</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30.</w:t>
            </w:r>
            <w:r>
              <w:rPr>
                <w:rFonts w:ascii="宋体" w:hAnsi="宋体" w:cs="宋体" w:hint="eastAsia"/>
                <w:color w:val="000000"/>
                <w:kern w:val="0"/>
                <w:sz w:val="22"/>
                <w:szCs w:val="22"/>
              </w:rPr>
              <w:t>自带状态显示，异常状态反馈准确及时，便于考场监考老师查看设备状态；可用于标准实验桌，底座具备固定功能；外设接口≥1个USB2.0或3.0接口；可接入电子目镜或数码显微镜图像。</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31.</w:t>
            </w:r>
            <w:r>
              <w:rPr>
                <w:rFonts w:ascii="宋体" w:hAnsi="宋体" w:cs="宋体" w:hint="eastAsia"/>
                <w:color w:val="000000"/>
                <w:kern w:val="0"/>
                <w:sz w:val="22"/>
                <w:szCs w:val="22"/>
              </w:rPr>
              <w:t>视频采集摄像头：自动白平衡；支持多码流传输；其中一个俯视角摄像头需能在一个画面内拍摄整个实验台，其中一个侧视角摄像头需支持拍摄核心操作区内操作和刻度细节；帧率≥25fps；2个镜头视频清晰度不低于1080P；各摄像头视频同步偏差≤80ms；能完整录制俯视角、侧视角中所有实验操作过程和评分点细节；支持H.265/H.264/MJPEG视频压缩编码，标准的mp4格式；支持宽动态，宽动态范围≥90dB；单个5分钟时长的视频应不大于200MB；答题卡图像标准的JPG格式，像素≥200万像素，单张图片大小不大于5MB，支持4:3长宽比。</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32.</w:t>
            </w:r>
            <w:r>
              <w:rPr>
                <w:rFonts w:ascii="宋体" w:hAnsi="宋体" w:cs="宋体" w:hint="eastAsia"/>
                <w:color w:val="000000"/>
                <w:kern w:val="0"/>
                <w:sz w:val="22"/>
                <w:szCs w:val="22"/>
              </w:rPr>
              <w:t>一体化支架:使用过程中应稳定维持固定拍摄角度，不可自由伸缩和旋转；支架底座具备固定功能。</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33.</w:t>
            </w:r>
            <w:r>
              <w:rPr>
                <w:rFonts w:ascii="宋体" w:hAnsi="宋体" w:cs="宋体" w:hint="eastAsia"/>
                <w:color w:val="000000"/>
                <w:kern w:val="0"/>
                <w:sz w:val="22"/>
                <w:szCs w:val="22"/>
              </w:rPr>
              <w:t>当摄像机检测到视频画面被遮盖时，可在客户端给出的报警提示并可设置上传中心、上传FTP、发送邮件及联动录像。同时支持语音播报提示，数据显示屏亮红灯并显示故障码；</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34.</w:t>
            </w:r>
            <w:r>
              <w:rPr>
                <w:rFonts w:ascii="宋体" w:hAnsi="宋体" w:cs="宋体" w:hint="eastAsia"/>
                <w:color w:val="000000"/>
                <w:kern w:val="0"/>
                <w:sz w:val="22"/>
                <w:szCs w:val="22"/>
              </w:rPr>
              <w:t>支架线材不可完全外露；可用于标准实验桌，宜支持折叠收纳；两路摄像头均支持自动白平衡、自动曝光、3D数字降噪，支持多码流传输，支持宽动态，宽动态范围≥90dB。</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35.</w:t>
            </w:r>
            <w:r>
              <w:rPr>
                <w:rFonts w:ascii="宋体" w:hAnsi="宋体" w:cs="宋体" w:hint="eastAsia"/>
                <w:color w:val="000000"/>
                <w:kern w:val="0"/>
                <w:sz w:val="22"/>
                <w:szCs w:val="22"/>
              </w:rPr>
              <w:t>支持逆光补偿功能，当补偿模式为自动时，设备可根据不同逆光场景自动补偿逆光的区域；</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36.</w:t>
            </w:r>
            <w:r>
              <w:rPr>
                <w:rFonts w:ascii="宋体" w:hAnsi="宋体" w:cs="宋体" w:hint="eastAsia"/>
                <w:color w:val="000000"/>
                <w:kern w:val="0"/>
                <w:sz w:val="22"/>
                <w:szCs w:val="22"/>
              </w:rPr>
              <w:t>支持将视频图像保存至PC、SD卡、eMMC、存储服务器等；SD卡支持热插拔，支持容量≥512GB的SD卡；断网情况下，支持录像存储到本地存储卡，网络恢复后自动上传；</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37.</w:t>
            </w:r>
            <w:r>
              <w:rPr>
                <w:rFonts w:ascii="宋体" w:hAnsi="宋体" w:cs="宋体" w:hint="eastAsia"/>
                <w:color w:val="000000"/>
                <w:kern w:val="0"/>
                <w:sz w:val="22"/>
                <w:szCs w:val="22"/>
              </w:rPr>
              <w:t>设备自带数码显示屏，可显示设备的异常运行状态码；</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38.</w:t>
            </w:r>
            <w:r>
              <w:rPr>
                <w:rFonts w:ascii="宋体" w:hAnsi="宋体" w:cs="宋体" w:hint="eastAsia"/>
                <w:color w:val="000000"/>
                <w:kern w:val="0"/>
                <w:sz w:val="22"/>
                <w:szCs w:val="22"/>
              </w:rPr>
              <w:t>设备内置扬声器，当设备异常时，可实时播报设备的异常状态描述，如网络断开、IP地址冲突、视频遮挡等；</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39.</w:t>
            </w:r>
            <w:r>
              <w:rPr>
                <w:rFonts w:ascii="宋体" w:hAnsi="宋体" w:cs="宋体" w:hint="eastAsia"/>
                <w:color w:val="000000"/>
                <w:kern w:val="0"/>
                <w:sz w:val="22"/>
                <w:szCs w:val="22"/>
              </w:rPr>
              <w:t>具有非金属外壳（含包装），经受甲烷或天然气火焰燃烧，火焰直径9.5mm，蓝色火焰高度20mm，烧5次，每次5s，不应烧着起火。水泥地跌落高度2000mm，垂直跌落2次，试验后功能正常。</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15"/>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4</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电子目镜（生物考场用）</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40.</w:t>
            </w:r>
            <w:r>
              <w:rPr>
                <w:rFonts w:ascii="宋体" w:hAnsi="宋体" w:cs="宋体" w:hint="eastAsia"/>
                <w:color w:val="000000"/>
                <w:kern w:val="0"/>
                <w:sz w:val="22"/>
                <w:szCs w:val="22"/>
              </w:rPr>
              <w:t>图像传感器像素：≥200万；</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47"/>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41.</w:t>
            </w:r>
            <w:r>
              <w:rPr>
                <w:rFonts w:ascii="宋体" w:hAnsi="宋体" w:cs="宋体" w:hint="eastAsia"/>
                <w:color w:val="000000"/>
                <w:kern w:val="0"/>
                <w:sz w:val="22"/>
                <w:szCs w:val="22"/>
              </w:rPr>
              <w:t>使用标准USB接口。</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15"/>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5</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实验操作台桌垫</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42.</w:t>
            </w:r>
            <w:r>
              <w:rPr>
                <w:rFonts w:ascii="宋体" w:hAnsi="宋体" w:cs="宋体" w:hint="eastAsia"/>
                <w:color w:val="000000"/>
                <w:kern w:val="0"/>
                <w:sz w:val="22"/>
                <w:szCs w:val="22"/>
              </w:rPr>
              <w:t>尺寸：600*400mm（±5%）；</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15"/>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43.</w:t>
            </w:r>
            <w:r>
              <w:rPr>
                <w:rFonts w:ascii="宋体" w:hAnsi="宋体" w:cs="宋体" w:hint="eastAsia"/>
                <w:color w:val="000000"/>
                <w:kern w:val="0"/>
                <w:sz w:val="22"/>
                <w:szCs w:val="22"/>
              </w:rPr>
              <w:t>带操作分区标识。</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6</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考场监考管理主机</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44.</w:t>
            </w:r>
            <w:r>
              <w:rPr>
                <w:rFonts w:ascii="宋体" w:hAnsi="宋体" w:cs="宋体" w:hint="eastAsia"/>
                <w:color w:val="000000"/>
                <w:kern w:val="0"/>
                <w:sz w:val="22"/>
                <w:szCs w:val="22"/>
              </w:rPr>
              <w:t>CPU：不小于6核/2.9 GHz x1</w:t>
            </w:r>
            <w:r>
              <w:rPr>
                <w:rFonts w:ascii="宋体" w:hAnsi="宋体" w:cs="宋体" w:hint="eastAsia"/>
                <w:color w:val="000000"/>
                <w:kern w:val="0"/>
                <w:sz w:val="22"/>
                <w:szCs w:val="22"/>
                <w:lang w:eastAsia="zh-CN"/>
              </w:rPr>
              <w:t>；</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45.</w:t>
            </w:r>
            <w:r>
              <w:rPr>
                <w:rFonts w:ascii="宋体" w:hAnsi="宋体" w:cs="宋体" w:hint="eastAsia"/>
                <w:color w:val="000000"/>
                <w:kern w:val="0"/>
                <w:sz w:val="22"/>
                <w:szCs w:val="22"/>
              </w:rPr>
              <w:t>内存：16GB 3200MHz x1</w:t>
            </w:r>
            <w:r>
              <w:rPr>
                <w:rFonts w:ascii="宋体" w:hAnsi="宋体" w:cs="宋体" w:hint="eastAsia"/>
                <w:color w:val="000000"/>
                <w:kern w:val="0"/>
                <w:sz w:val="22"/>
                <w:szCs w:val="22"/>
                <w:lang w:eastAsia="zh-CN"/>
              </w:rPr>
              <w:t>；</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46.</w:t>
            </w:r>
            <w:r>
              <w:rPr>
                <w:rFonts w:ascii="宋体" w:hAnsi="宋体" w:cs="宋体" w:hint="eastAsia"/>
                <w:color w:val="000000"/>
                <w:kern w:val="0"/>
                <w:sz w:val="22"/>
                <w:szCs w:val="22"/>
              </w:rPr>
              <w:t>硬盘1-SSD：512G SATA SSD x1</w:t>
            </w:r>
            <w:r>
              <w:rPr>
                <w:rFonts w:ascii="宋体" w:hAnsi="宋体" w:cs="宋体" w:hint="eastAsia"/>
                <w:color w:val="000000"/>
                <w:kern w:val="0"/>
                <w:sz w:val="22"/>
                <w:szCs w:val="22"/>
                <w:lang w:eastAsia="zh-CN"/>
              </w:rPr>
              <w:t>；</w:t>
            </w:r>
            <w:r>
              <w:rPr>
                <w:rFonts w:ascii="宋体" w:hAnsi="宋体" w:cs="宋体" w:hint="eastAsia"/>
                <w:color w:val="000000"/>
                <w:kern w:val="0"/>
                <w:sz w:val="22"/>
                <w:szCs w:val="22"/>
              </w:rPr>
              <w:t>硬盘2-HDD：1T HDD 5400转 x1</w:t>
            </w:r>
            <w:r>
              <w:rPr>
                <w:rFonts w:ascii="宋体" w:hAnsi="宋体" w:cs="宋体" w:hint="eastAsia"/>
                <w:color w:val="000000"/>
                <w:kern w:val="0"/>
                <w:sz w:val="22"/>
                <w:szCs w:val="22"/>
                <w:lang w:eastAsia="zh-CN"/>
              </w:rPr>
              <w:t>；</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47.</w:t>
            </w:r>
            <w:r>
              <w:rPr>
                <w:rFonts w:ascii="宋体" w:hAnsi="宋体" w:cs="宋体" w:hint="eastAsia"/>
                <w:color w:val="000000"/>
                <w:kern w:val="0"/>
                <w:sz w:val="22"/>
                <w:szCs w:val="22"/>
              </w:rPr>
              <w:t>显卡：集显 x1</w:t>
            </w:r>
            <w:r>
              <w:rPr>
                <w:rFonts w:ascii="宋体" w:hAnsi="宋体" w:cs="宋体" w:hint="eastAsia"/>
                <w:color w:val="000000"/>
                <w:kern w:val="0"/>
                <w:sz w:val="22"/>
                <w:szCs w:val="22"/>
                <w:lang w:eastAsia="zh-CN"/>
              </w:rPr>
              <w:t>；</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48.</w:t>
            </w:r>
            <w:r>
              <w:rPr>
                <w:rFonts w:ascii="宋体" w:hAnsi="宋体" w:cs="宋体" w:hint="eastAsia"/>
                <w:color w:val="000000"/>
                <w:kern w:val="0"/>
                <w:sz w:val="22"/>
                <w:szCs w:val="22"/>
              </w:rPr>
              <w:t>显示器：配套 x1</w:t>
            </w:r>
            <w:r>
              <w:rPr>
                <w:rFonts w:ascii="宋体" w:hAnsi="宋体" w:cs="宋体" w:hint="eastAsia"/>
                <w:color w:val="000000"/>
                <w:kern w:val="0"/>
                <w:sz w:val="22"/>
                <w:szCs w:val="22"/>
                <w:lang w:eastAsia="zh-CN"/>
              </w:rPr>
              <w:t>；</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49.</w:t>
            </w:r>
            <w:r>
              <w:rPr>
                <w:rFonts w:ascii="宋体" w:hAnsi="宋体" w:cs="宋体" w:hint="eastAsia"/>
                <w:color w:val="000000"/>
                <w:kern w:val="0"/>
                <w:sz w:val="22"/>
                <w:szCs w:val="22"/>
              </w:rPr>
              <w:t>电源：200W ATX x1</w:t>
            </w:r>
            <w:r>
              <w:rPr>
                <w:rFonts w:ascii="宋体" w:hAnsi="宋体" w:cs="宋体" w:hint="eastAsia"/>
                <w:color w:val="000000"/>
                <w:kern w:val="0"/>
                <w:sz w:val="22"/>
                <w:szCs w:val="22"/>
                <w:lang w:eastAsia="zh-CN"/>
              </w:rPr>
              <w:t>；</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7</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考场交换机</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50.</w:t>
            </w:r>
            <w:r>
              <w:rPr>
                <w:rFonts w:ascii="宋体" w:hAnsi="宋体" w:cs="宋体" w:hint="eastAsia"/>
                <w:color w:val="000000"/>
                <w:kern w:val="0"/>
                <w:sz w:val="22"/>
                <w:szCs w:val="22"/>
              </w:rPr>
              <w:t>交换容量≥432G。包转发率≥144Mpps。</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51.</w:t>
            </w:r>
            <w:r>
              <w:rPr>
                <w:rFonts w:ascii="宋体" w:hAnsi="宋体" w:cs="宋体" w:hint="eastAsia"/>
                <w:color w:val="000000"/>
                <w:kern w:val="0"/>
                <w:sz w:val="22"/>
                <w:szCs w:val="22"/>
              </w:rPr>
              <w:t>支持风扇调速及风扇故障告警功能，支持温度告警功能；</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52.</w:t>
            </w:r>
            <w:r>
              <w:rPr>
                <w:rFonts w:ascii="宋体" w:hAnsi="宋体" w:cs="宋体" w:hint="eastAsia"/>
                <w:color w:val="000000"/>
                <w:kern w:val="0"/>
                <w:sz w:val="22"/>
                <w:szCs w:val="22"/>
              </w:rPr>
              <w:t>绿色节能：要求支持高效节能以太网特性。端口如果在连续一段时间之内空闲，系统会将该端口设置为节能模式，当有报文收发时再通过定时发送的监听码流唤醒端口恢复业务，达到节能的效果；</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53.</w:t>
            </w:r>
            <w:r>
              <w:rPr>
                <w:rFonts w:ascii="宋体" w:hAnsi="宋体" w:cs="宋体" w:hint="eastAsia"/>
                <w:color w:val="000000"/>
                <w:kern w:val="0"/>
                <w:sz w:val="22"/>
                <w:szCs w:val="22"/>
              </w:rPr>
              <w:t>为满足工作场所的耐高温要求，要求设备具备0~50°的宽温设计；</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54.</w:t>
            </w:r>
            <w:r>
              <w:rPr>
                <w:rFonts w:ascii="宋体" w:hAnsi="宋体" w:cs="宋体" w:hint="eastAsia"/>
                <w:color w:val="000000"/>
                <w:kern w:val="0"/>
                <w:sz w:val="22"/>
                <w:szCs w:val="22"/>
              </w:rPr>
              <w:t>固化10/100/1000M以太网端口≥48个，固化10G/1G SFP+光接口≥4个。</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55.</w:t>
            </w:r>
            <w:r>
              <w:rPr>
                <w:rFonts w:ascii="宋体" w:hAnsi="宋体" w:cs="宋体" w:hint="eastAsia"/>
                <w:color w:val="000000"/>
                <w:kern w:val="0"/>
                <w:sz w:val="22"/>
                <w:szCs w:val="22"/>
              </w:rPr>
              <w:t>支持生成树协议STP(IEEE 802.1d)，RSTP(IEEE 802.1w)和MSTP(IEEE 802.1s)。</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56.</w:t>
            </w:r>
            <w:r>
              <w:rPr>
                <w:rFonts w:ascii="宋体" w:hAnsi="宋体" w:cs="宋体" w:hint="eastAsia"/>
                <w:color w:val="000000"/>
                <w:kern w:val="0"/>
                <w:sz w:val="22"/>
                <w:szCs w:val="22"/>
              </w:rPr>
              <w:t>为保证设备在受到外界机械碰撞时能够正常运行，要求所投交换机IK防护测试级别至少达到IK05。</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57.</w:t>
            </w:r>
            <w:r>
              <w:rPr>
                <w:rFonts w:ascii="宋体" w:hAnsi="宋体" w:cs="宋体" w:hint="eastAsia"/>
                <w:color w:val="000000"/>
                <w:kern w:val="0"/>
                <w:sz w:val="22"/>
                <w:szCs w:val="22"/>
              </w:rPr>
              <w:t>支持N:1虚拟化功能，可将多台物理设备虚拟化为一台逻辑设备统一管理，简化管理；</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58.</w:t>
            </w:r>
            <w:r>
              <w:rPr>
                <w:rFonts w:ascii="宋体" w:hAnsi="宋体" w:cs="宋体" w:hint="eastAsia"/>
                <w:color w:val="000000"/>
                <w:kern w:val="0"/>
                <w:sz w:val="22"/>
                <w:szCs w:val="22"/>
              </w:rPr>
              <w:t>支持IPV4/IPV6静态路由。</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59.</w:t>
            </w:r>
            <w:r>
              <w:rPr>
                <w:rFonts w:ascii="宋体" w:hAnsi="宋体" w:cs="宋体" w:hint="eastAsia"/>
                <w:color w:val="000000"/>
                <w:kern w:val="0"/>
                <w:sz w:val="22"/>
                <w:szCs w:val="22"/>
              </w:rPr>
              <w:t>支持特有的CPU保护策略，对发往CPU的数据流，进行流区分和优先级队列分级处理，并根据需要实施带宽限速，充分保护CPU不被非法流量占用、恶意攻击和资源消耗。</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60.</w:t>
            </w:r>
            <w:r>
              <w:rPr>
                <w:rFonts w:ascii="宋体" w:hAnsi="宋体" w:cs="宋体" w:hint="eastAsia"/>
                <w:color w:val="000000"/>
                <w:kern w:val="0"/>
                <w:sz w:val="22"/>
                <w:szCs w:val="22"/>
              </w:rPr>
              <w:t>支持基础网络保护策略，限制用户向网络中发送ARP报文、ICMP请求报文、DHCP请求报文的数率，对超过限速阈值的报文进行丢弃处理，能够识别攻击行为，对有攻击行为的用户进行隔离。</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9"/>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61.</w:t>
            </w:r>
            <w:r>
              <w:rPr>
                <w:rFonts w:ascii="宋体" w:hAnsi="宋体" w:cs="宋体" w:hint="eastAsia"/>
                <w:color w:val="000000"/>
                <w:kern w:val="0"/>
                <w:sz w:val="22"/>
                <w:szCs w:val="22"/>
              </w:rPr>
              <w:t>支持快速链路检测协议，可快速检测链路的通断和光纤链路的单向性，并支持端口下的环路检测功能，防止端口下因私接Hub等设备形成的环路而导致网络故障的现象。</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8</w:t>
            </w:r>
          </w:p>
        </w:tc>
        <w:tc>
          <w:tcPr>
            <w:tcW w:w="1260" w:type="dxa"/>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光纤模块</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62.</w:t>
            </w:r>
            <w:r>
              <w:rPr>
                <w:rFonts w:ascii="宋体" w:hAnsi="宋体" w:cs="宋体" w:hint="eastAsia"/>
                <w:color w:val="000000"/>
                <w:kern w:val="0"/>
                <w:sz w:val="22"/>
                <w:szCs w:val="22"/>
              </w:rPr>
              <w:t>交换机配套光纤模块；</w:t>
            </w:r>
          </w:p>
        </w:tc>
        <w:tc>
          <w:tcPr>
            <w:tcW w:w="96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15"/>
        </w:trPr>
        <w:tc>
          <w:tcPr>
            <w:tcW w:w="684" w:type="dxa"/>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9</w:t>
            </w:r>
          </w:p>
        </w:tc>
        <w:tc>
          <w:tcPr>
            <w:tcW w:w="1260" w:type="dxa"/>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机柜</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63.</w:t>
            </w:r>
            <w:r>
              <w:rPr>
                <w:rFonts w:ascii="宋体" w:hAnsi="宋体" w:cs="宋体" w:hint="eastAsia"/>
                <w:color w:val="000000"/>
                <w:kern w:val="0"/>
                <w:sz w:val="22"/>
                <w:szCs w:val="22"/>
              </w:rPr>
              <w:t>标准19英寸32U服务器机柜。</w:t>
            </w:r>
          </w:p>
        </w:tc>
        <w:tc>
          <w:tcPr>
            <w:tcW w:w="96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10</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视频存储</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64.</w:t>
            </w:r>
            <w:r>
              <w:rPr>
                <w:rFonts w:ascii="宋体" w:hAnsi="宋体" w:cs="宋体" w:hint="eastAsia"/>
                <w:color w:val="000000"/>
                <w:kern w:val="0"/>
                <w:sz w:val="22"/>
                <w:szCs w:val="22"/>
              </w:rPr>
              <w:t>2U机架式≥9盘位嵌入式网络硬盘录像机，整机采用短机箱设计，搭载高性能ATX电源；</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65.</w:t>
            </w:r>
            <w:r>
              <w:rPr>
                <w:rFonts w:ascii="宋体" w:hAnsi="宋体" w:cs="宋体" w:hint="eastAsia"/>
                <w:color w:val="000000"/>
                <w:kern w:val="0"/>
                <w:sz w:val="22"/>
                <w:szCs w:val="22"/>
              </w:rPr>
              <w:t>存储接口：≥9个SATA接口；视频接口：≥2×HDMI，≥2×VGA；网络接口：≥2×RJ45 10/100/1000Mbps自适应以太网口；</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66.</w:t>
            </w:r>
            <w:r>
              <w:rPr>
                <w:rFonts w:ascii="宋体" w:hAnsi="宋体" w:cs="宋体" w:hint="eastAsia"/>
                <w:color w:val="000000"/>
                <w:kern w:val="0"/>
                <w:sz w:val="22"/>
                <w:szCs w:val="22"/>
              </w:rPr>
              <w:t>报警接口：≥16路报警输入，≥9路报警输出（其中第9路支持CTRL 12V）；反向供电：≥1路DC12V 1A；串行接口：≥1路RS-232接口，≥1路全双工RS-485接口；USB接口：≥2×USB 2.0，2×USB 3.0；</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67.</w:t>
            </w:r>
            <w:r>
              <w:rPr>
                <w:rFonts w:ascii="宋体" w:hAnsi="宋体" w:cs="宋体" w:hint="eastAsia"/>
                <w:color w:val="000000"/>
                <w:kern w:val="0"/>
                <w:sz w:val="22"/>
                <w:szCs w:val="22"/>
              </w:rPr>
              <w:t>输入带宽：≥320Mbps（开启RAID后为200Mbps）；输出带宽：≥256Mbps（开启RAID后为200Mbps）；</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68.</w:t>
            </w:r>
            <w:r>
              <w:rPr>
                <w:rFonts w:ascii="宋体" w:hAnsi="宋体" w:cs="宋体" w:hint="eastAsia"/>
                <w:color w:val="000000"/>
                <w:kern w:val="0"/>
                <w:sz w:val="22"/>
                <w:szCs w:val="22"/>
              </w:rPr>
              <w:t>接入能力：≥32路H.264、H.265格式高清码流接入；解码能力：支持≥32×1080P；显示能力：最大支持8K+1080P、2×4K异源输出；</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69.</w:t>
            </w:r>
            <w:r>
              <w:rPr>
                <w:rFonts w:ascii="宋体" w:hAnsi="宋体" w:cs="宋体" w:hint="eastAsia"/>
                <w:color w:val="000000"/>
                <w:kern w:val="0"/>
                <w:sz w:val="22"/>
                <w:szCs w:val="22"/>
              </w:rPr>
              <w:t>整机搭载高性能AI引擎，支持独立配置目标识别、文搜、图搜等引擎模式；</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70.</w:t>
            </w:r>
            <w:r>
              <w:rPr>
                <w:rFonts w:ascii="宋体" w:hAnsi="宋体" w:cs="宋体" w:hint="eastAsia"/>
                <w:color w:val="000000"/>
                <w:kern w:val="0"/>
                <w:sz w:val="22"/>
                <w:szCs w:val="22"/>
              </w:rPr>
              <w:t>目标识别应用：支持目标抓拍、比对报警；目标名单库：支持≥16个名单库，总库容≥5万张；目标抓拍：≥4路视频流（2MP）；目标比对：≥16路图片流；</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71.</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设备支持文搜功能，可通过文字语义描述，快速检索目标对象或内容；支持对人体、车辆、非机动车、物品、动物、基础事件等类型的检索；并可基于文搜快速检索的结果，对目标进行图搜的二次精准检索定位；设备支持独立的智能文搜应用模块，应用内置文搜高频热词，如：人的上衣颜色、下装颜色、随身物品、性别；车的颜色、类型、品牌；其他的抽烟、打电话、玩手机等；</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72.</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支持独立的文搜应用展示界面，默认支持全通道录像检索，且通道和时间范围可设；支持自定义选择时间范围，可快速选择1天、3天、7天；支持将搜索内容添加到历史记录，历史检索词条保持最近10条，通过直接点击该高频热词或历史记录可直接进行重复检索；</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2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73.</w:t>
            </w:r>
            <w:r>
              <w:rPr>
                <w:rFonts w:ascii="宋体" w:hAnsi="宋体" w:cs="宋体" w:hint="eastAsia"/>
                <w:color w:val="000000"/>
                <w:kern w:val="0"/>
                <w:sz w:val="22"/>
                <w:szCs w:val="22"/>
              </w:rPr>
              <w:t>内置图文搜索引擎，支持开放式语义检索，输入文字描述即可查找人、车、非机动车及附属物等目标；支持搜索结果按相似度排序展示，根据搜索结果，可一键关联录像片段及以图搜图；以文搜图能力：≥32路；以图搜图能力：≥32路；</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11</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机房摄像机</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74.</w:t>
            </w:r>
            <w:r>
              <w:rPr>
                <w:rFonts w:ascii="宋体" w:hAnsi="宋体" w:cs="宋体" w:hint="eastAsia"/>
                <w:color w:val="000000"/>
                <w:kern w:val="0"/>
                <w:sz w:val="22"/>
                <w:szCs w:val="22"/>
              </w:rPr>
              <w:t>内置1.5TOPS算力的芯片，支持烟火检测、值岗状态检测（离岗、睡岗、玩手机）、危险行为检测（抽烟、打电话）、电梯危险物品检测（电瓶车、煤气罐）、呼救识别、周界入侵检测（移动侦测、区域入侵、越界侦测）、遮挡检测同时启用，各类智能事件可以正常检测和报警；</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75.</w:t>
            </w:r>
            <w:r>
              <w:rPr>
                <w:rFonts w:ascii="宋体" w:hAnsi="宋体" w:cs="宋体" w:hint="eastAsia"/>
                <w:color w:val="000000"/>
                <w:kern w:val="0"/>
                <w:sz w:val="22"/>
                <w:szCs w:val="22"/>
              </w:rPr>
              <w:t>设备应具备高温报警功能，支持设定0℃~120℃高温报警阈值，1~600s温度报警时间阈值，当环境温度超过设定高温报警阈值和时间阈值时，触发设备高温报警，视频画面叠加高温报警信息，同时录像及上传抓拍图片，报警指示灯自动点亮；</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76.</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设备应具备温度突升、突降的差温报警功能，支持设定1℃~120℃温度突升或突降的差温报警阈值，1~30s温度突升或者突降报警时间阈值，当环境温度满足设定高温报警阈值和时间阈值时，触发设备温度突升或突降差温报警，视频画面叠加温度突升/突降报警信息，同时录像及上传抓拍图片，报警指示灯自动点亮；将设备固定在恒定温箱（40℃~55℃）并稳定运行1h，查看设备实时感温数据，误差不超过±2℃；可在10s内探测到距离设备50m处面积为0.1㎡的火盘中燃烧的火焰并报警；设备可通过DC12V反向为烟感探测器供电，烟感探测器检测到烟雾、温度异常时，设备可通过报警输入接收烟感报警信息，触发输入报警、同时录像及上传抓拍图片，报警指示灯自动点亮；支持配置各个报警指示灯状态，包括开、关、闪烁以及闪烁频率；</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77.</w:t>
            </w:r>
            <w:r>
              <w:rPr>
                <w:rFonts w:ascii="宋体" w:hAnsi="宋体" w:cs="宋体" w:hint="eastAsia"/>
                <w:color w:val="000000"/>
                <w:kern w:val="0"/>
                <w:sz w:val="22"/>
                <w:szCs w:val="22"/>
              </w:rPr>
              <w:t>分辨率：≥2688×1520；温度异常检测：支持高温/差温报警；</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78.</w:t>
            </w:r>
            <w:r>
              <w:rPr>
                <w:rFonts w:ascii="宋体" w:hAnsi="宋体" w:cs="宋体" w:hint="eastAsia"/>
                <w:color w:val="000000"/>
                <w:kern w:val="0"/>
                <w:sz w:val="22"/>
                <w:szCs w:val="22"/>
              </w:rPr>
              <w:t>可在IE浏览器上设置4个检测区域、4个屏蔽区域，支持最大检出尺寸、最小检出尺寸配置，支持单独开启电瓶车检测、煤气罐检测，触发报警时间：1~4s可配置、5级灵敏度调节，布防时间可配置，当设定的侦测区域内有电瓶车、煤气罐出现时，该区域内边框将变为红色，并可联动报警、启动录像、报警上传中心和SD卡、声音播报，报警指示灯自动点亮；</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79.</w:t>
            </w:r>
            <w:r>
              <w:rPr>
                <w:rFonts w:ascii="宋体" w:hAnsi="宋体" w:cs="宋体" w:hint="eastAsia"/>
                <w:color w:val="000000"/>
                <w:kern w:val="0"/>
                <w:sz w:val="22"/>
                <w:szCs w:val="22"/>
              </w:rPr>
              <w:t>内置1个感温传感器；内置1个扬声器、1个麦克风、1个音频输入接口、1个音频输出接口、2个报警输入接口、2个报警输出接口、1个DC12V电源输出接口、2颗补光灯、3个状态指示灯；</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77"/>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12</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UPS主机</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80.</w:t>
            </w:r>
            <w:r>
              <w:rPr>
                <w:rFonts w:ascii="宋体" w:hAnsi="宋体" w:cs="宋体" w:hint="eastAsia"/>
                <w:color w:val="000000"/>
                <w:kern w:val="0"/>
                <w:sz w:val="22"/>
                <w:szCs w:val="22"/>
              </w:rPr>
              <w:t>后备≥1小时，≥6KVA，高频塔式采用数字化控制技术、三电平技术和高频电源变换技术具有体积小、性能高、可靠性高等特点；额定容量：≥6000VA/5400W ；输入电压范围：≥110～300Vac；相数：单相三线；输入频率范围：≥50/60±10%（自适应）；输入功率因数：≥0.99（满载）；输出电压：≥208/220/230/240±1%；输出频率：市电模式：与电网同步；</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77"/>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81.</w:t>
            </w:r>
            <w:r>
              <w:rPr>
                <w:rFonts w:ascii="宋体" w:hAnsi="宋体" w:cs="宋体" w:hint="eastAsia"/>
                <w:color w:val="000000"/>
                <w:kern w:val="0"/>
                <w:sz w:val="22"/>
                <w:szCs w:val="22"/>
              </w:rPr>
              <w:t>整机效率：≥95%；功率因数：≥0.9；电池电压：≥192-240V可设置（默认16节）；输出方式（塔式）：接线排；</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77"/>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82.</w:t>
            </w:r>
            <w:r>
              <w:rPr>
                <w:rFonts w:ascii="宋体" w:hAnsi="宋体" w:cs="宋体" w:hint="eastAsia"/>
                <w:color w:val="000000"/>
                <w:kern w:val="0"/>
                <w:sz w:val="22"/>
                <w:szCs w:val="22"/>
              </w:rPr>
              <w:t>告警功能：电池低压、市电异常、UPS故障、输出过载、输出短路；保护功能：电池欠压保护、过载保护、短路保护、过温保护、输入过压保护；通信功能：RS232，EPO接口；</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13</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考点视频监控设备</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83.</w:t>
            </w:r>
            <w:r>
              <w:rPr>
                <w:rFonts w:ascii="宋体" w:hAnsi="宋体" w:cs="宋体" w:hint="eastAsia"/>
                <w:color w:val="000000"/>
                <w:kern w:val="0"/>
                <w:sz w:val="22"/>
                <w:szCs w:val="22"/>
              </w:rPr>
              <w:t>400万半球型网络摄像机；</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84.</w:t>
            </w:r>
            <w:r>
              <w:rPr>
                <w:rFonts w:ascii="宋体" w:hAnsi="宋体" w:cs="宋体" w:hint="eastAsia"/>
                <w:color w:val="000000"/>
                <w:kern w:val="0"/>
                <w:sz w:val="22"/>
                <w:szCs w:val="22"/>
              </w:rPr>
              <w:t>主码流支持2560x1440，最低照度彩色不低于0.005lx；设备应支持红外补光，红外作用距离不低于30m。</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85.</w:t>
            </w:r>
            <w:r>
              <w:rPr>
                <w:rFonts w:ascii="宋体" w:hAnsi="宋体" w:cs="宋体" w:hint="eastAsia"/>
                <w:color w:val="000000"/>
                <w:kern w:val="0"/>
                <w:sz w:val="22"/>
                <w:szCs w:val="22"/>
              </w:rPr>
              <w:t>应具备区域入侵、越界入侵、人员聚集、进入区域、离开区域、快速移动、物品移除、物品遗留、徘徊智能分析功能，当以上智能分析行为达到设定的阈值时，可通过客户端软件或IE浏览器给出报警提示；</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86.</w:t>
            </w:r>
            <w:r>
              <w:rPr>
                <w:rFonts w:ascii="宋体" w:hAnsi="宋体" w:cs="宋体" w:hint="eastAsia"/>
                <w:color w:val="000000"/>
                <w:kern w:val="0"/>
                <w:sz w:val="22"/>
                <w:szCs w:val="22"/>
              </w:rPr>
              <w:t>应内置1个麦克风，具有1个RJ45网络接口，1个音频输入接口、1个音频输出接口、1个报警输入接口、1个报警输出接口、1个SD卡卡槽。</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87.</w:t>
            </w:r>
            <w:r>
              <w:rPr>
                <w:rFonts w:ascii="宋体" w:hAnsi="宋体" w:cs="宋体" w:hint="eastAsia"/>
                <w:color w:val="000000"/>
                <w:kern w:val="0"/>
                <w:sz w:val="22"/>
                <w:szCs w:val="22"/>
              </w:rPr>
              <w:t>支持DC12V或POE供电。</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8"/>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88.</w:t>
            </w:r>
            <w:r>
              <w:rPr>
                <w:rFonts w:ascii="宋体" w:hAnsi="宋体" w:cs="宋体" w:hint="eastAsia"/>
                <w:color w:val="000000"/>
                <w:kern w:val="0"/>
                <w:sz w:val="22"/>
                <w:szCs w:val="22"/>
              </w:rPr>
              <w:t>应支持IP66防尘防水。</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restart"/>
            <w:vAlign w:val="center"/>
          </w:tcPr>
          <w:p>
            <w:pPr>
              <w:keepNext w:val="0"/>
              <w:keepLines w:val="0"/>
              <w:widowControl/>
              <w:suppressLineNumbers w:val="0"/>
              <w:jc w:val="center"/>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14</w:t>
            </w:r>
          </w:p>
        </w:tc>
        <w:tc>
          <w:tcPr>
            <w:tcW w:w="1260" w:type="dxa"/>
            <w:vMerge w:val="restart"/>
            <w:vAlign w:val="center"/>
          </w:tcPr>
          <w:p>
            <w:pPr>
              <w:keepNext w:val="0"/>
              <w:keepLines w:val="0"/>
              <w:widowControl/>
              <w:suppressLineNumbers w:val="0"/>
              <w:jc w:val="left"/>
              <w:textAlignment w:val="center"/>
              <w:rPr>
                <w:color w:val="000000" w:themeColor="text1"/>
                <w:szCs w:val="21"/>
                <w14:textFill>
                  <w14:solidFill>
                    <w14:schemeClr w14:val="tx1"/>
                  </w14:solidFill>
                </w14:textFill>
              </w:rPr>
            </w:pPr>
            <w:r>
              <w:rPr>
                <w:rFonts w:ascii="宋体" w:eastAsia="宋体" w:hAnsi="宋体" w:cs="宋体" w:hint="eastAsia"/>
                <w:i w:val="0"/>
                <w:iCs w:val="0"/>
                <w:color w:val="000000"/>
                <w:kern w:val="0"/>
                <w:sz w:val="22"/>
                <w:szCs w:val="22"/>
                <w:u w:val="none"/>
                <w:lang w:val="en-US" w:eastAsia="zh-CN"/>
              </w:rPr>
              <w:t>考务室摄像机</w:t>
            </w: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89.</w:t>
            </w:r>
            <w:r>
              <w:rPr>
                <w:rFonts w:ascii="宋体" w:hAnsi="宋体" w:cs="宋体" w:hint="eastAsia"/>
                <w:color w:val="000000"/>
                <w:kern w:val="0"/>
                <w:sz w:val="22"/>
                <w:szCs w:val="22"/>
              </w:rPr>
              <w:t>传感器类型 1/1.8" Progressive Scan CMOS；</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ign w:val="center"/>
          </w:tcPr>
          <w:p>
            <w:pPr>
              <w:jc w:val="center"/>
            </w:pPr>
          </w:p>
        </w:tc>
        <w:tc>
          <w:tcPr>
            <w:tcW w:w="1260" w:type="dxa"/>
            <w:vMerge/>
            <w:vAlign w:val="center"/>
          </w:tcPr>
          <w:p>
            <w:pPr>
              <w:jc w:val="cente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90.</w:t>
            </w:r>
            <w:r>
              <w:rPr>
                <w:rFonts w:ascii="宋体" w:hAnsi="宋体" w:cs="宋体" w:hint="eastAsia"/>
                <w:color w:val="000000"/>
                <w:kern w:val="0"/>
                <w:sz w:val="22"/>
                <w:szCs w:val="22"/>
              </w:rPr>
              <w:t>支持≥4倍电动变焦；</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91.</w:t>
            </w:r>
            <w:r>
              <w:rPr>
                <w:rFonts w:ascii="宋体" w:hAnsi="宋体" w:cs="宋体" w:hint="eastAsia"/>
                <w:color w:val="000000"/>
                <w:kern w:val="0"/>
                <w:sz w:val="22"/>
                <w:szCs w:val="22"/>
              </w:rPr>
              <w:t>通道1：≥3840×2160；通道2：≥1920×1080；通道3：≥1920×1080，支持≥1个RJ45 10M/100M自适应以太网口，支持POE模式，具有SD卡插槽，≥2个内置麦克风，≥1个USB接口；</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92.</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可通过本机管理已接入的外部设备，并可将已接入的视频/音频设备的视音频信息和本机的视音频信息独立或做画面拼接合成后输出；支持通过USB接口输出1920×1080、25/30fps的视频码流，可选择输出拼接或导播码流。</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93.</w:t>
            </w:r>
            <w:r>
              <w:rPr>
                <w:rFonts w:ascii="宋体" w:hAnsi="宋体" w:cs="宋体" w:hint="eastAsia"/>
                <w:color w:val="000000"/>
                <w:kern w:val="0"/>
                <w:sz w:val="22"/>
                <w:szCs w:val="22"/>
                <w:highlight w:val="yellow"/>
              </w:rPr>
              <w:t>▲</w:t>
            </w:r>
            <w:r>
              <w:rPr>
                <w:rFonts w:ascii="宋体" w:hAnsi="宋体" w:cs="宋体" w:hint="eastAsia"/>
                <w:color w:val="000000"/>
                <w:kern w:val="0"/>
                <w:sz w:val="22"/>
                <w:szCs w:val="22"/>
              </w:rPr>
              <w:t>可通过浏览器或客户端在同一预览界面同时预览5路视音频信息，分别为：教师全景和特写采集通道、拼接或导播通道、可自动刷新的板书通道、外接学生摄像机采集通道、外接PPT采集通道；通道一支持3路码流，第一和第二码流均为全景画面，第三路码流为教师特写画面，可跟随教师的移动过程。支持对接入的摄像机可视画面中的状态进行实时统计、分析，包括出勤人数统计、抬头率统计、空座率统计；</w:t>
            </w:r>
            <w:r>
              <w:rPr>
                <w:rFonts w:ascii="宋体" w:hAnsi="宋体" w:cs="宋体" w:hint="eastAsia"/>
                <w:color w:val="000000"/>
                <w:kern w:val="0"/>
                <w:sz w:val="22"/>
                <w:szCs w:val="22"/>
                <w:highlight w:val="yellow"/>
                <w:lang w:eastAsia="zh-CN"/>
              </w:rPr>
              <w:t>（投标时同时提供：①由第三方检验检测机构出具并加盖（或带有）CMA标志的检验检测报告扫描件，原件备查；②上述检验检测报告在全国认证认可信息公共服务平台（认e云）（http://cx.cnca.cn/）的信息查询记录截图。注：对应参数（</w:t>
            </w:r>
            <w:r>
              <w:rPr>
                <w:rFonts w:ascii="宋体" w:hAnsi="宋体" w:cs="宋体" w:hint="eastAsia"/>
                <w:color w:val="000000"/>
                <w:kern w:val="0"/>
                <w:sz w:val="22"/>
                <w:szCs w:val="22"/>
                <w:highlight w:val="yellow"/>
                <w:lang w:val="en-US" w:eastAsia="zh-CN"/>
              </w:rPr>
              <w:t>检验检测项</w:t>
            </w:r>
            <w:r>
              <w:rPr>
                <w:rFonts w:ascii="宋体" w:hAnsi="宋体" w:cs="宋体" w:hint="eastAsia"/>
                <w:color w:val="000000"/>
                <w:kern w:val="0"/>
                <w:sz w:val="22"/>
                <w:szCs w:val="22"/>
                <w:highlight w:val="yellow"/>
                <w:lang w:eastAsia="zh-CN"/>
              </w:rPr>
              <w:t>）在检验检测报告中进行标注。如</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报告中明确备注说明相关</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项不在</w:t>
            </w:r>
            <w:r>
              <w:rPr>
                <w:rFonts w:ascii="宋体" w:hAnsi="宋体" w:cs="宋体" w:hint="eastAsia"/>
                <w:color w:val="000000"/>
                <w:kern w:val="0"/>
                <w:sz w:val="22"/>
                <w:szCs w:val="22"/>
                <w:highlight w:val="yellow"/>
                <w:lang w:val="en-US" w:eastAsia="zh-CN"/>
              </w:rPr>
              <w:t>检验检测</w:t>
            </w:r>
            <w:r>
              <w:rPr>
                <w:rFonts w:ascii="宋体" w:hAnsi="宋体" w:cs="宋体" w:hint="eastAsia"/>
                <w:color w:val="000000"/>
                <w:kern w:val="0"/>
                <w:sz w:val="22"/>
                <w:szCs w:val="22"/>
                <w:highlight w:val="yellow"/>
                <w:lang w:eastAsia="zh-CN"/>
              </w:rPr>
              <w:t>机构CMA资质许可（认定）范围内的，不符合招标文件要求。）</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94.</w:t>
            </w:r>
            <w:r>
              <w:rPr>
                <w:rFonts w:ascii="宋体" w:hAnsi="宋体" w:cs="宋体" w:hint="eastAsia"/>
                <w:color w:val="000000"/>
                <w:kern w:val="0"/>
                <w:sz w:val="22"/>
                <w:szCs w:val="22"/>
              </w:rPr>
              <w:t>支持通过USB接口输出1920×1080、25/30fps的视频码流，可选择输出拼接或导播码流。</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widowControl/>
              <w:numPr>
                <w:ilvl w:val="0"/>
                <w:numId w:val="0"/>
              </w:numPr>
              <w:kinsoku/>
              <w:wordWrap/>
              <w:overflowPunct/>
              <w:topLinePunct w:val="0"/>
              <w:autoSpaceDE/>
              <w:autoSpaceDN/>
              <w:bidi w:val="0"/>
              <w:adjustRightInd/>
              <w:snapToGrid/>
              <w:ind w:left="0" w:firstLine="0" w:leftChars="0" w:firstLineChars="0"/>
              <w:jc w:val="both"/>
              <w:textAlignment w:val="top"/>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r>
        <w:tblPrEx>
          <w:tblW w:w="8856" w:type="dxa"/>
          <w:tblInd w:w="-371" w:type="dxa"/>
          <w:tblLayout w:type="fixed"/>
          <w:tblCellMar>
            <w:top w:w="0" w:type="dxa"/>
            <w:left w:w="108" w:type="dxa"/>
            <w:bottom w:w="0" w:type="dxa"/>
            <w:right w:w="108" w:type="dxa"/>
          </w:tblCellMar>
        </w:tblPrEx>
        <w:trPr>
          <w:trHeight w:val="33"/>
        </w:trPr>
        <w:tc>
          <w:tcPr>
            <w:tcW w:w="684" w:type="dxa"/>
            <w:vMerge/>
            <w:vAlign w:val="center"/>
          </w:tcPr>
          <w:p>
            <w:pPr>
              <w:jc w:val="center"/>
              <w:rPr>
                <w:color w:val="000000" w:themeColor="text1"/>
                <w:szCs w:val="21"/>
                <w14:textFill>
                  <w14:solidFill>
                    <w14:schemeClr w14:val="tx1"/>
                  </w14:solidFill>
                </w14:textFill>
              </w:rPr>
            </w:pPr>
          </w:p>
        </w:tc>
        <w:tc>
          <w:tcPr>
            <w:tcW w:w="1260" w:type="dxa"/>
            <w:vMerge/>
            <w:vAlign w:val="center"/>
          </w:tcPr>
          <w:p>
            <w:pPr>
              <w:jc w:val="center"/>
              <w:rPr>
                <w:color w:val="000000" w:themeColor="text1"/>
                <w:szCs w:val="21"/>
                <w14:textFill>
                  <w14:solidFill>
                    <w14:schemeClr w14:val="tx1"/>
                  </w14:solidFill>
                </w14:textFill>
              </w:rPr>
            </w:pPr>
          </w:p>
        </w:tc>
        <w:tc>
          <w:tcPr>
            <w:tcW w:w="4332" w:type="dxa"/>
            <w:vAlign w:val="top"/>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95.</w:t>
            </w:r>
            <w:r>
              <w:rPr>
                <w:rFonts w:ascii="宋体" w:hAnsi="宋体" w:cs="宋体" w:hint="eastAsia"/>
                <w:color w:val="000000"/>
                <w:kern w:val="0"/>
                <w:sz w:val="22"/>
                <w:szCs w:val="22"/>
              </w:rPr>
              <w:t>支持EPTZ控制功能；支持多种音频接入方式，包括网络音频接入、line in线性输入和MIC IN音频输入，可搭配客户端软件实现线上音视频互动；</w:t>
            </w:r>
          </w:p>
        </w:tc>
        <w:tc>
          <w:tcPr>
            <w:tcW w:w="96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78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c>
          <w:tcPr>
            <w:tcW w:w="840" w:type="dxa"/>
          </w:tcPr>
          <w:p>
            <w:pPr>
              <w:keepNext w:val="0"/>
              <w:keepLines w:val="0"/>
              <w:pageBreakBefore w:val="0"/>
              <w:numPr>
                <w:ilvl w:val="0"/>
                <w:numId w:val="0"/>
              </w:numPr>
              <w:kinsoku/>
              <w:wordWrap/>
              <w:overflowPunct/>
              <w:topLinePunct w:val="0"/>
              <w:autoSpaceDE/>
              <w:autoSpaceDN/>
              <w:bidi w:val="0"/>
              <w:adjustRightInd/>
              <w:snapToGrid/>
              <w:ind w:left="0" w:firstLine="0" w:leftChars="0" w:firstLineChars="0"/>
              <w:jc w:val="both"/>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pPr>
          </w:p>
        </w:tc>
      </w:tr>
    </w:tbl>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6" w:name="_Hlk72095977"/>
      <w:r>
        <w:rPr>
          <w:rFonts w:hint="eastAsia"/>
          <w:sz w:val="21"/>
          <w:szCs w:val="21"/>
        </w:rPr>
        <w:t>证明资料【如有的话，提供的证明资料应统一编号（排序），格式自定】</w:t>
      </w:r>
      <w:bookmarkEnd w:id="66"/>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7" w:name="_Hlk72094407"/>
      <w:r>
        <w:rPr>
          <w:rFonts w:hint="eastAsia"/>
          <w:b w:val="0"/>
          <w:bCs/>
          <w:sz w:val="21"/>
          <w:szCs w:val="21"/>
        </w:rPr>
        <w:t>对应“用户需求书”中的“技术要求”章节</w:t>
      </w:r>
      <w:bookmarkEnd w:id="67"/>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9"/>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68" w:name="_Hlk72158270"/>
      <w:r>
        <w:rPr>
          <w:rFonts w:hint="eastAsia"/>
          <w:b w:val="0"/>
          <w:bCs/>
          <w:sz w:val="21"/>
          <w:szCs w:val="21"/>
        </w:rPr>
        <w:t>“偏离情况”</w:t>
      </w:r>
      <w:bookmarkEnd w:id="68"/>
      <w:r>
        <w:rPr>
          <w:rFonts w:hint="eastAsia"/>
          <w:b w:val="0"/>
          <w:bCs/>
          <w:sz w:val="21"/>
          <w:szCs w:val="21"/>
        </w:rPr>
        <w:t>一栏填写如实填写“正偏离”、“负偏离”或“无偏离”，其中：</w:t>
      </w:r>
      <w:bookmarkStart w:id="69" w:name="_Hlk72093866"/>
      <w:r>
        <w:rPr>
          <w:rFonts w:hint="eastAsia"/>
          <w:b w:val="0"/>
          <w:bCs/>
          <w:sz w:val="21"/>
          <w:szCs w:val="21"/>
        </w:rPr>
        <w:t>“正偏离”表示“投标响应优于招标技术要求”，“负偏离”表示“投标响应不满足招标技术要求”，“无偏离”表示“投标响应与招标技术要求一致”</w:t>
      </w:r>
      <w:bookmarkEnd w:id="69"/>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0" w:name="_Hlk72096106"/>
      <w:r>
        <w:rPr>
          <w:rFonts w:hint="eastAsia"/>
          <w:b w:val="0"/>
          <w:bCs/>
          <w:sz w:val="21"/>
          <w:szCs w:val="21"/>
        </w:rPr>
        <w:t>证明资料条款响应要求</w:t>
      </w:r>
      <w:bookmarkEnd w:id="70"/>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1"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2" w:name="_Hlk73558164"/>
      <w:r>
        <w:rPr>
          <w:rFonts w:hint="eastAsia"/>
          <w:b w:val="0"/>
          <w:bCs/>
          <w:sz w:val="21"/>
          <w:szCs w:val="21"/>
        </w:rPr>
        <w:t>且投标人在“偏离情况”一栏响应为“正偏离”或“无偏离”的，经评审委员会认定，将判定为负偏离。</w:t>
      </w:r>
      <w:bookmarkEnd w:id="71"/>
      <w:bookmarkEnd w:id="72"/>
    </w:p>
    <w:p>
      <w:pPr>
        <w:ind w:firstLine="420" w:firstLineChars="200"/>
        <w:rPr>
          <w:b w:val="0"/>
          <w:bCs/>
          <w:sz w:val="21"/>
          <w:szCs w:val="21"/>
        </w:rPr>
      </w:pPr>
      <w:r>
        <w:rPr>
          <w:rFonts w:hint="eastAsia"/>
          <w:b w:val="0"/>
          <w:bCs/>
          <w:sz w:val="21"/>
          <w:szCs w:val="21"/>
        </w:rPr>
        <w:t>6、</w:t>
      </w:r>
      <w:bookmarkStart w:id="73" w:name="_Hlk72096137"/>
      <w:r>
        <w:rPr>
          <w:rFonts w:hint="eastAsia"/>
          <w:b w:val="0"/>
          <w:bCs/>
          <w:sz w:val="21"/>
          <w:szCs w:val="21"/>
        </w:rPr>
        <w:t>表后“证明资料”部分内容的编制</w:t>
      </w:r>
      <w:bookmarkEnd w:id="73"/>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4" w:name="_Hlk73558180"/>
      <w:r>
        <w:rPr>
          <w:rFonts w:hint="eastAsia"/>
          <w:b w:val="0"/>
          <w:bCs/>
          <w:sz w:val="21"/>
          <w:szCs w:val="21"/>
        </w:rPr>
        <w:t>未按照招标文件要求在表后放置证明材料的供应商将承担不利后果，经评审委员会认定，相关技术要求将判定为负偏离。</w:t>
      </w:r>
      <w:bookmarkEnd w:id="74"/>
    </w:p>
    <w:p>
      <w:pPr>
        <w:ind w:firstLine="420" w:firstLineChars="200"/>
        <w:rPr>
          <w:b w:val="0"/>
          <w:bCs/>
          <w:sz w:val="21"/>
          <w:szCs w:val="21"/>
        </w:rPr>
      </w:pPr>
      <w:r>
        <w:rPr>
          <w:rFonts w:hint="eastAsia"/>
          <w:b w:val="0"/>
          <w:bCs/>
          <w:sz w:val="21"/>
          <w:szCs w:val="21"/>
        </w:rPr>
        <w:t>7、</w:t>
      </w:r>
      <w:bookmarkStart w:id="75" w:name="_Hlk72096176"/>
      <w:r>
        <w:rPr>
          <w:rFonts w:hint="eastAsia"/>
          <w:b w:val="0"/>
          <w:bCs/>
          <w:sz w:val="21"/>
          <w:szCs w:val="21"/>
        </w:rPr>
        <w:t>证明资料的形式及其它具体要求</w:t>
      </w:r>
      <w:bookmarkEnd w:id="75"/>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76"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6"/>
    </w:p>
    <w:p>
      <w:pPr>
        <w:ind w:firstLine="420" w:firstLineChars="200"/>
        <w:rPr>
          <w:b/>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、政府采购节能环保产品</w:t>
      </w:r>
      <w:r>
        <w:rPr>
          <w:rFonts w:ascii="黑体" w:eastAsia="黑体" w:hint="eastAsia"/>
          <w:b w:val="0"/>
          <w:kern w:val="0"/>
          <w:sz w:val="24"/>
          <w:szCs w:val="24"/>
          <w:lang w:val="en-US" w:eastAsia="zh-CN"/>
        </w:rPr>
        <w:t>情况</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、绿色采购</w:t>
      </w:r>
      <w:r>
        <w:rPr>
          <w:rFonts w:ascii="黑体" w:eastAsia="黑体" w:hint="eastAsia"/>
          <w:b w:val="0"/>
          <w:kern w:val="0"/>
          <w:sz w:val="24"/>
          <w:szCs w:val="24"/>
          <w:lang w:val="en-US" w:eastAsia="zh-CN"/>
        </w:rPr>
        <w:t>情况</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w:t>
      </w:r>
      <w:r>
        <w:rPr>
          <w:rFonts w:ascii="黑体" w:eastAsia="黑体" w:hint="eastAsia"/>
          <w:b w:val="0"/>
          <w:kern w:val="0"/>
          <w:sz w:val="24"/>
          <w:szCs w:val="24"/>
          <w:lang w:val="en-US" w:eastAsia="zh-CN"/>
        </w:rPr>
        <w:t>售后服务评价</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w:t>
      </w:r>
      <w:r>
        <w:rPr>
          <w:rFonts w:ascii="黑体" w:eastAsia="黑体" w:hint="eastAsia"/>
          <w:b w:val="0"/>
          <w:kern w:val="0"/>
          <w:sz w:val="24"/>
          <w:szCs w:val="24"/>
          <w:lang w:val="en-US" w:eastAsia="zh-CN"/>
        </w:rPr>
        <w:t>组织实施方案</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rPr>
          <w:sz w:val="24"/>
        </w:rPr>
      </w:pPr>
    </w:p>
    <w:p>
      <w:pPr>
        <w:jc w:val="center"/>
        <w:rPr>
          <w:rFonts w:ascii="黑体" w:eastAsia="黑体" w:hint="eastAsia"/>
          <w:b w:val="0"/>
          <w:bCs w:val="0"/>
          <w:sz w:val="24"/>
          <w:szCs w:val="20"/>
          <w:lang w:val="en-US" w:eastAsia="zh-CN"/>
        </w:rPr>
      </w:pPr>
      <w:bookmarkStart w:id="77" w:name="_Hlk72260576"/>
    </w:p>
    <w:p>
      <w:pPr>
        <w:pStyle w:val="Heading3"/>
        <w:jc w:val="center"/>
        <w:rPr>
          <w:rFonts w:ascii="黑体" w:eastAsia="黑体"/>
          <w:b w:val="0"/>
          <w:sz w:val="24"/>
          <w:szCs w:val="24"/>
        </w:rPr>
      </w:pPr>
      <w:r>
        <w:rPr>
          <w:rFonts w:ascii="黑体" w:eastAsia="黑体" w:hint="eastAsia"/>
          <w:b w:val="0"/>
          <w:sz w:val="24"/>
          <w:szCs w:val="24"/>
          <w:lang w:val="en-US" w:eastAsia="zh-CN"/>
        </w:rPr>
        <w:t>十</w:t>
      </w:r>
      <w:r>
        <w:rPr>
          <w:rFonts w:ascii="黑体" w:eastAsia="黑体" w:hint="eastAsia"/>
          <w:b w:val="0"/>
          <w:sz w:val="24"/>
          <w:szCs w:val="24"/>
        </w:rPr>
        <w:t>、</w:t>
      </w:r>
      <w:r>
        <w:rPr>
          <w:rFonts w:ascii="黑体" w:eastAsia="黑体" w:hint="eastAsia"/>
          <w:b w:val="0"/>
          <w:sz w:val="24"/>
          <w:szCs w:val="24"/>
          <w:lang w:val="en-US" w:eastAsia="zh-CN"/>
        </w:rPr>
        <w:t>拟安排的实施及服务人员</w:t>
      </w:r>
      <w:r>
        <w:rPr>
          <w:rFonts w:ascii="黑体" w:eastAsia="黑体" w:hint="eastAsia"/>
          <w:b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420" w:firstLine="210" w:leftChars="200" w:firstLineChars="100"/>
        <w:rPr>
          <w:rFonts w:hint="default"/>
          <w:lang w:val="en-US" w:eastAsia="zh-CN"/>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十一</w:t>
      </w:r>
      <w:r>
        <w:rPr>
          <w:rFonts w:ascii="黑体" w:eastAsia="黑体" w:hint="eastAsia"/>
          <w:b w:val="0"/>
          <w:bCs w:val="0"/>
          <w:sz w:val="24"/>
          <w:szCs w:val="20"/>
        </w:rPr>
        <w:t>、</w:t>
      </w:r>
      <w:bookmarkStart w:id="78" w:name="_Hlk72062872"/>
      <w:r>
        <w:rPr>
          <w:rFonts w:ascii="黑体" w:eastAsia="黑体" w:hint="eastAsia"/>
          <w:b w:val="0"/>
          <w:bCs w:val="0"/>
          <w:sz w:val="24"/>
          <w:szCs w:val="20"/>
        </w:rPr>
        <w:t>投标人认为需要加以说明的其他内容</w:t>
      </w:r>
      <w:bookmarkEnd w:id="78"/>
    </w:p>
    <w:p>
      <w:pPr>
        <w:widowControl/>
        <w:jc w:val="center"/>
        <w:rPr>
          <w:rFonts w:ascii="黑体" w:eastAsia="黑体" w:hAnsi="宋体"/>
          <w:kern w:val="0"/>
          <w:sz w:val="24"/>
          <w:szCs w:val="20"/>
        </w:rPr>
      </w:pPr>
      <w:bookmarkEnd w:id="77"/>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lang w:eastAsia="zh-CN"/>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tabs>
          <w:tab w:val="left" w:pos="8200"/>
        </w:tabs>
        <w:wordWrap/>
        <w:autoSpaceDE w:val="0"/>
        <w:autoSpaceDN w:val="0"/>
        <w:spacing w:line="400" w:lineRule="exact"/>
        <w:ind w:right="1414" w:firstLine="420" w:firstLineChars="200"/>
        <w:jc w:val="both"/>
        <w:rPr>
          <w:rFonts w:ascii="宋体" w:hAnsi="宋体" w:eastAsiaTheme="minorEastAsia" w:hint="eastAsia"/>
          <w:b/>
          <w:bCs/>
          <w:color w:val="FF0000"/>
          <w:spacing w:val="-4"/>
          <w:kern w:val="0"/>
          <w:szCs w:val="21"/>
          <w:lang w:val="en-US" w:eastAsia="zh-CN"/>
        </w:rPr>
      </w:pPr>
    </w:p>
    <w:p>
      <w:pPr>
        <w:widowControl/>
        <w:tabs>
          <w:tab w:val="left" w:pos="6930"/>
          <w:tab w:val="left" w:pos="8200"/>
        </w:tabs>
        <w:wordWrap/>
        <w:autoSpaceDE w:val="0"/>
        <w:autoSpaceDN w:val="0"/>
        <w:spacing w:line="400" w:lineRule="exact"/>
        <w:ind w:right="1414" w:firstLine="420" w:firstLineChars="200"/>
        <w:jc w:val="both"/>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9"/>
      </w:pPr>
      <w:bookmarkStart w:id="79"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9"/>
        <w:rPr>
          <w:rFonts w:ascii="黑体" w:eastAsia="黑体" w:hAnsi="黑体" w:cs="Times New Roman" w:hint="eastAsia"/>
          <w:b/>
          <w:bCs/>
          <w:kern w:val="2"/>
          <w:sz w:val="28"/>
          <w:szCs w:val="28"/>
          <w:lang w:val="en-US" w:eastAsia="zh-CN" w:bidi="ar-SA"/>
        </w:rPr>
      </w:pPr>
      <w:bookmarkEnd w:id="79"/>
      <w:bookmarkStart w:id="80"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80"/>
    </w:p>
    <w:p>
      <w:pPr>
        <w:keepNext/>
        <w:keepLines/>
        <w:widowControl w:val="0"/>
        <w:adjustRightInd w:val="0"/>
        <w:snapToGrid w:val="0"/>
        <w:spacing w:beforeLines="0" w:line="400" w:lineRule="exact"/>
        <w:jc w:val="center"/>
        <w:outlineLvl w:val="9"/>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2"/>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3"/>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2"/>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2"/>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2"/>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4"/>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2"/>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2"/>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2"/>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1" w:name="_Toc27624"/>
      <w:r>
        <w:rPr>
          <w:rFonts w:ascii="黑体" w:eastAsia="黑体" w:hAnsi="黑体" w:cs="Times New Roman" w:hint="eastAsia"/>
          <w:b w:val="0"/>
          <w:bCs w:val="0"/>
          <w:kern w:val="2"/>
          <w:sz w:val="28"/>
          <w:szCs w:val="28"/>
          <w:lang w:val="en-US" w:eastAsia="zh-CN" w:bidi="ar-SA"/>
        </w:rPr>
        <w:t>第二节 政府采购合同通用条款</w:t>
      </w:r>
      <w:bookmarkEnd w:id="81"/>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5"/>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6"/>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2"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2"/>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9"/>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7"/>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18"/>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83"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83"/>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9"/>
        </w:numPr>
        <w:spacing w:before="120" w:beforeLines="50" w:after="120" w:afterLines="50"/>
        <w:ind w:left="562" w:hanging="562"/>
        <w:rPr>
          <w:sz w:val="28"/>
          <w:szCs w:val="28"/>
        </w:rPr>
      </w:pPr>
      <w:bookmarkStart w:id="84" w:name="_Hlk72399513"/>
      <w:r>
        <w:rPr>
          <w:rFonts w:hint="eastAsia"/>
          <w:sz w:val="28"/>
          <w:szCs w:val="28"/>
        </w:rPr>
        <w:t>总则</w:t>
      </w:r>
    </w:p>
    <w:p>
      <w:pPr>
        <w:rPr>
          <w:rFonts w:ascii="黑体" w:eastAsia="黑体" w:hAnsi="宋体"/>
          <w:sz w:val="24"/>
        </w:rPr>
      </w:pPr>
      <w:bookmarkEnd w:id="84"/>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5" w:name="_Hlk72399729"/>
      <w:r>
        <w:rPr>
          <w:rFonts w:ascii="宋体" w:hAnsi="宋体" w:hint="eastAsia"/>
          <w:szCs w:val="21"/>
        </w:rPr>
        <w:t>如有需要，政府集中采购机构可以对通用条款的内容进行补充。</w:t>
      </w:r>
      <w:bookmarkEnd w:id="8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w:t>
      </w:r>
      <w:r>
        <w:rPr>
          <w:rFonts w:ascii="宋体" w:hAnsi="宋体" w:hint="eastAsia"/>
          <w:b/>
          <w:bCs/>
          <w:color w:val="FF0000"/>
          <w:szCs w:val="21"/>
          <w:lang w:eastAsia="zh-CN"/>
        </w:rPr>
        <w:t>深圳交易集团有限公司宝安分公司</w:t>
      </w:r>
      <w:r>
        <w:rPr>
          <w:rFonts w:ascii="宋体" w:hAnsi="宋体" w:hint="eastAsia"/>
          <w:b/>
          <w:bCs/>
          <w:color w:val="FF0000"/>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w:t>
      </w:r>
      <w:r>
        <w:rPr>
          <w:rFonts w:ascii="宋体" w:hAnsi="宋体" w:hint="eastAsia"/>
          <w:b/>
          <w:bCs/>
          <w:color w:val="FF0000"/>
          <w:szCs w:val="21"/>
          <w:lang w:eastAsia="zh-CN"/>
        </w:rPr>
        <w:t>深圳交易集团有限公司宝安分公司</w:t>
      </w:r>
      <w:r>
        <w:rPr>
          <w:rFonts w:ascii="宋体" w:hAnsi="宋体" w:hint="eastAsia"/>
          <w:b/>
          <w:bCs/>
          <w:color w:val="FF0000"/>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6"/>
    </w:p>
    <w:p>
      <w:pPr>
        <w:pStyle w:val="Heading2"/>
        <w:numPr>
          <w:ilvl w:val="0"/>
          <w:numId w:val="1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8"/>
    </w:p>
    <w:p>
      <w:pPr>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89"/>
      <w:r>
        <w:rPr>
          <w:rFonts w:ascii="黑体" w:eastAsia="黑体" w:hAnsi="宋体" w:hint="eastAsia"/>
          <w:sz w:val="24"/>
        </w:rPr>
        <w:t>15．</w:t>
      </w:r>
      <w:bookmarkStart w:id="9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0"/>
      <w:r>
        <w:rPr>
          <w:rFonts w:ascii="黑体" w:eastAsia="黑体" w:hAnsi="宋体" w:hint="eastAsia"/>
          <w:sz w:val="24"/>
        </w:rPr>
        <w:t>18．</w:t>
      </w:r>
      <w:bookmarkStart w:id="9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1"/>
      <w:r>
        <w:rPr>
          <w:rFonts w:ascii="黑体" w:eastAsia="黑体" w:hAnsi="宋体" w:hint="eastAsia"/>
          <w:sz w:val="24"/>
        </w:rPr>
        <w:t>19．</w:t>
      </w:r>
      <w:bookmarkStart w:id="9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3"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3"/>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2"/>
      <w:bookmarkStart w:id="9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4"/>
      <w:r>
        <w:rPr>
          <w:rFonts w:ascii="黑体" w:eastAsia="黑体" w:hAnsi="宋体" w:hint="eastAsia"/>
          <w:sz w:val="24"/>
        </w:rPr>
        <w:t>21．</w:t>
      </w:r>
      <w:bookmarkStart w:id="9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5"/>
      <w:r>
        <w:rPr>
          <w:rFonts w:ascii="黑体" w:eastAsia="黑体" w:hAnsi="宋体" w:hint="eastAsia"/>
          <w:sz w:val="24"/>
        </w:rPr>
        <w:t>23．</w:t>
      </w:r>
      <w:bookmarkStart w:id="9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96"/>
    </w:p>
    <w:p>
      <w:pPr>
        <w:ind w:firstLine="412" w:firstLineChars="196"/>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97"/>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9"/>
        </w:numPr>
        <w:spacing w:before="120" w:beforeLines="50" w:after="120" w:afterLines="50"/>
        <w:ind w:left="562" w:hanging="562"/>
        <w:rPr>
          <w:sz w:val="28"/>
          <w:szCs w:val="28"/>
        </w:rPr>
      </w:pPr>
      <w:bookmarkEnd w:id="98"/>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1" w:name="_Toc73517673"/>
      <w:bookmarkStart w:id="102" w:name="_Toc73521669"/>
      <w:bookmarkStart w:id="103" w:name="_Toc100052400"/>
      <w:bookmarkStart w:id="104" w:name="_Toc73518151"/>
      <w:bookmarkStart w:id="105" w:name="_Toc73521581"/>
      <w:r>
        <w:rPr>
          <w:rFonts w:ascii="黑体" w:eastAsia="黑体" w:hAnsi="宋体" w:hint="eastAsia"/>
          <w:sz w:val="24"/>
        </w:rPr>
        <w:t>34．错误的修正</w:t>
      </w:r>
      <w:bookmarkEnd w:id="101"/>
      <w:bookmarkEnd w:id="102"/>
      <w:bookmarkEnd w:id="103"/>
      <w:bookmarkEnd w:id="104"/>
      <w:bookmarkEnd w:id="10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6"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6"/>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7"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8"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8"/>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9"/>
      <w:bookmarkEnd w:id="110"/>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7"/>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1"/>
      <w:bookmarkStart w:id="112"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2"/>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3"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3"/>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4"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4"/>
    </w:p>
    <w:p>
      <w:pPr>
        <w:pStyle w:val="Heading2"/>
        <w:numPr>
          <w:ilvl w:val="0"/>
          <w:numId w:val="1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9"/>
        </w:numPr>
        <w:spacing w:before="120" w:beforeLines="50" w:after="120" w:afterLines="50"/>
        <w:ind w:left="562" w:hanging="562"/>
        <w:rPr>
          <w:sz w:val="28"/>
          <w:szCs w:val="28"/>
        </w:rPr>
      </w:pPr>
      <w:bookmarkStart w:id="115" w:name="_Hlk72439043"/>
      <w:r>
        <w:rPr>
          <w:rFonts w:hint="eastAsia"/>
          <w:sz w:val="28"/>
          <w:szCs w:val="28"/>
        </w:rPr>
        <w:t>合同的授予与备案</w:t>
      </w:r>
      <w:bookmarkEnd w:id="115"/>
    </w:p>
    <w:p>
      <w:pPr>
        <w:rPr>
          <w:rFonts w:ascii="黑体" w:eastAsia="黑体" w:hAnsi="宋体"/>
          <w:sz w:val="24"/>
        </w:rPr>
      </w:pPr>
      <w:bookmarkStart w:id="116" w:name="_Toc73517679"/>
      <w:bookmarkStart w:id="117" w:name="_Toc100052408"/>
      <w:bookmarkStart w:id="118" w:name="_Toc73518157"/>
      <w:bookmarkStart w:id="119" w:name="_Toc73521586"/>
      <w:bookmarkStart w:id="120" w:name="_Toc73521674"/>
      <w:bookmarkStart w:id="121" w:name="_Hlk72439088"/>
      <w:r>
        <w:rPr>
          <w:rFonts w:ascii="黑体" w:eastAsia="黑体" w:hAnsi="宋体" w:hint="eastAsia"/>
          <w:sz w:val="24"/>
        </w:rPr>
        <w:t>43．合同授予标准</w:t>
      </w:r>
      <w:bookmarkEnd w:id="116"/>
      <w:bookmarkEnd w:id="117"/>
      <w:bookmarkEnd w:id="118"/>
      <w:bookmarkEnd w:id="119"/>
      <w:bookmarkEnd w:id="120"/>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2" w:name="_Toc73518158"/>
      <w:bookmarkStart w:id="123" w:name="_Toc73517680"/>
      <w:bookmarkStart w:id="124" w:name="_Toc100052409"/>
      <w:bookmarkStart w:id="125" w:name="_Toc73521587"/>
      <w:bookmarkStart w:id="126" w:name="_Toc73521675"/>
      <w:r>
        <w:rPr>
          <w:rFonts w:ascii="黑体" w:eastAsia="黑体" w:hAnsi="宋体" w:hint="eastAsia"/>
          <w:sz w:val="24"/>
        </w:rPr>
        <w:t>44．</w:t>
      </w:r>
      <w:bookmarkEnd w:id="122"/>
      <w:bookmarkEnd w:id="123"/>
      <w:bookmarkEnd w:id="124"/>
      <w:bookmarkEnd w:id="125"/>
      <w:bookmarkEnd w:id="126"/>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7" w:name="_Toc100052410"/>
      <w:bookmarkStart w:id="128" w:name="_Toc73521677"/>
      <w:bookmarkStart w:id="129" w:name="_Toc73521589"/>
      <w:bookmarkStart w:id="130" w:name="_Toc73517682"/>
      <w:bookmarkStart w:id="131" w:name="_Toc73518160"/>
      <w:r>
        <w:rPr>
          <w:rFonts w:ascii="黑体" w:eastAsia="黑体" w:hAnsi="宋体" w:hint="eastAsia"/>
          <w:sz w:val="24"/>
        </w:rPr>
        <w:t>45．合同的签订</w:t>
      </w:r>
      <w:bookmarkEnd w:id="127"/>
      <w:bookmarkEnd w:id="128"/>
      <w:bookmarkEnd w:id="129"/>
      <w:bookmarkEnd w:id="130"/>
      <w:bookmarkEnd w:id="131"/>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2" w:name="_Toc73521678"/>
      <w:bookmarkStart w:id="133" w:name="_Toc100052411"/>
      <w:bookmarkStart w:id="134" w:name="_Toc73518161"/>
      <w:bookmarkStart w:id="135" w:name="_Toc73517683"/>
      <w:bookmarkStart w:id="136" w:name="_Toc73521590"/>
      <w:r>
        <w:rPr>
          <w:rFonts w:ascii="黑体" w:eastAsia="黑体" w:hAnsi="宋体" w:hint="eastAsia"/>
          <w:sz w:val="24"/>
        </w:rPr>
        <w:t>46．履约担保</w:t>
      </w:r>
      <w:bookmarkEnd w:id="132"/>
      <w:bookmarkEnd w:id="133"/>
      <w:bookmarkEnd w:id="134"/>
      <w:bookmarkEnd w:id="135"/>
      <w:bookmarkEnd w:id="136"/>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7" w:name="_Hlk72440769"/>
      <w:r>
        <w:rPr>
          <w:rFonts w:ascii="宋体" w:hAnsi="宋体" w:hint="eastAsia"/>
          <w:szCs w:val="21"/>
        </w:rPr>
        <w:t>政府集中采购机构或采购人不予退还其交纳的谈判保证金，情节严重的，并由主管部门</w:t>
      </w:r>
      <w:bookmarkEnd w:id="137"/>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9"/>
        </w:numPr>
        <w:spacing w:before="120" w:beforeLines="50" w:after="120" w:afterLines="50"/>
        <w:ind w:left="562" w:hanging="562"/>
        <w:rPr>
          <w:sz w:val="28"/>
          <w:szCs w:val="28"/>
        </w:rPr>
      </w:pPr>
      <w:bookmarkEnd w:id="121"/>
      <w:r>
        <w:rPr>
          <w:rFonts w:hint="eastAsia"/>
          <w:sz w:val="28"/>
          <w:szCs w:val="28"/>
        </w:rPr>
        <w:t>质疑处理</w:t>
      </w:r>
    </w:p>
    <w:p>
      <w:pPr>
        <w:rPr>
          <w:rFonts w:ascii="黑体" w:eastAsia="黑体" w:hAnsi="宋体"/>
          <w:sz w:val="24"/>
        </w:rPr>
      </w:pPr>
      <w:bookmarkStart w:id="138"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39" w:name="_Hlk75374941"/>
      <w:r>
        <w:rPr>
          <w:rFonts w:ascii="宋体" w:hAnsi="宋体" w:hint="eastAsia"/>
          <w:szCs w:val="21"/>
        </w:rPr>
        <w:t>以联合体形式参与的，质疑应当由组成联合体的所有成员共同提出</w:t>
      </w:r>
      <w:bookmarkEnd w:id="139"/>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38"/>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D02E207-3BA5-47E0-9387-33DCF28BCA73}"/>
  </w:font>
  <w:font w:name="Arial">
    <w:panose1 w:val="020B0604020202020204"/>
    <w:charset w:val="01"/>
    <w:family w:val="swiss"/>
    <w:pitch w:val="default"/>
    <w:sig w:usb0="E0002EFF" w:usb1="C000785B" w:usb2="00000009" w:usb3="00000000" w:csb0="400001FF" w:csb1="FFFF0000"/>
    <w:embedRegular r:id="rId2" w:fontKey="{CA4201D1-A03E-4FFA-8EBB-2B5CF8709D9A}"/>
  </w:font>
  <w:font w:name="黑体">
    <w:panose1 w:val="02010609060101010101"/>
    <w:charset w:val="86"/>
    <w:family w:val="auto"/>
    <w:pitch w:val="default"/>
    <w:sig w:usb0="800002BF" w:usb1="38CF7CFA" w:usb2="00000016" w:usb3="00000000" w:csb0="00040001" w:csb1="00000000"/>
    <w:embedRegular r:id="rId3" w:fontKey="{F622108A-79E7-4702-A9FD-88F832505F81}"/>
  </w:font>
  <w:font w:name="Courier New">
    <w:panose1 w:val="02070309020205020404"/>
    <w:charset w:val="01"/>
    <w:family w:val="modern"/>
    <w:pitch w:val="default"/>
    <w:sig w:usb0="E0002EFF" w:usb1="C0007843" w:usb2="00000009" w:usb3="00000000" w:csb0="400001FF" w:csb1="FFFF0000"/>
    <w:embedRegular r:id="rId4" w:fontKey="{672F6A59-3068-4C47-A38A-C0DB58FB7FE3}"/>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5" w:fontKey="{4D55F7C2-2D75-4243-8F8C-6C07C023C02C}"/>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6" w:fontKey="{B3C7F3BD-EA50-4EAC-8D62-6AFD2C7B484D}"/>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7" w:fontKey="{A735C2F9-F066-42D9-A2D8-EB98EA96C4C4}"/>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8" w:fontKey="{713E89CB-9794-4165-9093-720E47E734E4}"/>
  </w:font>
  <w:font w:name="??">
    <w:altName w:val="Times New Roman"/>
    <w:panose1 w:val="00000000000000000000"/>
    <w:charset w:val="01"/>
    <w:family w:val="auto"/>
    <w:pitch w:val="default"/>
    <w:sig w:usb0="00000000" w:usb1="00000000" w:usb2="00000000" w:usb3="00000000" w:csb0="00040001" w:csb1="00000000"/>
  </w:font>
  <w:font w:name="汉仪细等线简">
    <w:panose1 w:val="00020600040101010101"/>
    <w:charset w:val="86"/>
    <w:family w:val="modern"/>
    <w:pitch w:val="default"/>
    <w:sig w:usb0="800002BF" w:usb1="1A4F6CF8" w:usb2="00000012" w:usb3="00000000" w:csb0="0004009F" w:csb1="DFD7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华文中宋">
    <w:panose1 w:val="02010600040101010101"/>
    <w:charset w:val="86"/>
    <w:family w:val="auto"/>
    <w:pitch w:val="default"/>
    <w:sig w:usb0="00000287" w:usb1="080F0000" w:usb2="00000000" w:usb3="00000000" w:csb0="0004009F" w:csb1="DFD70000"/>
    <w:embedRegular r:id="rId9" w:fontKey="{E012DFCF-CD04-45AC-A505-BFE15E944ABE}"/>
  </w:font>
  <w:font w:name="汉仪书宋二S">
    <w:panose1 w:val="00020600040101010101"/>
    <w:charset w:val="86"/>
    <w:family w:val="auto"/>
    <w:pitch w:val="default"/>
    <w:sig w:usb0="A00002BF" w:usb1="18EF7CFA" w:usb2="00000016" w:usb3="00000000" w:csb0="00040000" w:csb1="00000000"/>
    <w:embedRegular r:id="rId10" w:fontKey="{7DFB85AA-156C-4CD8-AD17-9A112640A9FF}"/>
  </w:font>
  <w:font w:name="华文楷体">
    <w:panose1 w:val="02010600040101010101"/>
    <w:charset w:val="86"/>
    <w:family w:val="auto"/>
    <w:pitch w:val="default"/>
    <w:sig w:usb0="00000287" w:usb1="080F0000" w:usb2="00000000" w:usb3="00000000" w:csb0="0004009F" w:csb1="DFD70000"/>
    <w:embedRegular r:id="rId11" w:fontKey="{27EF8C69-FC22-4905-8D22-2B50BE8E6EC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44</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E94AAA60"/>
    <w:multiLevelType w:val="singleLevel"/>
    <w:tmpl w:val="E94AAA60"/>
    <w:lvl w:ilvl="0">
      <w:start w:val="2"/>
      <w:numFmt w:val="decimal"/>
      <w:suff w:val="nothing"/>
      <w:lvlText w:val="%1、"/>
      <w:lvlJc w:val="left"/>
    </w:lvl>
  </w:abstractNum>
  <w:abstractNum w:abstractNumId="8">
    <w:nsid w:val="FFEFC674"/>
    <w:multiLevelType w:val="singleLevel"/>
    <w:tmpl w:val="FFEFC674"/>
    <w:lvl w:ilvl="0">
      <w:start w:val="1"/>
      <w:numFmt w:val="decimal"/>
      <w:suff w:val="nothing"/>
      <w:lvlText w:val="（%1）"/>
      <w:lvlJc w:val="left"/>
    </w:lvl>
  </w:abstractNum>
  <w:abstractNum w:abstractNumId="9">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0">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1">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4">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5">
    <w:nsid w:val="3519313F"/>
    <w:multiLevelType w:val="singleLevel"/>
    <w:tmpl w:val="3519313F"/>
    <w:lvl w:ilvl="0">
      <w:start w:val="1"/>
      <w:numFmt w:val="decimal"/>
      <w:suff w:val="nothing"/>
      <w:lvlText w:val="（%1）"/>
      <w:lvlJc w:val="left"/>
    </w:lvl>
  </w:abstractNum>
  <w:abstractNum w:abstractNumId="16">
    <w:nsid w:val="3CA89963"/>
    <w:multiLevelType w:val="singleLevel"/>
    <w:tmpl w:val="3CA89963"/>
    <w:lvl w:ilvl="0">
      <w:start w:val="5"/>
      <w:numFmt w:val="chineseCounting"/>
      <w:suff w:val="nothing"/>
      <w:lvlText w:val="%1、"/>
      <w:lvlJc w:val="left"/>
      <w:rPr>
        <w:rFonts w:hint="eastAsia"/>
      </w:rPr>
    </w:lvl>
  </w:abstractNum>
  <w:abstractNum w:abstractNumId="17">
    <w:nsid w:val="7A0F6431"/>
    <w:multiLevelType w:val="singleLevel"/>
    <w:tmpl w:val="7A0F6431"/>
    <w:lvl w:ilvl="0">
      <w:start w:val="1"/>
      <w:numFmt w:val="decimal"/>
      <w:suff w:val="space"/>
      <w:lvlText w:val="%1."/>
      <w:lvlJc w:val="left"/>
    </w:lvl>
  </w:abstractNum>
  <w:abstractNum w:abstractNumId="1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0"/>
  </w:num>
  <w:num w:numId="2">
    <w:abstractNumId w:val="9"/>
  </w:num>
  <w:num w:numId="3">
    <w:abstractNumId w:val="13"/>
  </w:num>
  <w:num w:numId="4">
    <w:abstractNumId w:val="12"/>
  </w:num>
  <w:num w:numId="5">
    <w:abstractNumId w:val="18"/>
  </w:num>
  <w:num w:numId="6">
    <w:abstractNumId w:val="14"/>
  </w:num>
  <w:num w:numId="7">
    <w:abstractNumId w:val="15"/>
  </w:num>
  <w:num w:numId="8">
    <w:abstractNumId w:val="7"/>
  </w:num>
  <w:num w:numId="9">
    <w:abstractNumId w:val="0"/>
  </w:num>
  <w:num w:numId="10">
    <w:abstractNumId w:val="1"/>
  </w:num>
  <w:num w:numId="11">
    <w:abstractNumId w:val="16"/>
  </w:num>
  <w:num w:numId="12">
    <w:abstractNumId w:val="17"/>
  </w:num>
  <w:num w:numId="13">
    <w:abstractNumId w:val="3"/>
  </w:num>
  <w:num w:numId="14">
    <w:abstractNumId w:val="8"/>
  </w:num>
  <w:num w:numId="15">
    <w:abstractNumId w:val="5"/>
  </w:num>
  <w:num w:numId="16">
    <w:abstractNumId w:val="4"/>
  </w:num>
  <w:num w:numId="17">
    <w:abstractNumId w:val="2"/>
  </w:num>
  <w:num w:numId="18">
    <w:abstractNumId w:val="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a"/>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paragraph" w:styleId="NormalIndent">
    <w:name w:val="Normal Indent"/>
    <w:basedOn w:val="Normal"/>
    <w:next w:val="BodyText"/>
    <w:link w:val="Char0"/>
    <w:qFormat/>
    <w:pPr>
      <w:ind w:firstLine="420"/>
    </w:pPr>
    <w:rPr>
      <w:szCs w:val="20"/>
    </w:rPr>
  </w:style>
  <w:style w:type="paragraph" w:styleId="BodyText">
    <w:name w:val="Body Text"/>
    <w:basedOn w:val="Normal"/>
    <w:link w:val="Char7"/>
    <w:qFormat/>
    <w:pPr>
      <w:spacing w:line="360" w:lineRule="auto"/>
    </w:pPr>
    <w:rPr>
      <w:b/>
      <w:bCs/>
      <w:sz w:val="24"/>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basedOn w:val="DefaultParagraphFont"/>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style>
  <w:style w:type="character" w:customStyle="1" w:styleId="hover4">
    <w:name w:val="hover4"/>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
    <w:name w:val="hover"/>
    <w:basedOn w:val="DefaultParagraphFont"/>
    <w:qFormat/>
    <w:rPr>
      <w:color w:val="2590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71</Pages>
  <Words>14760</Words>
  <Characters>15990</Characters>
  <Application>Microsoft Office Word</Application>
  <DocSecurity>0</DocSecurity>
  <Lines>368</Lines>
  <Paragraphs>103</Paragraphs>
  <ScaleCrop>false</ScaleCrop>
  <Company>Microsoft</Company>
  <LinksUpToDate>false</LinksUpToDate>
  <CharactersWithSpaces>16104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交易集团宝安分公司</cp:lastModifiedBy>
  <cp:revision>123</cp:revision>
  <cp:lastPrinted>2021-05-16T11:04:00Z</cp:lastPrinted>
  <dcterms:created xsi:type="dcterms:W3CDTF">2021-05-07T05:47:00Z</dcterms:created>
  <dcterms:modified xsi:type="dcterms:W3CDTF">2025-08-26T06:30:01Z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17784158DEBF44939F0F4F0B13500CAD</vt:lpwstr>
  </property>
  <property fmtid="{D5CDD505-2E9C-101B-9397-08002B2CF9AE}" pid="3" name="KSOProductBuildVer">
    <vt:lpwstr>2052-12.1.0.19302</vt:lpwstr>
  </property>
  <property fmtid="{D5CDD505-2E9C-101B-9397-08002B2CF9AE}" pid="4" name="KSOTemplateDocerSaveRecord">
    <vt:lpwstr>eyJoZGlkIjoiZjk3NDcwYzkzMzkwZjgzNzBlNzI3ZjFmOTk5ZTQ2MzQiLCJ1c2VySWQiOiIyMjc1MTQ3NjgifQ==</vt:lpwstr>
  </property>
</Properties>
</file>